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551815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8"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(Mark One)</w:t>
      </w:r>
    </w:p>
    <w:p>
      <w:pPr>
        <w:ind w:left="3580" w:right="1840" w:hanging="3559"/>
        <w:spacing w:after="0" w:line="454" w:lineRule="auto"/>
        <w:tabs>
          <w:tab w:leader="none" w:pos="273"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2022</w:t>
      </w:r>
    </w:p>
    <w:p>
      <w:pPr>
        <w:spacing w:after="0" w:line="338" w:lineRule="exact"/>
        <w:rPr>
          <w:sz w:val="24"/>
          <w:szCs w:val="24"/>
          <w:color w:val="auto"/>
        </w:rPr>
      </w:pPr>
    </w:p>
    <w:p>
      <w:pPr>
        <w:ind w:left="260" w:hanging="239"/>
        <w:spacing w:after="0"/>
        <w:tabs>
          <w:tab w:leader="none" w:pos="2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85"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6860" w:type="dxa"/>
            <w:vAlign w:val="bottom"/>
          </w:tcPr>
          <w:p>
            <w:pPr>
              <w:ind w:left="3480"/>
              <w:spacing w:after="0"/>
              <w:rPr>
                <w:sz w:val="20"/>
                <w:szCs w:val="20"/>
                <w:color w:val="auto"/>
              </w:rPr>
            </w:pPr>
            <w:r>
              <w:rPr>
                <w:rFonts w:ascii="Arial" w:cs="Arial" w:eastAsia="Arial" w:hAnsi="Arial"/>
                <w:sz w:val="18"/>
                <w:szCs w:val="18"/>
                <w:b w:val="1"/>
                <w:bCs w:val="1"/>
                <w:color w:val="auto"/>
              </w:rPr>
              <w:t>FOR THE TRANSITION PERIOD FROM</w:t>
            </w:r>
          </w:p>
        </w:tc>
        <w:tc>
          <w:tcPr>
            <w:tcW w:w="540" w:type="dxa"/>
            <w:vAlign w:val="bottom"/>
            <w:tcBorders>
              <w:bottom w:val="single" w:sz="8" w:color="auto"/>
            </w:tcBorders>
          </w:tcPr>
          <w:p>
            <w:pPr>
              <w:spacing w:after="0"/>
              <w:rPr>
                <w:sz w:val="17"/>
                <w:szCs w:val="17"/>
                <w:color w:val="auto"/>
              </w:rPr>
            </w:pPr>
          </w:p>
        </w:tc>
        <w:tc>
          <w:tcPr>
            <w:tcW w:w="3840" w:type="dxa"/>
            <w:vAlign w:val="bottom"/>
          </w:tcPr>
          <w:p>
            <w:pPr>
              <w:ind w:left="40"/>
              <w:spacing w:after="0"/>
              <w:rPr>
                <w:sz w:val="20"/>
                <w:szCs w:val="20"/>
                <w:color w:val="auto"/>
              </w:rPr>
            </w:pPr>
            <w:r>
              <w:rPr>
                <w:rFonts w:ascii="Arial" w:cs="Arial" w:eastAsia="Arial" w:hAnsi="Arial"/>
                <w:sz w:val="18"/>
                <w:szCs w:val="18"/>
                <w:b w:val="1"/>
                <w:bCs w:val="1"/>
                <w:color w:val="auto"/>
              </w:rPr>
              <w:t>TO</w:t>
            </w:r>
          </w:p>
        </w:tc>
        <w:tc>
          <w:tcPr>
            <w:tcW w:w="0" w:type="dxa"/>
            <w:vAlign w:val="bottom"/>
          </w:tcPr>
          <w:p>
            <w:pPr>
              <w:spacing w:after="0"/>
              <w:rPr>
                <w:sz w:val="1"/>
                <w:szCs w:val="1"/>
                <w:color w:val="auto"/>
              </w:rPr>
            </w:pPr>
          </w:p>
        </w:tc>
      </w:tr>
      <w:tr>
        <w:trPr>
          <w:trHeight w:val="372"/>
        </w:trPr>
        <w:tc>
          <w:tcPr>
            <w:tcW w:w="7400" w:type="dxa"/>
            <w:vAlign w:val="bottom"/>
            <w:gridSpan w:val="2"/>
          </w:tcPr>
          <w:p>
            <w:pPr>
              <w:jc w:val="center"/>
              <w:ind w:left="3741"/>
              <w:spacing w:after="0"/>
              <w:rPr>
                <w:sz w:val="20"/>
                <w:szCs w:val="20"/>
                <w:color w:val="auto"/>
              </w:rPr>
            </w:pPr>
            <w:r>
              <w:rPr>
                <w:rFonts w:ascii="Arial" w:cs="Arial" w:eastAsia="Arial" w:hAnsi="Arial"/>
                <w:sz w:val="18"/>
                <w:szCs w:val="18"/>
                <w:b w:val="1"/>
                <w:bCs w:val="1"/>
                <w:color w:val="auto"/>
                <w:w w:val="99"/>
              </w:rPr>
              <w:t>COMMISSION FILE NUMBER: 814-00891</w:t>
            </w:r>
          </w:p>
        </w:tc>
        <w:tc>
          <w:tcPr>
            <w:tcW w:w="3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6860" w:type="dxa"/>
            <w:vAlign w:val="bottom"/>
            <w:tcBorders>
              <w:bottom w:val="single" w:sz="8" w:color="auto"/>
            </w:tcBorders>
          </w:tcPr>
          <w:p>
            <w:pPr>
              <w:spacing w:after="0"/>
              <w:rPr>
                <w:sz w:val="16"/>
                <w:szCs w:val="16"/>
                <w:color w:val="auto"/>
              </w:rPr>
            </w:pPr>
          </w:p>
        </w:tc>
        <w:tc>
          <w:tcPr>
            <w:tcW w:w="4380" w:type="dxa"/>
            <w:vAlign w:val="bottom"/>
            <w:tcBorders>
              <w:bottom w:val="single" w:sz="8" w:color="auto"/>
            </w:tcBorders>
            <w:gridSpan w:val="2"/>
          </w:tcPr>
          <w:p>
            <w:pPr>
              <w:spacing w:after="0"/>
              <w:rPr>
                <w:sz w:val="16"/>
                <w:szCs w:val="16"/>
                <w:color w:val="auto"/>
              </w:rPr>
            </w:pPr>
          </w:p>
        </w:tc>
        <w:tc>
          <w:tcPr>
            <w:tcW w:w="0" w:type="dxa"/>
            <w:vAlign w:val="bottom"/>
          </w:tcPr>
          <w:p>
            <w:pPr>
              <w:spacing w:after="0"/>
              <w:rPr>
                <w:sz w:val="1"/>
                <w:szCs w:val="1"/>
                <w:color w:val="auto"/>
              </w:rPr>
            </w:pPr>
          </w:p>
        </w:tc>
      </w:tr>
      <w:tr>
        <w:trPr>
          <w:trHeight w:val="470"/>
        </w:trPr>
        <w:tc>
          <w:tcPr>
            <w:tcW w:w="11240" w:type="dxa"/>
            <w:vAlign w:val="bottom"/>
            <w:gridSpan w:val="3"/>
          </w:tcPr>
          <w:p>
            <w:pPr>
              <w:jc w:val="center"/>
              <w:spacing w:after="0"/>
              <w:rPr>
                <w:sz w:val="20"/>
                <w:szCs w:val="20"/>
                <w:color w:val="auto"/>
              </w:rPr>
            </w:pPr>
            <w:r>
              <w:rPr>
                <w:rFonts w:ascii="Arial" w:cs="Arial" w:eastAsia="Arial" w:hAnsi="Arial"/>
                <w:sz w:val="31"/>
                <w:szCs w:val="31"/>
                <w:b w:val="1"/>
                <w:bCs w:val="1"/>
                <w:color w:val="auto"/>
                <w:w w:val="98"/>
              </w:rPr>
              <w:t>PENNANTPARK FLOATING RATE CAPITAL LTD.</w:t>
            </w:r>
          </w:p>
        </w:tc>
        <w:tc>
          <w:tcPr>
            <w:tcW w:w="0" w:type="dxa"/>
            <w:vAlign w:val="bottom"/>
          </w:tcPr>
          <w:p>
            <w:pPr>
              <w:spacing w:after="0"/>
              <w:rPr>
                <w:sz w:val="1"/>
                <w:szCs w:val="1"/>
                <w:color w:val="auto"/>
              </w:rPr>
            </w:pPr>
          </w:p>
        </w:tc>
      </w:tr>
      <w:tr>
        <w:trPr>
          <w:trHeight w:val="186"/>
        </w:trPr>
        <w:tc>
          <w:tcPr>
            <w:tcW w:w="7400" w:type="dxa"/>
            <w:vAlign w:val="bottom"/>
            <w:gridSpan w:val="2"/>
          </w:tcPr>
          <w:p>
            <w:pPr>
              <w:jc w:val="center"/>
              <w:ind w:left="3781"/>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c>
          <w:tcPr>
            <w:tcW w:w="3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8"/>
        </w:trPr>
        <w:tc>
          <w:tcPr>
            <w:tcW w:w="7400" w:type="dxa"/>
            <w:vAlign w:val="bottom"/>
            <w:gridSpan w:val="2"/>
          </w:tcPr>
          <w:p>
            <w:pPr>
              <w:jc w:val="center"/>
              <w:ind w:right="1760"/>
              <w:spacing w:after="0"/>
              <w:rPr>
                <w:sz w:val="20"/>
                <w:szCs w:val="20"/>
                <w:color w:val="auto"/>
              </w:rPr>
            </w:pPr>
            <w:r>
              <w:rPr>
                <w:rFonts w:ascii="Arial" w:cs="Arial" w:eastAsia="Arial" w:hAnsi="Arial"/>
                <w:sz w:val="14"/>
                <w:szCs w:val="14"/>
                <w:b w:val="1"/>
                <w:bCs w:val="1"/>
                <w:color w:val="auto"/>
              </w:rPr>
              <w:t>MARYLAND</w:t>
            </w:r>
          </w:p>
        </w:tc>
        <w:tc>
          <w:tcPr>
            <w:tcW w:w="3840" w:type="dxa"/>
            <w:vAlign w:val="bottom"/>
          </w:tcPr>
          <w:p>
            <w:pPr>
              <w:jc w:val="right"/>
              <w:ind w:right="2270"/>
              <w:spacing w:after="0"/>
              <w:rPr>
                <w:sz w:val="20"/>
                <w:szCs w:val="20"/>
                <w:color w:val="auto"/>
              </w:rPr>
            </w:pPr>
            <w:r>
              <w:rPr>
                <w:rFonts w:ascii="Arial" w:cs="Arial" w:eastAsia="Arial" w:hAnsi="Arial"/>
                <w:sz w:val="14"/>
                <w:szCs w:val="14"/>
                <w:b w:val="1"/>
                <w:bCs w:val="1"/>
                <w:color w:val="auto"/>
              </w:rPr>
              <w:t>27-3794690</w:t>
            </w:r>
          </w:p>
        </w:tc>
        <w:tc>
          <w:tcPr>
            <w:tcW w:w="0" w:type="dxa"/>
            <w:vAlign w:val="bottom"/>
          </w:tcPr>
          <w:p>
            <w:pPr>
              <w:spacing w:after="0"/>
              <w:rPr>
                <w:sz w:val="1"/>
                <w:szCs w:val="1"/>
                <w:color w:val="auto"/>
              </w:rPr>
            </w:pPr>
          </w:p>
        </w:tc>
      </w:tr>
      <w:tr>
        <w:trPr>
          <w:trHeight w:val="150"/>
        </w:trPr>
        <w:tc>
          <w:tcPr>
            <w:tcW w:w="7400" w:type="dxa"/>
            <w:vAlign w:val="bottom"/>
            <w:gridSpan w:val="2"/>
          </w:tcPr>
          <w:p>
            <w:pPr>
              <w:jc w:val="center"/>
              <w:ind w:right="1740"/>
              <w:spacing w:after="0"/>
              <w:rPr>
                <w:sz w:val="20"/>
                <w:szCs w:val="20"/>
                <w:color w:val="auto"/>
              </w:rPr>
            </w:pPr>
            <w:r>
              <w:rPr>
                <w:rFonts w:ascii="Arial" w:cs="Arial" w:eastAsia="Arial" w:hAnsi="Arial"/>
                <w:sz w:val="12"/>
                <w:szCs w:val="12"/>
                <w:b w:val="1"/>
                <w:bCs w:val="1"/>
                <w:color w:val="auto"/>
                <w:w w:val="88"/>
              </w:rPr>
              <w:t>(State or other jurisdiction of incorporation or organization)</w:t>
            </w:r>
          </w:p>
        </w:tc>
        <w:tc>
          <w:tcPr>
            <w:tcW w:w="3840" w:type="dxa"/>
            <w:vAlign w:val="bottom"/>
          </w:tcPr>
          <w:p>
            <w:pPr>
              <w:jc w:val="center"/>
              <w:ind w:right="1470"/>
              <w:spacing w:after="0"/>
              <w:rPr>
                <w:sz w:val="20"/>
                <w:szCs w:val="20"/>
                <w:color w:val="auto"/>
              </w:rPr>
            </w:pPr>
            <w:r>
              <w:rPr>
                <w:rFonts w:ascii="Arial" w:cs="Arial" w:eastAsia="Arial" w:hAnsi="Arial"/>
                <w:sz w:val="12"/>
                <w:szCs w:val="12"/>
                <w:b w:val="1"/>
                <w:bCs w:val="1"/>
                <w:color w:val="auto"/>
                <w:w w:val="90"/>
              </w:rPr>
              <w:t>(I.R.S. Employer Identification No.)</w:t>
            </w:r>
          </w:p>
        </w:tc>
        <w:tc>
          <w:tcPr>
            <w:tcW w:w="0" w:type="dxa"/>
            <w:vAlign w:val="bottom"/>
          </w:tcPr>
          <w:p>
            <w:pPr>
              <w:spacing w:after="0"/>
              <w:rPr>
                <w:sz w:val="1"/>
                <w:szCs w:val="1"/>
                <w:color w:val="auto"/>
              </w:rPr>
            </w:pPr>
          </w:p>
        </w:tc>
      </w:tr>
      <w:tr>
        <w:trPr>
          <w:trHeight w:val="497"/>
        </w:trPr>
        <w:tc>
          <w:tcPr>
            <w:tcW w:w="7400" w:type="dxa"/>
            <w:vAlign w:val="bottom"/>
            <w:gridSpan w:val="2"/>
          </w:tcPr>
          <w:p>
            <w:pPr>
              <w:jc w:val="center"/>
              <w:ind w:right="1760"/>
              <w:spacing w:after="0"/>
              <w:rPr>
                <w:sz w:val="20"/>
                <w:szCs w:val="20"/>
                <w:color w:val="auto"/>
              </w:rPr>
            </w:pPr>
            <w:r>
              <w:rPr>
                <w:rFonts w:ascii="Arial" w:cs="Arial" w:eastAsia="Arial" w:hAnsi="Arial"/>
                <w:sz w:val="14"/>
                <w:szCs w:val="14"/>
                <w:b w:val="1"/>
                <w:bCs w:val="1"/>
                <w:color w:val="auto"/>
                <w:w w:val="93"/>
              </w:rPr>
              <w:t>1691 Michigan Avenue</w:t>
            </w:r>
          </w:p>
        </w:tc>
        <w:tc>
          <w:tcPr>
            <w:tcW w:w="3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7400" w:type="dxa"/>
            <w:vAlign w:val="bottom"/>
            <w:gridSpan w:val="2"/>
          </w:tcPr>
          <w:p>
            <w:pPr>
              <w:jc w:val="center"/>
              <w:ind w:right="1760"/>
              <w:spacing w:after="0"/>
              <w:rPr>
                <w:sz w:val="20"/>
                <w:szCs w:val="20"/>
                <w:color w:val="auto"/>
              </w:rPr>
            </w:pPr>
            <w:r>
              <w:rPr>
                <w:rFonts w:ascii="Arial" w:cs="Arial" w:eastAsia="Arial" w:hAnsi="Arial"/>
                <w:sz w:val="14"/>
                <w:szCs w:val="14"/>
                <w:b w:val="1"/>
                <w:bCs w:val="1"/>
                <w:color w:val="auto"/>
                <w:w w:val="97"/>
              </w:rPr>
              <w:t>Miami Beach, Florida</w:t>
            </w:r>
          </w:p>
        </w:tc>
        <w:tc>
          <w:tcPr>
            <w:tcW w:w="3840" w:type="dxa"/>
            <w:vAlign w:val="bottom"/>
            <w:vMerge w:val="restart"/>
          </w:tcPr>
          <w:p>
            <w:pPr>
              <w:jc w:val="right"/>
              <w:ind w:right="2450"/>
              <w:spacing w:after="0"/>
              <w:rPr>
                <w:sz w:val="20"/>
                <w:szCs w:val="20"/>
                <w:color w:val="auto"/>
              </w:rPr>
            </w:pPr>
            <w:r>
              <w:rPr>
                <w:rFonts w:ascii="Arial" w:cs="Arial" w:eastAsia="Arial" w:hAnsi="Arial"/>
                <w:sz w:val="14"/>
                <w:szCs w:val="14"/>
                <w:b w:val="1"/>
                <w:bCs w:val="1"/>
                <w:color w:val="auto"/>
              </w:rPr>
              <w:t>33139</w:t>
            </w:r>
          </w:p>
        </w:tc>
        <w:tc>
          <w:tcPr>
            <w:tcW w:w="0" w:type="dxa"/>
            <w:vAlign w:val="bottom"/>
          </w:tcPr>
          <w:p>
            <w:pPr>
              <w:spacing w:after="0"/>
              <w:rPr>
                <w:sz w:val="1"/>
                <w:szCs w:val="1"/>
                <w:color w:val="auto"/>
              </w:rPr>
            </w:pPr>
          </w:p>
        </w:tc>
      </w:tr>
      <w:tr>
        <w:trPr>
          <w:trHeight w:val="58"/>
        </w:trPr>
        <w:tc>
          <w:tcPr>
            <w:tcW w:w="6860" w:type="dxa"/>
            <w:vAlign w:val="bottom"/>
          </w:tcPr>
          <w:p>
            <w:pPr>
              <w:spacing w:after="0"/>
              <w:rPr>
                <w:sz w:val="5"/>
                <w:szCs w:val="5"/>
                <w:color w:val="auto"/>
              </w:rPr>
            </w:pPr>
          </w:p>
        </w:tc>
        <w:tc>
          <w:tcPr>
            <w:tcW w:w="540" w:type="dxa"/>
            <w:vAlign w:val="bottom"/>
          </w:tcPr>
          <w:p>
            <w:pPr>
              <w:spacing w:after="0"/>
              <w:rPr>
                <w:sz w:val="5"/>
                <w:szCs w:val="5"/>
                <w:color w:val="auto"/>
              </w:rPr>
            </w:pPr>
          </w:p>
        </w:tc>
        <w:tc>
          <w:tcPr>
            <w:tcW w:w="3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7400" w:type="dxa"/>
            <w:vAlign w:val="bottom"/>
            <w:gridSpan w:val="2"/>
          </w:tcPr>
          <w:p>
            <w:pPr>
              <w:jc w:val="center"/>
              <w:ind w:right="1760"/>
              <w:spacing w:after="0"/>
              <w:rPr>
                <w:sz w:val="20"/>
                <w:szCs w:val="20"/>
                <w:color w:val="auto"/>
              </w:rPr>
            </w:pPr>
            <w:r>
              <w:rPr>
                <w:rFonts w:ascii="Arial" w:cs="Arial" w:eastAsia="Arial" w:hAnsi="Arial"/>
                <w:sz w:val="12"/>
                <w:szCs w:val="12"/>
                <w:b w:val="1"/>
                <w:bCs w:val="1"/>
                <w:color w:val="auto"/>
                <w:w w:val="85"/>
              </w:rPr>
              <w:t>(Address of principal executive offices)</w:t>
            </w:r>
          </w:p>
        </w:tc>
        <w:tc>
          <w:tcPr>
            <w:tcW w:w="3840" w:type="dxa"/>
            <w:vAlign w:val="bottom"/>
          </w:tcPr>
          <w:p>
            <w:pPr>
              <w:jc w:val="center"/>
              <w:ind w:right="1470"/>
              <w:spacing w:after="0"/>
              <w:rPr>
                <w:sz w:val="20"/>
                <w:szCs w:val="20"/>
                <w:color w:val="auto"/>
              </w:rPr>
            </w:pPr>
            <w:r>
              <w:rPr>
                <w:rFonts w:ascii="Arial" w:cs="Arial" w:eastAsia="Arial" w:hAnsi="Arial"/>
                <w:sz w:val="12"/>
                <w:szCs w:val="12"/>
                <w:b w:val="1"/>
                <w:bCs w:val="1"/>
                <w:color w:val="auto"/>
                <w:w w:val="90"/>
              </w:rPr>
              <w:t>(Zip Code)</w:t>
            </w:r>
          </w:p>
        </w:tc>
        <w:tc>
          <w:tcPr>
            <w:tcW w:w="0" w:type="dxa"/>
            <w:vAlign w:val="bottom"/>
          </w:tcPr>
          <w:p>
            <w:pPr>
              <w:spacing w:after="0"/>
              <w:rPr>
                <w:sz w:val="1"/>
                <w:szCs w:val="1"/>
                <w:color w:val="auto"/>
              </w:rPr>
            </w:pPr>
          </w:p>
        </w:tc>
      </w:tr>
      <w:tr>
        <w:trPr>
          <w:trHeight w:val="295"/>
        </w:trPr>
        <w:tc>
          <w:tcPr>
            <w:tcW w:w="6860" w:type="dxa"/>
            <w:vAlign w:val="bottom"/>
          </w:tcPr>
          <w:p>
            <w:pPr>
              <w:jc w:val="center"/>
              <w:ind w:left="4321"/>
              <w:spacing w:after="0"/>
              <w:rPr>
                <w:sz w:val="20"/>
                <w:szCs w:val="20"/>
                <w:color w:val="auto"/>
              </w:rPr>
            </w:pPr>
            <w:r>
              <w:rPr>
                <w:rFonts w:ascii="Arial" w:cs="Arial" w:eastAsia="Arial" w:hAnsi="Arial"/>
                <w:sz w:val="14"/>
                <w:szCs w:val="14"/>
                <w:b w:val="1"/>
                <w:bCs w:val="1"/>
                <w:color w:val="auto"/>
                <w:w w:val="93"/>
              </w:rPr>
              <w:t>(212) 905-1000</w:t>
            </w:r>
          </w:p>
        </w:tc>
        <w:tc>
          <w:tcPr>
            <w:tcW w:w="54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7400" w:type="dxa"/>
            <w:vAlign w:val="bottom"/>
            <w:gridSpan w:val="2"/>
          </w:tcPr>
          <w:p>
            <w:pPr>
              <w:jc w:val="center"/>
              <w:ind w:left="3761"/>
              <w:spacing w:after="0"/>
              <w:rPr>
                <w:sz w:val="20"/>
                <w:szCs w:val="20"/>
                <w:color w:val="auto"/>
              </w:rPr>
            </w:pPr>
            <w:r>
              <w:rPr>
                <w:rFonts w:ascii="Arial" w:cs="Arial" w:eastAsia="Arial" w:hAnsi="Arial"/>
                <w:sz w:val="12"/>
                <w:szCs w:val="12"/>
                <w:b w:val="1"/>
                <w:bCs w:val="1"/>
                <w:color w:val="auto"/>
                <w:w w:val="88"/>
              </w:rPr>
              <w:t>(Registrant’s Telephone Number, Including Area Code)</w:t>
            </w:r>
          </w:p>
        </w:tc>
        <w:tc>
          <w:tcPr>
            <w:tcW w:w="38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7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None</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3" w:lineRule="exact"/>
        <w:rPr>
          <w:sz w:val="24"/>
          <w:szCs w:val="24"/>
          <w:color w:val="auto"/>
        </w:rPr>
      </w:pPr>
    </w:p>
    <w:tbl>
      <w:tblPr>
        <w:tblLayout w:type="fixed"/>
        <w:tblInd w:w="480" w:type="dxa"/>
        <w:tblCellMar>
          <w:top w:w="0" w:type="dxa"/>
          <w:left w:w="0" w:type="dxa"/>
          <w:bottom w:w="0" w:type="dxa"/>
          <w:right w:w="0" w:type="dxa"/>
        </w:tblCellMar>
      </w:tblPr>
      <w:tr>
        <w:trPr>
          <w:trHeight w:val="182"/>
        </w:trPr>
        <w:tc>
          <w:tcPr>
            <w:tcW w:w="3960" w:type="dxa"/>
            <w:vAlign w:val="bottom"/>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2640" w:type="dxa"/>
            <w:vAlign w:val="bottom"/>
          </w:tcPr>
          <w:p>
            <w:pPr>
              <w:spacing w:after="0"/>
              <w:rPr>
                <w:sz w:val="15"/>
                <w:szCs w:val="15"/>
                <w:color w:val="auto"/>
              </w:rPr>
            </w:pPr>
          </w:p>
        </w:tc>
        <w:tc>
          <w:tcPr>
            <w:tcW w:w="3700" w:type="dxa"/>
            <w:vAlign w:val="bottom"/>
          </w:tcPr>
          <w:p>
            <w:pPr>
              <w:spacing w:after="0"/>
              <w:rPr>
                <w:sz w:val="15"/>
                <w:szCs w:val="15"/>
                <w:color w:val="auto"/>
              </w:rPr>
            </w:pPr>
          </w:p>
        </w:tc>
      </w:tr>
      <w:tr>
        <w:trPr>
          <w:trHeight w:val="367"/>
        </w:trPr>
        <w:tc>
          <w:tcPr>
            <w:tcW w:w="3960" w:type="dxa"/>
            <w:vAlign w:val="bottom"/>
          </w:tcPr>
          <w:p>
            <w:pPr>
              <w:jc w:val="center"/>
              <w:ind w:right="1088"/>
              <w:spacing w:after="0"/>
              <w:rPr>
                <w:sz w:val="20"/>
                <w:szCs w:val="20"/>
                <w:color w:val="auto"/>
              </w:rPr>
            </w:pPr>
            <w:r>
              <w:rPr>
                <w:rFonts w:ascii="Arial" w:cs="Arial" w:eastAsia="Arial" w:hAnsi="Arial"/>
                <w:sz w:val="14"/>
                <w:szCs w:val="14"/>
                <w:b w:val="1"/>
                <w:bCs w:val="1"/>
                <w:color w:val="auto"/>
                <w:w w:val="93"/>
              </w:rPr>
              <w:t>Title of Each Class</w:t>
            </w:r>
          </w:p>
        </w:tc>
        <w:tc>
          <w:tcPr>
            <w:tcW w:w="2640" w:type="dxa"/>
            <w:vAlign w:val="bottom"/>
          </w:tcPr>
          <w:p>
            <w:pPr>
              <w:jc w:val="center"/>
              <w:ind w:right="188"/>
              <w:spacing w:after="0"/>
              <w:rPr>
                <w:sz w:val="20"/>
                <w:szCs w:val="20"/>
                <w:color w:val="auto"/>
              </w:rPr>
            </w:pPr>
            <w:r>
              <w:rPr>
                <w:rFonts w:ascii="Arial" w:cs="Arial" w:eastAsia="Arial" w:hAnsi="Arial"/>
                <w:sz w:val="14"/>
                <w:szCs w:val="14"/>
                <w:b w:val="1"/>
                <w:bCs w:val="1"/>
                <w:color w:val="auto"/>
                <w:w w:val="92"/>
              </w:rPr>
              <w:t>Trading Symbol(s)</w:t>
            </w:r>
          </w:p>
        </w:tc>
        <w:tc>
          <w:tcPr>
            <w:tcW w:w="3700" w:type="dxa"/>
            <w:vAlign w:val="bottom"/>
          </w:tcPr>
          <w:p>
            <w:pPr>
              <w:jc w:val="center"/>
              <w:ind w:left="804"/>
              <w:spacing w:after="0"/>
              <w:rPr>
                <w:sz w:val="20"/>
                <w:szCs w:val="20"/>
                <w:color w:val="auto"/>
              </w:rPr>
            </w:pPr>
            <w:r>
              <w:rPr>
                <w:rFonts w:ascii="Arial" w:cs="Arial" w:eastAsia="Arial" w:hAnsi="Arial"/>
                <w:sz w:val="14"/>
                <w:szCs w:val="14"/>
                <w:b w:val="1"/>
                <w:bCs w:val="1"/>
                <w:color w:val="auto"/>
                <w:w w:val="92"/>
              </w:rPr>
              <w:t>Name of Each Exchange on Which Registered</w:t>
            </w:r>
          </w:p>
        </w:tc>
      </w:tr>
      <w:tr>
        <w:trPr>
          <w:trHeight w:val="206"/>
        </w:trPr>
        <w:tc>
          <w:tcPr>
            <w:tcW w:w="3960" w:type="dxa"/>
            <w:vAlign w:val="bottom"/>
          </w:tcPr>
          <w:p>
            <w:pPr>
              <w:jc w:val="center"/>
              <w:ind w:right="1068"/>
              <w:spacing w:after="0"/>
              <w:rPr>
                <w:sz w:val="20"/>
                <w:szCs w:val="20"/>
                <w:color w:val="auto"/>
              </w:rPr>
            </w:pPr>
            <w:r>
              <w:rPr>
                <w:rFonts w:ascii="Arial" w:cs="Arial" w:eastAsia="Arial" w:hAnsi="Arial"/>
                <w:sz w:val="14"/>
                <w:szCs w:val="14"/>
                <w:color w:val="auto"/>
                <w:w w:val="92"/>
              </w:rPr>
              <w:t>Common Stock, par value $0.001 per share</w:t>
            </w:r>
          </w:p>
        </w:tc>
        <w:tc>
          <w:tcPr>
            <w:tcW w:w="2640" w:type="dxa"/>
            <w:vAlign w:val="bottom"/>
          </w:tcPr>
          <w:p>
            <w:pPr>
              <w:jc w:val="center"/>
              <w:ind w:right="188"/>
              <w:spacing w:after="0"/>
              <w:rPr>
                <w:sz w:val="20"/>
                <w:szCs w:val="20"/>
                <w:color w:val="auto"/>
              </w:rPr>
            </w:pPr>
            <w:r>
              <w:rPr>
                <w:rFonts w:ascii="Arial" w:cs="Arial" w:eastAsia="Arial" w:hAnsi="Arial"/>
                <w:sz w:val="14"/>
                <w:szCs w:val="14"/>
                <w:color w:val="auto"/>
                <w:w w:val="99"/>
              </w:rPr>
              <w:t>PFLT</w:t>
            </w:r>
          </w:p>
        </w:tc>
        <w:tc>
          <w:tcPr>
            <w:tcW w:w="3700" w:type="dxa"/>
            <w:vAlign w:val="bottom"/>
          </w:tcPr>
          <w:p>
            <w:pPr>
              <w:jc w:val="center"/>
              <w:ind w:left="804"/>
              <w:spacing w:after="0"/>
              <w:rPr>
                <w:sz w:val="20"/>
                <w:szCs w:val="20"/>
                <w:color w:val="auto"/>
              </w:rPr>
            </w:pPr>
            <w:r>
              <w:rPr>
                <w:rFonts w:ascii="Arial" w:cs="Arial" w:eastAsia="Arial" w:hAnsi="Arial"/>
                <w:sz w:val="16"/>
                <w:szCs w:val="16"/>
                <w:color w:val="auto"/>
                <w:w w:val="93"/>
              </w:rPr>
              <w:t>The New York Stock Exchange</w:t>
            </w:r>
          </w:p>
        </w:tc>
      </w:tr>
    </w:tbl>
    <w:p>
      <w:pPr>
        <w:spacing w:after="0" w:line="176" w:lineRule="exact"/>
        <w:rPr>
          <w:sz w:val="24"/>
          <w:szCs w:val="24"/>
          <w:color w:val="auto"/>
        </w:rPr>
      </w:pPr>
    </w:p>
    <w:p>
      <w:pPr>
        <w:ind w:firstLine="479"/>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67" w:lineRule="exact"/>
        <w:rPr>
          <w:sz w:val="24"/>
          <w:szCs w:val="24"/>
          <w:color w:val="auto"/>
        </w:rPr>
      </w:pPr>
    </w:p>
    <w:p>
      <w:pPr>
        <w:ind w:right="20" w:firstLine="479"/>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67" w:lineRule="exact"/>
        <w:rPr>
          <w:sz w:val="24"/>
          <w:szCs w:val="24"/>
          <w:color w:val="auto"/>
        </w:rPr>
      </w:pPr>
    </w:p>
    <w:p>
      <w:pPr>
        <w:ind w:right="160" w:firstLine="479"/>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41" w:lineRule="exact"/>
        <w:rPr>
          <w:sz w:val="24"/>
          <w:szCs w:val="24"/>
          <w:color w:val="auto"/>
        </w:rPr>
      </w:pPr>
    </w:p>
    <w:tbl>
      <w:tblPr>
        <w:tblLayout w:type="fixed"/>
        <w:tblInd w:w="20" w:type="dxa"/>
        <w:tblCellMar>
          <w:top w:w="0" w:type="dxa"/>
          <w:left w:w="0" w:type="dxa"/>
          <w:bottom w:w="0" w:type="dxa"/>
          <w:right w:w="0" w:type="dxa"/>
        </w:tblCellMar>
      </w:tblPr>
      <w:tr>
        <w:trPr>
          <w:trHeight w:val="226"/>
        </w:trPr>
        <w:tc>
          <w:tcPr>
            <w:tcW w:w="21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620" w:type="dxa"/>
            <w:vAlign w:val="bottom"/>
          </w:tcPr>
          <w:p>
            <w:pPr>
              <w:ind w:left="580"/>
              <w:spacing w:after="0" w:line="141" w:lineRule="exact"/>
              <w:rPr>
                <w:sz w:val="20"/>
                <w:szCs w:val="20"/>
                <w:color w:val="auto"/>
              </w:rPr>
            </w:pPr>
            <w:r>
              <w:rPr>
                <w:rFonts w:ascii="MS PGothic" w:cs="MS PGothic" w:eastAsia="MS PGothic" w:hAnsi="MS PGothic"/>
                <w:sz w:val="14"/>
                <w:szCs w:val="14"/>
                <w:color w:val="auto"/>
              </w:rPr>
              <w:t>☐</w:t>
            </w:r>
          </w:p>
        </w:tc>
        <w:tc>
          <w:tcPr>
            <w:tcW w:w="4880" w:type="dxa"/>
            <w:vAlign w:val="bottom"/>
          </w:tcPr>
          <w:p>
            <w:pPr>
              <w:ind w:left="2920"/>
              <w:spacing w:after="0"/>
              <w:rPr>
                <w:sz w:val="20"/>
                <w:szCs w:val="20"/>
                <w:color w:val="auto"/>
              </w:rPr>
            </w:pPr>
            <w:r>
              <w:rPr>
                <w:rFonts w:ascii="Arial" w:cs="Arial" w:eastAsia="Arial" w:hAnsi="Arial"/>
                <w:sz w:val="14"/>
                <w:szCs w:val="14"/>
                <w:color w:val="auto"/>
              </w:rPr>
              <w:t>Accelerated filer</w:t>
            </w:r>
          </w:p>
        </w:tc>
        <w:tc>
          <w:tcPr>
            <w:tcW w:w="500" w:type="dxa"/>
            <w:vAlign w:val="bottom"/>
          </w:tcPr>
          <w:p>
            <w:pPr>
              <w:ind w:left="3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405"/>
        </w:trPr>
        <w:tc>
          <w:tcPr>
            <w:tcW w:w="2160" w:type="dxa"/>
            <w:vAlign w:val="bottom"/>
          </w:tcPr>
          <w:p>
            <w:pPr>
              <w:spacing w:after="0"/>
              <w:rPr>
                <w:sz w:val="20"/>
                <w:szCs w:val="20"/>
                <w:color w:val="auto"/>
              </w:rPr>
            </w:pPr>
            <w:r>
              <w:rPr>
                <w:rFonts w:ascii="Arial" w:cs="Arial" w:eastAsia="Arial" w:hAnsi="Arial"/>
                <w:sz w:val="14"/>
                <w:szCs w:val="14"/>
                <w:color w:val="auto"/>
              </w:rPr>
              <w:t>Non-accelerated filer</w:t>
            </w:r>
          </w:p>
        </w:tc>
        <w:tc>
          <w:tcPr>
            <w:tcW w:w="3620" w:type="dxa"/>
            <w:vAlign w:val="bottom"/>
          </w:tcPr>
          <w:p>
            <w:pPr>
              <w:ind w:left="580"/>
              <w:spacing w:after="0" w:line="141" w:lineRule="exact"/>
              <w:rPr>
                <w:sz w:val="20"/>
                <w:szCs w:val="20"/>
                <w:color w:val="auto"/>
              </w:rPr>
            </w:pPr>
            <w:r>
              <w:rPr>
                <w:rFonts w:ascii="MS PGothic" w:cs="MS PGothic" w:eastAsia="MS PGothic" w:hAnsi="MS PGothic"/>
                <w:sz w:val="14"/>
                <w:szCs w:val="14"/>
                <w:color w:val="auto"/>
              </w:rPr>
              <w:t>☒</w:t>
            </w:r>
          </w:p>
        </w:tc>
        <w:tc>
          <w:tcPr>
            <w:tcW w:w="4880" w:type="dxa"/>
            <w:vAlign w:val="bottom"/>
          </w:tcPr>
          <w:p>
            <w:pPr>
              <w:ind w:left="2920"/>
              <w:spacing w:after="0"/>
              <w:rPr>
                <w:sz w:val="20"/>
                <w:szCs w:val="20"/>
                <w:color w:val="auto"/>
              </w:rPr>
            </w:pPr>
            <w:r>
              <w:rPr>
                <w:rFonts w:ascii="Arial" w:cs="Arial" w:eastAsia="Arial" w:hAnsi="Arial"/>
                <w:sz w:val="14"/>
                <w:szCs w:val="14"/>
                <w:color w:val="auto"/>
              </w:rPr>
              <w:t>Smaller reporting company</w:t>
            </w:r>
          </w:p>
        </w:tc>
        <w:tc>
          <w:tcPr>
            <w:tcW w:w="500" w:type="dxa"/>
            <w:vAlign w:val="bottom"/>
          </w:tcPr>
          <w:p>
            <w:pPr>
              <w:ind w:left="3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10"/>
        </w:trPr>
        <w:tc>
          <w:tcPr>
            <w:tcW w:w="216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3620" w:type="dxa"/>
            <w:vAlign w:val="bottom"/>
          </w:tcPr>
          <w:p>
            <w:pPr>
              <w:ind w:left="580"/>
              <w:spacing w:after="0" w:line="141" w:lineRule="exact"/>
              <w:rPr>
                <w:sz w:val="20"/>
                <w:szCs w:val="20"/>
                <w:color w:val="auto"/>
              </w:rPr>
            </w:pPr>
            <w:r>
              <w:rPr>
                <w:rFonts w:ascii="MS PGothic" w:cs="MS PGothic" w:eastAsia="MS PGothic" w:hAnsi="MS PGothic"/>
                <w:sz w:val="14"/>
                <w:szCs w:val="14"/>
                <w:color w:val="auto"/>
              </w:rPr>
              <w:t>☐</w:t>
            </w:r>
          </w:p>
        </w:tc>
        <w:tc>
          <w:tcPr>
            <w:tcW w:w="488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pacing w:after="0" w:line="112" w:lineRule="exact"/>
        <w:rPr>
          <w:sz w:val="24"/>
          <w:szCs w:val="24"/>
          <w:color w:val="auto"/>
        </w:rPr>
      </w:pPr>
    </w:p>
    <w:p>
      <w:pPr>
        <w:jc w:val="both"/>
        <w:ind w:right="80" w:firstLine="481"/>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86" w:lineRule="exact"/>
        <w:rPr>
          <w:sz w:val="24"/>
          <w:szCs w:val="24"/>
          <w:color w:val="auto"/>
        </w:rPr>
      </w:pPr>
    </w:p>
    <w:p>
      <w:pPr>
        <w:ind w:left="480" w:right="3040"/>
        <w:spacing w:after="0" w:line="253"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The number of shares of the registrant’s common stock, $0.001 par value per share, outstanding as of August 3, 2022 was 41,345,638.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162560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4"/>
          <w:szCs w:val="14"/>
          <w:b w:val="1"/>
          <w:bCs w:val="1"/>
          <w:color w:val="auto"/>
        </w:rPr>
        <w:t>PENNANTPARK FLOATING RATE CAPITAL LTD.</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FORM 10-Q FOR THE QUARTER ENDED JUNE 30, 2022</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TABLE OF CONTENTS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80" w:type="dxa"/>
            <w:vAlign w:val="bottom"/>
            <w:gridSpan w:val="15"/>
          </w:tcPr>
          <w:p>
            <w:pPr>
              <w:jc w:val="center"/>
              <w:ind w:right="1320"/>
              <w:spacing w:after="0"/>
              <w:rPr>
                <w:rFonts w:ascii="Arial" w:cs="Arial" w:eastAsia="Arial" w:hAnsi="Arial"/>
                <w:sz w:val="14"/>
                <w:szCs w:val="14"/>
                <w:b w:val="1"/>
                <w:bCs w:val="1"/>
                <w:color w:val="0000FF"/>
              </w:rPr>
            </w:pPr>
            <w:hyperlink w:anchor="page3">
              <w:r>
                <w:rPr>
                  <w:rFonts w:ascii="Arial" w:cs="Arial" w:eastAsia="Arial" w:hAnsi="Arial"/>
                  <w:sz w:val="14"/>
                  <w:szCs w:val="14"/>
                  <w:b w:val="1"/>
                  <w:bCs w:val="1"/>
                  <w:color w:val="0000FF"/>
                </w:rPr>
                <w:t>PART I. CONSOLIDATED FINANCIAL INFORMATION</w:t>
              </w:r>
            </w:hyperlink>
          </w:p>
        </w:tc>
        <w:tc>
          <w:tcPr>
            <w:tcW w:w="1940" w:type="dxa"/>
            <w:vAlign w:val="bottom"/>
          </w:tcPr>
          <w:p>
            <w:pPr>
              <w:spacing w:after="0"/>
              <w:rPr>
                <w:sz w:val="14"/>
                <w:szCs w:val="14"/>
                <w:color w:val="auto"/>
              </w:rPr>
            </w:pPr>
          </w:p>
        </w:tc>
      </w:tr>
      <w:tr>
        <w:trPr>
          <w:trHeight w:val="453"/>
        </w:trPr>
        <w:tc>
          <w:tcPr>
            <w:tcW w:w="40" w:type="dxa"/>
            <w:vAlign w:val="bottom"/>
          </w:tcPr>
          <w:p>
            <w:pPr>
              <w:spacing w:after="0"/>
              <w:rPr>
                <w:sz w:val="24"/>
                <w:szCs w:val="24"/>
                <w:color w:val="auto"/>
              </w:rPr>
            </w:pPr>
          </w:p>
        </w:tc>
        <w:tc>
          <w:tcPr>
            <w:tcW w:w="3440" w:type="dxa"/>
            <w:vAlign w:val="bottom"/>
            <w:gridSpan w:val="11"/>
          </w:tcPr>
          <w:p>
            <w:pPr>
              <w:spacing w:after="0"/>
              <w:rPr>
                <w:rFonts w:ascii="Arial" w:cs="Arial" w:eastAsia="Arial" w:hAnsi="Arial"/>
                <w:sz w:val="14"/>
                <w:szCs w:val="14"/>
                <w:b w:val="1"/>
                <w:bCs w:val="1"/>
                <w:color w:val="0000FF"/>
              </w:rPr>
            </w:pPr>
            <w:hyperlink w:anchor="page4">
              <w:r>
                <w:rPr>
                  <w:rFonts w:ascii="Arial" w:cs="Arial" w:eastAsia="Arial" w:hAnsi="Arial"/>
                  <w:sz w:val="14"/>
                  <w:szCs w:val="14"/>
                  <w:b w:val="1"/>
                  <w:bCs w:val="1"/>
                  <w:color w:val="0000FF"/>
                </w:rPr>
                <w:t>Item 1. Consolidated Financial Statements</w:t>
              </w:r>
            </w:hyperlink>
          </w:p>
        </w:tc>
        <w:tc>
          <w:tcPr>
            <w:tcW w:w="3640" w:type="dxa"/>
            <w:vAlign w:val="bottom"/>
            <w:tcBorders>
              <w:top w:val="single" w:sz="8" w:color="0000FF"/>
            </w:tcBorders>
            <w:gridSpan w:val="12"/>
          </w:tcPr>
          <w:p>
            <w:pPr>
              <w:spacing w:after="0"/>
              <w:rPr>
                <w:sz w:val="24"/>
                <w:szCs w:val="24"/>
                <w:color w:val="auto"/>
              </w:rPr>
            </w:pPr>
          </w:p>
        </w:tc>
        <w:tc>
          <w:tcPr>
            <w:tcW w:w="2180" w:type="dxa"/>
            <w:vAlign w:val="bottom"/>
            <w:gridSpan w:val="2"/>
          </w:tcPr>
          <w:p>
            <w:pPr>
              <w:spacing w:after="0"/>
              <w:rPr>
                <w:sz w:val="24"/>
                <w:szCs w:val="24"/>
                <w:color w:val="auto"/>
              </w:rPr>
            </w:pPr>
          </w:p>
        </w:tc>
        <w:tc>
          <w:tcPr>
            <w:tcW w:w="1940" w:type="dxa"/>
            <w:vAlign w:val="bottom"/>
          </w:tcPr>
          <w:p>
            <w:pPr>
              <w:spacing w:after="0"/>
              <w:rPr>
                <w:sz w:val="24"/>
                <w:szCs w:val="24"/>
                <w:color w:val="auto"/>
              </w:rPr>
            </w:pPr>
          </w:p>
        </w:tc>
      </w:tr>
      <w:tr>
        <w:trPr>
          <w:trHeight w:val="20"/>
        </w:trPr>
        <w:tc>
          <w:tcPr>
            <w:tcW w:w="40" w:type="dxa"/>
            <w:vAlign w:val="bottom"/>
            <w:tcBorders>
              <w:right w:val="single" w:sz="8" w:color="0000FF"/>
            </w:tcBorders>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453"/>
        </w:trPr>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140" w:type="dxa"/>
            <w:vAlign w:val="bottom"/>
            <w:tcBorders>
              <w:bottom w:val="single" w:sz="8" w:color="0000FF"/>
            </w:tcBorders>
            <w:gridSpan w:val="20"/>
          </w:tcPr>
          <w:p>
            <w:pPr>
              <w:spacing w:after="0"/>
              <w:rPr>
                <w:rFonts w:ascii="Arial" w:cs="Arial" w:eastAsia="Arial" w:hAnsi="Arial"/>
                <w:sz w:val="14"/>
                <w:szCs w:val="14"/>
                <w:color w:val="0000FF"/>
                <w:w w:val="91"/>
              </w:rPr>
            </w:pPr>
            <w:hyperlink w:anchor="page4">
              <w:r>
                <w:rPr>
                  <w:rFonts w:ascii="Arial" w:cs="Arial" w:eastAsia="Arial" w:hAnsi="Arial"/>
                  <w:sz w:val="14"/>
                  <w:szCs w:val="14"/>
                  <w:color w:val="0000FF"/>
                  <w:w w:val="91"/>
                </w:rPr>
                <w:t>Consolidated Statements of Assets and Liabilities as of June 30, 2022 (unaudited) and September 30, 2021</w:t>
              </w:r>
            </w:hyperlink>
          </w:p>
        </w:tc>
        <w:tc>
          <w:tcPr>
            <w:tcW w:w="2760" w:type="dxa"/>
            <w:vAlign w:val="bottom"/>
            <w:gridSpan w:val="4"/>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453"/>
        </w:trPr>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60" w:type="dxa"/>
            <w:vAlign w:val="bottom"/>
            <w:tcBorders>
              <w:bottom w:val="single" w:sz="8" w:color="0000FF"/>
            </w:tcBorders>
            <w:gridSpan w:val="21"/>
          </w:tcPr>
          <w:p>
            <w:pPr>
              <w:spacing w:after="0"/>
              <w:rPr>
                <w:rFonts w:ascii="Arial" w:cs="Arial" w:eastAsia="Arial" w:hAnsi="Arial"/>
                <w:sz w:val="14"/>
                <w:szCs w:val="14"/>
                <w:color w:val="0000FF"/>
                <w:w w:val="91"/>
              </w:rPr>
            </w:pPr>
            <w:hyperlink w:anchor="page5">
              <w:r>
                <w:rPr>
                  <w:rFonts w:ascii="Arial" w:cs="Arial" w:eastAsia="Arial" w:hAnsi="Arial"/>
                  <w:sz w:val="14"/>
                  <w:szCs w:val="14"/>
                  <w:color w:val="0000FF"/>
                  <w:w w:val="91"/>
                </w:rPr>
                <w:t>Consolidated Statements of Operations for the three and nine months ended June 30, 2022 and 2021 (unaudited)</w:t>
              </w:r>
            </w:hyperlink>
          </w:p>
        </w:tc>
        <w:tc>
          <w:tcPr>
            <w:tcW w:w="2440" w:type="dxa"/>
            <w:vAlign w:val="bottom"/>
            <w:gridSpan w:val="3"/>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453"/>
        </w:trPr>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900" w:type="dxa"/>
            <w:vAlign w:val="bottom"/>
            <w:gridSpan w:val="24"/>
          </w:tcPr>
          <w:p>
            <w:pPr>
              <w:spacing w:after="0"/>
              <w:rPr>
                <w:rFonts w:ascii="Arial" w:cs="Arial" w:eastAsia="Arial" w:hAnsi="Arial"/>
                <w:sz w:val="14"/>
                <w:szCs w:val="14"/>
                <w:color w:val="0000FF"/>
              </w:rPr>
            </w:pPr>
            <w:hyperlink w:anchor="page6">
              <w:r>
                <w:rPr>
                  <w:rFonts w:ascii="Arial" w:cs="Arial" w:eastAsia="Arial" w:hAnsi="Arial"/>
                  <w:sz w:val="14"/>
                  <w:szCs w:val="14"/>
                  <w:color w:val="0000FF"/>
                </w:rPr>
                <w:t>Consolidated Statements of Changes in Net Assets for the three and nine months ended June 30, 2022 and 2021 (unaudited)</w:t>
              </w:r>
            </w:hyperlink>
          </w:p>
        </w:tc>
        <w:tc>
          <w:tcPr>
            <w:tcW w:w="194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452"/>
        </w:trPr>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980" w:type="dxa"/>
            <w:vAlign w:val="bottom"/>
            <w:tcBorders>
              <w:top w:val="single" w:sz="8" w:color="0000FF"/>
              <w:bottom w:val="single" w:sz="8" w:color="0000FF"/>
            </w:tcBorders>
            <w:gridSpan w:val="18"/>
          </w:tcPr>
          <w:p>
            <w:pPr>
              <w:spacing w:after="0"/>
              <w:rPr>
                <w:rFonts w:ascii="Arial" w:cs="Arial" w:eastAsia="Arial" w:hAnsi="Arial"/>
                <w:sz w:val="14"/>
                <w:szCs w:val="14"/>
                <w:color w:val="0000FF"/>
                <w:w w:val="92"/>
              </w:rPr>
            </w:pPr>
            <w:hyperlink w:anchor="page7">
              <w:r>
                <w:rPr>
                  <w:rFonts w:ascii="Arial" w:cs="Arial" w:eastAsia="Arial" w:hAnsi="Arial"/>
                  <w:sz w:val="14"/>
                  <w:szCs w:val="14"/>
                  <w:color w:val="0000FF"/>
                  <w:w w:val="92"/>
                </w:rPr>
                <w:t>Consolidated Statements of Cash Flows for the nine months ended June 30, 2022 and 2021 (unaudited)</w:t>
              </w:r>
            </w:hyperlink>
          </w:p>
        </w:tc>
        <w:tc>
          <w:tcPr>
            <w:tcW w:w="1140" w:type="dxa"/>
            <w:vAlign w:val="bottom"/>
            <w:tcBorders>
              <w:top w:val="single" w:sz="8" w:color="0000FF"/>
            </w:tcBorders>
            <w:gridSpan w:val="5"/>
          </w:tcPr>
          <w:p>
            <w:pPr>
              <w:spacing w:after="0"/>
              <w:rPr>
                <w:sz w:val="24"/>
                <w:szCs w:val="24"/>
                <w:color w:val="auto"/>
              </w:rPr>
            </w:pPr>
          </w:p>
        </w:tc>
        <w:tc>
          <w:tcPr>
            <w:tcW w:w="1780" w:type="dxa"/>
            <w:vAlign w:val="bottom"/>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453"/>
        </w:trPr>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900" w:type="dxa"/>
            <w:vAlign w:val="bottom"/>
            <w:gridSpan w:val="24"/>
          </w:tcPr>
          <w:p>
            <w:pPr>
              <w:spacing w:after="0"/>
              <w:rPr>
                <w:rFonts w:ascii="Arial" w:cs="Arial" w:eastAsia="Arial" w:hAnsi="Arial"/>
                <w:sz w:val="14"/>
                <w:szCs w:val="14"/>
                <w:color w:val="0000FF"/>
              </w:rPr>
            </w:pPr>
            <w:hyperlink w:anchor="page8">
              <w:r>
                <w:rPr>
                  <w:rFonts w:ascii="Arial" w:cs="Arial" w:eastAsia="Arial" w:hAnsi="Arial"/>
                  <w:sz w:val="14"/>
                  <w:szCs w:val="14"/>
                  <w:color w:val="0000FF"/>
                </w:rPr>
                <w:t>Consolidated Schedules of Investments as of June 30, 2022 (unaudited) and September 30, 2021</w:t>
              </w:r>
            </w:hyperlink>
          </w:p>
        </w:tc>
        <w:tc>
          <w:tcPr>
            <w:tcW w:w="194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453"/>
        </w:trPr>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20" w:type="dxa"/>
            <w:vAlign w:val="bottom"/>
            <w:tcBorders>
              <w:top w:val="single" w:sz="8" w:color="0000FF"/>
              <w:bottom w:val="single" w:sz="8" w:color="0000FF"/>
            </w:tcBorders>
            <w:gridSpan w:val="11"/>
          </w:tcPr>
          <w:p>
            <w:pPr>
              <w:spacing w:after="0"/>
              <w:rPr>
                <w:rFonts w:ascii="Arial" w:cs="Arial" w:eastAsia="Arial" w:hAnsi="Arial"/>
                <w:sz w:val="14"/>
                <w:szCs w:val="14"/>
                <w:color w:val="0000FF"/>
                <w:w w:val="92"/>
              </w:rPr>
            </w:pPr>
            <w:hyperlink w:anchor="page19">
              <w:r>
                <w:rPr>
                  <w:rFonts w:ascii="Arial" w:cs="Arial" w:eastAsia="Arial" w:hAnsi="Arial"/>
                  <w:sz w:val="14"/>
                  <w:szCs w:val="14"/>
                  <w:color w:val="0000FF"/>
                  <w:w w:val="92"/>
                </w:rPr>
                <w:t>Notes to Consolidated Financial Statements (unaudited)</w:t>
              </w:r>
            </w:hyperlink>
          </w:p>
        </w:tc>
        <w:tc>
          <w:tcPr>
            <w:tcW w:w="2320" w:type="dxa"/>
            <w:vAlign w:val="bottom"/>
            <w:tcBorders>
              <w:top w:val="single" w:sz="8" w:color="0000FF"/>
            </w:tcBorders>
            <w:gridSpan w:val="5"/>
          </w:tcPr>
          <w:p>
            <w:pPr>
              <w:spacing w:after="0"/>
              <w:rPr>
                <w:sz w:val="24"/>
                <w:szCs w:val="24"/>
                <w:color w:val="auto"/>
              </w:rPr>
            </w:pPr>
          </w:p>
        </w:tc>
        <w:tc>
          <w:tcPr>
            <w:tcW w:w="3360" w:type="dxa"/>
            <w:vAlign w:val="bottom"/>
            <w:gridSpan w:val="8"/>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4"/>
                <w:szCs w:val="14"/>
                <w:color w:val="auto"/>
              </w:rPr>
              <w:t>19</w:t>
            </w:r>
          </w:p>
        </w:tc>
      </w:tr>
      <w:tr>
        <w:trPr>
          <w:trHeight w:val="453"/>
        </w:trPr>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900" w:type="dxa"/>
            <w:vAlign w:val="bottom"/>
            <w:gridSpan w:val="24"/>
          </w:tcPr>
          <w:p>
            <w:pPr>
              <w:spacing w:after="0"/>
              <w:rPr>
                <w:rFonts w:ascii="Arial" w:cs="Arial" w:eastAsia="Arial" w:hAnsi="Arial"/>
                <w:sz w:val="14"/>
                <w:szCs w:val="14"/>
                <w:color w:val="0000FF"/>
              </w:rPr>
            </w:pPr>
            <w:hyperlink w:anchor="page37">
              <w:r>
                <w:rPr>
                  <w:rFonts w:ascii="Arial" w:cs="Arial" w:eastAsia="Arial" w:hAnsi="Arial"/>
                  <w:sz w:val="14"/>
                  <w:szCs w:val="14"/>
                  <w:color w:val="0000FF"/>
                </w:rPr>
                <w:t>Report of Independent Registered Public Accounting Firm</w:t>
              </w:r>
            </w:hyperlink>
          </w:p>
        </w:tc>
        <w:tc>
          <w:tcPr>
            <w:tcW w:w="1940" w:type="dxa"/>
            <w:vAlign w:val="bottom"/>
          </w:tcPr>
          <w:p>
            <w:pPr>
              <w:jc w:val="right"/>
              <w:spacing w:after="0"/>
              <w:rPr>
                <w:sz w:val="20"/>
                <w:szCs w:val="20"/>
                <w:color w:val="auto"/>
              </w:rPr>
            </w:pPr>
            <w:r>
              <w:rPr>
                <w:rFonts w:ascii="Arial" w:cs="Arial" w:eastAsia="Arial" w:hAnsi="Arial"/>
                <w:sz w:val="14"/>
                <w:szCs w:val="14"/>
                <w:color w:val="auto"/>
              </w:rPr>
              <w:t>37</w:t>
            </w:r>
          </w:p>
        </w:tc>
      </w:tr>
      <w:tr>
        <w:trPr>
          <w:trHeight w:val="20"/>
        </w:trPr>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900" w:type="dxa"/>
            <w:vAlign w:val="bottom"/>
            <w:gridSpan w:val="5"/>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452"/>
        </w:trPr>
        <w:tc>
          <w:tcPr>
            <w:tcW w:w="40" w:type="dxa"/>
            <w:vAlign w:val="bottom"/>
          </w:tcPr>
          <w:p>
            <w:pPr>
              <w:spacing w:after="0"/>
              <w:rPr>
                <w:sz w:val="24"/>
                <w:szCs w:val="24"/>
                <w:color w:val="auto"/>
              </w:rPr>
            </w:pPr>
          </w:p>
        </w:tc>
        <w:tc>
          <w:tcPr>
            <w:tcW w:w="5940" w:type="dxa"/>
            <w:vAlign w:val="bottom"/>
            <w:tcBorders>
              <w:bottom w:val="single" w:sz="8" w:color="0000FF"/>
            </w:tcBorders>
            <w:gridSpan w:val="18"/>
          </w:tcPr>
          <w:p>
            <w:pPr>
              <w:spacing w:after="0"/>
              <w:rPr>
                <w:rFonts w:ascii="Arial" w:cs="Arial" w:eastAsia="Arial" w:hAnsi="Arial"/>
                <w:sz w:val="14"/>
                <w:szCs w:val="14"/>
                <w:b w:val="1"/>
                <w:bCs w:val="1"/>
                <w:color w:val="0000FF"/>
                <w:w w:val="92"/>
              </w:rPr>
            </w:pPr>
            <w:hyperlink w:anchor="page39">
              <w:r>
                <w:rPr>
                  <w:rFonts w:ascii="Arial" w:cs="Arial" w:eastAsia="Arial" w:hAnsi="Arial"/>
                  <w:sz w:val="14"/>
                  <w:szCs w:val="14"/>
                  <w:b w:val="1"/>
                  <w:bCs w:val="1"/>
                  <w:color w:val="0000FF"/>
                  <w:w w:val="92"/>
                </w:rPr>
                <w:t>Item 2. Management’s Discussion and Analysis of Financial Condition and Results of Operations</w:t>
              </w:r>
            </w:hyperlink>
          </w:p>
        </w:tc>
        <w:tc>
          <w:tcPr>
            <w:tcW w:w="3320" w:type="dxa"/>
            <w:vAlign w:val="bottom"/>
            <w:gridSpan w:val="7"/>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4"/>
                <w:szCs w:val="14"/>
                <w:color w:val="auto"/>
              </w:rPr>
              <w:t>39</w:t>
            </w:r>
          </w:p>
        </w:tc>
      </w:tr>
      <w:tr>
        <w:trPr>
          <w:trHeight w:val="453"/>
        </w:trPr>
        <w:tc>
          <w:tcPr>
            <w:tcW w:w="40" w:type="dxa"/>
            <w:vAlign w:val="bottom"/>
          </w:tcPr>
          <w:p>
            <w:pPr>
              <w:spacing w:after="0"/>
              <w:rPr>
                <w:sz w:val="24"/>
                <w:szCs w:val="24"/>
                <w:color w:val="auto"/>
              </w:rPr>
            </w:pPr>
          </w:p>
        </w:tc>
        <w:tc>
          <w:tcPr>
            <w:tcW w:w="4200" w:type="dxa"/>
            <w:vAlign w:val="bottom"/>
            <w:tcBorders>
              <w:bottom w:val="single" w:sz="8" w:color="0000FF"/>
            </w:tcBorders>
            <w:gridSpan w:val="16"/>
          </w:tcPr>
          <w:p>
            <w:pPr>
              <w:spacing w:after="0"/>
              <w:rPr>
                <w:rFonts w:ascii="Arial" w:cs="Arial" w:eastAsia="Arial" w:hAnsi="Arial"/>
                <w:sz w:val="14"/>
                <w:szCs w:val="14"/>
                <w:b w:val="1"/>
                <w:bCs w:val="1"/>
                <w:color w:val="0000FF"/>
                <w:w w:val="94"/>
              </w:rPr>
            </w:pPr>
            <w:hyperlink w:anchor="page54">
              <w:r>
                <w:rPr>
                  <w:rFonts w:ascii="Arial" w:cs="Arial" w:eastAsia="Arial" w:hAnsi="Arial"/>
                  <w:sz w:val="14"/>
                  <w:szCs w:val="14"/>
                  <w:b w:val="1"/>
                  <w:bCs w:val="1"/>
                  <w:color w:val="0000FF"/>
                  <w:w w:val="94"/>
                </w:rPr>
                <w:t>Item 3. Quantitative and Qualitative Disclosures About Market Risk</w:t>
              </w:r>
            </w:hyperlink>
          </w:p>
        </w:tc>
        <w:tc>
          <w:tcPr>
            <w:tcW w:w="5060" w:type="dxa"/>
            <w:vAlign w:val="bottom"/>
            <w:gridSpan w:val="9"/>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4"/>
                <w:szCs w:val="14"/>
                <w:color w:val="auto"/>
              </w:rPr>
              <w:t>54</w:t>
            </w:r>
          </w:p>
        </w:tc>
      </w:tr>
      <w:tr>
        <w:trPr>
          <w:trHeight w:val="453"/>
        </w:trPr>
        <w:tc>
          <w:tcPr>
            <w:tcW w:w="40" w:type="dxa"/>
            <w:vAlign w:val="bottom"/>
          </w:tcPr>
          <w:p>
            <w:pPr>
              <w:spacing w:after="0"/>
              <w:rPr>
                <w:sz w:val="24"/>
                <w:szCs w:val="24"/>
                <w:color w:val="auto"/>
              </w:rPr>
            </w:pPr>
          </w:p>
        </w:tc>
        <w:tc>
          <w:tcPr>
            <w:tcW w:w="9260" w:type="dxa"/>
            <w:vAlign w:val="bottom"/>
            <w:gridSpan w:val="25"/>
          </w:tcPr>
          <w:p>
            <w:pPr>
              <w:spacing w:after="0"/>
              <w:rPr>
                <w:rFonts w:ascii="Arial" w:cs="Arial" w:eastAsia="Arial" w:hAnsi="Arial"/>
                <w:sz w:val="14"/>
                <w:szCs w:val="14"/>
                <w:b w:val="1"/>
                <w:bCs w:val="1"/>
                <w:color w:val="0000FF"/>
              </w:rPr>
            </w:pPr>
            <w:hyperlink w:anchor="page54">
              <w:r>
                <w:rPr>
                  <w:rFonts w:ascii="Arial" w:cs="Arial" w:eastAsia="Arial" w:hAnsi="Arial"/>
                  <w:sz w:val="14"/>
                  <w:szCs w:val="14"/>
                  <w:b w:val="1"/>
                  <w:bCs w:val="1"/>
                  <w:color w:val="0000FF"/>
                </w:rPr>
                <w:t>Item 4. Controls and Procedures</w:t>
              </w:r>
            </w:hyperlink>
          </w:p>
        </w:tc>
        <w:tc>
          <w:tcPr>
            <w:tcW w:w="1940" w:type="dxa"/>
            <w:vAlign w:val="bottom"/>
          </w:tcPr>
          <w:p>
            <w:pPr>
              <w:jc w:val="right"/>
              <w:spacing w:after="0"/>
              <w:rPr>
                <w:sz w:val="20"/>
                <w:szCs w:val="20"/>
                <w:color w:val="auto"/>
              </w:rPr>
            </w:pPr>
            <w:r>
              <w:rPr>
                <w:rFonts w:ascii="Arial" w:cs="Arial" w:eastAsia="Arial" w:hAnsi="Arial"/>
                <w:sz w:val="14"/>
                <w:szCs w:val="14"/>
                <w:color w:val="auto"/>
              </w:rPr>
              <w:t>54</w:t>
            </w:r>
          </w:p>
        </w:tc>
      </w:tr>
      <w:tr>
        <w:trPr>
          <w:trHeight w:val="453"/>
        </w:trPr>
        <w:tc>
          <w:tcPr>
            <w:tcW w:w="40" w:type="dxa"/>
            <w:vAlign w:val="bottom"/>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20" w:type="dxa"/>
            <w:vAlign w:val="bottom"/>
            <w:tcBorders>
              <w:bottom w:val="single" w:sz="8" w:color="0000FF"/>
            </w:tcBorders>
            <w:gridSpan w:val="5"/>
          </w:tcPr>
          <w:p>
            <w:pPr>
              <w:jc w:val="center"/>
              <w:spacing w:after="0"/>
              <w:rPr>
                <w:rFonts w:ascii="Arial" w:cs="Arial" w:eastAsia="Arial" w:hAnsi="Arial"/>
                <w:sz w:val="14"/>
                <w:szCs w:val="14"/>
                <w:b w:val="1"/>
                <w:bCs w:val="1"/>
                <w:color w:val="0000FF"/>
              </w:rPr>
            </w:pPr>
            <w:hyperlink w:anchor="page55">
              <w:r>
                <w:rPr>
                  <w:rFonts w:ascii="Arial" w:cs="Arial" w:eastAsia="Arial" w:hAnsi="Arial"/>
                  <w:sz w:val="14"/>
                  <w:szCs w:val="14"/>
                  <w:b w:val="1"/>
                  <w:bCs w:val="1"/>
                  <w:color w:val="0000FF"/>
                </w:rPr>
                <w:t>PART II. OTHER INFORMATION</w:t>
              </w:r>
            </w:hyperlink>
          </w:p>
        </w:tc>
        <w:tc>
          <w:tcPr>
            <w:tcW w:w="2900" w:type="dxa"/>
            <w:vAlign w:val="bottom"/>
            <w:gridSpan w:val="5"/>
          </w:tcPr>
          <w:p>
            <w:pPr>
              <w:spacing w:after="0"/>
              <w:rPr>
                <w:sz w:val="24"/>
                <w:szCs w:val="24"/>
                <w:color w:val="auto"/>
              </w:rPr>
            </w:pPr>
          </w:p>
        </w:tc>
        <w:tc>
          <w:tcPr>
            <w:tcW w:w="1940" w:type="dxa"/>
            <w:vAlign w:val="bottom"/>
          </w:tcPr>
          <w:p>
            <w:pPr>
              <w:spacing w:after="0"/>
              <w:rPr>
                <w:sz w:val="24"/>
                <w:szCs w:val="24"/>
                <w:color w:val="auto"/>
              </w:rPr>
            </w:pPr>
          </w:p>
        </w:tc>
      </w:tr>
      <w:tr>
        <w:trPr>
          <w:trHeight w:val="453"/>
        </w:trPr>
        <w:tc>
          <w:tcPr>
            <w:tcW w:w="40" w:type="dxa"/>
            <w:vAlign w:val="bottom"/>
          </w:tcPr>
          <w:p>
            <w:pPr>
              <w:spacing w:after="0"/>
              <w:rPr>
                <w:sz w:val="24"/>
                <w:szCs w:val="24"/>
                <w:color w:val="auto"/>
              </w:rPr>
            </w:pPr>
          </w:p>
        </w:tc>
        <w:tc>
          <w:tcPr>
            <w:tcW w:w="9260" w:type="dxa"/>
            <w:vAlign w:val="bottom"/>
            <w:gridSpan w:val="25"/>
          </w:tcPr>
          <w:p>
            <w:pPr>
              <w:spacing w:after="0"/>
              <w:rPr>
                <w:rFonts w:ascii="Arial" w:cs="Arial" w:eastAsia="Arial" w:hAnsi="Arial"/>
                <w:sz w:val="14"/>
                <w:szCs w:val="14"/>
                <w:b w:val="1"/>
                <w:bCs w:val="1"/>
                <w:color w:val="0000FF"/>
              </w:rPr>
            </w:pPr>
            <w:hyperlink w:anchor="page55">
              <w:r>
                <w:rPr>
                  <w:rFonts w:ascii="Arial" w:cs="Arial" w:eastAsia="Arial" w:hAnsi="Arial"/>
                  <w:sz w:val="14"/>
                  <w:szCs w:val="14"/>
                  <w:b w:val="1"/>
                  <w:bCs w:val="1"/>
                  <w:color w:val="0000FF"/>
                </w:rPr>
                <w:t>Item 1. Legal Proceedings</w:t>
              </w:r>
            </w:hyperlink>
          </w:p>
        </w:tc>
        <w:tc>
          <w:tcPr>
            <w:tcW w:w="1940" w:type="dxa"/>
            <w:vAlign w:val="bottom"/>
          </w:tcPr>
          <w:p>
            <w:pPr>
              <w:jc w:val="right"/>
              <w:spacing w:after="0"/>
              <w:rPr>
                <w:sz w:val="20"/>
                <w:szCs w:val="20"/>
                <w:color w:val="auto"/>
              </w:rPr>
            </w:pPr>
            <w:r>
              <w:rPr>
                <w:rFonts w:ascii="Arial" w:cs="Arial" w:eastAsia="Arial" w:hAnsi="Arial"/>
                <w:sz w:val="14"/>
                <w:szCs w:val="14"/>
                <w:color w:val="auto"/>
              </w:rPr>
              <w:t>55</w:t>
            </w:r>
          </w:p>
        </w:tc>
      </w:tr>
      <w:tr>
        <w:trPr>
          <w:trHeight w:val="453"/>
        </w:trPr>
        <w:tc>
          <w:tcPr>
            <w:tcW w:w="40" w:type="dxa"/>
            <w:vAlign w:val="bottom"/>
          </w:tcPr>
          <w:p>
            <w:pPr>
              <w:spacing w:after="0"/>
              <w:rPr>
                <w:sz w:val="24"/>
                <w:szCs w:val="24"/>
                <w:color w:val="auto"/>
              </w:rPr>
            </w:pPr>
          </w:p>
        </w:tc>
        <w:tc>
          <w:tcPr>
            <w:tcW w:w="1360" w:type="dxa"/>
            <w:vAlign w:val="bottom"/>
            <w:tcBorders>
              <w:top w:val="single" w:sz="8" w:color="0000FF"/>
              <w:bottom w:val="single" w:sz="8" w:color="0000FF"/>
            </w:tcBorders>
            <w:gridSpan w:val="4"/>
          </w:tcPr>
          <w:p>
            <w:pPr>
              <w:spacing w:after="0"/>
              <w:rPr>
                <w:rFonts w:ascii="Arial" w:cs="Arial" w:eastAsia="Arial" w:hAnsi="Arial"/>
                <w:sz w:val="14"/>
                <w:szCs w:val="14"/>
                <w:b w:val="1"/>
                <w:bCs w:val="1"/>
                <w:color w:val="0000FF"/>
                <w:w w:val="94"/>
              </w:rPr>
            </w:pPr>
            <w:hyperlink w:anchor="page55">
              <w:r>
                <w:rPr>
                  <w:rFonts w:ascii="Arial" w:cs="Arial" w:eastAsia="Arial" w:hAnsi="Arial"/>
                  <w:sz w:val="14"/>
                  <w:szCs w:val="14"/>
                  <w:b w:val="1"/>
                  <w:bCs w:val="1"/>
                  <w:color w:val="0000FF"/>
                  <w:w w:val="94"/>
                </w:rPr>
                <w:t>Item 1A. Risk Factors</w:t>
              </w:r>
            </w:hyperlink>
          </w:p>
        </w:tc>
        <w:tc>
          <w:tcPr>
            <w:tcW w:w="220" w:type="dxa"/>
            <w:vAlign w:val="bottom"/>
            <w:tcBorders>
              <w:top w:val="single" w:sz="8" w:color="0000FF"/>
            </w:tcBorders>
          </w:tcPr>
          <w:p>
            <w:pPr>
              <w:spacing w:after="0"/>
              <w:rPr>
                <w:sz w:val="24"/>
                <w:szCs w:val="24"/>
                <w:color w:val="auto"/>
              </w:rPr>
            </w:pPr>
          </w:p>
        </w:tc>
        <w:tc>
          <w:tcPr>
            <w:tcW w:w="7680" w:type="dxa"/>
            <w:vAlign w:val="bottom"/>
            <w:gridSpan w:val="20"/>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4"/>
                <w:szCs w:val="14"/>
                <w:color w:val="auto"/>
              </w:rPr>
              <w:t>55</w:t>
            </w:r>
          </w:p>
        </w:tc>
      </w:tr>
      <w:tr>
        <w:trPr>
          <w:trHeight w:val="453"/>
        </w:trPr>
        <w:tc>
          <w:tcPr>
            <w:tcW w:w="40" w:type="dxa"/>
            <w:vAlign w:val="bottom"/>
          </w:tcPr>
          <w:p>
            <w:pPr>
              <w:spacing w:after="0"/>
              <w:rPr>
                <w:sz w:val="24"/>
                <w:szCs w:val="24"/>
                <w:color w:val="auto"/>
              </w:rPr>
            </w:pPr>
          </w:p>
        </w:tc>
        <w:tc>
          <w:tcPr>
            <w:tcW w:w="9260" w:type="dxa"/>
            <w:vAlign w:val="bottom"/>
            <w:gridSpan w:val="25"/>
          </w:tcPr>
          <w:p>
            <w:pPr>
              <w:spacing w:after="0"/>
              <w:rPr>
                <w:rFonts w:ascii="Arial" w:cs="Arial" w:eastAsia="Arial" w:hAnsi="Arial"/>
                <w:sz w:val="14"/>
                <w:szCs w:val="14"/>
                <w:b w:val="1"/>
                <w:bCs w:val="1"/>
                <w:color w:val="0000FF"/>
              </w:rPr>
            </w:pPr>
            <w:hyperlink w:anchor="page57">
              <w:r>
                <w:rPr>
                  <w:rFonts w:ascii="Arial" w:cs="Arial" w:eastAsia="Arial" w:hAnsi="Arial"/>
                  <w:sz w:val="14"/>
                  <w:szCs w:val="14"/>
                  <w:b w:val="1"/>
                  <w:bCs w:val="1"/>
                  <w:color w:val="0000FF"/>
                </w:rPr>
                <w:t>Item 2. Unregistered Sales of Equity Securities and Use of Proceeds</w:t>
              </w:r>
            </w:hyperlink>
          </w:p>
        </w:tc>
        <w:tc>
          <w:tcPr>
            <w:tcW w:w="1940" w:type="dxa"/>
            <w:vAlign w:val="bottom"/>
          </w:tcPr>
          <w:p>
            <w:pPr>
              <w:jc w:val="right"/>
              <w:spacing w:after="0"/>
              <w:rPr>
                <w:sz w:val="20"/>
                <w:szCs w:val="20"/>
                <w:color w:val="auto"/>
              </w:rPr>
            </w:pPr>
            <w:r>
              <w:rPr>
                <w:rFonts w:ascii="Arial" w:cs="Arial" w:eastAsia="Arial" w:hAnsi="Arial"/>
                <w:sz w:val="14"/>
                <w:szCs w:val="14"/>
                <w:color w:val="auto"/>
              </w:rPr>
              <w:t>57</w:t>
            </w:r>
          </w:p>
        </w:tc>
      </w:tr>
      <w:tr>
        <w:trPr>
          <w:trHeight w:val="453"/>
        </w:trPr>
        <w:tc>
          <w:tcPr>
            <w:tcW w:w="40" w:type="dxa"/>
            <w:vAlign w:val="bottom"/>
          </w:tcPr>
          <w:p>
            <w:pPr>
              <w:spacing w:after="0"/>
              <w:rPr>
                <w:sz w:val="24"/>
                <w:szCs w:val="24"/>
                <w:color w:val="auto"/>
              </w:rPr>
            </w:pPr>
          </w:p>
        </w:tc>
        <w:tc>
          <w:tcPr>
            <w:tcW w:w="4120" w:type="dxa"/>
            <w:vAlign w:val="bottom"/>
            <w:tcBorders>
              <w:top w:val="single" w:sz="8" w:color="0000FF"/>
            </w:tcBorders>
            <w:gridSpan w:val="14"/>
          </w:tcPr>
          <w:p>
            <w:pPr>
              <w:spacing w:after="0"/>
              <w:rPr>
                <w:rFonts w:ascii="Arial" w:cs="Arial" w:eastAsia="Arial" w:hAnsi="Arial"/>
                <w:sz w:val="14"/>
                <w:szCs w:val="14"/>
                <w:b w:val="1"/>
                <w:bCs w:val="1"/>
                <w:color w:val="0000FF"/>
              </w:rPr>
            </w:pPr>
            <w:hyperlink w:anchor="page57">
              <w:r>
                <w:rPr>
                  <w:rFonts w:ascii="Arial" w:cs="Arial" w:eastAsia="Arial" w:hAnsi="Arial"/>
                  <w:sz w:val="14"/>
                  <w:szCs w:val="14"/>
                  <w:b w:val="1"/>
                  <w:bCs w:val="1"/>
                  <w:color w:val="0000FF"/>
                </w:rPr>
                <w:t>Item 3. Defaults Upon Senior Securities</w:t>
              </w:r>
            </w:hyperlink>
          </w:p>
        </w:tc>
        <w:tc>
          <w:tcPr>
            <w:tcW w:w="5140" w:type="dxa"/>
            <w:vAlign w:val="bottom"/>
            <w:gridSpan w:val="11"/>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4"/>
                <w:szCs w:val="14"/>
                <w:color w:val="auto"/>
              </w:rPr>
              <w:t>57</w:t>
            </w:r>
          </w:p>
        </w:tc>
      </w:tr>
      <w:tr>
        <w:trPr>
          <w:trHeight w:val="453"/>
        </w:trPr>
        <w:tc>
          <w:tcPr>
            <w:tcW w:w="40" w:type="dxa"/>
            <w:vAlign w:val="bottom"/>
          </w:tcPr>
          <w:p>
            <w:pPr>
              <w:spacing w:after="0"/>
              <w:rPr>
                <w:sz w:val="24"/>
                <w:szCs w:val="24"/>
                <w:color w:val="auto"/>
              </w:rPr>
            </w:pPr>
          </w:p>
        </w:tc>
        <w:tc>
          <w:tcPr>
            <w:tcW w:w="1940" w:type="dxa"/>
            <w:vAlign w:val="bottom"/>
            <w:tcBorders>
              <w:top w:val="single" w:sz="8" w:color="0000FF"/>
              <w:bottom w:val="single" w:sz="8" w:color="0000FF"/>
            </w:tcBorders>
            <w:gridSpan w:val="7"/>
          </w:tcPr>
          <w:p>
            <w:pPr>
              <w:spacing w:after="0"/>
              <w:rPr>
                <w:rFonts w:ascii="Arial" w:cs="Arial" w:eastAsia="Arial" w:hAnsi="Arial"/>
                <w:sz w:val="14"/>
                <w:szCs w:val="14"/>
                <w:b w:val="1"/>
                <w:bCs w:val="1"/>
                <w:color w:val="0000FF"/>
                <w:w w:val="91"/>
              </w:rPr>
            </w:pPr>
            <w:hyperlink w:anchor="page57">
              <w:r>
                <w:rPr>
                  <w:rFonts w:ascii="Arial" w:cs="Arial" w:eastAsia="Arial" w:hAnsi="Arial"/>
                  <w:sz w:val="14"/>
                  <w:szCs w:val="14"/>
                  <w:b w:val="1"/>
                  <w:bCs w:val="1"/>
                  <w:color w:val="0000FF"/>
                  <w:w w:val="91"/>
                </w:rPr>
                <w:t>Item 4. Mine Safety Disclosures</w:t>
              </w:r>
            </w:hyperlink>
          </w:p>
        </w:tc>
        <w:tc>
          <w:tcPr>
            <w:tcW w:w="480" w:type="dxa"/>
            <w:vAlign w:val="bottom"/>
            <w:tcBorders>
              <w:top w:val="single" w:sz="8" w:color="0000FF"/>
            </w:tcBorders>
            <w:gridSpan w:val="2"/>
          </w:tcPr>
          <w:p>
            <w:pPr>
              <w:spacing w:after="0"/>
              <w:rPr>
                <w:sz w:val="24"/>
                <w:szCs w:val="24"/>
                <w:color w:val="auto"/>
              </w:rPr>
            </w:pPr>
          </w:p>
        </w:tc>
        <w:tc>
          <w:tcPr>
            <w:tcW w:w="6840" w:type="dxa"/>
            <w:vAlign w:val="bottom"/>
            <w:gridSpan w:val="16"/>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4"/>
                <w:szCs w:val="14"/>
                <w:color w:val="auto"/>
              </w:rPr>
              <w:t>57</w:t>
            </w:r>
          </w:p>
        </w:tc>
      </w:tr>
      <w:tr>
        <w:trPr>
          <w:trHeight w:val="453"/>
        </w:trPr>
        <w:tc>
          <w:tcPr>
            <w:tcW w:w="40" w:type="dxa"/>
            <w:vAlign w:val="bottom"/>
          </w:tcPr>
          <w:p>
            <w:pPr>
              <w:spacing w:after="0"/>
              <w:rPr>
                <w:sz w:val="24"/>
                <w:szCs w:val="24"/>
                <w:color w:val="auto"/>
              </w:rPr>
            </w:pPr>
          </w:p>
        </w:tc>
        <w:tc>
          <w:tcPr>
            <w:tcW w:w="9260" w:type="dxa"/>
            <w:vAlign w:val="bottom"/>
            <w:gridSpan w:val="25"/>
          </w:tcPr>
          <w:p>
            <w:pPr>
              <w:spacing w:after="0"/>
              <w:rPr>
                <w:rFonts w:ascii="Arial" w:cs="Arial" w:eastAsia="Arial" w:hAnsi="Arial"/>
                <w:sz w:val="14"/>
                <w:szCs w:val="14"/>
                <w:b w:val="1"/>
                <w:bCs w:val="1"/>
                <w:color w:val="0000FF"/>
              </w:rPr>
            </w:pPr>
            <w:hyperlink w:anchor="page57">
              <w:r>
                <w:rPr>
                  <w:rFonts w:ascii="Arial" w:cs="Arial" w:eastAsia="Arial" w:hAnsi="Arial"/>
                  <w:sz w:val="14"/>
                  <w:szCs w:val="14"/>
                  <w:b w:val="1"/>
                  <w:bCs w:val="1"/>
                  <w:color w:val="0000FF"/>
                </w:rPr>
                <w:t>Item 5. Other Information</w:t>
              </w:r>
            </w:hyperlink>
          </w:p>
        </w:tc>
        <w:tc>
          <w:tcPr>
            <w:tcW w:w="1940" w:type="dxa"/>
            <w:vAlign w:val="bottom"/>
          </w:tcPr>
          <w:p>
            <w:pPr>
              <w:jc w:val="right"/>
              <w:spacing w:after="0"/>
              <w:rPr>
                <w:sz w:val="20"/>
                <w:szCs w:val="20"/>
                <w:color w:val="auto"/>
              </w:rPr>
            </w:pPr>
            <w:r>
              <w:rPr>
                <w:rFonts w:ascii="Arial" w:cs="Arial" w:eastAsia="Arial" w:hAnsi="Arial"/>
                <w:sz w:val="14"/>
                <w:szCs w:val="14"/>
                <w:color w:val="auto"/>
              </w:rPr>
              <w:t>57</w:t>
            </w:r>
          </w:p>
        </w:tc>
      </w:tr>
      <w:tr>
        <w:trPr>
          <w:trHeight w:val="453"/>
        </w:trPr>
        <w:tc>
          <w:tcPr>
            <w:tcW w:w="40" w:type="dxa"/>
            <w:vAlign w:val="bottom"/>
          </w:tcPr>
          <w:p>
            <w:pPr>
              <w:spacing w:after="0"/>
              <w:rPr>
                <w:sz w:val="24"/>
                <w:szCs w:val="24"/>
                <w:color w:val="auto"/>
              </w:rPr>
            </w:pPr>
          </w:p>
        </w:tc>
        <w:tc>
          <w:tcPr>
            <w:tcW w:w="1620" w:type="dxa"/>
            <w:vAlign w:val="bottom"/>
            <w:tcBorders>
              <w:top w:val="single" w:sz="8" w:color="0000FF"/>
            </w:tcBorders>
            <w:gridSpan w:val="6"/>
          </w:tcPr>
          <w:p>
            <w:pPr>
              <w:spacing w:after="0"/>
              <w:rPr>
                <w:rFonts w:ascii="Arial" w:cs="Arial" w:eastAsia="Arial" w:hAnsi="Arial"/>
                <w:sz w:val="14"/>
                <w:szCs w:val="14"/>
                <w:b w:val="1"/>
                <w:bCs w:val="1"/>
                <w:color w:val="0000FF"/>
              </w:rPr>
            </w:pPr>
            <w:hyperlink w:anchor="page58">
              <w:r>
                <w:rPr>
                  <w:rFonts w:ascii="Arial" w:cs="Arial" w:eastAsia="Arial" w:hAnsi="Arial"/>
                  <w:sz w:val="14"/>
                  <w:szCs w:val="14"/>
                  <w:b w:val="1"/>
                  <w:bCs w:val="1"/>
                  <w:color w:val="0000FF"/>
                </w:rPr>
                <w:t>Item 6. Exhibits</w:t>
              </w:r>
            </w:hyperlink>
          </w:p>
        </w:tc>
        <w:tc>
          <w:tcPr>
            <w:tcW w:w="7640" w:type="dxa"/>
            <w:vAlign w:val="bottom"/>
            <w:gridSpan w:val="19"/>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4"/>
                <w:szCs w:val="14"/>
                <w:color w:val="auto"/>
              </w:rPr>
              <w:t>58</w:t>
            </w:r>
          </w:p>
        </w:tc>
      </w:tr>
      <w:tr>
        <w:trPr>
          <w:trHeight w:val="453"/>
        </w:trPr>
        <w:tc>
          <w:tcPr>
            <w:tcW w:w="40" w:type="dxa"/>
            <w:vAlign w:val="bottom"/>
          </w:tcPr>
          <w:p>
            <w:pPr>
              <w:spacing w:after="0"/>
              <w:rPr>
                <w:sz w:val="24"/>
                <w:szCs w:val="24"/>
                <w:color w:val="auto"/>
              </w:rPr>
            </w:pPr>
          </w:p>
        </w:tc>
        <w:tc>
          <w:tcPr>
            <w:tcW w:w="980" w:type="dxa"/>
            <w:vAlign w:val="bottom"/>
            <w:tcBorders>
              <w:top w:val="single" w:sz="8" w:color="0000FF"/>
            </w:tcBorders>
            <w:gridSpan w:val="3"/>
          </w:tcPr>
          <w:p>
            <w:pPr>
              <w:spacing w:after="0"/>
              <w:rPr>
                <w:rFonts w:ascii="Arial" w:cs="Arial" w:eastAsia="Arial" w:hAnsi="Arial"/>
                <w:sz w:val="14"/>
                <w:szCs w:val="14"/>
                <w:b w:val="1"/>
                <w:bCs w:val="1"/>
                <w:color w:val="0000FF"/>
              </w:rPr>
            </w:pPr>
            <w:hyperlink w:anchor="page59">
              <w:r>
                <w:rPr>
                  <w:rFonts w:ascii="Arial" w:cs="Arial" w:eastAsia="Arial" w:hAnsi="Arial"/>
                  <w:sz w:val="14"/>
                  <w:szCs w:val="14"/>
                  <w:b w:val="1"/>
                  <w:bCs w:val="1"/>
                  <w:color w:val="0000FF"/>
                </w:rPr>
                <w:t>SIGNATURES</w:t>
              </w:r>
            </w:hyperlink>
          </w:p>
        </w:tc>
        <w:tc>
          <w:tcPr>
            <w:tcW w:w="8280" w:type="dxa"/>
            <w:vAlign w:val="bottom"/>
            <w:gridSpan w:val="22"/>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4"/>
                <w:szCs w:val="14"/>
                <w:color w:val="auto"/>
              </w:rPr>
              <w:t>59</w:t>
            </w:r>
          </w:p>
        </w:tc>
      </w:tr>
      <w:tr>
        <w:trPr>
          <w:trHeight w:val="548"/>
        </w:trPr>
        <w:tc>
          <w:tcPr>
            <w:tcW w:w="40" w:type="dxa"/>
            <w:vAlign w:val="bottom"/>
          </w:tcPr>
          <w:p>
            <w:pPr>
              <w:spacing w:after="0"/>
              <w:rPr>
                <w:sz w:val="24"/>
                <w:szCs w:val="24"/>
                <w:color w:val="auto"/>
              </w:rPr>
            </w:pPr>
          </w:p>
        </w:tc>
        <w:tc>
          <w:tcPr>
            <w:tcW w:w="920" w:type="dxa"/>
            <w:vAlign w:val="bottom"/>
            <w:tcBorders>
              <w:top w:val="single" w:sz="8" w:color="0000FF"/>
            </w:tcBorders>
            <w:gridSpan w:val="2"/>
          </w:tcPr>
          <w:p>
            <w:pPr>
              <w:spacing w:after="0"/>
              <w:rPr>
                <w:sz w:val="24"/>
                <w:szCs w:val="24"/>
                <w:color w:val="auto"/>
              </w:rPr>
            </w:pPr>
          </w:p>
        </w:tc>
        <w:tc>
          <w:tcPr>
            <w:tcW w:w="4980" w:type="dxa"/>
            <w:vAlign w:val="bottom"/>
            <w:gridSpan w:val="15"/>
          </w:tcPr>
          <w:p>
            <w:pPr>
              <w:jc w:val="right"/>
              <w:ind w:right="280"/>
              <w:spacing w:after="0"/>
              <w:rPr>
                <w:sz w:val="20"/>
                <w:szCs w:val="20"/>
                <w:color w:val="auto"/>
              </w:rPr>
            </w:pPr>
            <w:r>
              <w:rPr>
                <w:rFonts w:ascii="Arial" w:cs="Arial" w:eastAsia="Arial" w:hAnsi="Arial"/>
                <w:sz w:val="14"/>
                <w:szCs w:val="14"/>
                <w:color w:val="auto"/>
              </w:rPr>
              <w:t>2</w:t>
            </w: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113"/>
        </w:trPr>
        <w:tc>
          <w:tcPr>
            <w:tcW w:w="4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780" w:type="dxa"/>
            <w:vAlign w:val="bottom"/>
            <w:tcBorders>
              <w:bottom w:val="single" w:sz="8" w:color="9A9A9A"/>
            </w:tcBorders>
          </w:tcPr>
          <w:p>
            <w:pPr>
              <w:spacing w:after="0"/>
              <w:rPr>
                <w:sz w:val="9"/>
                <w:szCs w:val="9"/>
                <w:color w:val="auto"/>
              </w:rPr>
            </w:pPr>
          </w:p>
        </w:tc>
        <w:tc>
          <w:tcPr>
            <w:tcW w:w="19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4"/>
          <w:szCs w:val="14"/>
          <w:b w:val="1"/>
          <w:bCs w:val="1"/>
          <w:color w:val="auto"/>
        </w:rPr>
        <w:t>PART I—CONSOLIDATED FINANCIAL INFORMATION</w:t>
      </w:r>
    </w:p>
    <w:p>
      <w:pPr>
        <w:spacing w:after="0" w:line="289" w:lineRule="exact"/>
        <w:rPr>
          <w:sz w:val="20"/>
          <w:szCs w:val="20"/>
          <w:color w:val="auto"/>
        </w:rPr>
      </w:pPr>
    </w:p>
    <w:p>
      <w:pPr>
        <w:jc w:val="both"/>
        <w:ind w:firstLine="449"/>
        <w:spacing w:after="0" w:line="268" w:lineRule="auto"/>
        <w:rPr>
          <w:sz w:val="20"/>
          <w:szCs w:val="20"/>
          <w:color w:val="auto"/>
        </w:rPr>
      </w:pPr>
      <w:r>
        <w:rPr>
          <w:rFonts w:ascii="Arial" w:cs="Arial" w:eastAsia="Arial" w:hAnsi="Arial"/>
          <w:sz w:val="13"/>
          <w:szCs w:val="13"/>
          <w:color w:val="auto"/>
        </w:rPr>
        <w:t>We are filing this Quarterly Report on Form 10-Q, or the Report, in compliance with Rule 13a-13 as promulgated by the Securities and Exchange Commission, or the SEC, under the Securities Exchange Act of 1934, as amended, or the Exchange Act. In this Report, except where the context suggests otherwise, the terms “Company,” “we,” “our” or “us” refers to PennantPark Floating Rate Capital Ltd. and its wholly-owned consolidated subsidiaries; “Funding I” refers to PennantPark Floating Rate Funding I, LLC; “Taxable Subsidiary” refers to PFLT Investment Holdings, LLC; “PSSL” refers to PennantPark Senior Secured Loan Fund I LLC, an unconsolidated joint venture; “PTSF” refers to PennantPark-TSO Senior Loan Fund, LP, an unconsolidated limited partnership; “PennantPark Investment Advisers” or “Investment Adviser” refer to PennantPark Investment Advisers, LLC; “PennantPark Investment Administration” or “Administrator” refers to PennantPark Investment Administration, LLC; “2023 Notes” refers to our 4.3% Series A notes due 2023; “2026 Notes” refers to our 4.25% Notes due 2026; “1940 Act” refers to the Investment Company Act of 1940, as amended; “SBCAA” refers to the Small Business Credit Availability Act; “Code” refers to the Internal Revenue Code of 1986, as amended; “RIC” refers to</w:t>
      </w:r>
    </w:p>
    <w:p>
      <w:pPr>
        <w:spacing w:after="0" w:line="6" w:lineRule="exact"/>
        <w:rPr>
          <w:sz w:val="20"/>
          <w:szCs w:val="20"/>
          <w:color w:val="auto"/>
        </w:rPr>
      </w:pPr>
    </w:p>
    <w:p>
      <w:pPr>
        <w:jc w:val="both"/>
        <w:spacing w:after="0" w:line="164" w:lineRule="exact"/>
        <w:rPr>
          <w:sz w:val="20"/>
          <w:szCs w:val="20"/>
          <w:color w:val="auto"/>
        </w:rPr>
      </w:pPr>
      <w:r>
        <w:rPr>
          <w:rFonts w:ascii="Arial" w:cs="Arial" w:eastAsia="Arial" w:hAnsi="Arial"/>
          <w:sz w:val="14"/>
          <w:szCs w:val="14"/>
          <w:color w:val="auto"/>
        </w:rPr>
        <w:t>a regulated investment company under the Code; “BDC” refers to a business development company under the 1940 Act; “Prior Credit Facility” refers to our multi-currency senior secured revolving credit facility, as amended and restated with Truist Bank (formerly SunTrust Bank) and other lenders, originally entered into on June 23, 2011 and terminated on August 12, 2021; “Credit Facility” refers to our multi-currency senior secured revolving credit facility, as amended from time to time, with Truist Bank and other lenders, or the “Lenders,” entered into on August 12, 2021; “Securitization Issuer” refers to PennantPark CLO I, Ltd.; “Securitization Issuers” refers to the Securitization Issuer and PennantPark CLO I, LLC; “Debt Securitization” refers to the $301.4 million term debt securitization completed by the Securitization Issuers; “2031 Asset-Backed Debt” refers to (i) the issuance of the Class A-1 Senior Secured Floating Rate Notes due 2031, the Class A-2 Senior Secured Fixed Rate Notes due 2031, the Class B-1 Senior Secured Floating Rate Notes due 2031, the Class B-2 Senior Secured Fixed Rate Notes due 2031, the Class C-1 Secured Deferrable Floating Rate Notes due 2031, the Class C-2 Notes Secured Deferrable Fixed Rate Notes due 2031, and the Class D Secured Deferrable Floating Notes due 2031 and (ii) the borrowing of the Class A</w:t>
      </w:r>
      <w:r>
        <w:rPr>
          <w:rFonts w:ascii="MS PGothic" w:cs="MS PGothic" w:eastAsia="MS PGothic" w:hAnsi="MS PGothic"/>
          <w:sz w:val="14"/>
          <w:szCs w:val="14"/>
          <w:color w:val="auto"/>
        </w:rPr>
        <w:t>‑</w:t>
      </w:r>
      <w:r>
        <w:rPr>
          <w:rFonts w:ascii="Arial" w:cs="Arial" w:eastAsia="Arial" w:hAnsi="Arial"/>
          <w:sz w:val="14"/>
          <w:szCs w:val="14"/>
          <w:color w:val="auto"/>
        </w:rPr>
        <w:t>1 Senior Secured Floating Rate Notes due 2031 by the Securitization Issuers in connection with the Debt Securitization; and “Depositor” refers to PennantPark CLO I Depositor, LLC. References to our portfolio, our investments, our multi-currency, senior secured revolving credit facility, as amended and restated, or the Credit Facility, and our business include investments we make through our subsidiaries.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3" w:name="page4"/>
    <w:bookmarkEnd w:id="3"/>
    <w:p>
      <w:pPr>
        <w:spacing w:after="0"/>
        <w:rPr>
          <w:sz w:val="20"/>
          <w:szCs w:val="20"/>
          <w:color w:val="auto"/>
        </w:rPr>
      </w:pPr>
      <w:r>
        <w:rPr>
          <w:rFonts w:ascii="Arial" w:cs="Arial" w:eastAsia="Arial" w:hAnsi="Arial"/>
          <w:sz w:val="14"/>
          <w:szCs w:val="14"/>
          <w:b w:val="1"/>
          <w:bCs w:val="1"/>
          <w:color w:val="auto"/>
        </w:rPr>
        <w:t>Item 1. Consolidated Financial Statements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ASSETS AND LIABILITIES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June 30, 2022</w:t>
            </w: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September 30, 2021</w:t>
            </w:r>
          </w:p>
        </w:tc>
      </w:tr>
      <w:tr>
        <w:trPr>
          <w:trHeight w:val="169"/>
        </w:trPr>
        <w:tc>
          <w:tcPr>
            <w:tcW w:w="3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(unaudited)</w:t>
            </w:r>
          </w:p>
        </w:tc>
        <w:tc>
          <w:tcPr>
            <w:tcW w:w="600" w:type="dxa"/>
            <w:vAlign w:val="bottom"/>
            <w:tcBorders>
              <w:top w:val="single" w:sz="8" w:color="auto"/>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920" w:type="dxa"/>
            <w:vAlign w:val="bottom"/>
            <w:tcBorders>
              <w:top w:val="single" w:sz="8" w:color="auto"/>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3020" w:type="dxa"/>
            <w:vAlign w:val="bottom"/>
            <w:shd w:val="clear" w:color="auto" w:fill="CCECFF"/>
          </w:tcPr>
          <w:p>
            <w:pPr>
              <w:ind w:left="20"/>
              <w:spacing w:after="0"/>
              <w:rPr>
                <w:sz w:val="20"/>
                <w:szCs w:val="20"/>
                <w:color w:val="auto"/>
              </w:rPr>
            </w:pPr>
            <w:r>
              <w:rPr>
                <w:rFonts w:ascii="Arial" w:cs="Arial" w:eastAsia="Arial" w:hAnsi="Arial"/>
                <w:sz w:val="14"/>
                <w:szCs w:val="14"/>
                <w:b w:val="1"/>
                <w:bCs w:val="1"/>
                <w:color w:val="auto"/>
              </w:rPr>
              <w:t>Assets</w:t>
            </w:r>
          </w:p>
        </w:tc>
        <w:tc>
          <w:tcPr>
            <w:tcW w:w="280" w:type="dxa"/>
            <w:vAlign w:val="bottom"/>
            <w:shd w:val="clear" w:color="auto" w:fill="CCECFF"/>
          </w:tcPr>
          <w:p>
            <w:pPr>
              <w:spacing w:after="0"/>
              <w:rPr>
                <w:sz w:val="14"/>
                <w:szCs w:val="14"/>
                <w:color w:val="auto"/>
              </w:rPr>
            </w:pPr>
          </w:p>
        </w:tc>
        <w:tc>
          <w:tcPr>
            <w:tcW w:w="3360" w:type="dxa"/>
            <w:vAlign w:val="bottom"/>
            <w:shd w:val="clear" w:color="auto" w:fill="CCECFF"/>
          </w:tcPr>
          <w:p>
            <w:pPr>
              <w:spacing w:after="0"/>
              <w:rPr>
                <w:sz w:val="14"/>
                <w:szCs w:val="14"/>
                <w:color w:val="auto"/>
              </w:rPr>
            </w:pPr>
          </w:p>
        </w:tc>
        <w:tc>
          <w:tcPr>
            <w:tcW w:w="1420" w:type="dxa"/>
            <w:vAlign w:val="bottom"/>
            <w:shd w:val="clear" w:color="auto" w:fill="CCECFF"/>
          </w:tcPr>
          <w:p>
            <w:pPr>
              <w:spacing w:after="0"/>
              <w:rPr>
                <w:sz w:val="14"/>
                <w:szCs w:val="14"/>
                <w:color w:val="auto"/>
              </w:rPr>
            </w:pPr>
          </w:p>
        </w:tc>
        <w:tc>
          <w:tcPr>
            <w:tcW w:w="60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9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r>
      <w:tr>
        <w:trPr>
          <w:trHeight w:val="176"/>
        </w:trPr>
        <w:tc>
          <w:tcPr>
            <w:tcW w:w="3020" w:type="dxa"/>
            <w:vAlign w:val="bottom"/>
          </w:tcPr>
          <w:p>
            <w:pPr>
              <w:ind w:left="20"/>
              <w:spacing w:after="0"/>
              <w:rPr>
                <w:sz w:val="20"/>
                <w:szCs w:val="20"/>
                <w:color w:val="auto"/>
              </w:rPr>
            </w:pPr>
            <w:r>
              <w:rPr>
                <w:rFonts w:ascii="Arial" w:cs="Arial" w:eastAsia="Arial" w:hAnsi="Arial"/>
                <w:sz w:val="14"/>
                <w:szCs w:val="14"/>
                <w:color w:val="auto"/>
              </w:rPr>
              <w:t>Investments at fair value</w:t>
            </w:r>
          </w:p>
        </w:tc>
        <w:tc>
          <w:tcPr>
            <w:tcW w:w="28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6660" w:type="dxa"/>
            <w:vAlign w:val="bottom"/>
            <w:gridSpan w:val="3"/>
            <w:shd w:val="clear" w:color="auto" w:fill="CCECFF"/>
          </w:tcPr>
          <w:p>
            <w:pPr>
              <w:ind w:left="20"/>
              <w:spacing w:after="0"/>
              <w:rPr>
                <w:sz w:val="20"/>
                <w:szCs w:val="20"/>
                <w:color w:val="auto"/>
              </w:rPr>
            </w:pPr>
            <w:r>
              <w:rPr>
                <w:rFonts w:ascii="Arial" w:cs="Arial" w:eastAsia="Arial" w:hAnsi="Arial"/>
                <w:sz w:val="14"/>
                <w:szCs w:val="14"/>
                <w:color w:val="auto"/>
              </w:rPr>
              <w:t>Non-controlled, non-affiliated investments (cost— $924,233 and $824,542, respectively</w:t>
            </w:r>
          </w:p>
        </w:tc>
        <w:tc>
          <w:tcPr>
            <w:tcW w:w="1420" w:type="dxa"/>
            <w:vAlign w:val="bottom"/>
            <w:shd w:val="clear" w:color="auto" w:fill="CCECFF"/>
          </w:tcPr>
          <w:p>
            <w:pPr>
              <w:jc w:val="right"/>
              <w:ind w:right="1268"/>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944,658</w:t>
            </w:r>
          </w:p>
        </w:tc>
        <w:tc>
          <w:tcPr>
            <w:tcW w:w="260" w:type="dxa"/>
            <w:vAlign w:val="bottom"/>
            <w:shd w:val="clear" w:color="auto" w:fill="CCECFF"/>
          </w:tcPr>
          <w:p>
            <w:pPr>
              <w:spacing w:after="0"/>
              <w:rPr>
                <w:sz w:val="15"/>
                <w:szCs w:val="15"/>
                <w:color w:val="auto"/>
              </w:rPr>
            </w:pPr>
          </w:p>
        </w:tc>
        <w:tc>
          <w:tcPr>
            <w:tcW w:w="280" w:type="dxa"/>
            <w:vAlign w:val="bottom"/>
            <w:shd w:val="clear" w:color="auto" w:fill="CCECFF"/>
          </w:tcPr>
          <w:p>
            <w:pPr>
              <w:jc w:val="right"/>
              <w:ind w:right="128"/>
              <w:spacing w:after="0"/>
              <w:rPr>
                <w:sz w:val="20"/>
                <w:szCs w:val="20"/>
                <w:color w:val="auto"/>
              </w:rPr>
            </w:pPr>
            <w:r>
              <w:rPr>
                <w:rFonts w:ascii="Arial" w:cs="Arial" w:eastAsia="Arial" w:hAnsi="Arial"/>
                <w:sz w:val="14"/>
                <w:szCs w:val="14"/>
                <w:color w:val="auto"/>
                <w:w w:val="76"/>
              </w:rPr>
              <w:t>$</w:t>
            </w:r>
          </w:p>
        </w:tc>
        <w:tc>
          <w:tcPr>
            <w:tcW w:w="1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856,806</w:t>
            </w:r>
          </w:p>
        </w:tc>
        <w:tc>
          <w:tcPr>
            <w:tcW w:w="100" w:type="dxa"/>
            <w:vAlign w:val="bottom"/>
            <w:shd w:val="clear" w:color="auto" w:fill="CCECFF"/>
          </w:tcPr>
          <w:p>
            <w:pPr>
              <w:spacing w:after="0"/>
              <w:rPr>
                <w:sz w:val="15"/>
                <w:szCs w:val="15"/>
                <w:color w:val="auto"/>
              </w:rPr>
            </w:pPr>
          </w:p>
        </w:tc>
      </w:tr>
      <w:tr>
        <w:trPr>
          <w:trHeight w:val="176"/>
        </w:trPr>
        <w:tc>
          <w:tcPr>
            <w:tcW w:w="3020" w:type="dxa"/>
            <w:vAlign w:val="bottom"/>
          </w:tcPr>
          <w:p>
            <w:pPr>
              <w:ind w:left="20"/>
              <w:spacing w:after="0"/>
              <w:rPr>
                <w:sz w:val="20"/>
                <w:szCs w:val="20"/>
                <w:color w:val="auto"/>
              </w:rPr>
            </w:pPr>
            <w:r>
              <w:rPr>
                <w:rFonts w:ascii="Arial" w:cs="Arial" w:eastAsia="Arial" w:hAnsi="Arial"/>
                <w:sz w:val="14"/>
                <w:szCs w:val="14"/>
                <w:color w:val="auto"/>
                <w:w w:val="96"/>
              </w:rPr>
              <w:t>Non-controlled, affiliated investments (cost— $ —</w:t>
            </w:r>
          </w:p>
        </w:tc>
        <w:tc>
          <w:tcPr>
            <w:tcW w:w="280" w:type="dxa"/>
            <w:vAlign w:val="bottom"/>
          </w:tcPr>
          <w:p>
            <w:pPr>
              <w:ind w:left="40"/>
              <w:spacing w:after="0"/>
              <w:rPr>
                <w:sz w:val="20"/>
                <w:szCs w:val="20"/>
                <w:color w:val="auto"/>
              </w:rPr>
            </w:pPr>
            <w:r>
              <w:rPr>
                <w:rFonts w:ascii="Arial" w:cs="Arial" w:eastAsia="Arial" w:hAnsi="Arial"/>
                <w:sz w:val="14"/>
                <w:szCs w:val="14"/>
                <w:color w:val="auto"/>
                <w:w w:val="94"/>
              </w:rPr>
              <w:t>and</w:t>
            </w:r>
          </w:p>
        </w:tc>
        <w:tc>
          <w:tcPr>
            <w:tcW w:w="3360" w:type="dxa"/>
            <w:vAlign w:val="bottom"/>
          </w:tcPr>
          <w:p>
            <w:pPr>
              <w:ind w:left="40"/>
              <w:spacing w:after="0"/>
              <w:rPr>
                <w:sz w:val="20"/>
                <w:szCs w:val="20"/>
                <w:color w:val="auto"/>
              </w:rPr>
            </w:pPr>
            <w:r>
              <w:rPr>
                <w:rFonts w:ascii="Arial" w:cs="Arial" w:eastAsia="Arial" w:hAnsi="Arial"/>
                <w:sz w:val="14"/>
                <w:szCs w:val="14"/>
                <w:color w:val="auto"/>
              </w:rPr>
              <w:t>$22,380, respectively</w:t>
            </w:r>
          </w:p>
        </w:tc>
        <w:tc>
          <w:tcPr>
            <w:tcW w:w="1420" w:type="dxa"/>
            <w:vAlign w:val="bottom"/>
          </w:tcPr>
          <w:p>
            <w:pPr>
              <w:spacing w:after="0"/>
              <w:rPr>
                <w:sz w:val="15"/>
                <w:szCs w:val="15"/>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1920" w:type="dxa"/>
            <w:vAlign w:val="bottom"/>
          </w:tcPr>
          <w:p>
            <w:pPr>
              <w:jc w:val="right"/>
              <w:spacing w:after="0"/>
              <w:rPr>
                <w:sz w:val="20"/>
                <w:szCs w:val="20"/>
                <w:color w:val="auto"/>
              </w:rPr>
            </w:pPr>
            <w:r>
              <w:rPr>
                <w:rFonts w:ascii="Arial" w:cs="Arial" w:eastAsia="Arial" w:hAnsi="Arial"/>
                <w:sz w:val="14"/>
                <w:szCs w:val="14"/>
                <w:color w:val="auto"/>
              </w:rPr>
              <w:t>7,433</w:t>
            </w:r>
          </w:p>
        </w:tc>
        <w:tc>
          <w:tcPr>
            <w:tcW w:w="100" w:type="dxa"/>
            <w:vAlign w:val="bottom"/>
          </w:tcPr>
          <w:p>
            <w:pPr>
              <w:spacing w:after="0"/>
              <w:rPr>
                <w:sz w:val="15"/>
                <w:szCs w:val="15"/>
                <w:color w:val="auto"/>
              </w:rPr>
            </w:pPr>
          </w:p>
        </w:tc>
      </w:tr>
      <w:tr>
        <w:trPr>
          <w:trHeight w:val="175"/>
        </w:trPr>
        <w:tc>
          <w:tcPr>
            <w:tcW w:w="302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4"/>
                <w:szCs w:val="14"/>
                <w:color w:val="auto"/>
                <w:w w:val="95"/>
              </w:rPr>
              <w:t>Controlled, affiliated investments (cost— $294,469</w:t>
            </w:r>
          </w:p>
        </w:tc>
        <w:tc>
          <w:tcPr>
            <w:tcW w:w="280" w:type="dxa"/>
            <w:vAlign w:val="bottom"/>
            <w:tcBorders>
              <w:bottom w:val="single" w:sz="8" w:color="CCECFF"/>
            </w:tcBorders>
            <w:shd w:val="clear" w:color="auto" w:fill="CCECFF"/>
          </w:tcPr>
          <w:p>
            <w:pPr>
              <w:ind w:left="40"/>
              <w:spacing w:after="0"/>
              <w:rPr>
                <w:sz w:val="20"/>
                <w:szCs w:val="20"/>
                <w:color w:val="auto"/>
              </w:rPr>
            </w:pPr>
            <w:r>
              <w:rPr>
                <w:rFonts w:ascii="Arial" w:cs="Arial" w:eastAsia="Arial" w:hAnsi="Arial"/>
                <w:sz w:val="14"/>
                <w:szCs w:val="14"/>
                <w:color w:val="auto"/>
                <w:w w:val="94"/>
              </w:rPr>
              <w:t>and</w:t>
            </w:r>
          </w:p>
        </w:tc>
        <w:tc>
          <w:tcPr>
            <w:tcW w:w="3360" w:type="dxa"/>
            <w:vAlign w:val="bottom"/>
            <w:tcBorders>
              <w:bottom w:val="single" w:sz="8" w:color="CCECFF"/>
            </w:tcBorders>
            <w:shd w:val="clear" w:color="auto" w:fill="CCECFF"/>
          </w:tcPr>
          <w:p>
            <w:pPr>
              <w:ind w:left="40"/>
              <w:spacing w:after="0"/>
              <w:rPr>
                <w:sz w:val="20"/>
                <w:szCs w:val="20"/>
                <w:color w:val="auto"/>
              </w:rPr>
            </w:pPr>
            <w:r>
              <w:rPr>
                <w:rFonts w:ascii="Arial" w:cs="Arial" w:eastAsia="Arial" w:hAnsi="Arial"/>
                <w:sz w:val="14"/>
                <w:szCs w:val="14"/>
                <w:color w:val="auto"/>
              </w:rPr>
              <w:t>$223,714, respectively</w:t>
            </w:r>
          </w:p>
        </w:tc>
        <w:tc>
          <w:tcPr>
            <w:tcW w:w="1420" w:type="dxa"/>
            <w:vAlign w:val="bottom"/>
            <w:tcBorders>
              <w:bottom w:val="single" w:sz="8" w:color="auto"/>
            </w:tcBorders>
            <w:shd w:val="clear" w:color="auto" w:fill="CCECFF"/>
          </w:tcPr>
          <w:p>
            <w:pPr>
              <w:spacing w:after="0"/>
              <w:rPr>
                <w:sz w:val="15"/>
                <w:szCs w:val="15"/>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281,784</w:t>
            </w:r>
          </w:p>
        </w:tc>
        <w:tc>
          <w:tcPr>
            <w:tcW w:w="260" w:type="dxa"/>
            <w:vAlign w:val="bottom"/>
            <w:tcBorders>
              <w:bottom w:val="single" w:sz="8" w:color="CCECFF"/>
            </w:tcBorders>
            <w:shd w:val="clear" w:color="auto" w:fill="CCECFF"/>
          </w:tcPr>
          <w:p>
            <w:pPr>
              <w:spacing w:after="0"/>
              <w:rPr>
                <w:sz w:val="15"/>
                <w:szCs w:val="15"/>
                <w:color w:val="auto"/>
              </w:rPr>
            </w:pPr>
          </w:p>
        </w:tc>
        <w:tc>
          <w:tcPr>
            <w:tcW w:w="280" w:type="dxa"/>
            <w:vAlign w:val="bottom"/>
            <w:tcBorders>
              <w:bottom w:val="single" w:sz="8" w:color="auto"/>
            </w:tcBorders>
            <w:shd w:val="clear" w:color="auto" w:fill="CCECFF"/>
          </w:tcPr>
          <w:p>
            <w:pPr>
              <w:spacing w:after="0"/>
              <w:rPr>
                <w:sz w:val="15"/>
                <w:szCs w:val="15"/>
                <w:color w:val="auto"/>
              </w:rPr>
            </w:pPr>
          </w:p>
        </w:tc>
        <w:tc>
          <w:tcPr>
            <w:tcW w:w="19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217,380</w:t>
            </w:r>
          </w:p>
        </w:tc>
        <w:tc>
          <w:tcPr>
            <w:tcW w:w="100" w:type="dxa"/>
            <w:vAlign w:val="bottom"/>
            <w:tcBorders>
              <w:bottom w:val="single" w:sz="8" w:color="CCECFF"/>
            </w:tcBorders>
            <w:shd w:val="clear" w:color="auto" w:fill="CCECFF"/>
          </w:tcPr>
          <w:p>
            <w:pPr>
              <w:spacing w:after="0"/>
              <w:rPr>
                <w:sz w:val="15"/>
                <w:szCs w:val="15"/>
                <w:color w:val="auto"/>
              </w:rPr>
            </w:pPr>
          </w:p>
        </w:tc>
      </w:tr>
      <w:tr>
        <w:trPr>
          <w:trHeight w:val="169"/>
        </w:trPr>
        <w:tc>
          <w:tcPr>
            <w:tcW w:w="6660" w:type="dxa"/>
            <w:vAlign w:val="bottom"/>
            <w:gridSpan w:val="3"/>
          </w:tcPr>
          <w:p>
            <w:pPr>
              <w:ind w:left="20"/>
              <w:spacing w:after="0"/>
              <w:rPr>
                <w:sz w:val="20"/>
                <w:szCs w:val="20"/>
                <w:color w:val="auto"/>
              </w:rPr>
            </w:pPr>
            <w:r>
              <w:rPr>
                <w:rFonts w:ascii="Arial" w:cs="Arial" w:eastAsia="Arial" w:hAnsi="Arial"/>
                <w:sz w:val="14"/>
                <w:szCs w:val="14"/>
                <w:color w:val="auto"/>
              </w:rPr>
              <w:t>Total investments (cost— $1,218,702 and $1,070,636, respectively</w:t>
            </w:r>
          </w:p>
        </w:tc>
        <w:tc>
          <w:tcPr>
            <w:tcW w:w="14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w w:val="89"/>
              </w:rPr>
              <w:t>1,226,442</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20" w:type="dxa"/>
            <w:vAlign w:val="bottom"/>
          </w:tcPr>
          <w:p>
            <w:pPr>
              <w:jc w:val="right"/>
              <w:spacing w:after="0"/>
              <w:rPr>
                <w:sz w:val="20"/>
                <w:szCs w:val="20"/>
                <w:color w:val="auto"/>
              </w:rPr>
            </w:pPr>
            <w:r>
              <w:rPr>
                <w:rFonts w:ascii="Arial" w:cs="Arial" w:eastAsia="Arial" w:hAnsi="Arial"/>
                <w:sz w:val="14"/>
                <w:szCs w:val="14"/>
                <w:color w:val="auto"/>
              </w:rPr>
              <w:t>1,081,619</w:t>
            </w:r>
          </w:p>
        </w:tc>
        <w:tc>
          <w:tcPr>
            <w:tcW w:w="100" w:type="dxa"/>
            <w:vAlign w:val="bottom"/>
          </w:tcPr>
          <w:p>
            <w:pPr>
              <w:spacing w:after="0"/>
              <w:rPr>
                <w:sz w:val="14"/>
                <w:szCs w:val="14"/>
                <w:color w:val="auto"/>
              </w:rPr>
            </w:pPr>
          </w:p>
        </w:tc>
      </w:tr>
      <w:tr>
        <w:trPr>
          <w:trHeight w:val="176"/>
        </w:trPr>
        <w:tc>
          <w:tcPr>
            <w:tcW w:w="6660" w:type="dxa"/>
            <w:vAlign w:val="bottom"/>
            <w:gridSpan w:val="3"/>
            <w:shd w:val="clear" w:color="auto" w:fill="CCECFF"/>
          </w:tcPr>
          <w:p>
            <w:pPr>
              <w:ind w:left="20"/>
              <w:spacing w:after="0"/>
              <w:rPr>
                <w:sz w:val="20"/>
                <w:szCs w:val="20"/>
                <w:color w:val="auto"/>
              </w:rPr>
            </w:pPr>
            <w:r>
              <w:rPr>
                <w:rFonts w:ascii="Arial" w:cs="Arial" w:eastAsia="Arial" w:hAnsi="Arial"/>
                <w:sz w:val="14"/>
                <w:szCs w:val="14"/>
                <w:color w:val="auto"/>
              </w:rPr>
              <w:t>Cash and cash equivalents (cost—$40,632 and $49,825, respectively)</w:t>
            </w:r>
          </w:p>
        </w:tc>
        <w:tc>
          <w:tcPr>
            <w:tcW w:w="1420" w:type="dxa"/>
            <w:vAlign w:val="bottom"/>
            <w:shd w:val="clear" w:color="auto" w:fill="CCECFF"/>
          </w:tcPr>
          <w:p>
            <w:pPr>
              <w:spacing w:after="0"/>
              <w:rPr>
                <w:sz w:val="15"/>
                <w:szCs w:val="15"/>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40,616</w:t>
            </w:r>
          </w:p>
        </w:tc>
        <w:tc>
          <w:tcPr>
            <w:tcW w:w="260" w:type="dxa"/>
            <w:vAlign w:val="bottom"/>
            <w:shd w:val="clear" w:color="auto" w:fill="CCECFF"/>
          </w:tcPr>
          <w:p>
            <w:pPr>
              <w:spacing w:after="0"/>
              <w:rPr>
                <w:sz w:val="15"/>
                <w:szCs w:val="15"/>
                <w:color w:val="auto"/>
              </w:rPr>
            </w:pPr>
          </w:p>
        </w:tc>
        <w:tc>
          <w:tcPr>
            <w:tcW w:w="280" w:type="dxa"/>
            <w:vAlign w:val="bottom"/>
            <w:shd w:val="clear" w:color="auto" w:fill="CCECFF"/>
          </w:tcPr>
          <w:p>
            <w:pPr>
              <w:spacing w:after="0"/>
              <w:rPr>
                <w:sz w:val="15"/>
                <w:szCs w:val="15"/>
                <w:color w:val="auto"/>
              </w:rPr>
            </w:pPr>
          </w:p>
        </w:tc>
        <w:tc>
          <w:tcPr>
            <w:tcW w:w="1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49,825</w:t>
            </w:r>
          </w:p>
        </w:tc>
        <w:tc>
          <w:tcPr>
            <w:tcW w:w="100" w:type="dxa"/>
            <w:vAlign w:val="bottom"/>
            <w:shd w:val="clear" w:color="auto" w:fill="CCECFF"/>
          </w:tcPr>
          <w:p>
            <w:pPr>
              <w:spacing w:after="0"/>
              <w:rPr>
                <w:sz w:val="15"/>
                <w:szCs w:val="15"/>
                <w:color w:val="auto"/>
              </w:rPr>
            </w:pPr>
          </w:p>
        </w:tc>
      </w:tr>
      <w:tr>
        <w:trPr>
          <w:trHeight w:val="175"/>
        </w:trPr>
        <w:tc>
          <w:tcPr>
            <w:tcW w:w="3020" w:type="dxa"/>
            <w:vAlign w:val="bottom"/>
          </w:tcPr>
          <w:p>
            <w:pPr>
              <w:ind w:left="20"/>
              <w:spacing w:after="0"/>
              <w:rPr>
                <w:sz w:val="20"/>
                <w:szCs w:val="20"/>
                <w:color w:val="auto"/>
              </w:rPr>
            </w:pPr>
            <w:r>
              <w:rPr>
                <w:rFonts w:ascii="Arial" w:cs="Arial" w:eastAsia="Arial" w:hAnsi="Arial"/>
                <w:sz w:val="14"/>
                <w:szCs w:val="14"/>
                <w:color w:val="auto"/>
              </w:rPr>
              <w:t>Interest receivable</w:t>
            </w:r>
          </w:p>
        </w:tc>
        <w:tc>
          <w:tcPr>
            <w:tcW w:w="28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6,209</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20" w:type="dxa"/>
            <w:vAlign w:val="bottom"/>
          </w:tcPr>
          <w:p>
            <w:pPr>
              <w:jc w:val="right"/>
              <w:spacing w:after="0"/>
              <w:rPr>
                <w:sz w:val="20"/>
                <w:szCs w:val="20"/>
                <w:color w:val="auto"/>
              </w:rPr>
            </w:pPr>
            <w:r>
              <w:rPr>
                <w:rFonts w:ascii="Arial" w:cs="Arial" w:eastAsia="Arial" w:hAnsi="Arial"/>
                <w:sz w:val="14"/>
                <w:szCs w:val="14"/>
                <w:color w:val="auto"/>
              </w:rPr>
              <w:t>5,446</w:t>
            </w:r>
          </w:p>
        </w:tc>
        <w:tc>
          <w:tcPr>
            <w:tcW w:w="100" w:type="dxa"/>
            <w:vAlign w:val="bottom"/>
          </w:tcPr>
          <w:p>
            <w:pPr>
              <w:spacing w:after="0"/>
              <w:rPr>
                <w:sz w:val="15"/>
                <w:szCs w:val="15"/>
                <w:color w:val="auto"/>
              </w:rPr>
            </w:pPr>
          </w:p>
        </w:tc>
      </w:tr>
      <w:tr>
        <w:trPr>
          <w:trHeight w:val="176"/>
        </w:trPr>
        <w:tc>
          <w:tcPr>
            <w:tcW w:w="3020" w:type="dxa"/>
            <w:vAlign w:val="bottom"/>
            <w:shd w:val="clear" w:color="auto" w:fill="CCECFF"/>
          </w:tcPr>
          <w:p>
            <w:pPr>
              <w:ind w:left="20"/>
              <w:spacing w:after="0"/>
              <w:rPr>
                <w:sz w:val="20"/>
                <w:szCs w:val="20"/>
                <w:color w:val="auto"/>
              </w:rPr>
            </w:pPr>
            <w:r>
              <w:rPr>
                <w:rFonts w:ascii="Arial" w:cs="Arial" w:eastAsia="Arial" w:hAnsi="Arial"/>
                <w:sz w:val="14"/>
                <w:szCs w:val="14"/>
                <w:color w:val="auto"/>
              </w:rPr>
              <w:t>Receivable for investments sold</w:t>
            </w:r>
          </w:p>
        </w:tc>
        <w:tc>
          <w:tcPr>
            <w:tcW w:w="280" w:type="dxa"/>
            <w:vAlign w:val="bottom"/>
            <w:shd w:val="clear" w:color="auto" w:fill="CCECFF"/>
          </w:tcPr>
          <w:p>
            <w:pPr>
              <w:spacing w:after="0"/>
              <w:rPr>
                <w:sz w:val="15"/>
                <w:szCs w:val="15"/>
                <w:color w:val="auto"/>
              </w:rPr>
            </w:pPr>
          </w:p>
        </w:tc>
        <w:tc>
          <w:tcPr>
            <w:tcW w:w="3360" w:type="dxa"/>
            <w:vAlign w:val="bottom"/>
            <w:shd w:val="clear" w:color="auto" w:fill="CCECFF"/>
          </w:tcPr>
          <w:p>
            <w:pPr>
              <w:spacing w:after="0"/>
              <w:rPr>
                <w:sz w:val="15"/>
                <w:szCs w:val="15"/>
                <w:color w:val="auto"/>
              </w:rPr>
            </w:pPr>
          </w:p>
        </w:tc>
        <w:tc>
          <w:tcPr>
            <w:tcW w:w="1420" w:type="dxa"/>
            <w:vAlign w:val="bottom"/>
            <w:shd w:val="clear" w:color="auto" w:fill="CCECFF"/>
          </w:tcPr>
          <w:p>
            <w:pPr>
              <w:spacing w:after="0"/>
              <w:rPr>
                <w:sz w:val="15"/>
                <w:szCs w:val="15"/>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6,609</w:t>
            </w:r>
          </w:p>
        </w:tc>
        <w:tc>
          <w:tcPr>
            <w:tcW w:w="260" w:type="dxa"/>
            <w:vAlign w:val="bottom"/>
            <w:shd w:val="clear" w:color="auto" w:fill="CCECFF"/>
          </w:tcPr>
          <w:p>
            <w:pPr>
              <w:spacing w:after="0"/>
              <w:rPr>
                <w:sz w:val="15"/>
                <w:szCs w:val="15"/>
                <w:color w:val="auto"/>
              </w:rPr>
            </w:pPr>
          </w:p>
        </w:tc>
        <w:tc>
          <w:tcPr>
            <w:tcW w:w="280" w:type="dxa"/>
            <w:vAlign w:val="bottom"/>
            <w:shd w:val="clear" w:color="auto" w:fill="CCECFF"/>
          </w:tcPr>
          <w:p>
            <w:pPr>
              <w:spacing w:after="0"/>
              <w:rPr>
                <w:sz w:val="15"/>
                <w:szCs w:val="15"/>
                <w:color w:val="auto"/>
              </w:rPr>
            </w:pPr>
          </w:p>
        </w:tc>
        <w:tc>
          <w:tcPr>
            <w:tcW w:w="1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33,966</w:t>
            </w:r>
          </w:p>
        </w:tc>
        <w:tc>
          <w:tcPr>
            <w:tcW w:w="100" w:type="dxa"/>
            <w:vAlign w:val="bottom"/>
            <w:shd w:val="clear" w:color="auto" w:fill="CCECFF"/>
          </w:tcPr>
          <w:p>
            <w:pPr>
              <w:spacing w:after="0"/>
              <w:rPr>
                <w:sz w:val="15"/>
                <w:szCs w:val="15"/>
                <w:color w:val="auto"/>
              </w:rPr>
            </w:pPr>
          </w:p>
        </w:tc>
      </w:tr>
      <w:tr>
        <w:trPr>
          <w:trHeight w:val="175"/>
        </w:trPr>
        <w:tc>
          <w:tcPr>
            <w:tcW w:w="3020" w:type="dxa"/>
            <w:vAlign w:val="bottom"/>
          </w:tcPr>
          <w:p>
            <w:pPr>
              <w:ind w:left="20"/>
              <w:spacing w:after="0"/>
              <w:rPr>
                <w:sz w:val="20"/>
                <w:szCs w:val="20"/>
                <w:color w:val="auto"/>
              </w:rPr>
            </w:pPr>
            <w:r>
              <w:rPr>
                <w:rFonts w:ascii="Arial" w:cs="Arial" w:eastAsia="Arial" w:hAnsi="Arial"/>
                <w:sz w:val="14"/>
                <w:szCs w:val="14"/>
                <w:color w:val="auto"/>
              </w:rPr>
              <w:t>Prepaid expenses and other assets</w:t>
            </w:r>
          </w:p>
        </w:tc>
        <w:tc>
          <w:tcPr>
            <w:tcW w:w="28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11,278</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69"/>
        </w:trPr>
        <w:tc>
          <w:tcPr>
            <w:tcW w:w="302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4"/>
                <w:szCs w:val="14"/>
                <w:b w:val="1"/>
                <w:bCs w:val="1"/>
                <w:color w:val="auto"/>
              </w:rPr>
              <w:t>Total assets</w:t>
            </w:r>
          </w:p>
        </w:tc>
        <w:tc>
          <w:tcPr>
            <w:tcW w:w="280" w:type="dxa"/>
            <w:vAlign w:val="bottom"/>
            <w:tcBorders>
              <w:bottom w:val="single" w:sz="8" w:color="CCECFF"/>
            </w:tcBorders>
            <w:shd w:val="clear" w:color="auto" w:fill="CCECFF"/>
          </w:tcPr>
          <w:p>
            <w:pPr>
              <w:spacing w:after="0"/>
              <w:rPr>
                <w:sz w:val="14"/>
                <w:szCs w:val="14"/>
                <w:color w:val="auto"/>
              </w:rPr>
            </w:pPr>
          </w:p>
        </w:tc>
        <w:tc>
          <w:tcPr>
            <w:tcW w:w="3360" w:type="dxa"/>
            <w:vAlign w:val="bottom"/>
            <w:tcBorders>
              <w:bottom w:val="single" w:sz="8" w:color="CCECFF"/>
            </w:tcBorders>
            <w:shd w:val="clear" w:color="auto" w:fill="CCECFF"/>
          </w:tcPr>
          <w:p>
            <w:pPr>
              <w:spacing w:after="0"/>
              <w:rPr>
                <w:sz w:val="14"/>
                <w:szCs w:val="14"/>
                <w:color w:val="auto"/>
              </w:rPr>
            </w:pPr>
          </w:p>
        </w:tc>
        <w:tc>
          <w:tcPr>
            <w:tcW w:w="1420" w:type="dxa"/>
            <w:vAlign w:val="bottom"/>
            <w:tcBorders>
              <w:top w:val="single" w:sz="8" w:color="auto"/>
              <w:bottom w:val="single" w:sz="8" w:color="auto"/>
            </w:tcBorders>
            <w:shd w:val="clear" w:color="auto" w:fill="CCECFF"/>
          </w:tcPr>
          <w:p>
            <w:pPr>
              <w:spacing w:after="0"/>
              <w:rPr>
                <w:sz w:val="14"/>
                <w:szCs w:val="14"/>
                <w:color w:val="auto"/>
              </w:rPr>
            </w:pPr>
          </w:p>
        </w:tc>
        <w:tc>
          <w:tcPr>
            <w:tcW w:w="6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w w:val="89"/>
              </w:rPr>
              <w:t>1,291,154</w:t>
            </w:r>
          </w:p>
        </w:tc>
        <w:tc>
          <w:tcPr>
            <w:tcW w:w="260" w:type="dxa"/>
            <w:vAlign w:val="bottom"/>
            <w:tcBorders>
              <w:bottom w:val="single" w:sz="8" w:color="CCECFF"/>
            </w:tcBorders>
            <w:shd w:val="clear" w:color="auto" w:fill="CCECFF"/>
          </w:tcPr>
          <w:p>
            <w:pPr>
              <w:spacing w:after="0"/>
              <w:rPr>
                <w:sz w:val="14"/>
                <w:szCs w:val="14"/>
                <w:color w:val="auto"/>
              </w:rPr>
            </w:pPr>
          </w:p>
        </w:tc>
        <w:tc>
          <w:tcPr>
            <w:tcW w:w="280" w:type="dxa"/>
            <w:vAlign w:val="bottom"/>
            <w:tcBorders>
              <w:top w:val="single" w:sz="8" w:color="auto"/>
              <w:bottom w:val="single" w:sz="8" w:color="auto"/>
            </w:tcBorders>
            <w:shd w:val="clear" w:color="auto" w:fill="CCECFF"/>
          </w:tcPr>
          <w:p>
            <w:pPr>
              <w:spacing w:after="0"/>
              <w:rPr>
                <w:sz w:val="14"/>
                <w:szCs w:val="14"/>
                <w:color w:val="auto"/>
              </w:rPr>
            </w:pPr>
          </w:p>
        </w:tc>
        <w:tc>
          <w:tcPr>
            <w:tcW w:w="19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1,170,856</w:t>
            </w:r>
          </w:p>
        </w:tc>
        <w:tc>
          <w:tcPr>
            <w:tcW w:w="100" w:type="dxa"/>
            <w:vAlign w:val="bottom"/>
            <w:tcBorders>
              <w:bottom w:val="single" w:sz="8" w:color="CCECFF"/>
            </w:tcBorders>
            <w:shd w:val="clear" w:color="auto" w:fill="CCECFF"/>
          </w:tcPr>
          <w:p>
            <w:pPr>
              <w:spacing w:after="0"/>
              <w:rPr>
                <w:sz w:val="14"/>
                <w:szCs w:val="14"/>
                <w:color w:val="auto"/>
              </w:rPr>
            </w:pPr>
          </w:p>
        </w:tc>
      </w:tr>
      <w:tr>
        <w:trPr>
          <w:trHeight w:val="169"/>
        </w:trPr>
        <w:tc>
          <w:tcPr>
            <w:tcW w:w="3020" w:type="dxa"/>
            <w:vAlign w:val="bottom"/>
          </w:tcPr>
          <w:p>
            <w:pPr>
              <w:ind w:left="20"/>
              <w:spacing w:after="0"/>
              <w:rPr>
                <w:sz w:val="20"/>
                <w:szCs w:val="20"/>
                <w:color w:val="auto"/>
              </w:rPr>
            </w:pPr>
            <w:r>
              <w:rPr>
                <w:rFonts w:ascii="Arial" w:cs="Arial" w:eastAsia="Arial" w:hAnsi="Arial"/>
                <w:sz w:val="14"/>
                <w:szCs w:val="14"/>
                <w:b w:val="1"/>
                <w:bCs w:val="1"/>
                <w:color w:val="auto"/>
              </w:rPr>
              <w:t>Liabilities</w:t>
            </w:r>
          </w:p>
        </w:tc>
        <w:tc>
          <w:tcPr>
            <w:tcW w:w="28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6"/>
        </w:trPr>
        <w:tc>
          <w:tcPr>
            <w:tcW w:w="3020" w:type="dxa"/>
            <w:vAlign w:val="bottom"/>
            <w:shd w:val="clear" w:color="auto" w:fill="CCECFF"/>
          </w:tcPr>
          <w:p>
            <w:pPr>
              <w:ind w:left="20"/>
              <w:spacing w:after="0"/>
              <w:rPr>
                <w:sz w:val="20"/>
                <w:szCs w:val="20"/>
                <w:color w:val="auto"/>
              </w:rPr>
            </w:pPr>
            <w:r>
              <w:rPr>
                <w:rFonts w:ascii="Arial" w:cs="Arial" w:eastAsia="Arial" w:hAnsi="Arial"/>
                <w:sz w:val="14"/>
                <w:szCs w:val="14"/>
                <w:color w:val="auto"/>
              </w:rPr>
              <w:t>Distributions payable</w:t>
            </w:r>
          </w:p>
        </w:tc>
        <w:tc>
          <w:tcPr>
            <w:tcW w:w="280" w:type="dxa"/>
            <w:vAlign w:val="bottom"/>
            <w:shd w:val="clear" w:color="auto" w:fill="CCECFF"/>
          </w:tcPr>
          <w:p>
            <w:pPr>
              <w:spacing w:after="0"/>
              <w:rPr>
                <w:sz w:val="15"/>
                <w:szCs w:val="15"/>
                <w:color w:val="auto"/>
              </w:rPr>
            </w:pPr>
          </w:p>
        </w:tc>
        <w:tc>
          <w:tcPr>
            <w:tcW w:w="3360" w:type="dxa"/>
            <w:vAlign w:val="bottom"/>
            <w:shd w:val="clear" w:color="auto" w:fill="CCECFF"/>
          </w:tcPr>
          <w:p>
            <w:pPr>
              <w:spacing w:after="0"/>
              <w:rPr>
                <w:sz w:val="15"/>
                <w:szCs w:val="15"/>
                <w:color w:val="auto"/>
              </w:rPr>
            </w:pPr>
          </w:p>
        </w:tc>
        <w:tc>
          <w:tcPr>
            <w:tcW w:w="1420" w:type="dxa"/>
            <w:vAlign w:val="bottom"/>
            <w:shd w:val="clear" w:color="auto" w:fill="CCECFF"/>
          </w:tcPr>
          <w:p>
            <w:pPr>
              <w:spacing w:after="0"/>
              <w:rPr>
                <w:sz w:val="15"/>
                <w:szCs w:val="15"/>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3,928</w:t>
            </w:r>
          </w:p>
        </w:tc>
        <w:tc>
          <w:tcPr>
            <w:tcW w:w="260" w:type="dxa"/>
            <w:vAlign w:val="bottom"/>
            <w:shd w:val="clear" w:color="auto" w:fill="CCECFF"/>
          </w:tcPr>
          <w:p>
            <w:pPr>
              <w:spacing w:after="0"/>
              <w:rPr>
                <w:sz w:val="15"/>
                <w:szCs w:val="15"/>
                <w:color w:val="auto"/>
              </w:rPr>
            </w:pPr>
          </w:p>
        </w:tc>
        <w:tc>
          <w:tcPr>
            <w:tcW w:w="280" w:type="dxa"/>
            <w:vAlign w:val="bottom"/>
            <w:shd w:val="clear" w:color="auto" w:fill="CCECFF"/>
          </w:tcPr>
          <w:p>
            <w:pPr>
              <w:spacing w:after="0"/>
              <w:rPr>
                <w:sz w:val="15"/>
                <w:szCs w:val="15"/>
                <w:color w:val="auto"/>
              </w:rPr>
            </w:pPr>
          </w:p>
        </w:tc>
        <w:tc>
          <w:tcPr>
            <w:tcW w:w="1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3,690</w:t>
            </w:r>
          </w:p>
        </w:tc>
        <w:tc>
          <w:tcPr>
            <w:tcW w:w="100" w:type="dxa"/>
            <w:vAlign w:val="bottom"/>
            <w:shd w:val="clear" w:color="auto" w:fill="CCECFF"/>
          </w:tcPr>
          <w:p>
            <w:pPr>
              <w:spacing w:after="0"/>
              <w:rPr>
                <w:sz w:val="15"/>
                <w:szCs w:val="15"/>
                <w:color w:val="auto"/>
              </w:rPr>
            </w:pPr>
          </w:p>
        </w:tc>
      </w:tr>
      <w:tr>
        <w:trPr>
          <w:trHeight w:val="175"/>
        </w:trPr>
        <w:tc>
          <w:tcPr>
            <w:tcW w:w="3020" w:type="dxa"/>
            <w:vAlign w:val="bottom"/>
          </w:tcPr>
          <w:p>
            <w:pPr>
              <w:ind w:left="20"/>
              <w:spacing w:after="0"/>
              <w:rPr>
                <w:sz w:val="20"/>
                <w:szCs w:val="20"/>
                <w:color w:val="auto"/>
              </w:rPr>
            </w:pPr>
            <w:r>
              <w:rPr>
                <w:rFonts w:ascii="Arial" w:cs="Arial" w:eastAsia="Arial" w:hAnsi="Arial"/>
                <w:sz w:val="14"/>
                <w:szCs w:val="14"/>
                <w:color w:val="auto"/>
              </w:rPr>
              <w:t>Payable for investments purchased</w:t>
            </w:r>
          </w:p>
        </w:tc>
        <w:tc>
          <w:tcPr>
            <w:tcW w:w="28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9,800</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20" w:type="dxa"/>
            <w:vAlign w:val="bottom"/>
          </w:tcPr>
          <w:p>
            <w:pPr>
              <w:jc w:val="right"/>
              <w:spacing w:after="0"/>
              <w:rPr>
                <w:sz w:val="20"/>
                <w:szCs w:val="20"/>
                <w:color w:val="auto"/>
              </w:rPr>
            </w:pPr>
            <w:r>
              <w:rPr>
                <w:rFonts w:ascii="Arial" w:cs="Arial" w:eastAsia="Arial" w:hAnsi="Arial"/>
                <w:sz w:val="14"/>
                <w:szCs w:val="14"/>
                <w:color w:val="auto"/>
              </w:rPr>
              <w:t>13,546</w:t>
            </w:r>
          </w:p>
        </w:tc>
        <w:tc>
          <w:tcPr>
            <w:tcW w:w="100" w:type="dxa"/>
            <w:vAlign w:val="bottom"/>
          </w:tcPr>
          <w:p>
            <w:pPr>
              <w:spacing w:after="0"/>
              <w:rPr>
                <w:sz w:val="15"/>
                <w:szCs w:val="15"/>
                <w:color w:val="auto"/>
              </w:rPr>
            </w:pPr>
          </w:p>
        </w:tc>
      </w:tr>
      <w:tr>
        <w:trPr>
          <w:trHeight w:val="176"/>
        </w:trPr>
        <w:tc>
          <w:tcPr>
            <w:tcW w:w="6660" w:type="dxa"/>
            <w:vAlign w:val="bottom"/>
            <w:gridSpan w:val="3"/>
            <w:shd w:val="clear" w:color="auto" w:fill="CCECFF"/>
          </w:tcPr>
          <w:p>
            <w:pPr>
              <w:ind w:left="20"/>
              <w:spacing w:after="0"/>
              <w:rPr>
                <w:sz w:val="20"/>
                <w:szCs w:val="20"/>
                <w:color w:val="auto"/>
              </w:rPr>
            </w:pPr>
            <w:r>
              <w:rPr>
                <w:rFonts w:ascii="Arial" w:cs="Arial" w:eastAsia="Arial" w:hAnsi="Arial"/>
                <w:sz w:val="14"/>
                <w:szCs w:val="14"/>
                <w:color w:val="auto"/>
              </w:rPr>
              <w:t>Credit Facility payable, at fair value (cost—$259,277 and $219,400, respectively) (See Notes 5 and 10)</w:t>
            </w:r>
          </w:p>
        </w:tc>
        <w:tc>
          <w:tcPr>
            <w:tcW w:w="1420" w:type="dxa"/>
            <w:vAlign w:val="bottom"/>
            <w:shd w:val="clear" w:color="auto" w:fill="CCECFF"/>
          </w:tcPr>
          <w:p>
            <w:pPr>
              <w:spacing w:after="0"/>
              <w:rPr>
                <w:sz w:val="15"/>
                <w:szCs w:val="15"/>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253,443</w:t>
            </w:r>
          </w:p>
        </w:tc>
        <w:tc>
          <w:tcPr>
            <w:tcW w:w="260" w:type="dxa"/>
            <w:vAlign w:val="bottom"/>
            <w:shd w:val="clear" w:color="auto" w:fill="CCECFF"/>
          </w:tcPr>
          <w:p>
            <w:pPr>
              <w:spacing w:after="0"/>
              <w:rPr>
                <w:sz w:val="15"/>
                <w:szCs w:val="15"/>
                <w:color w:val="auto"/>
              </w:rPr>
            </w:pPr>
          </w:p>
        </w:tc>
        <w:tc>
          <w:tcPr>
            <w:tcW w:w="280" w:type="dxa"/>
            <w:vAlign w:val="bottom"/>
            <w:shd w:val="clear" w:color="auto" w:fill="CCECFF"/>
          </w:tcPr>
          <w:p>
            <w:pPr>
              <w:spacing w:after="0"/>
              <w:rPr>
                <w:sz w:val="15"/>
                <w:szCs w:val="15"/>
                <w:color w:val="auto"/>
              </w:rPr>
            </w:pPr>
          </w:p>
        </w:tc>
        <w:tc>
          <w:tcPr>
            <w:tcW w:w="1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218,851</w:t>
            </w:r>
          </w:p>
        </w:tc>
        <w:tc>
          <w:tcPr>
            <w:tcW w:w="100" w:type="dxa"/>
            <w:vAlign w:val="bottom"/>
            <w:shd w:val="clear" w:color="auto" w:fill="CCECFF"/>
          </w:tcPr>
          <w:p>
            <w:pPr>
              <w:spacing w:after="0"/>
              <w:rPr>
                <w:sz w:val="15"/>
                <w:szCs w:val="15"/>
                <w:color w:val="auto"/>
              </w:rPr>
            </w:pPr>
          </w:p>
        </w:tc>
      </w:tr>
      <w:tr>
        <w:trPr>
          <w:trHeight w:val="175"/>
        </w:trPr>
        <w:tc>
          <w:tcPr>
            <w:tcW w:w="6660" w:type="dxa"/>
            <w:vAlign w:val="bottom"/>
            <w:gridSpan w:val="3"/>
          </w:tcPr>
          <w:p>
            <w:pPr>
              <w:ind w:left="20"/>
              <w:spacing w:after="0"/>
              <w:rPr>
                <w:sz w:val="20"/>
                <w:szCs w:val="20"/>
                <w:color w:val="auto"/>
              </w:rPr>
            </w:pPr>
            <w:r>
              <w:rPr>
                <w:rFonts w:ascii="Arial" w:cs="Arial" w:eastAsia="Arial" w:hAnsi="Arial"/>
                <w:sz w:val="14"/>
                <w:szCs w:val="14"/>
                <w:color w:val="auto"/>
              </w:rPr>
              <w:t>2023 Notes payable, at fair value (par—$97,006 and $117,793, respectively) (See Notes 5 and 10)</w:t>
            </w:r>
          </w:p>
        </w:tc>
        <w:tc>
          <w:tcPr>
            <w:tcW w:w="14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94,717</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20" w:type="dxa"/>
            <w:vAlign w:val="bottom"/>
          </w:tcPr>
          <w:p>
            <w:pPr>
              <w:jc w:val="right"/>
              <w:spacing w:after="0"/>
              <w:rPr>
                <w:sz w:val="20"/>
                <w:szCs w:val="20"/>
                <w:color w:val="auto"/>
              </w:rPr>
            </w:pPr>
            <w:r>
              <w:rPr>
                <w:rFonts w:ascii="Arial" w:cs="Arial" w:eastAsia="Arial" w:hAnsi="Arial"/>
                <w:sz w:val="14"/>
                <w:szCs w:val="14"/>
                <w:color w:val="auto"/>
              </w:rPr>
              <w:t>111,114</w:t>
            </w:r>
          </w:p>
        </w:tc>
        <w:tc>
          <w:tcPr>
            <w:tcW w:w="100" w:type="dxa"/>
            <w:vAlign w:val="bottom"/>
          </w:tcPr>
          <w:p>
            <w:pPr>
              <w:spacing w:after="0"/>
              <w:rPr>
                <w:sz w:val="15"/>
                <w:szCs w:val="15"/>
                <w:color w:val="auto"/>
              </w:rPr>
            </w:pPr>
          </w:p>
        </w:tc>
      </w:tr>
      <w:tr>
        <w:trPr>
          <w:trHeight w:val="176"/>
        </w:trPr>
        <w:tc>
          <w:tcPr>
            <w:tcW w:w="6660" w:type="dxa"/>
            <w:vAlign w:val="bottom"/>
            <w:gridSpan w:val="3"/>
            <w:shd w:val="clear" w:color="auto" w:fill="CCECFF"/>
          </w:tcPr>
          <w:p>
            <w:pPr>
              <w:ind w:left="20"/>
              <w:spacing w:after="0"/>
              <w:rPr>
                <w:sz w:val="20"/>
                <w:szCs w:val="20"/>
                <w:color w:val="auto"/>
              </w:rPr>
            </w:pPr>
            <w:r>
              <w:rPr>
                <w:rFonts w:ascii="Arial" w:cs="Arial" w:eastAsia="Arial" w:hAnsi="Arial"/>
                <w:sz w:val="14"/>
                <w:szCs w:val="14"/>
                <w:color w:val="auto"/>
              </w:rPr>
              <w:t>2026 Notes payable, net (par—$185,000 and $100,000, respectively) (See Notes 5 and 10)</w:t>
            </w:r>
          </w:p>
        </w:tc>
        <w:tc>
          <w:tcPr>
            <w:tcW w:w="1420" w:type="dxa"/>
            <w:vAlign w:val="bottom"/>
            <w:shd w:val="clear" w:color="auto" w:fill="CCECFF"/>
          </w:tcPr>
          <w:p>
            <w:pPr>
              <w:spacing w:after="0"/>
              <w:rPr>
                <w:sz w:val="15"/>
                <w:szCs w:val="15"/>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182,082</w:t>
            </w:r>
          </w:p>
        </w:tc>
        <w:tc>
          <w:tcPr>
            <w:tcW w:w="260" w:type="dxa"/>
            <w:vAlign w:val="bottom"/>
            <w:shd w:val="clear" w:color="auto" w:fill="CCECFF"/>
          </w:tcPr>
          <w:p>
            <w:pPr>
              <w:spacing w:after="0"/>
              <w:rPr>
                <w:sz w:val="15"/>
                <w:szCs w:val="15"/>
                <w:color w:val="auto"/>
              </w:rPr>
            </w:pPr>
          </w:p>
        </w:tc>
        <w:tc>
          <w:tcPr>
            <w:tcW w:w="280" w:type="dxa"/>
            <w:vAlign w:val="bottom"/>
            <w:shd w:val="clear" w:color="auto" w:fill="CCECFF"/>
          </w:tcPr>
          <w:p>
            <w:pPr>
              <w:spacing w:after="0"/>
              <w:rPr>
                <w:sz w:val="15"/>
                <w:szCs w:val="15"/>
                <w:color w:val="auto"/>
              </w:rPr>
            </w:pPr>
          </w:p>
        </w:tc>
        <w:tc>
          <w:tcPr>
            <w:tcW w:w="1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97,171</w:t>
            </w:r>
          </w:p>
        </w:tc>
        <w:tc>
          <w:tcPr>
            <w:tcW w:w="100" w:type="dxa"/>
            <w:vAlign w:val="bottom"/>
            <w:shd w:val="clear" w:color="auto" w:fill="CCECFF"/>
          </w:tcPr>
          <w:p>
            <w:pPr>
              <w:spacing w:after="0"/>
              <w:rPr>
                <w:sz w:val="15"/>
                <w:szCs w:val="15"/>
                <w:color w:val="auto"/>
              </w:rPr>
            </w:pPr>
          </w:p>
        </w:tc>
      </w:tr>
      <w:tr>
        <w:trPr>
          <w:trHeight w:val="176"/>
        </w:trPr>
        <w:tc>
          <w:tcPr>
            <w:tcW w:w="6660" w:type="dxa"/>
            <w:vAlign w:val="bottom"/>
            <w:gridSpan w:val="3"/>
          </w:tcPr>
          <w:p>
            <w:pPr>
              <w:ind w:left="20"/>
              <w:spacing w:after="0"/>
              <w:rPr>
                <w:sz w:val="20"/>
                <w:szCs w:val="20"/>
                <w:color w:val="auto"/>
              </w:rPr>
            </w:pPr>
            <w:r>
              <w:rPr>
                <w:rFonts w:ascii="Arial" w:cs="Arial" w:eastAsia="Arial" w:hAnsi="Arial"/>
                <w:sz w:val="14"/>
                <w:szCs w:val="14"/>
                <w:color w:val="auto"/>
              </w:rPr>
              <w:t>2031 Asset-Backed Debt, net (par—$228,000) (See Notes 5 and 10)</w:t>
            </w:r>
          </w:p>
        </w:tc>
        <w:tc>
          <w:tcPr>
            <w:tcW w:w="14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225,970</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20" w:type="dxa"/>
            <w:vAlign w:val="bottom"/>
          </w:tcPr>
          <w:p>
            <w:pPr>
              <w:jc w:val="right"/>
              <w:spacing w:after="0"/>
              <w:rPr>
                <w:sz w:val="20"/>
                <w:szCs w:val="20"/>
                <w:color w:val="auto"/>
              </w:rPr>
            </w:pPr>
            <w:r>
              <w:rPr>
                <w:rFonts w:ascii="Arial" w:cs="Arial" w:eastAsia="Arial" w:hAnsi="Arial"/>
                <w:sz w:val="14"/>
                <w:szCs w:val="14"/>
                <w:color w:val="auto"/>
              </w:rPr>
              <w:t>225,497</w:t>
            </w:r>
          </w:p>
        </w:tc>
        <w:tc>
          <w:tcPr>
            <w:tcW w:w="100" w:type="dxa"/>
            <w:vAlign w:val="bottom"/>
          </w:tcPr>
          <w:p>
            <w:pPr>
              <w:spacing w:after="0"/>
              <w:rPr>
                <w:sz w:val="15"/>
                <w:szCs w:val="15"/>
                <w:color w:val="auto"/>
              </w:rPr>
            </w:pPr>
          </w:p>
        </w:tc>
      </w:tr>
      <w:tr>
        <w:trPr>
          <w:trHeight w:val="175"/>
        </w:trPr>
        <w:tc>
          <w:tcPr>
            <w:tcW w:w="3020" w:type="dxa"/>
            <w:vAlign w:val="bottom"/>
            <w:shd w:val="clear" w:color="auto" w:fill="CCECFF"/>
          </w:tcPr>
          <w:p>
            <w:pPr>
              <w:ind w:left="20"/>
              <w:spacing w:after="0"/>
              <w:rPr>
                <w:sz w:val="20"/>
                <w:szCs w:val="20"/>
                <w:color w:val="auto"/>
              </w:rPr>
            </w:pPr>
            <w:r>
              <w:rPr>
                <w:rFonts w:ascii="Arial" w:cs="Arial" w:eastAsia="Arial" w:hAnsi="Arial"/>
                <w:sz w:val="14"/>
                <w:szCs w:val="14"/>
                <w:color w:val="auto"/>
              </w:rPr>
              <w:t>Interest payable on debt</w:t>
            </w:r>
          </w:p>
        </w:tc>
        <w:tc>
          <w:tcPr>
            <w:tcW w:w="280" w:type="dxa"/>
            <w:vAlign w:val="bottom"/>
            <w:shd w:val="clear" w:color="auto" w:fill="CCECFF"/>
          </w:tcPr>
          <w:p>
            <w:pPr>
              <w:spacing w:after="0"/>
              <w:rPr>
                <w:sz w:val="15"/>
                <w:szCs w:val="15"/>
                <w:color w:val="auto"/>
              </w:rPr>
            </w:pPr>
          </w:p>
        </w:tc>
        <w:tc>
          <w:tcPr>
            <w:tcW w:w="3360" w:type="dxa"/>
            <w:vAlign w:val="bottom"/>
            <w:shd w:val="clear" w:color="auto" w:fill="CCECFF"/>
          </w:tcPr>
          <w:p>
            <w:pPr>
              <w:spacing w:after="0"/>
              <w:rPr>
                <w:sz w:val="15"/>
                <w:szCs w:val="15"/>
                <w:color w:val="auto"/>
              </w:rPr>
            </w:pPr>
          </w:p>
        </w:tc>
        <w:tc>
          <w:tcPr>
            <w:tcW w:w="1420" w:type="dxa"/>
            <w:vAlign w:val="bottom"/>
            <w:shd w:val="clear" w:color="auto" w:fill="CCECFF"/>
          </w:tcPr>
          <w:p>
            <w:pPr>
              <w:spacing w:after="0"/>
              <w:rPr>
                <w:sz w:val="15"/>
                <w:szCs w:val="15"/>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4,500</w:t>
            </w:r>
          </w:p>
        </w:tc>
        <w:tc>
          <w:tcPr>
            <w:tcW w:w="260" w:type="dxa"/>
            <w:vAlign w:val="bottom"/>
            <w:shd w:val="clear" w:color="auto" w:fill="CCECFF"/>
          </w:tcPr>
          <w:p>
            <w:pPr>
              <w:spacing w:after="0"/>
              <w:rPr>
                <w:sz w:val="15"/>
                <w:szCs w:val="15"/>
                <w:color w:val="auto"/>
              </w:rPr>
            </w:pPr>
          </w:p>
        </w:tc>
        <w:tc>
          <w:tcPr>
            <w:tcW w:w="280" w:type="dxa"/>
            <w:vAlign w:val="bottom"/>
            <w:shd w:val="clear" w:color="auto" w:fill="CCECFF"/>
          </w:tcPr>
          <w:p>
            <w:pPr>
              <w:spacing w:after="0"/>
              <w:rPr>
                <w:sz w:val="15"/>
                <w:szCs w:val="15"/>
                <w:color w:val="auto"/>
              </w:rPr>
            </w:pPr>
          </w:p>
        </w:tc>
        <w:tc>
          <w:tcPr>
            <w:tcW w:w="1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5,455</w:t>
            </w:r>
          </w:p>
        </w:tc>
        <w:tc>
          <w:tcPr>
            <w:tcW w:w="100" w:type="dxa"/>
            <w:vAlign w:val="bottom"/>
            <w:shd w:val="clear" w:color="auto" w:fill="CCECFF"/>
          </w:tcPr>
          <w:p>
            <w:pPr>
              <w:spacing w:after="0"/>
              <w:rPr>
                <w:sz w:val="15"/>
                <w:szCs w:val="15"/>
                <w:color w:val="auto"/>
              </w:rPr>
            </w:pPr>
          </w:p>
        </w:tc>
      </w:tr>
      <w:tr>
        <w:trPr>
          <w:trHeight w:val="176"/>
        </w:trPr>
        <w:tc>
          <w:tcPr>
            <w:tcW w:w="3020" w:type="dxa"/>
            <w:vAlign w:val="bottom"/>
          </w:tcPr>
          <w:p>
            <w:pPr>
              <w:ind w:left="20"/>
              <w:spacing w:after="0"/>
              <w:rPr>
                <w:sz w:val="20"/>
                <w:szCs w:val="20"/>
                <w:color w:val="auto"/>
              </w:rPr>
            </w:pPr>
            <w:r>
              <w:rPr>
                <w:rFonts w:ascii="Arial" w:cs="Arial" w:eastAsia="Arial" w:hAnsi="Arial"/>
                <w:sz w:val="14"/>
                <w:szCs w:val="14"/>
                <w:color w:val="auto"/>
              </w:rPr>
              <w:t>Base management fee payable (See Note 3)</w:t>
            </w:r>
          </w:p>
        </w:tc>
        <w:tc>
          <w:tcPr>
            <w:tcW w:w="28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3,062</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20" w:type="dxa"/>
            <w:vAlign w:val="bottom"/>
          </w:tcPr>
          <w:p>
            <w:pPr>
              <w:jc w:val="right"/>
              <w:spacing w:after="0"/>
              <w:rPr>
                <w:sz w:val="20"/>
                <w:szCs w:val="20"/>
                <w:color w:val="auto"/>
              </w:rPr>
            </w:pPr>
            <w:r>
              <w:rPr>
                <w:rFonts w:ascii="Arial" w:cs="Arial" w:eastAsia="Arial" w:hAnsi="Arial"/>
                <w:sz w:val="14"/>
                <w:szCs w:val="14"/>
                <w:color w:val="auto"/>
              </w:rPr>
              <w:t>2,707</w:t>
            </w:r>
          </w:p>
        </w:tc>
        <w:tc>
          <w:tcPr>
            <w:tcW w:w="100" w:type="dxa"/>
            <w:vAlign w:val="bottom"/>
          </w:tcPr>
          <w:p>
            <w:pPr>
              <w:spacing w:after="0"/>
              <w:rPr>
                <w:sz w:val="15"/>
                <w:szCs w:val="15"/>
                <w:color w:val="auto"/>
              </w:rPr>
            </w:pPr>
          </w:p>
        </w:tc>
      </w:tr>
      <w:tr>
        <w:trPr>
          <w:trHeight w:val="175"/>
        </w:trPr>
        <w:tc>
          <w:tcPr>
            <w:tcW w:w="3300" w:type="dxa"/>
            <w:vAlign w:val="bottom"/>
            <w:gridSpan w:val="2"/>
            <w:shd w:val="clear" w:color="auto" w:fill="CCECFF"/>
          </w:tcPr>
          <w:p>
            <w:pPr>
              <w:ind w:left="20"/>
              <w:spacing w:after="0"/>
              <w:rPr>
                <w:sz w:val="20"/>
                <w:szCs w:val="20"/>
                <w:color w:val="auto"/>
              </w:rPr>
            </w:pPr>
            <w:r>
              <w:rPr>
                <w:rFonts w:ascii="Arial" w:cs="Arial" w:eastAsia="Arial" w:hAnsi="Arial"/>
                <w:sz w:val="14"/>
                <w:szCs w:val="14"/>
                <w:color w:val="auto"/>
                <w:w w:val="95"/>
              </w:rPr>
              <w:t>Performance-based incentive fee payable (See Note 3)</w:t>
            </w:r>
          </w:p>
        </w:tc>
        <w:tc>
          <w:tcPr>
            <w:tcW w:w="3360" w:type="dxa"/>
            <w:vAlign w:val="bottom"/>
            <w:shd w:val="clear" w:color="auto" w:fill="CCECFF"/>
          </w:tcPr>
          <w:p>
            <w:pPr>
              <w:spacing w:after="0"/>
              <w:rPr>
                <w:sz w:val="15"/>
                <w:szCs w:val="15"/>
                <w:color w:val="auto"/>
              </w:rPr>
            </w:pPr>
          </w:p>
        </w:tc>
        <w:tc>
          <w:tcPr>
            <w:tcW w:w="1420" w:type="dxa"/>
            <w:vAlign w:val="bottom"/>
            <w:shd w:val="clear" w:color="auto" w:fill="CCECFF"/>
          </w:tcPr>
          <w:p>
            <w:pPr>
              <w:spacing w:after="0"/>
              <w:rPr>
                <w:sz w:val="15"/>
                <w:szCs w:val="15"/>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2,576</w:t>
            </w:r>
          </w:p>
        </w:tc>
        <w:tc>
          <w:tcPr>
            <w:tcW w:w="260" w:type="dxa"/>
            <w:vAlign w:val="bottom"/>
            <w:shd w:val="clear" w:color="auto" w:fill="CCECFF"/>
          </w:tcPr>
          <w:p>
            <w:pPr>
              <w:spacing w:after="0"/>
              <w:rPr>
                <w:sz w:val="15"/>
                <w:szCs w:val="15"/>
                <w:color w:val="auto"/>
              </w:rPr>
            </w:pPr>
          </w:p>
        </w:tc>
        <w:tc>
          <w:tcPr>
            <w:tcW w:w="280" w:type="dxa"/>
            <w:vAlign w:val="bottom"/>
            <w:shd w:val="clear" w:color="auto" w:fill="CCECFF"/>
          </w:tcPr>
          <w:p>
            <w:pPr>
              <w:spacing w:after="0"/>
              <w:rPr>
                <w:sz w:val="15"/>
                <w:szCs w:val="15"/>
                <w:color w:val="auto"/>
              </w:rPr>
            </w:pPr>
          </w:p>
        </w:tc>
        <w:tc>
          <w:tcPr>
            <w:tcW w:w="1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624</w:t>
            </w:r>
          </w:p>
        </w:tc>
        <w:tc>
          <w:tcPr>
            <w:tcW w:w="100" w:type="dxa"/>
            <w:vAlign w:val="bottom"/>
            <w:shd w:val="clear" w:color="auto" w:fill="CCECFF"/>
          </w:tcPr>
          <w:p>
            <w:pPr>
              <w:spacing w:after="0"/>
              <w:rPr>
                <w:sz w:val="15"/>
                <w:szCs w:val="15"/>
                <w:color w:val="auto"/>
              </w:rPr>
            </w:pPr>
          </w:p>
        </w:tc>
      </w:tr>
      <w:tr>
        <w:trPr>
          <w:trHeight w:val="176"/>
        </w:trPr>
        <w:tc>
          <w:tcPr>
            <w:tcW w:w="3020" w:type="dxa"/>
            <w:vAlign w:val="bottom"/>
          </w:tcPr>
          <w:p>
            <w:pPr>
              <w:ind w:left="20"/>
              <w:spacing w:after="0"/>
              <w:rPr>
                <w:sz w:val="20"/>
                <w:szCs w:val="20"/>
                <w:color w:val="auto"/>
              </w:rPr>
            </w:pPr>
            <w:r>
              <w:rPr>
                <w:rFonts w:ascii="Arial" w:cs="Arial" w:eastAsia="Arial" w:hAnsi="Arial"/>
                <w:sz w:val="14"/>
                <w:szCs w:val="14"/>
                <w:color w:val="auto"/>
              </w:rPr>
              <w:t>Deferred tax liability</w:t>
            </w:r>
          </w:p>
        </w:tc>
        <w:tc>
          <w:tcPr>
            <w:tcW w:w="28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5,340</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75"/>
        </w:trPr>
        <w:tc>
          <w:tcPr>
            <w:tcW w:w="302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4"/>
                <w:szCs w:val="14"/>
                <w:color w:val="auto"/>
              </w:rPr>
              <w:t>Accrued other expenses</w:t>
            </w:r>
          </w:p>
        </w:tc>
        <w:tc>
          <w:tcPr>
            <w:tcW w:w="280" w:type="dxa"/>
            <w:vAlign w:val="bottom"/>
            <w:tcBorders>
              <w:bottom w:val="single" w:sz="8" w:color="CCECFF"/>
            </w:tcBorders>
            <w:shd w:val="clear" w:color="auto" w:fill="CCECFF"/>
          </w:tcPr>
          <w:p>
            <w:pPr>
              <w:spacing w:after="0"/>
              <w:rPr>
                <w:sz w:val="15"/>
                <w:szCs w:val="15"/>
                <w:color w:val="auto"/>
              </w:rPr>
            </w:pPr>
          </w:p>
        </w:tc>
        <w:tc>
          <w:tcPr>
            <w:tcW w:w="3360" w:type="dxa"/>
            <w:vAlign w:val="bottom"/>
            <w:tcBorders>
              <w:bottom w:val="single" w:sz="8" w:color="CCECFF"/>
            </w:tcBorders>
            <w:shd w:val="clear" w:color="auto" w:fill="CCECFF"/>
          </w:tcPr>
          <w:p>
            <w:pPr>
              <w:spacing w:after="0"/>
              <w:rPr>
                <w:sz w:val="15"/>
                <w:szCs w:val="15"/>
                <w:color w:val="auto"/>
              </w:rPr>
            </w:pPr>
          </w:p>
        </w:tc>
        <w:tc>
          <w:tcPr>
            <w:tcW w:w="1420" w:type="dxa"/>
            <w:vAlign w:val="bottom"/>
            <w:tcBorders>
              <w:bottom w:val="single" w:sz="8" w:color="auto"/>
            </w:tcBorders>
            <w:shd w:val="clear" w:color="auto" w:fill="CCECFF"/>
          </w:tcPr>
          <w:p>
            <w:pPr>
              <w:spacing w:after="0"/>
              <w:rPr>
                <w:sz w:val="15"/>
                <w:szCs w:val="15"/>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823</w:t>
            </w:r>
          </w:p>
        </w:tc>
        <w:tc>
          <w:tcPr>
            <w:tcW w:w="260" w:type="dxa"/>
            <w:vAlign w:val="bottom"/>
            <w:tcBorders>
              <w:bottom w:val="single" w:sz="8" w:color="CCECFF"/>
            </w:tcBorders>
            <w:shd w:val="clear" w:color="auto" w:fill="CCECFF"/>
          </w:tcPr>
          <w:p>
            <w:pPr>
              <w:spacing w:after="0"/>
              <w:rPr>
                <w:sz w:val="15"/>
                <w:szCs w:val="15"/>
                <w:color w:val="auto"/>
              </w:rPr>
            </w:pPr>
          </w:p>
        </w:tc>
        <w:tc>
          <w:tcPr>
            <w:tcW w:w="280" w:type="dxa"/>
            <w:vAlign w:val="bottom"/>
            <w:tcBorders>
              <w:bottom w:val="single" w:sz="8" w:color="auto"/>
            </w:tcBorders>
            <w:shd w:val="clear" w:color="auto" w:fill="CCECFF"/>
          </w:tcPr>
          <w:p>
            <w:pPr>
              <w:spacing w:after="0"/>
              <w:rPr>
                <w:sz w:val="15"/>
                <w:szCs w:val="15"/>
                <w:color w:val="auto"/>
              </w:rPr>
            </w:pPr>
          </w:p>
        </w:tc>
        <w:tc>
          <w:tcPr>
            <w:tcW w:w="19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1,590</w:t>
            </w:r>
          </w:p>
        </w:tc>
        <w:tc>
          <w:tcPr>
            <w:tcW w:w="100" w:type="dxa"/>
            <w:vAlign w:val="bottom"/>
            <w:tcBorders>
              <w:bottom w:val="single" w:sz="8" w:color="CCECFF"/>
            </w:tcBorders>
            <w:shd w:val="clear" w:color="auto" w:fill="CCECFF"/>
          </w:tcPr>
          <w:p>
            <w:pPr>
              <w:spacing w:after="0"/>
              <w:rPr>
                <w:sz w:val="15"/>
                <w:szCs w:val="15"/>
                <w:color w:val="auto"/>
              </w:rPr>
            </w:pPr>
          </w:p>
        </w:tc>
      </w:tr>
      <w:tr>
        <w:trPr>
          <w:trHeight w:val="169"/>
        </w:trPr>
        <w:tc>
          <w:tcPr>
            <w:tcW w:w="3020" w:type="dxa"/>
            <w:vAlign w:val="bottom"/>
          </w:tcPr>
          <w:p>
            <w:pPr>
              <w:ind w:left="20"/>
              <w:spacing w:after="0"/>
              <w:rPr>
                <w:sz w:val="20"/>
                <w:szCs w:val="20"/>
                <w:color w:val="auto"/>
              </w:rPr>
            </w:pPr>
            <w:r>
              <w:rPr>
                <w:rFonts w:ascii="Arial" w:cs="Arial" w:eastAsia="Arial" w:hAnsi="Arial"/>
                <w:sz w:val="14"/>
                <w:szCs w:val="14"/>
                <w:b w:val="1"/>
                <w:bCs w:val="1"/>
                <w:color w:val="auto"/>
              </w:rPr>
              <w:t>Total liabilities</w:t>
            </w:r>
          </w:p>
        </w:tc>
        <w:tc>
          <w:tcPr>
            <w:tcW w:w="28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786,241</w:t>
            </w: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680,245</w:t>
            </w:r>
          </w:p>
        </w:tc>
        <w:tc>
          <w:tcPr>
            <w:tcW w:w="100" w:type="dxa"/>
            <w:vAlign w:val="bottom"/>
          </w:tcPr>
          <w:p>
            <w:pPr>
              <w:spacing w:after="0"/>
              <w:rPr>
                <w:sz w:val="14"/>
                <w:szCs w:val="14"/>
                <w:color w:val="auto"/>
              </w:rPr>
            </w:pPr>
          </w:p>
        </w:tc>
      </w:tr>
      <w:tr>
        <w:trPr>
          <w:trHeight w:val="169"/>
        </w:trPr>
        <w:tc>
          <w:tcPr>
            <w:tcW w:w="3020" w:type="dxa"/>
            <w:vAlign w:val="bottom"/>
            <w:shd w:val="clear" w:color="auto" w:fill="CCECFF"/>
          </w:tcPr>
          <w:p>
            <w:pPr>
              <w:ind w:left="20"/>
              <w:spacing w:after="0"/>
              <w:rPr>
                <w:sz w:val="20"/>
                <w:szCs w:val="20"/>
                <w:color w:val="auto"/>
              </w:rPr>
            </w:pPr>
            <w:r>
              <w:rPr>
                <w:rFonts w:ascii="Arial" w:cs="Arial" w:eastAsia="Arial" w:hAnsi="Arial"/>
                <w:sz w:val="14"/>
                <w:szCs w:val="14"/>
                <w:color w:val="auto"/>
              </w:rPr>
              <w:t>Commitments and contingencies (See Note 11)</w:t>
            </w:r>
          </w:p>
        </w:tc>
        <w:tc>
          <w:tcPr>
            <w:tcW w:w="280" w:type="dxa"/>
            <w:vAlign w:val="bottom"/>
            <w:shd w:val="clear" w:color="auto" w:fill="CCECFF"/>
          </w:tcPr>
          <w:p>
            <w:pPr>
              <w:spacing w:after="0"/>
              <w:rPr>
                <w:sz w:val="14"/>
                <w:szCs w:val="14"/>
                <w:color w:val="auto"/>
              </w:rPr>
            </w:pPr>
          </w:p>
        </w:tc>
        <w:tc>
          <w:tcPr>
            <w:tcW w:w="3360" w:type="dxa"/>
            <w:vAlign w:val="bottom"/>
            <w:shd w:val="clear" w:color="auto" w:fill="CCECFF"/>
          </w:tcPr>
          <w:p>
            <w:pPr>
              <w:spacing w:after="0"/>
              <w:rPr>
                <w:sz w:val="14"/>
                <w:szCs w:val="14"/>
                <w:color w:val="auto"/>
              </w:rPr>
            </w:pPr>
          </w:p>
        </w:tc>
        <w:tc>
          <w:tcPr>
            <w:tcW w:w="1420" w:type="dxa"/>
            <w:vAlign w:val="bottom"/>
            <w:shd w:val="clear" w:color="auto" w:fill="CCECFF"/>
          </w:tcPr>
          <w:p>
            <w:pPr>
              <w:spacing w:after="0"/>
              <w:rPr>
                <w:sz w:val="14"/>
                <w:szCs w:val="14"/>
                <w:color w:val="auto"/>
              </w:rPr>
            </w:pPr>
          </w:p>
        </w:tc>
        <w:tc>
          <w:tcPr>
            <w:tcW w:w="60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9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r>
      <w:tr>
        <w:trPr>
          <w:trHeight w:val="176"/>
        </w:trPr>
        <w:tc>
          <w:tcPr>
            <w:tcW w:w="3020" w:type="dxa"/>
            <w:vAlign w:val="bottom"/>
          </w:tcPr>
          <w:p>
            <w:pPr>
              <w:ind w:left="20"/>
              <w:spacing w:after="0"/>
              <w:rPr>
                <w:sz w:val="20"/>
                <w:szCs w:val="20"/>
                <w:color w:val="auto"/>
              </w:rPr>
            </w:pPr>
            <w:r>
              <w:rPr>
                <w:rFonts w:ascii="Arial" w:cs="Arial" w:eastAsia="Arial" w:hAnsi="Arial"/>
                <w:sz w:val="14"/>
                <w:szCs w:val="14"/>
                <w:b w:val="1"/>
                <w:bCs w:val="1"/>
                <w:color w:val="auto"/>
              </w:rPr>
              <w:t>Net assets</w:t>
            </w:r>
          </w:p>
        </w:tc>
        <w:tc>
          <w:tcPr>
            <w:tcW w:w="28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43"/>
        </w:trPr>
        <w:tc>
          <w:tcPr>
            <w:tcW w:w="6660" w:type="dxa"/>
            <w:vAlign w:val="bottom"/>
            <w:gridSpan w:val="3"/>
            <w:shd w:val="clear" w:color="auto" w:fill="CCECFF"/>
          </w:tcPr>
          <w:p>
            <w:pPr>
              <w:ind w:left="20"/>
              <w:spacing w:after="0" w:line="143" w:lineRule="exact"/>
              <w:rPr>
                <w:sz w:val="20"/>
                <w:szCs w:val="20"/>
                <w:color w:val="auto"/>
              </w:rPr>
            </w:pPr>
            <w:r>
              <w:rPr>
                <w:rFonts w:ascii="Arial" w:cs="Arial" w:eastAsia="Arial" w:hAnsi="Arial"/>
                <w:sz w:val="14"/>
                <w:szCs w:val="14"/>
                <w:color w:val="auto"/>
              </w:rPr>
              <w:t>Common stock, 41,345,638 and 38,880,728 shares issued and outstanding, respectively</w:t>
            </w:r>
          </w:p>
        </w:tc>
        <w:tc>
          <w:tcPr>
            <w:tcW w:w="1420" w:type="dxa"/>
            <w:vAlign w:val="bottom"/>
            <w:shd w:val="clear" w:color="auto" w:fill="CCECFF"/>
          </w:tcPr>
          <w:p>
            <w:pPr>
              <w:spacing w:after="0"/>
              <w:rPr>
                <w:sz w:val="12"/>
                <w:szCs w:val="12"/>
                <w:color w:val="auto"/>
              </w:rPr>
            </w:pPr>
          </w:p>
        </w:tc>
        <w:tc>
          <w:tcPr>
            <w:tcW w:w="60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19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81"/>
        </w:trPr>
        <w:tc>
          <w:tcPr>
            <w:tcW w:w="6660" w:type="dxa"/>
            <w:vAlign w:val="bottom"/>
            <w:gridSpan w:val="3"/>
            <w:shd w:val="clear" w:color="auto" w:fill="CCECFF"/>
          </w:tcPr>
          <w:p>
            <w:pPr>
              <w:ind w:left="120"/>
              <w:spacing w:after="0"/>
              <w:rPr>
                <w:sz w:val="20"/>
                <w:szCs w:val="20"/>
                <w:color w:val="auto"/>
              </w:rPr>
            </w:pPr>
            <w:r>
              <w:rPr>
                <w:rFonts w:ascii="Arial" w:cs="Arial" w:eastAsia="Arial" w:hAnsi="Arial"/>
                <w:sz w:val="14"/>
                <w:szCs w:val="14"/>
                <w:color w:val="auto"/>
              </w:rPr>
              <w:t>Par value $0.001 per share and 100,000,000 shares authorized</w:t>
            </w:r>
          </w:p>
        </w:tc>
        <w:tc>
          <w:tcPr>
            <w:tcW w:w="1420" w:type="dxa"/>
            <w:vAlign w:val="bottom"/>
            <w:shd w:val="clear" w:color="auto" w:fill="CCECFF"/>
          </w:tcPr>
          <w:p>
            <w:pPr>
              <w:spacing w:after="0"/>
              <w:rPr>
                <w:sz w:val="15"/>
                <w:szCs w:val="15"/>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41</w:t>
            </w:r>
          </w:p>
        </w:tc>
        <w:tc>
          <w:tcPr>
            <w:tcW w:w="260" w:type="dxa"/>
            <w:vAlign w:val="bottom"/>
            <w:shd w:val="clear" w:color="auto" w:fill="CCECFF"/>
          </w:tcPr>
          <w:p>
            <w:pPr>
              <w:spacing w:after="0"/>
              <w:rPr>
                <w:sz w:val="15"/>
                <w:szCs w:val="15"/>
                <w:color w:val="auto"/>
              </w:rPr>
            </w:pPr>
          </w:p>
        </w:tc>
        <w:tc>
          <w:tcPr>
            <w:tcW w:w="280" w:type="dxa"/>
            <w:vAlign w:val="bottom"/>
            <w:shd w:val="clear" w:color="auto" w:fill="CCECFF"/>
          </w:tcPr>
          <w:p>
            <w:pPr>
              <w:spacing w:after="0"/>
              <w:rPr>
                <w:sz w:val="15"/>
                <w:szCs w:val="15"/>
                <w:color w:val="auto"/>
              </w:rPr>
            </w:pPr>
          </w:p>
        </w:tc>
        <w:tc>
          <w:tcPr>
            <w:tcW w:w="1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CFF"/>
          </w:tcPr>
          <w:p>
            <w:pPr>
              <w:spacing w:after="0"/>
              <w:rPr>
                <w:sz w:val="15"/>
                <w:szCs w:val="15"/>
                <w:color w:val="auto"/>
              </w:rPr>
            </w:pPr>
          </w:p>
        </w:tc>
      </w:tr>
      <w:tr>
        <w:trPr>
          <w:trHeight w:val="175"/>
        </w:trPr>
        <w:tc>
          <w:tcPr>
            <w:tcW w:w="3020" w:type="dxa"/>
            <w:vAlign w:val="bottom"/>
          </w:tcPr>
          <w:p>
            <w:pPr>
              <w:ind w:left="20"/>
              <w:spacing w:after="0"/>
              <w:rPr>
                <w:sz w:val="20"/>
                <w:szCs w:val="20"/>
                <w:color w:val="auto"/>
              </w:rPr>
            </w:pPr>
            <w:r>
              <w:rPr>
                <w:rFonts w:ascii="Arial" w:cs="Arial" w:eastAsia="Arial" w:hAnsi="Arial"/>
                <w:sz w:val="14"/>
                <w:szCs w:val="14"/>
                <w:color w:val="auto"/>
              </w:rPr>
              <w:t>Paid-in capital in excess of par value</w:t>
            </w:r>
          </w:p>
        </w:tc>
        <w:tc>
          <w:tcPr>
            <w:tcW w:w="28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570,663</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20" w:type="dxa"/>
            <w:vAlign w:val="bottom"/>
          </w:tcPr>
          <w:p>
            <w:pPr>
              <w:jc w:val="right"/>
              <w:spacing w:after="0"/>
              <w:rPr>
                <w:sz w:val="20"/>
                <w:szCs w:val="20"/>
                <w:color w:val="auto"/>
              </w:rPr>
            </w:pPr>
            <w:r>
              <w:rPr>
                <w:rFonts w:ascii="Arial" w:cs="Arial" w:eastAsia="Arial" w:hAnsi="Arial"/>
                <w:sz w:val="14"/>
                <w:szCs w:val="14"/>
                <w:color w:val="auto"/>
              </w:rPr>
              <w:t>538,814</w:t>
            </w:r>
          </w:p>
        </w:tc>
        <w:tc>
          <w:tcPr>
            <w:tcW w:w="100" w:type="dxa"/>
            <w:vAlign w:val="bottom"/>
          </w:tcPr>
          <w:p>
            <w:pPr>
              <w:spacing w:after="0"/>
              <w:rPr>
                <w:sz w:val="15"/>
                <w:szCs w:val="15"/>
                <w:color w:val="auto"/>
              </w:rPr>
            </w:pPr>
          </w:p>
        </w:tc>
      </w:tr>
      <w:tr>
        <w:trPr>
          <w:trHeight w:val="175"/>
        </w:trPr>
        <w:tc>
          <w:tcPr>
            <w:tcW w:w="3020" w:type="dxa"/>
            <w:vAlign w:val="bottom"/>
            <w:shd w:val="clear" w:color="auto" w:fill="CCECFF"/>
          </w:tcPr>
          <w:p>
            <w:pPr>
              <w:ind w:left="20"/>
              <w:spacing w:after="0"/>
              <w:rPr>
                <w:sz w:val="20"/>
                <w:szCs w:val="20"/>
                <w:color w:val="auto"/>
              </w:rPr>
            </w:pPr>
            <w:r>
              <w:rPr>
                <w:rFonts w:ascii="Arial" w:cs="Arial" w:eastAsia="Arial" w:hAnsi="Arial"/>
                <w:sz w:val="14"/>
                <w:szCs w:val="14"/>
                <w:color w:val="auto"/>
              </w:rPr>
              <w:t>Accumulated deficit</w:t>
            </w:r>
          </w:p>
        </w:tc>
        <w:tc>
          <w:tcPr>
            <w:tcW w:w="280" w:type="dxa"/>
            <w:vAlign w:val="bottom"/>
            <w:shd w:val="clear" w:color="auto" w:fill="CCECFF"/>
          </w:tcPr>
          <w:p>
            <w:pPr>
              <w:spacing w:after="0"/>
              <w:rPr>
                <w:sz w:val="15"/>
                <w:szCs w:val="15"/>
                <w:color w:val="auto"/>
              </w:rPr>
            </w:pPr>
          </w:p>
        </w:tc>
        <w:tc>
          <w:tcPr>
            <w:tcW w:w="3360" w:type="dxa"/>
            <w:vAlign w:val="bottom"/>
            <w:shd w:val="clear" w:color="auto" w:fill="CCECFF"/>
          </w:tcPr>
          <w:p>
            <w:pPr>
              <w:spacing w:after="0"/>
              <w:rPr>
                <w:sz w:val="15"/>
                <w:szCs w:val="15"/>
                <w:color w:val="auto"/>
              </w:rPr>
            </w:pPr>
          </w:p>
        </w:tc>
        <w:tc>
          <w:tcPr>
            <w:tcW w:w="1420" w:type="dxa"/>
            <w:vAlign w:val="bottom"/>
            <w:shd w:val="clear" w:color="auto" w:fill="CCECFF"/>
          </w:tcPr>
          <w:p>
            <w:pPr>
              <w:spacing w:after="0"/>
              <w:rPr>
                <w:sz w:val="15"/>
                <w:szCs w:val="15"/>
                <w:color w:val="auto"/>
              </w:rPr>
            </w:pPr>
          </w:p>
        </w:tc>
        <w:tc>
          <w:tcPr>
            <w:tcW w:w="86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(65,791 )</w:t>
            </w:r>
          </w:p>
        </w:tc>
        <w:tc>
          <w:tcPr>
            <w:tcW w:w="280" w:type="dxa"/>
            <w:vAlign w:val="bottom"/>
            <w:shd w:val="clear" w:color="auto" w:fill="CCECFF"/>
          </w:tcPr>
          <w:p>
            <w:pPr>
              <w:spacing w:after="0"/>
              <w:rPr>
                <w:sz w:val="15"/>
                <w:szCs w:val="15"/>
                <w:color w:val="auto"/>
              </w:rPr>
            </w:pPr>
          </w:p>
        </w:tc>
        <w:tc>
          <w:tcPr>
            <w:tcW w:w="2020" w:type="dxa"/>
            <w:vAlign w:val="bottom"/>
            <w:gridSpan w:val="2"/>
            <w:shd w:val="clear" w:color="auto" w:fill="CCECFF"/>
          </w:tcPr>
          <w:p>
            <w:pPr>
              <w:jc w:val="right"/>
              <w:ind w:right="40"/>
              <w:spacing w:after="0"/>
              <w:rPr>
                <w:sz w:val="20"/>
                <w:szCs w:val="20"/>
                <w:color w:val="auto"/>
              </w:rPr>
            </w:pPr>
            <w:r>
              <w:rPr>
                <w:rFonts w:ascii="Arial" w:cs="Arial" w:eastAsia="Arial" w:hAnsi="Arial"/>
                <w:sz w:val="14"/>
                <w:szCs w:val="14"/>
                <w:color w:val="auto"/>
              </w:rPr>
              <w:t>(48,242 )</w:t>
            </w:r>
          </w:p>
        </w:tc>
      </w:tr>
      <w:tr>
        <w:trPr>
          <w:trHeight w:val="169"/>
        </w:trPr>
        <w:tc>
          <w:tcPr>
            <w:tcW w:w="3020" w:type="dxa"/>
            <w:vAlign w:val="bottom"/>
            <w:tcBorders>
              <w:top w:val="single" w:sz="8" w:color="CCECFF"/>
            </w:tcBorders>
          </w:tcPr>
          <w:p>
            <w:pPr>
              <w:ind w:left="20"/>
              <w:spacing w:after="0"/>
              <w:rPr>
                <w:sz w:val="20"/>
                <w:szCs w:val="20"/>
                <w:color w:val="auto"/>
              </w:rPr>
            </w:pPr>
            <w:r>
              <w:rPr>
                <w:rFonts w:ascii="Arial" w:cs="Arial" w:eastAsia="Arial" w:hAnsi="Arial"/>
                <w:sz w:val="14"/>
                <w:szCs w:val="14"/>
                <w:b w:val="1"/>
                <w:bCs w:val="1"/>
                <w:color w:val="auto"/>
              </w:rPr>
              <w:t>Total net assets</w:t>
            </w:r>
          </w:p>
        </w:tc>
        <w:tc>
          <w:tcPr>
            <w:tcW w:w="280" w:type="dxa"/>
            <w:vAlign w:val="bottom"/>
            <w:tcBorders>
              <w:top w:val="single" w:sz="8" w:color="CCECFF"/>
            </w:tcBorders>
          </w:tcPr>
          <w:p>
            <w:pPr>
              <w:spacing w:after="0"/>
              <w:rPr>
                <w:sz w:val="14"/>
                <w:szCs w:val="14"/>
                <w:color w:val="auto"/>
              </w:rPr>
            </w:pPr>
          </w:p>
        </w:tc>
        <w:tc>
          <w:tcPr>
            <w:tcW w:w="3360" w:type="dxa"/>
            <w:vAlign w:val="bottom"/>
            <w:tcBorders>
              <w:top w:val="single" w:sz="8" w:color="CCECFF"/>
            </w:tcBorders>
          </w:tcPr>
          <w:p>
            <w:pPr>
              <w:spacing w:after="0"/>
              <w:rPr>
                <w:sz w:val="14"/>
                <w:szCs w:val="14"/>
                <w:color w:val="auto"/>
              </w:rPr>
            </w:pPr>
          </w:p>
        </w:tc>
        <w:tc>
          <w:tcPr>
            <w:tcW w:w="1420" w:type="dxa"/>
            <w:vAlign w:val="bottom"/>
            <w:tcBorders>
              <w:top w:val="single" w:sz="8" w:color="auto"/>
              <w:bottom w:val="single" w:sz="8" w:color="auto"/>
            </w:tcBorders>
          </w:tcPr>
          <w:p>
            <w:pPr>
              <w:jc w:val="right"/>
              <w:ind w:right="1268"/>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504,913</w:t>
            </w:r>
          </w:p>
        </w:tc>
        <w:tc>
          <w:tcPr>
            <w:tcW w:w="260" w:type="dxa"/>
            <w:vAlign w:val="bottom"/>
            <w:tcBorders>
              <w:top w:val="single" w:sz="8" w:color="CCECFF"/>
            </w:tcBorders>
          </w:tcPr>
          <w:p>
            <w:pPr>
              <w:spacing w:after="0"/>
              <w:rPr>
                <w:sz w:val="14"/>
                <w:szCs w:val="14"/>
                <w:color w:val="auto"/>
              </w:rPr>
            </w:pPr>
          </w:p>
        </w:tc>
        <w:tc>
          <w:tcPr>
            <w:tcW w:w="28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1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490,611</w:t>
            </w:r>
          </w:p>
        </w:tc>
        <w:tc>
          <w:tcPr>
            <w:tcW w:w="100" w:type="dxa"/>
            <w:vAlign w:val="bottom"/>
            <w:tcBorders>
              <w:top w:val="single" w:sz="8" w:color="CCECFF"/>
            </w:tcBorders>
          </w:tcPr>
          <w:p>
            <w:pPr>
              <w:spacing w:after="0"/>
              <w:rPr>
                <w:sz w:val="14"/>
                <w:szCs w:val="14"/>
                <w:color w:val="auto"/>
              </w:rPr>
            </w:pPr>
          </w:p>
        </w:tc>
      </w:tr>
      <w:tr>
        <w:trPr>
          <w:trHeight w:val="209"/>
        </w:trPr>
        <w:tc>
          <w:tcPr>
            <w:tcW w:w="3020" w:type="dxa"/>
            <w:vAlign w:val="bottom"/>
            <w:tcBorders>
              <w:bottom w:val="single" w:sz="8" w:color="CCECFF"/>
            </w:tcBorders>
            <w:shd w:val="clear" w:color="auto" w:fill="CCECFF"/>
          </w:tcPr>
          <w:p>
            <w:pPr>
              <w:ind w:left="20"/>
              <w:spacing w:after="0" w:line="155" w:lineRule="exact"/>
              <w:rPr>
                <w:sz w:val="20"/>
                <w:szCs w:val="20"/>
                <w:color w:val="auto"/>
              </w:rPr>
            </w:pPr>
            <w:r>
              <w:rPr>
                <w:rFonts w:ascii="Arial" w:cs="Arial" w:eastAsia="Arial" w:hAnsi="Arial"/>
                <w:sz w:val="14"/>
                <w:szCs w:val="14"/>
                <w:b w:val="1"/>
                <w:bCs w:val="1"/>
                <w:color w:val="auto"/>
              </w:rPr>
              <w:t>Total liabilities and net assets</w:t>
            </w:r>
          </w:p>
        </w:tc>
        <w:tc>
          <w:tcPr>
            <w:tcW w:w="280" w:type="dxa"/>
            <w:vAlign w:val="bottom"/>
            <w:tcBorders>
              <w:bottom w:val="single" w:sz="8" w:color="CCECFF"/>
            </w:tcBorders>
            <w:shd w:val="clear" w:color="auto" w:fill="CCECFF"/>
          </w:tcPr>
          <w:p>
            <w:pPr>
              <w:spacing w:after="0"/>
              <w:rPr>
                <w:sz w:val="18"/>
                <w:szCs w:val="18"/>
                <w:color w:val="auto"/>
              </w:rPr>
            </w:pPr>
          </w:p>
        </w:tc>
        <w:tc>
          <w:tcPr>
            <w:tcW w:w="3360" w:type="dxa"/>
            <w:vAlign w:val="bottom"/>
            <w:tcBorders>
              <w:bottom w:val="single" w:sz="8" w:color="CCECFF"/>
            </w:tcBorders>
            <w:shd w:val="clear" w:color="auto" w:fill="CCECFF"/>
          </w:tcPr>
          <w:p>
            <w:pPr>
              <w:spacing w:after="0"/>
              <w:rPr>
                <w:sz w:val="18"/>
                <w:szCs w:val="18"/>
                <w:color w:val="auto"/>
              </w:rPr>
            </w:pPr>
          </w:p>
        </w:tc>
        <w:tc>
          <w:tcPr>
            <w:tcW w:w="1420" w:type="dxa"/>
            <w:vAlign w:val="bottom"/>
            <w:tcBorders>
              <w:bottom w:val="single" w:sz="8" w:color="auto"/>
            </w:tcBorders>
            <w:shd w:val="clear" w:color="auto" w:fill="CCECFF"/>
          </w:tcPr>
          <w:p>
            <w:pPr>
              <w:jc w:val="right"/>
              <w:ind w:right="1268"/>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89"/>
              </w:rPr>
              <w:t>1,291,154</w:t>
            </w:r>
          </w:p>
        </w:tc>
        <w:tc>
          <w:tcPr>
            <w:tcW w:w="260" w:type="dxa"/>
            <w:vAlign w:val="bottom"/>
            <w:tcBorders>
              <w:bottom w:val="single" w:sz="8" w:color="CCECFF"/>
            </w:tcBorders>
            <w:shd w:val="clear" w:color="auto" w:fill="CCECFF"/>
          </w:tcPr>
          <w:p>
            <w:pPr>
              <w:spacing w:after="0"/>
              <w:rPr>
                <w:sz w:val="18"/>
                <w:szCs w:val="18"/>
                <w:color w:val="auto"/>
              </w:rPr>
            </w:pPr>
          </w:p>
        </w:tc>
        <w:tc>
          <w:tcPr>
            <w:tcW w:w="280" w:type="dxa"/>
            <w:vAlign w:val="bottom"/>
            <w:tcBorders>
              <w:bottom w:val="single" w:sz="8" w:color="auto"/>
            </w:tcBorders>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19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1,170,856</w:t>
            </w:r>
          </w:p>
        </w:tc>
        <w:tc>
          <w:tcPr>
            <w:tcW w:w="100" w:type="dxa"/>
            <w:vAlign w:val="bottom"/>
            <w:tcBorders>
              <w:bottom w:val="single" w:sz="8" w:color="CCECFF"/>
            </w:tcBorders>
            <w:shd w:val="clear" w:color="auto" w:fill="CCECFF"/>
          </w:tcPr>
          <w:p>
            <w:pPr>
              <w:spacing w:after="0"/>
              <w:rPr>
                <w:sz w:val="18"/>
                <w:szCs w:val="18"/>
                <w:color w:val="auto"/>
              </w:rPr>
            </w:pPr>
          </w:p>
        </w:tc>
      </w:tr>
      <w:tr>
        <w:trPr>
          <w:trHeight w:val="156"/>
        </w:trPr>
        <w:tc>
          <w:tcPr>
            <w:tcW w:w="3020" w:type="dxa"/>
            <w:vAlign w:val="bottom"/>
          </w:tcPr>
          <w:p>
            <w:pPr>
              <w:ind w:left="20"/>
              <w:spacing w:after="0" w:line="155" w:lineRule="exact"/>
              <w:rPr>
                <w:sz w:val="20"/>
                <w:szCs w:val="20"/>
                <w:color w:val="auto"/>
              </w:rPr>
            </w:pPr>
            <w:r>
              <w:rPr>
                <w:rFonts w:ascii="Arial" w:cs="Arial" w:eastAsia="Arial" w:hAnsi="Arial"/>
                <w:sz w:val="14"/>
                <w:szCs w:val="14"/>
                <w:b w:val="1"/>
                <w:bCs w:val="1"/>
                <w:color w:val="auto"/>
              </w:rPr>
              <w:t>Net asset value per share</w:t>
            </w:r>
          </w:p>
        </w:tc>
        <w:tc>
          <w:tcPr>
            <w:tcW w:w="28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1420" w:type="dxa"/>
            <w:vAlign w:val="bottom"/>
            <w:tcBorders>
              <w:bottom w:val="single" w:sz="8" w:color="auto"/>
            </w:tcBorders>
          </w:tcPr>
          <w:p>
            <w:pPr>
              <w:jc w:val="right"/>
              <w:ind w:right="1268"/>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12.21</w:t>
            </w:r>
          </w:p>
        </w:tc>
        <w:tc>
          <w:tcPr>
            <w:tcW w:w="260" w:type="dxa"/>
            <w:vAlign w:val="bottom"/>
          </w:tcPr>
          <w:p>
            <w:pPr>
              <w:spacing w:after="0"/>
              <w:rPr>
                <w:sz w:val="13"/>
                <w:szCs w:val="13"/>
                <w:color w:val="auto"/>
              </w:rPr>
            </w:pPr>
          </w:p>
        </w:tc>
        <w:tc>
          <w:tcPr>
            <w:tcW w:w="280" w:type="dxa"/>
            <w:vAlign w:val="bottom"/>
            <w:tcBorders>
              <w:bottom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1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12.62</w:t>
            </w:r>
          </w:p>
        </w:tc>
        <w:tc>
          <w:tcPr>
            <w:tcW w:w="100" w:type="dxa"/>
            <w:vAlign w:val="bottom"/>
          </w:tcPr>
          <w:p>
            <w:pPr>
              <w:spacing w:after="0"/>
              <w:rPr>
                <w:sz w:val="13"/>
                <w:szCs w:val="13"/>
                <w:color w:val="auto"/>
              </w:rPr>
            </w:pPr>
          </w:p>
        </w:tc>
      </w:tr>
      <w:tr>
        <w:trPr>
          <w:trHeight w:val="20"/>
        </w:trPr>
        <w:tc>
          <w:tcPr>
            <w:tcW w:w="3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-3211195</wp:posOffset>
            </wp:positionV>
            <wp:extent cx="6858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-3211195</wp:posOffset>
            </wp:positionV>
            <wp:extent cx="6858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-2525395</wp:posOffset>
            </wp:positionV>
            <wp:extent cx="6858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-2525395</wp:posOffset>
            </wp:positionV>
            <wp:extent cx="6858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-1179195</wp:posOffset>
            </wp:positionV>
            <wp:extent cx="68580"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-1179195</wp:posOffset>
            </wp:positionV>
            <wp:extent cx="6858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-399415</wp:posOffset>
            </wp:positionV>
            <wp:extent cx="68580"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-399415</wp:posOffset>
            </wp:positionV>
            <wp:extent cx="68580"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-162560</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-145415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-145415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OPERATIONS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40" w:type="dxa"/>
            <w:vAlign w:val="bottom"/>
            <w:gridSpan w:val="5"/>
          </w:tcPr>
          <w:p>
            <w:pPr>
              <w:jc w:val="right"/>
              <w:ind w:right="568"/>
              <w:spacing w:after="0"/>
              <w:rPr>
                <w:sz w:val="20"/>
                <w:szCs w:val="20"/>
                <w:color w:val="auto"/>
              </w:rPr>
            </w:pPr>
            <w:r>
              <w:rPr>
                <w:rFonts w:ascii="Arial" w:cs="Arial" w:eastAsia="Arial" w:hAnsi="Arial"/>
                <w:sz w:val="14"/>
                <w:szCs w:val="14"/>
                <w:b w:val="1"/>
                <w:bCs w:val="1"/>
                <w:color w:val="auto"/>
                <w:w w:val="99"/>
              </w:rPr>
              <w:t>Three Months Ended June 30,</w:t>
            </w:r>
          </w:p>
        </w:tc>
        <w:tc>
          <w:tcPr>
            <w:tcW w:w="240" w:type="dxa"/>
            <w:vAlign w:val="bottom"/>
          </w:tcPr>
          <w:p>
            <w:pPr>
              <w:spacing w:after="0"/>
              <w:rPr>
                <w:sz w:val="16"/>
                <w:szCs w:val="16"/>
                <w:color w:val="auto"/>
              </w:rPr>
            </w:pPr>
          </w:p>
        </w:tc>
        <w:tc>
          <w:tcPr>
            <w:tcW w:w="2440" w:type="dxa"/>
            <w:vAlign w:val="bottom"/>
            <w:gridSpan w:val="5"/>
          </w:tcPr>
          <w:p>
            <w:pPr>
              <w:jc w:val="right"/>
              <w:ind w:right="428"/>
              <w:spacing w:after="0"/>
              <w:rPr>
                <w:sz w:val="20"/>
                <w:szCs w:val="20"/>
                <w:color w:val="auto"/>
              </w:rPr>
            </w:pPr>
            <w:r>
              <w:rPr>
                <w:rFonts w:ascii="Arial" w:cs="Arial" w:eastAsia="Arial" w:hAnsi="Arial"/>
                <w:sz w:val="14"/>
                <w:szCs w:val="14"/>
                <w:b w:val="1"/>
                <w:bCs w:val="1"/>
                <w:color w:val="auto"/>
              </w:rPr>
              <w:t>Nine Months Ended June 30,</w:t>
            </w:r>
          </w:p>
        </w:tc>
      </w:tr>
      <w:tr>
        <w:trPr>
          <w:trHeight w:val="169"/>
        </w:trPr>
        <w:tc>
          <w:tcPr>
            <w:tcW w:w="570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69"/>
        </w:trPr>
        <w:tc>
          <w:tcPr>
            <w:tcW w:w="5700" w:type="dxa"/>
            <w:vAlign w:val="bottom"/>
          </w:tcPr>
          <w:p>
            <w:pPr>
              <w:ind w:left="20"/>
              <w:spacing w:after="0"/>
              <w:rPr>
                <w:sz w:val="20"/>
                <w:szCs w:val="20"/>
                <w:color w:val="auto"/>
              </w:rPr>
            </w:pPr>
            <w:r>
              <w:rPr>
                <w:rFonts w:ascii="Arial" w:cs="Arial" w:eastAsia="Arial" w:hAnsi="Arial"/>
                <w:sz w:val="14"/>
                <w:szCs w:val="14"/>
                <w:b w:val="1"/>
                <w:bCs w:val="1"/>
                <w:color w:val="auto"/>
              </w:rPr>
              <w:t>Investment income:</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6"/>
        </w:trPr>
        <w:tc>
          <w:tcPr>
            <w:tcW w:w="5700" w:type="dxa"/>
            <w:vAlign w:val="bottom"/>
            <w:shd w:val="clear" w:color="auto" w:fill="CCECFF"/>
          </w:tcPr>
          <w:p>
            <w:pPr>
              <w:ind w:left="20"/>
              <w:spacing w:after="0"/>
              <w:rPr>
                <w:sz w:val="20"/>
                <w:szCs w:val="20"/>
                <w:color w:val="auto"/>
              </w:rPr>
            </w:pPr>
            <w:r>
              <w:rPr>
                <w:rFonts w:ascii="Arial" w:cs="Arial" w:eastAsia="Arial" w:hAnsi="Arial"/>
                <w:sz w:val="14"/>
                <w:szCs w:val="14"/>
                <w:color w:val="auto"/>
              </w:rPr>
              <w:t>From non-controlled, non-affiliated investments:</w:t>
            </w:r>
          </w:p>
        </w:tc>
        <w:tc>
          <w:tcPr>
            <w:tcW w:w="220" w:type="dxa"/>
            <w:vAlign w:val="bottom"/>
            <w:shd w:val="clear" w:color="auto" w:fill="CCECFF"/>
          </w:tcPr>
          <w:p>
            <w:pPr>
              <w:spacing w:after="0"/>
              <w:rPr>
                <w:sz w:val="15"/>
                <w:szCs w:val="15"/>
                <w:color w:val="auto"/>
              </w:rPr>
            </w:pPr>
          </w:p>
        </w:tc>
        <w:tc>
          <w:tcPr>
            <w:tcW w:w="94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280" w:type="dxa"/>
            <w:vAlign w:val="bottom"/>
            <w:shd w:val="clear" w:color="auto" w:fill="CCECFF"/>
          </w:tcPr>
          <w:p>
            <w:pPr>
              <w:spacing w:after="0"/>
              <w:rPr>
                <w:sz w:val="15"/>
                <w:szCs w:val="15"/>
                <w:color w:val="auto"/>
              </w:rPr>
            </w:pPr>
          </w:p>
        </w:tc>
        <w:tc>
          <w:tcPr>
            <w:tcW w:w="92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90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280" w:type="dxa"/>
            <w:vAlign w:val="bottom"/>
            <w:shd w:val="clear" w:color="auto" w:fill="CCECFF"/>
          </w:tcPr>
          <w:p>
            <w:pPr>
              <w:spacing w:after="0"/>
              <w:rPr>
                <w:sz w:val="15"/>
                <w:szCs w:val="15"/>
                <w:color w:val="auto"/>
              </w:rPr>
            </w:pPr>
          </w:p>
        </w:tc>
        <w:tc>
          <w:tcPr>
            <w:tcW w:w="92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r>
      <w:tr>
        <w:trPr>
          <w:trHeight w:val="175"/>
        </w:trPr>
        <w:tc>
          <w:tcPr>
            <w:tcW w:w="5700" w:type="dxa"/>
            <w:vAlign w:val="bottom"/>
          </w:tcPr>
          <w:p>
            <w:pPr>
              <w:ind w:left="200"/>
              <w:spacing w:after="0"/>
              <w:rPr>
                <w:sz w:val="20"/>
                <w:szCs w:val="20"/>
                <w:color w:val="auto"/>
              </w:rPr>
            </w:pPr>
            <w:r>
              <w:rPr>
                <w:rFonts w:ascii="Arial" w:cs="Arial" w:eastAsia="Arial" w:hAnsi="Arial"/>
                <w:sz w:val="14"/>
                <w:szCs w:val="14"/>
                <w:color w:val="auto"/>
              </w:rPr>
              <w:t>Interest</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16,701</w:t>
            </w:r>
          </w:p>
        </w:tc>
        <w:tc>
          <w:tcPr>
            <w:tcW w:w="260" w:type="dxa"/>
            <w:vAlign w:val="bottom"/>
          </w:tcPr>
          <w:p>
            <w:pPr>
              <w:spacing w:after="0"/>
              <w:rPr>
                <w:sz w:val="15"/>
                <w:szCs w:val="15"/>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14,495</w:t>
            </w:r>
          </w:p>
        </w:tc>
        <w:tc>
          <w:tcPr>
            <w:tcW w:w="240" w:type="dxa"/>
            <w:vAlign w:val="bottom"/>
          </w:tcPr>
          <w:p>
            <w:pPr>
              <w:spacing w:after="0"/>
              <w:rPr>
                <w:sz w:val="15"/>
                <w:szCs w:val="15"/>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49,753</w:t>
            </w:r>
          </w:p>
        </w:tc>
        <w:tc>
          <w:tcPr>
            <w:tcW w:w="240" w:type="dxa"/>
            <w:vAlign w:val="bottom"/>
          </w:tcPr>
          <w:p>
            <w:pPr>
              <w:spacing w:after="0"/>
              <w:rPr>
                <w:sz w:val="15"/>
                <w:szCs w:val="15"/>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43,521</w:t>
            </w:r>
          </w:p>
        </w:tc>
        <w:tc>
          <w:tcPr>
            <w:tcW w:w="100" w:type="dxa"/>
            <w:vAlign w:val="bottom"/>
          </w:tcPr>
          <w:p>
            <w:pPr>
              <w:spacing w:after="0"/>
              <w:rPr>
                <w:sz w:val="15"/>
                <w:szCs w:val="15"/>
                <w:color w:val="auto"/>
              </w:rPr>
            </w:pPr>
          </w:p>
        </w:tc>
      </w:tr>
      <w:tr>
        <w:trPr>
          <w:trHeight w:val="176"/>
        </w:trPr>
        <w:tc>
          <w:tcPr>
            <w:tcW w:w="5700" w:type="dxa"/>
            <w:vAlign w:val="bottom"/>
            <w:shd w:val="clear" w:color="auto" w:fill="CCECFF"/>
          </w:tcPr>
          <w:p>
            <w:pPr>
              <w:ind w:left="200"/>
              <w:spacing w:after="0"/>
              <w:rPr>
                <w:sz w:val="20"/>
                <w:szCs w:val="20"/>
                <w:color w:val="auto"/>
              </w:rPr>
            </w:pPr>
            <w:r>
              <w:rPr>
                <w:rFonts w:ascii="Arial" w:cs="Arial" w:eastAsia="Arial" w:hAnsi="Arial"/>
                <w:sz w:val="14"/>
                <w:szCs w:val="14"/>
                <w:color w:val="auto"/>
              </w:rPr>
              <w:t>Dividend</w:t>
            </w:r>
          </w:p>
        </w:tc>
        <w:tc>
          <w:tcPr>
            <w:tcW w:w="220" w:type="dxa"/>
            <w:vAlign w:val="bottom"/>
            <w:shd w:val="clear" w:color="auto" w:fill="CCECFF"/>
          </w:tcPr>
          <w:p>
            <w:pPr>
              <w:spacing w:after="0"/>
              <w:rPr>
                <w:sz w:val="15"/>
                <w:szCs w:val="15"/>
                <w:color w:val="auto"/>
              </w:rPr>
            </w:pPr>
          </w:p>
        </w:tc>
        <w:tc>
          <w:tcPr>
            <w:tcW w:w="9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577</w:t>
            </w:r>
          </w:p>
        </w:tc>
        <w:tc>
          <w:tcPr>
            <w:tcW w:w="260" w:type="dxa"/>
            <w:vAlign w:val="bottom"/>
            <w:shd w:val="clear" w:color="auto" w:fill="CCECFF"/>
          </w:tcPr>
          <w:p>
            <w:pPr>
              <w:spacing w:after="0"/>
              <w:rPr>
                <w:sz w:val="15"/>
                <w:szCs w:val="15"/>
                <w:color w:val="auto"/>
              </w:rPr>
            </w:pPr>
          </w:p>
        </w:tc>
        <w:tc>
          <w:tcPr>
            <w:tcW w:w="280" w:type="dxa"/>
            <w:vAlign w:val="bottom"/>
            <w:shd w:val="clear" w:color="auto" w:fill="CCECFF"/>
          </w:tcPr>
          <w:p>
            <w:pPr>
              <w:spacing w:after="0"/>
              <w:rPr>
                <w:sz w:val="15"/>
                <w:szCs w:val="15"/>
                <w:color w:val="auto"/>
              </w:rPr>
            </w:pPr>
          </w:p>
        </w:tc>
        <w:tc>
          <w:tcPr>
            <w:tcW w:w="1160" w:type="dxa"/>
            <w:vAlign w:val="bottom"/>
            <w:gridSpan w:val="2"/>
            <w:shd w:val="clear" w:color="auto" w:fill="CCECFF"/>
          </w:tcPr>
          <w:p>
            <w:pPr>
              <w:jc w:val="right"/>
              <w:ind w:right="18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CFF"/>
          </w:tcPr>
          <w:p>
            <w:pPr>
              <w:spacing w:after="0"/>
              <w:rPr>
                <w:sz w:val="15"/>
                <w:szCs w:val="15"/>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1,731</w:t>
            </w:r>
          </w:p>
        </w:tc>
        <w:tc>
          <w:tcPr>
            <w:tcW w:w="240" w:type="dxa"/>
            <w:vAlign w:val="bottom"/>
            <w:shd w:val="clear" w:color="auto" w:fill="CCECFF"/>
          </w:tcPr>
          <w:p>
            <w:pPr>
              <w:spacing w:after="0"/>
              <w:rPr>
                <w:sz w:val="15"/>
                <w:szCs w:val="15"/>
                <w:color w:val="auto"/>
              </w:rPr>
            </w:pPr>
          </w:p>
        </w:tc>
        <w:tc>
          <w:tcPr>
            <w:tcW w:w="280" w:type="dxa"/>
            <w:vAlign w:val="bottom"/>
            <w:shd w:val="clear" w:color="auto" w:fill="CCECFF"/>
          </w:tcPr>
          <w:p>
            <w:pPr>
              <w:spacing w:after="0"/>
              <w:rPr>
                <w:sz w:val="15"/>
                <w:szCs w:val="15"/>
                <w:color w:val="auto"/>
              </w:rPr>
            </w:pPr>
          </w:p>
        </w:tc>
        <w:tc>
          <w:tcPr>
            <w:tcW w:w="1020" w:type="dxa"/>
            <w:vAlign w:val="bottom"/>
            <w:gridSpan w:val="2"/>
            <w:shd w:val="clear" w:color="auto" w:fill="CCECFF"/>
          </w:tcPr>
          <w:p>
            <w:pPr>
              <w:jc w:val="right"/>
              <w:ind w:right="48"/>
              <w:spacing w:after="0"/>
              <w:rPr>
                <w:sz w:val="20"/>
                <w:szCs w:val="20"/>
                <w:color w:val="auto"/>
              </w:rPr>
            </w:pPr>
            <w:r>
              <w:rPr>
                <w:rFonts w:ascii="Arial" w:cs="Arial" w:eastAsia="Arial" w:hAnsi="Arial"/>
                <w:sz w:val="14"/>
                <w:szCs w:val="14"/>
                <w:color w:val="auto"/>
              </w:rPr>
              <w:t>—</w:t>
            </w:r>
          </w:p>
        </w:tc>
      </w:tr>
      <w:tr>
        <w:trPr>
          <w:trHeight w:val="175"/>
        </w:trPr>
        <w:tc>
          <w:tcPr>
            <w:tcW w:w="5700" w:type="dxa"/>
            <w:vAlign w:val="bottom"/>
          </w:tcPr>
          <w:p>
            <w:pPr>
              <w:ind w:left="200"/>
              <w:spacing w:after="0"/>
              <w:rPr>
                <w:sz w:val="20"/>
                <w:szCs w:val="20"/>
                <w:color w:val="auto"/>
              </w:rPr>
            </w:pPr>
            <w:r>
              <w:rPr>
                <w:rFonts w:ascii="Arial" w:cs="Arial" w:eastAsia="Arial" w:hAnsi="Arial"/>
                <w:sz w:val="14"/>
                <w:szCs w:val="14"/>
                <w:color w:val="auto"/>
              </w:rPr>
              <w:t>Other income</w:t>
            </w: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285</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1,161</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3,795</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2,534</w:t>
            </w:r>
          </w:p>
        </w:tc>
        <w:tc>
          <w:tcPr>
            <w:tcW w:w="100" w:type="dxa"/>
            <w:vAlign w:val="bottom"/>
          </w:tcPr>
          <w:p>
            <w:pPr>
              <w:spacing w:after="0"/>
              <w:rPr>
                <w:sz w:val="15"/>
                <w:szCs w:val="15"/>
                <w:color w:val="auto"/>
              </w:rPr>
            </w:pPr>
          </w:p>
        </w:tc>
      </w:tr>
      <w:tr>
        <w:trPr>
          <w:trHeight w:val="176"/>
        </w:trPr>
        <w:tc>
          <w:tcPr>
            <w:tcW w:w="5700" w:type="dxa"/>
            <w:vAlign w:val="bottom"/>
            <w:shd w:val="clear" w:color="auto" w:fill="CCECFF"/>
          </w:tcPr>
          <w:p>
            <w:pPr>
              <w:ind w:left="20"/>
              <w:spacing w:after="0"/>
              <w:rPr>
                <w:sz w:val="20"/>
                <w:szCs w:val="20"/>
                <w:color w:val="auto"/>
              </w:rPr>
            </w:pPr>
            <w:r>
              <w:rPr>
                <w:rFonts w:ascii="Arial" w:cs="Arial" w:eastAsia="Arial" w:hAnsi="Arial"/>
                <w:sz w:val="14"/>
                <w:szCs w:val="14"/>
                <w:color w:val="auto"/>
              </w:rPr>
              <w:t>From non-controlled, affiliated investments:</w:t>
            </w:r>
          </w:p>
        </w:tc>
        <w:tc>
          <w:tcPr>
            <w:tcW w:w="220" w:type="dxa"/>
            <w:vAlign w:val="bottom"/>
            <w:shd w:val="clear" w:color="auto" w:fill="CCECFF"/>
          </w:tcPr>
          <w:p>
            <w:pPr>
              <w:spacing w:after="0"/>
              <w:rPr>
                <w:sz w:val="15"/>
                <w:szCs w:val="15"/>
                <w:color w:val="auto"/>
              </w:rPr>
            </w:pPr>
          </w:p>
        </w:tc>
        <w:tc>
          <w:tcPr>
            <w:tcW w:w="94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280" w:type="dxa"/>
            <w:vAlign w:val="bottom"/>
            <w:shd w:val="clear" w:color="auto" w:fill="CCECFF"/>
          </w:tcPr>
          <w:p>
            <w:pPr>
              <w:spacing w:after="0"/>
              <w:rPr>
                <w:sz w:val="15"/>
                <w:szCs w:val="15"/>
                <w:color w:val="auto"/>
              </w:rPr>
            </w:pPr>
          </w:p>
        </w:tc>
        <w:tc>
          <w:tcPr>
            <w:tcW w:w="92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90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280" w:type="dxa"/>
            <w:vAlign w:val="bottom"/>
            <w:shd w:val="clear" w:color="auto" w:fill="CCECFF"/>
          </w:tcPr>
          <w:p>
            <w:pPr>
              <w:spacing w:after="0"/>
              <w:rPr>
                <w:sz w:val="15"/>
                <w:szCs w:val="15"/>
                <w:color w:val="auto"/>
              </w:rPr>
            </w:pPr>
          </w:p>
        </w:tc>
        <w:tc>
          <w:tcPr>
            <w:tcW w:w="92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r>
      <w:tr>
        <w:trPr>
          <w:trHeight w:val="176"/>
        </w:trPr>
        <w:tc>
          <w:tcPr>
            <w:tcW w:w="5700" w:type="dxa"/>
            <w:vAlign w:val="bottom"/>
          </w:tcPr>
          <w:p>
            <w:pPr>
              <w:ind w:left="200"/>
              <w:spacing w:after="0"/>
              <w:rPr>
                <w:sz w:val="20"/>
                <w:szCs w:val="20"/>
                <w:color w:val="auto"/>
              </w:rPr>
            </w:pPr>
            <w:r>
              <w:rPr>
                <w:rFonts w:ascii="Arial" w:cs="Arial" w:eastAsia="Arial" w:hAnsi="Arial"/>
                <w:sz w:val="14"/>
                <w:szCs w:val="14"/>
                <w:color w:val="auto"/>
              </w:rPr>
              <w:t>Interest</w:t>
            </w:r>
          </w:p>
        </w:tc>
        <w:tc>
          <w:tcPr>
            <w:tcW w:w="220" w:type="dxa"/>
            <w:vAlign w:val="bottom"/>
          </w:tcPr>
          <w:p>
            <w:pPr>
              <w:spacing w:after="0"/>
              <w:rPr>
                <w:sz w:val="15"/>
                <w:szCs w:val="15"/>
                <w:color w:val="auto"/>
              </w:rPr>
            </w:pPr>
          </w:p>
        </w:tc>
        <w:tc>
          <w:tcPr>
            <w:tcW w:w="120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116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112</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280</w:t>
            </w:r>
          </w:p>
        </w:tc>
        <w:tc>
          <w:tcPr>
            <w:tcW w:w="100" w:type="dxa"/>
            <w:vAlign w:val="bottom"/>
          </w:tcPr>
          <w:p>
            <w:pPr>
              <w:spacing w:after="0"/>
              <w:rPr>
                <w:sz w:val="15"/>
                <w:szCs w:val="15"/>
                <w:color w:val="auto"/>
              </w:rPr>
            </w:pPr>
          </w:p>
        </w:tc>
      </w:tr>
      <w:tr>
        <w:trPr>
          <w:trHeight w:val="175"/>
        </w:trPr>
        <w:tc>
          <w:tcPr>
            <w:tcW w:w="5700" w:type="dxa"/>
            <w:vAlign w:val="bottom"/>
            <w:shd w:val="clear" w:color="auto" w:fill="CCECFF"/>
          </w:tcPr>
          <w:p>
            <w:pPr>
              <w:ind w:left="200"/>
              <w:spacing w:after="0"/>
              <w:rPr>
                <w:sz w:val="20"/>
                <w:szCs w:val="20"/>
                <w:color w:val="auto"/>
              </w:rPr>
            </w:pPr>
            <w:r>
              <w:rPr>
                <w:rFonts w:ascii="Arial" w:cs="Arial" w:eastAsia="Arial" w:hAnsi="Arial"/>
                <w:sz w:val="14"/>
                <w:szCs w:val="14"/>
                <w:color w:val="auto"/>
              </w:rPr>
              <w:t>Other income</w:t>
            </w:r>
          </w:p>
        </w:tc>
        <w:tc>
          <w:tcPr>
            <w:tcW w:w="220" w:type="dxa"/>
            <w:vAlign w:val="bottom"/>
            <w:shd w:val="clear" w:color="auto" w:fill="CCECFF"/>
          </w:tcPr>
          <w:p>
            <w:pPr>
              <w:spacing w:after="0"/>
              <w:rPr>
                <w:sz w:val="15"/>
                <w:szCs w:val="15"/>
                <w:color w:val="auto"/>
              </w:rPr>
            </w:pPr>
          </w:p>
        </w:tc>
        <w:tc>
          <w:tcPr>
            <w:tcW w:w="1200" w:type="dxa"/>
            <w:vAlign w:val="bottom"/>
            <w:gridSpan w:val="2"/>
            <w:shd w:val="clear" w:color="auto" w:fill="CCECFF"/>
          </w:tcPr>
          <w:p>
            <w:pPr>
              <w:jc w:val="right"/>
              <w:ind w:right="18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CFF"/>
          </w:tcPr>
          <w:p>
            <w:pPr>
              <w:spacing w:after="0"/>
              <w:rPr>
                <w:sz w:val="15"/>
                <w:szCs w:val="15"/>
                <w:color w:val="auto"/>
              </w:rPr>
            </w:pPr>
          </w:p>
        </w:tc>
        <w:tc>
          <w:tcPr>
            <w:tcW w:w="1160" w:type="dxa"/>
            <w:vAlign w:val="bottom"/>
            <w:gridSpan w:val="2"/>
            <w:shd w:val="clear" w:color="auto" w:fill="CCECFF"/>
          </w:tcPr>
          <w:p>
            <w:pPr>
              <w:jc w:val="right"/>
              <w:ind w:right="18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CFF"/>
          </w:tcPr>
          <w:p>
            <w:pPr>
              <w:spacing w:after="0"/>
              <w:rPr>
                <w:sz w:val="15"/>
                <w:szCs w:val="15"/>
                <w:color w:val="auto"/>
              </w:rPr>
            </w:pPr>
          </w:p>
        </w:tc>
        <w:tc>
          <w:tcPr>
            <w:tcW w:w="1140" w:type="dxa"/>
            <w:vAlign w:val="bottom"/>
            <w:gridSpan w:val="2"/>
            <w:shd w:val="clear" w:color="auto" w:fill="CCECFF"/>
          </w:tcPr>
          <w:p>
            <w:pPr>
              <w:jc w:val="right"/>
              <w:ind w:right="18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CFF"/>
          </w:tcPr>
          <w:p>
            <w:pPr>
              <w:spacing w:after="0"/>
              <w:rPr>
                <w:sz w:val="15"/>
                <w:szCs w:val="15"/>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122</w:t>
            </w:r>
          </w:p>
        </w:tc>
        <w:tc>
          <w:tcPr>
            <w:tcW w:w="100" w:type="dxa"/>
            <w:vAlign w:val="bottom"/>
            <w:shd w:val="clear" w:color="auto" w:fill="CCECFF"/>
          </w:tcPr>
          <w:p>
            <w:pPr>
              <w:spacing w:after="0"/>
              <w:rPr>
                <w:sz w:val="15"/>
                <w:szCs w:val="15"/>
                <w:color w:val="auto"/>
              </w:rPr>
            </w:pPr>
          </w:p>
        </w:tc>
      </w:tr>
      <w:tr>
        <w:trPr>
          <w:trHeight w:val="176"/>
        </w:trPr>
        <w:tc>
          <w:tcPr>
            <w:tcW w:w="5700" w:type="dxa"/>
            <w:vAlign w:val="bottom"/>
          </w:tcPr>
          <w:p>
            <w:pPr>
              <w:ind w:left="20"/>
              <w:spacing w:after="0"/>
              <w:rPr>
                <w:sz w:val="20"/>
                <w:szCs w:val="20"/>
                <w:color w:val="auto"/>
              </w:rPr>
            </w:pPr>
            <w:r>
              <w:rPr>
                <w:rFonts w:ascii="Arial" w:cs="Arial" w:eastAsia="Arial" w:hAnsi="Arial"/>
                <w:sz w:val="14"/>
                <w:szCs w:val="14"/>
                <w:color w:val="auto"/>
              </w:rPr>
              <w:t>From controlled, affiliated investments:</w:t>
            </w: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5700" w:type="dxa"/>
            <w:vAlign w:val="bottom"/>
            <w:shd w:val="clear" w:color="auto" w:fill="CCECFF"/>
          </w:tcPr>
          <w:p>
            <w:pPr>
              <w:ind w:left="200"/>
              <w:spacing w:after="0"/>
              <w:rPr>
                <w:sz w:val="20"/>
                <w:szCs w:val="20"/>
                <w:color w:val="auto"/>
              </w:rPr>
            </w:pPr>
            <w:r>
              <w:rPr>
                <w:rFonts w:ascii="Arial" w:cs="Arial" w:eastAsia="Arial" w:hAnsi="Arial"/>
                <w:sz w:val="14"/>
                <w:szCs w:val="14"/>
                <w:color w:val="auto"/>
              </w:rPr>
              <w:t>Interest</w:t>
            </w:r>
          </w:p>
        </w:tc>
        <w:tc>
          <w:tcPr>
            <w:tcW w:w="220" w:type="dxa"/>
            <w:vAlign w:val="bottom"/>
            <w:shd w:val="clear" w:color="auto" w:fill="CCECFF"/>
          </w:tcPr>
          <w:p>
            <w:pPr>
              <w:spacing w:after="0"/>
              <w:rPr>
                <w:sz w:val="15"/>
                <w:szCs w:val="15"/>
                <w:color w:val="auto"/>
              </w:rPr>
            </w:pPr>
          </w:p>
        </w:tc>
        <w:tc>
          <w:tcPr>
            <w:tcW w:w="9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4,228</w:t>
            </w:r>
          </w:p>
        </w:tc>
        <w:tc>
          <w:tcPr>
            <w:tcW w:w="260" w:type="dxa"/>
            <w:vAlign w:val="bottom"/>
            <w:shd w:val="clear" w:color="auto" w:fill="CCECFF"/>
          </w:tcPr>
          <w:p>
            <w:pPr>
              <w:spacing w:after="0"/>
              <w:rPr>
                <w:sz w:val="15"/>
                <w:szCs w:val="15"/>
                <w:color w:val="auto"/>
              </w:rPr>
            </w:pPr>
          </w:p>
        </w:tc>
        <w:tc>
          <w:tcPr>
            <w:tcW w:w="280" w:type="dxa"/>
            <w:vAlign w:val="bottom"/>
            <w:shd w:val="clear" w:color="auto" w:fill="CCECFF"/>
          </w:tcPr>
          <w:p>
            <w:pPr>
              <w:spacing w:after="0"/>
              <w:rPr>
                <w:sz w:val="15"/>
                <w:szCs w:val="15"/>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2,931</w:t>
            </w:r>
          </w:p>
        </w:tc>
        <w:tc>
          <w:tcPr>
            <w:tcW w:w="24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10,633</w:t>
            </w:r>
          </w:p>
        </w:tc>
        <w:tc>
          <w:tcPr>
            <w:tcW w:w="240" w:type="dxa"/>
            <w:vAlign w:val="bottom"/>
            <w:shd w:val="clear" w:color="auto" w:fill="CCECFF"/>
          </w:tcPr>
          <w:p>
            <w:pPr>
              <w:spacing w:after="0"/>
              <w:rPr>
                <w:sz w:val="15"/>
                <w:szCs w:val="15"/>
                <w:color w:val="auto"/>
              </w:rPr>
            </w:pPr>
          </w:p>
        </w:tc>
        <w:tc>
          <w:tcPr>
            <w:tcW w:w="280" w:type="dxa"/>
            <w:vAlign w:val="bottom"/>
            <w:shd w:val="clear" w:color="auto" w:fill="CCECFF"/>
          </w:tcPr>
          <w:p>
            <w:pPr>
              <w:spacing w:after="0"/>
              <w:rPr>
                <w:sz w:val="15"/>
                <w:szCs w:val="15"/>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8,253</w:t>
            </w:r>
          </w:p>
        </w:tc>
        <w:tc>
          <w:tcPr>
            <w:tcW w:w="100" w:type="dxa"/>
            <w:vAlign w:val="bottom"/>
            <w:shd w:val="clear" w:color="auto" w:fill="CCECFF"/>
          </w:tcPr>
          <w:p>
            <w:pPr>
              <w:spacing w:after="0"/>
              <w:rPr>
                <w:sz w:val="15"/>
                <w:szCs w:val="15"/>
                <w:color w:val="auto"/>
              </w:rPr>
            </w:pPr>
          </w:p>
        </w:tc>
      </w:tr>
      <w:tr>
        <w:trPr>
          <w:trHeight w:val="176"/>
        </w:trPr>
        <w:tc>
          <w:tcPr>
            <w:tcW w:w="5700" w:type="dxa"/>
            <w:vAlign w:val="bottom"/>
          </w:tcPr>
          <w:p>
            <w:pPr>
              <w:ind w:left="200"/>
              <w:spacing w:after="0"/>
              <w:rPr>
                <w:sz w:val="20"/>
                <w:szCs w:val="20"/>
                <w:color w:val="auto"/>
              </w:rPr>
            </w:pPr>
            <w:r>
              <w:rPr>
                <w:rFonts w:ascii="Arial" w:cs="Arial" w:eastAsia="Arial" w:hAnsi="Arial"/>
                <w:sz w:val="14"/>
                <w:szCs w:val="14"/>
                <w:color w:val="auto"/>
              </w:rPr>
              <w:t>Dividend</w:t>
            </w: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3,938</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2,319</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10,675</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6,169</w:t>
            </w:r>
          </w:p>
        </w:tc>
        <w:tc>
          <w:tcPr>
            <w:tcW w:w="100" w:type="dxa"/>
            <w:vAlign w:val="bottom"/>
          </w:tcPr>
          <w:p>
            <w:pPr>
              <w:spacing w:after="0"/>
              <w:rPr>
                <w:sz w:val="15"/>
                <w:szCs w:val="15"/>
                <w:color w:val="auto"/>
              </w:rPr>
            </w:pPr>
          </w:p>
        </w:tc>
      </w:tr>
      <w:tr>
        <w:trPr>
          <w:trHeight w:val="175"/>
        </w:trPr>
        <w:tc>
          <w:tcPr>
            <w:tcW w:w="5700" w:type="dxa"/>
            <w:vAlign w:val="bottom"/>
            <w:shd w:val="clear" w:color="auto" w:fill="CCECFF"/>
          </w:tcPr>
          <w:p>
            <w:pPr>
              <w:ind w:left="200"/>
              <w:spacing w:after="0"/>
              <w:rPr>
                <w:sz w:val="20"/>
                <w:szCs w:val="20"/>
                <w:color w:val="auto"/>
              </w:rPr>
            </w:pPr>
            <w:r>
              <w:rPr>
                <w:rFonts w:ascii="Arial" w:cs="Arial" w:eastAsia="Arial" w:hAnsi="Arial"/>
                <w:sz w:val="14"/>
                <w:szCs w:val="14"/>
                <w:color w:val="auto"/>
              </w:rPr>
              <w:t>Other Income</w:t>
            </w:r>
          </w:p>
        </w:tc>
        <w:tc>
          <w:tcPr>
            <w:tcW w:w="220" w:type="dxa"/>
            <w:vAlign w:val="bottom"/>
            <w:shd w:val="clear" w:color="auto" w:fill="CCECFF"/>
          </w:tcPr>
          <w:p>
            <w:pPr>
              <w:spacing w:after="0"/>
              <w:rPr>
                <w:sz w:val="15"/>
                <w:szCs w:val="15"/>
                <w:color w:val="auto"/>
              </w:rPr>
            </w:pPr>
          </w:p>
        </w:tc>
        <w:tc>
          <w:tcPr>
            <w:tcW w:w="1200" w:type="dxa"/>
            <w:vAlign w:val="bottom"/>
            <w:gridSpan w:val="2"/>
            <w:shd w:val="clear" w:color="auto" w:fill="CCECFF"/>
          </w:tcPr>
          <w:p>
            <w:pPr>
              <w:jc w:val="right"/>
              <w:ind w:right="18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CFF"/>
          </w:tcPr>
          <w:p>
            <w:pPr>
              <w:spacing w:after="0"/>
              <w:rPr>
                <w:sz w:val="15"/>
                <w:szCs w:val="15"/>
                <w:color w:val="auto"/>
              </w:rPr>
            </w:pPr>
          </w:p>
        </w:tc>
        <w:tc>
          <w:tcPr>
            <w:tcW w:w="1160" w:type="dxa"/>
            <w:vAlign w:val="bottom"/>
            <w:gridSpan w:val="2"/>
            <w:shd w:val="clear" w:color="auto" w:fill="CCECFF"/>
          </w:tcPr>
          <w:p>
            <w:pPr>
              <w:jc w:val="right"/>
              <w:ind w:right="18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CFF"/>
          </w:tcPr>
          <w:p>
            <w:pPr>
              <w:spacing w:after="0"/>
              <w:rPr>
                <w:sz w:val="15"/>
                <w:szCs w:val="15"/>
                <w:color w:val="auto"/>
              </w:rPr>
            </w:pPr>
          </w:p>
        </w:tc>
        <w:tc>
          <w:tcPr>
            <w:tcW w:w="1140" w:type="dxa"/>
            <w:vAlign w:val="bottom"/>
            <w:gridSpan w:val="2"/>
            <w:shd w:val="clear" w:color="auto" w:fill="CCECFF"/>
          </w:tcPr>
          <w:p>
            <w:pPr>
              <w:jc w:val="right"/>
              <w:ind w:right="18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CFF"/>
          </w:tcPr>
          <w:p>
            <w:pPr>
              <w:spacing w:after="0"/>
              <w:rPr>
                <w:sz w:val="15"/>
                <w:szCs w:val="15"/>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195</w:t>
            </w:r>
          </w:p>
        </w:tc>
        <w:tc>
          <w:tcPr>
            <w:tcW w:w="100" w:type="dxa"/>
            <w:vAlign w:val="bottom"/>
            <w:shd w:val="clear" w:color="auto" w:fill="CCECFF"/>
          </w:tcPr>
          <w:p>
            <w:pPr>
              <w:spacing w:after="0"/>
              <w:rPr>
                <w:sz w:val="15"/>
                <w:szCs w:val="15"/>
                <w:color w:val="auto"/>
              </w:rPr>
            </w:pPr>
          </w:p>
        </w:tc>
      </w:tr>
      <w:tr>
        <w:trPr>
          <w:trHeight w:val="169"/>
        </w:trPr>
        <w:tc>
          <w:tcPr>
            <w:tcW w:w="5700" w:type="dxa"/>
            <w:vAlign w:val="bottom"/>
            <w:tcBorders>
              <w:top w:val="single" w:sz="8" w:color="CCECFF"/>
            </w:tcBorders>
          </w:tcPr>
          <w:p>
            <w:pPr>
              <w:ind w:left="200"/>
              <w:spacing w:after="0"/>
              <w:rPr>
                <w:sz w:val="20"/>
                <w:szCs w:val="20"/>
                <w:color w:val="auto"/>
              </w:rPr>
            </w:pPr>
            <w:r>
              <w:rPr>
                <w:rFonts w:ascii="Arial" w:cs="Arial" w:eastAsia="Arial" w:hAnsi="Arial"/>
                <w:sz w:val="14"/>
                <w:szCs w:val="14"/>
                <w:b w:val="1"/>
                <w:bCs w:val="1"/>
                <w:color w:val="auto"/>
              </w:rPr>
              <w:t>Total investment income</w:t>
            </w:r>
          </w:p>
        </w:tc>
        <w:tc>
          <w:tcPr>
            <w:tcW w:w="22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25,729</w:t>
            </w:r>
          </w:p>
        </w:tc>
        <w:tc>
          <w:tcPr>
            <w:tcW w:w="260" w:type="dxa"/>
            <w:vAlign w:val="bottom"/>
            <w:tcBorders>
              <w:top w:val="single" w:sz="8" w:color="CCECFF"/>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20,906</w:t>
            </w:r>
          </w:p>
        </w:tc>
        <w:tc>
          <w:tcPr>
            <w:tcW w:w="240" w:type="dxa"/>
            <w:vAlign w:val="bottom"/>
            <w:tcBorders>
              <w:top w:val="single" w:sz="8" w:color="CCECFF"/>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76,699</w:t>
            </w:r>
          </w:p>
        </w:tc>
        <w:tc>
          <w:tcPr>
            <w:tcW w:w="240" w:type="dxa"/>
            <w:vAlign w:val="bottom"/>
            <w:tcBorders>
              <w:top w:val="single" w:sz="8" w:color="CCECFF"/>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61,074</w:t>
            </w:r>
          </w:p>
        </w:tc>
        <w:tc>
          <w:tcPr>
            <w:tcW w:w="100" w:type="dxa"/>
            <w:vAlign w:val="bottom"/>
            <w:tcBorders>
              <w:top w:val="single" w:sz="8" w:color="CCECFF"/>
            </w:tcBorders>
          </w:tcPr>
          <w:p>
            <w:pPr>
              <w:spacing w:after="0"/>
              <w:rPr>
                <w:sz w:val="14"/>
                <w:szCs w:val="14"/>
                <w:color w:val="auto"/>
              </w:rPr>
            </w:pPr>
          </w:p>
        </w:tc>
      </w:tr>
      <w:tr>
        <w:trPr>
          <w:trHeight w:val="169"/>
        </w:trPr>
        <w:tc>
          <w:tcPr>
            <w:tcW w:w="5700" w:type="dxa"/>
            <w:vAlign w:val="bottom"/>
            <w:shd w:val="clear" w:color="auto" w:fill="CCECFF"/>
          </w:tcPr>
          <w:p>
            <w:pPr>
              <w:ind w:left="20"/>
              <w:spacing w:after="0"/>
              <w:rPr>
                <w:sz w:val="20"/>
                <w:szCs w:val="20"/>
                <w:color w:val="auto"/>
              </w:rPr>
            </w:pPr>
            <w:r>
              <w:rPr>
                <w:rFonts w:ascii="Arial" w:cs="Arial" w:eastAsia="Arial" w:hAnsi="Arial"/>
                <w:sz w:val="14"/>
                <w:szCs w:val="14"/>
                <w:b w:val="1"/>
                <w:bCs w:val="1"/>
                <w:color w:val="auto"/>
              </w:rPr>
              <w:t>Expenses:</w:t>
            </w:r>
          </w:p>
        </w:tc>
        <w:tc>
          <w:tcPr>
            <w:tcW w:w="220" w:type="dxa"/>
            <w:vAlign w:val="bottom"/>
            <w:shd w:val="clear" w:color="auto" w:fill="CCECFF"/>
          </w:tcPr>
          <w:p>
            <w:pPr>
              <w:spacing w:after="0"/>
              <w:rPr>
                <w:sz w:val="14"/>
                <w:szCs w:val="14"/>
                <w:color w:val="auto"/>
              </w:rPr>
            </w:pPr>
          </w:p>
        </w:tc>
        <w:tc>
          <w:tcPr>
            <w:tcW w:w="94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9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90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9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r>
      <w:tr>
        <w:trPr>
          <w:trHeight w:val="176"/>
        </w:trPr>
        <w:tc>
          <w:tcPr>
            <w:tcW w:w="5700" w:type="dxa"/>
            <w:vAlign w:val="bottom"/>
          </w:tcPr>
          <w:p>
            <w:pPr>
              <w:ind w:left="200"/>
              <w:spacing w:after="0"/>
              <w:rPr>
                <w:sz w:val="20"/>
                <w:szCs w:val="20"/>
                <w:color w:val="auto"/>
              </w:rPr>
            </w:pPr>
            <w:r>
              <w:rPr>
                <w:rFonts w:ascii="Arial" w:cs="Arial" w:eastAsia="Arial" w:hAnsi="Arial"/>
                <w:sz w:val="14"/>
                <w:szCs w:val="14"/>
                <w:color w:val="auto"/>
              </w:rPr>
              <w:t>Base management fee (See Note 3)</w:t>
            </w: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3,062</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2,622</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8,904</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7,972</w:t>
            </w:r>
          </w:p>
        </w:tc>
        <w:tc>
          <w:tcPr>
            <w:tcW w:w="100" w:type="dxa"/>
            <w:vAlign w:val="bottom"/>
          </w:tcPr>
          <w:p>
            <w:pPr>
              <w:spacing w:after="0"/>
              <w:rPr>
                <w:sz w:val="15"/>
                <w:szCs w:val="15"/>
                <w:color w:val="auto"/>
              </w:rPr>
            </w:pPr>
          </w:p>
        </w:tc>
      </w:tr>
      <w:tr>
        <w:trPr>
          <w:trHeight w:val="175"/>
        </w:trPr>
        <w:tc>
          <w:tcPr>
            <w:tcW w:w="5700" w:type="dxa"/>
            <w:vAlign w:val="bottom"/>
            <w:shd w:val="clear" w:color="auto" w:fill="CCECFF"/>
          </w:tcPr>
          <w:p>
            <w:pPr>
              <w:ind w:left="200"/>
              <w:spacing w:after="0"/>
              <w:rPr>
                <w:sz w:val="20"/>
                <w:szCs w:val="20"/>
                <w:color w:val="auto"/>
              </w:rPr>
            </w:pPr>
            <w:r>
              <w:rPr>
                <w:rFonts w:ascii="Arial" w:cs="Arial" w:eastAsia="Arial" w:hAnsi="Arial"/>
                <w:sz w:val="14"/>
                <w:szCs w:val="14"/>
                <w:color w:val="auto"/>
              </w:rPr>
              <w:t>Performance-based incentive fee (See Note 3)</w:t>
            </w:r>
          </w:p>
        </w:tc>
        <w:tc>
          <w:tcPr>
            <w:tcW w:w="220" w:type="dxa"/>
            <w:vAlign w:val="bottom"/>
            <w:shd w:val="clear" w:color="auto" w:fill="CCECFF"/>
          </w:tcPr>
          <w:p>
            <w:pPr>
              <w:spacing w:after="0"/>
              <w:rPr>
                <w:sz w:val="15"/>
                <w:szCs w:val="15"/>
                <w:color w:val="auto"/>
              </w:rPr>
            </w:pPr>
          </w:p>
        </w:tc>
        <w:tc>
          <w:tcPr>
            <w:tcW w:w="9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2,576</w:t>
            </w:r>
          </w:p>
        </w:tc>
        <w:tc>
          <w:tcPr>
            <w:tcW w:w="260" w:type="dxa"/>
            <w:vAlign w:val="bottom"/>
            <w:shd w:val="clear" w:color="auto" w:fill="CCECFF"/>
          </w:tcPr>
          <w:p>
            <w:pPr>
              <w:spacing w:after="0"/>
              <w:rPr>
                <w:sz w:val="15"/>
                <w:szCs w:val="15"/>
                <w:color w:val="auto"/>
              </w:rPr>
            </w:pPr>
          </w:p>
        </w:tc>
        <w:tc>
          <w:tcPr>
            <w:tcW w:w="280" w:type="dxa"/>
            <w:vAlign w:val="bottom"/>
            <w:shd w:val="clear" w:color="auto" w:fill="CCECFF"/>
          </w:tcPr>
          <w:p>
            <w:pPr>
              <w:spacing w:after="0"/>
              <w:rPr>
                <w:sz w:val="15"/>
                <w:szCs w:val="15"/>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1,652</w:t>
            </w:r>
          </w:p>
        </w:tc>
        <w:tc>
          <w:tcPr>
            <w:tcW w:w="24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8,461</w:t>
            </w:r>
          </w:p>
        </w:tc>
        <w:tc>
          <w:tcPr>
            <w:tcW w:w="240" w:type="dxa"/>
            <w:vAlign w:val="bottom"/>
            <w:shd w:val="clear" w:color="auto" w:fill="CCECFF"/>
          </w:tcPr>
          <w:p>
            <w:pPr>
              <w:spacing w:after="0"/>
              <w:rPr>
                <w:sz w:val="15"/>
                <w:szCs w:val="15"/>
                <w:color w:val="auto"/>
              </w:rPr>
            </w:pPr>
          </w:p>
        </w:tc>
        <w:tc>
          <w:tcPr>
            <w:tcW w:w="280" w:type="dxa"/>
            <w:vAlign w:val="bottom"/>
            <w:shd w:val="clear" w:color="auto" w:fill="CCECFF"/>
          </w:tcPr>
          <w:p>
            <w:pPr>
              <w:spacing w:after="0"/>
              <w:rPr>
                <w:sz w:val="15"/>
                <w:szCs w:val="15"/>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4,716</w:t>
            </w:r>
          </w:p>
        </w:tc>
        <w:tc>
          <w:tcPr>
            <w:tcW w:w="100" w:type="dxa"/>
            <w:vAlign w:val="bottom"/>
            <w:shd w:val="clear" w:color="auto" w:fill="CCECFF"/>
          </w:tcPr>
          <w:p>
            <w:pPr>
              <w:spacing w:after="0"/>
              <w:rPr>
                <w:sz w:val="15"/>
                <w:szCs w:val="15"/>
                <w:color w:val="auto"/>
              </w:rPr>
            </w:pPr>
          </w:p>
        </w:tc>
      </w:tr>
      <w:tr>
        <w:trPr>
          <w:trHeight w:val="176"/>
        </w:trPr>
        <w:tc>
          <w:tcPr>
            <w:tcW w:w="5700" w:type="dxa"/>
            <w:vAlign w:val="bottom"/>
          </w:tcPr>
          <w:p>
            <w:pPr>
              <w:ind w:left="200"/>
              <w:spacing w:after="0"/>
              <w:rPr>
                <w:sz w:val="20"/>
                <w:szCs w:val="20"/>
                <w:color w:val="auto"/>
              </w:rPr>
            </w:pPr>
            <w:r>
              <w:rPr>
                <w:rFonts w:ascii="Arial" w:cs="Arial" w:eastAsia="Arial" w:hAnsi="Arial"/>
                <w:sz w:val="14"/>
                <w:szCs w:val="14"/>
                <w:color w:val="auto"/>
              </w:rPr>
              <w:t>Interest and expenses on debt (See Note 10)</w:t>
            </w: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7,369</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5,903</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20,713</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16,025</w:t>
            </w:r>
          </w:p>
        </w:tc>
        <w:tc>
          <w:tcPr>
            <w:tcW w:w="100" w:type="dxa"/>
            <w:vAlign w:val="bottom"/>
          </w:tcPr>
          <w:p>
            <w:pPr>
              <w:spacing w:after="0"/>
              <w:rPr>
                <w:sz w:val="15"/>
                <w:szCs w:val="15"/>
                <w:color w:val="auto"/>
              </w:rPr>
            </w:pPr>
          </w:p>
        </w:tc>
      </w:tr>
      <w:tr>
        <w:trPr>
          <w:trHeight w:val="175"/>
        </w:trPr>
        <w:tc>
          <w:tcPr>
            <w:tcW w:w="5700" w:type="dxa"/>
            <w:vAlign w:val="bottom"/>
            <w:shd w:val="clear" w:color="auto" w:fill="CCECFF"/>
          </w:tcPr>
          <w:p>
            <w:pPr>
              <w:ind w:left="200"/>
              <w:spacing w:after="0"/>
              <w:rPr>
                <w:sz w:val="20"/>
                <w:szCs w:val="20"/>
                <w:color w:val="auto"/>
              </w:rPr>
            </w:pPr>
            <w:r>
              <w:rPr>
                <w:rFonts w:ascii="Arial" w:cs="Arial" w:eastAsia="Arial" w:hAnsi="Arial"/>
                <w:sz w:val="14"/>
                <w:szCs w:val="14"/>
                <w:color w:val="auto"/>
              </w:rPr>
              <w:t>Administrative services expenses (See Note 3)</w:t>
            </w:r>
          </w:p>
        </w:tc>
        <w:tc>
          <w:tcPr>
            <w:tcW w:w="220" w:type="dxa"/>
            <w:vAlign w:val="bottom"/>
            <w:shd w:val="clear" w:color="auto" w:fill="CCECFF"/>
          </w:tcPr>
          <w:p>
            <w:pPr>
              <w:spacing w:after="0"/>
              <w:rPr>
                <w:sz w:val="15"/>
                <w:szCs w:val="15"/>
                <w:color w:val="auto"/>
              </w:rPr>
            </w:pPr>
          </w:p>
        </w:tc>
        <w:tc>
          <w:tcPr>
            <w:tcW w:w="9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144</w:t>
            </w:r>
          </w:p>
        </w:tc>
        <w:tc>
          <w:tcPr>
            <w:tcW w:w="260" w:type="dxa"/>
            <w:vAlign w:val="bottom"/>
            <w:shd w:val="clear" w:color="auto" w:fill="CCECFF"/>
          </w:tcPr>
          <w:p>
            <w:pPr>
              <w:spacing w:after="0"/>
              <w:rPr>
                <w:sz w:val="15"/>
                <w:szCs w:val="15"/>
                <w:color w:val="auto"/>
              </w:rPr>
            </w:pPr>
          </w:p>
        </w:tc>
        <w:tc>
          <w:tcPr>
            <w:tcW w:w="280" w:type="dxa"/>
            <w:vAlign w:val="bottom"/>
            <w:shd w:val="clear" w:color="auto" w:fill="CCECFF"/>
          </w:tcPr>
          <w:p>
            <w:pPr>
              <w:spacing w:after="0"/>
              <w:rPr>
                <w:sz w:val="15"/>
                <w:szCs w:val="15"/>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150</w:t>
            </w:r>
          </w:p>
        </w:tc>
        <w:tc>
          <w:tcPr>
            <w:tcW w:w="24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431</w:t>
            </w:r>
          </w:p>
        </w:tc>
        <w:tc>
          <w:tcPr>
            <w:tcW w:w="240" w:type="dxa"/>
            <w:vAlign w:val="bottom"/>
            <w:shd w:val="clear" w:color="auto" w:fill="CCECFF"/>
          </w:tcPr>
          <w:p>
            <w:pPr>
              <w:spacing w:after="0"/>
              <w:rPr>
                <w:sz w:val="15"/>
                <w:szCs w:val="15"/>
                <w:color w:val="auto"/>
              </w:rPr>
            </w:pPr>
          </w:p>
        </w:tc>
        <w:tc>
          <w:tcPr>
            <w:tcW w:w="280" w:type="dxa"/>
            <w:vAlign w:val="bottom"/>
            <w:shd w:val="clear" w:color="auto" w:fill="CCECFF"/>
          </w:tcPr>
          <w:p>
            <w:pPr>
              <w:spacing w:after="0"/>
              <w:rPr>
                <w:sz w:val="15"/>
                <w:szCs w:val="15"/>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750</w:t>
            </w:r>
          </w:p>
        </w:tc>
        <w:tc>
          <w:tcPr>
            <w:tcW w:w="100" w:type="dxa"/>
            <w:vAlign w:val="bottom"/>
            <w:shd w:val="clear" w:color="auto" w:fill="CCECFF"/>
          </w:tcPr>
          <w:p>
            <w:pPr>
              <w:spacing w:after="0"/>
              <w:rPr>
                <w:sz w:val="15"/>
                <w:szCs w:val="15"/>
                <w:color w:val="auto"/>
              </w:rPr>
            </w:pPr>
          </w:p>
        </w:tc>
      </w:tr>
      <w:tr>
        <w:trPr>
          <w:trHeight w:val="176"/>
        </w:trPr>
        <w:tc>
          <w:tcPr>
            <w:tcW w:w="5700" w:type="dxa"/>
            <w:vAlign w:val="bottom"/>
          </w:tcPr>
          <w:p>
            <w:pPr>
              <w:ind w:left="200"/>
              <w:spacing w:after="0"/>
              <w:rPr>
                <w:sz w:val="20"/>
                <w:szCs w:val="20"/>
                <w:color w:val="auto"/>
              </w:rPr>
            </w:pPr>
            <w:r>
              <w:rPr>
                <w:rFonts w:ascii="Arial" w:cs="Arial" w:eastAsia="Arial" w:hAnsi="Arial"/>
                <w:sz w:val="14"/>
                <w:szCs w:val="14"/>
                <w:color w:val="auto"/>
              </w:rPr>
              <w:t>Other general and administrative expenses</w:t>
            </w: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655</w:t>
            </w:r>
          </w:p>
        </w:tc>
        <w:tc>
          <w:tcPr>
            <w:tcW w:w="2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w:t>
            </w: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1,964</w:t>
            </w:r>
          </w:p>
        </w:tc>
        <w:tc>
          <w:tcPr>
            <w:tcW w:w="2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w:t>
            </w:r>
          </w:p>
        </w:tc>
        <w:tc>
          <w:tcPr>
            <w:tcW w:w="100" w:type="dxa"/>
            <w:vAlign w:val="bottom"/>
          </w:tcPr>
          <w:p>
            <w:pPr>
              <w:spacing w:after="0"/>
              <w:rPr>
                <w:sz w:val="15"/>
                <w:szCs w:val="15"/>
                <w:color w:val="auto"/>
              </w:rPr>
            </w:pPr>
          </w:p>
        </w:tc>
      </w:tr>
      <w:tr>
        <w:trPr>
          <w:trHeight w:val="169"/>
        </w:trPr>
        <w:tc>
          <w:tcPr>
            <w:tcW w:w="5700" w:type="dxa"/>
            <w:vAlign w:val="bottom"/>
            <w:shd w:val="clear" w:color="auto" w:fill="CCECFF"/>
          </w:tcPr>
          <w:p>
            <w:pPr>
              <w:ind w:left="200"/>
              <w:spacing w:after="0"/>
              <w:rPr>
                <w:sz w:val="20"/>
                <w:szCs w:val="20"/>
                <w:color w:val="auto"/>
              </w:rPr>
            </w:pPr>
            <w:r>
              <w:rPr>
                <w:rFonts w:ascii="Arial" w:cs="Arial" w:eastAsia="Arial" w:hAnsi="Arial"/>
                <w:sz w:val="14"/>
                <w:szCs w:val="14"/>
                <w:b w:val="1"/>
                <w:bCs w:val="1"/>
                <w:color w:val="auto"/>
              </w:rPr>
              <w:t>Expenses before provision for taxes</w:t>
            </w:r>
          </w:p>
        </w:tc>
        <w:tc>
          <w:tcPr>
            <w:tcW w:w="220" w:type="dxa"/>
            <w:vAlign w:val="bottom"/>
            <w:shd w:val="clear" w:color="auto" w:fill="CCECFF"/>
          </w:tcPr>
          <w:p>
            <w:pPr>
              <w:spacing w:after="0"/>
              <w:rPr>
                <w:sz w:val="14"/>
                <w:szCs w:val="14"/>
                <w:color w:val="auto"/>
              </w:rPr>
            </w:pPr>
          </w:p>
        </w:tc>
        <w:tc>
          <w:tcPr>
            <w:tcW w:w="9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13,806</w:t>
            </w:r>
          </w:p>
        </w:tc>
        <w:tc>
          <w:tcPr>
            <w:tcW w:w="26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10,527</w:t>
            </w:r>
          </w:p>
        </w:tc>
        <w:tc>
          <w:tcPr>
            <w:tcW w:w="2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40,473</w:t>
            </w:r>
          </w:p>
        </w:tc>
        <w:tc>
          <w:tcPr>
            <w:tcW w:w="24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30,463</w:t>
            </w:r>
          </w:p>
        </w:tc>
        <w:tc>
          <w:tcPr>
            <w:tcW w:w="100" w:type="dxa"/>
            <w:vAlign w:val="bottom"/>
            <w:shd w:val="clear" w:color="auto" w:fill="CCECFF"/>
          </w:tcPr>
          <w:p>
            <w:pPr>
              <w:spacing w:after="0"/>
              <w:rPr>
                <w:sz w:val="14"/>
                <w:szCs w:val="14"/>
                <w:color w:val="auto"/>
              </w:rPr>
            </w:pPr>
          </w:p>
        </w:tc>
      </w:tr>
      <w:tr>
        <w:trPr>
          <w:trHeight w:val="175"/>
        </w:trPr>
        <w:tc>
          <w:tcPr>
            <w:tcW w:w="5700" w:type="dxa"/>
            <w:vAlign w:val="bottom"/>
          </w:tcPr>
          <w:p>
            <w:pPr>
              <w:ind w:left="200"/>
              <w:spacing w:after="0"/>
              <w:rPr>
                <w:sz w:val="20"/>
                <w:szCs w:val="20"/>
                <w:color w:val="auto"/>
              </w:rPr>
            </w:pPr>
            <w:r>
              <w:rPr>
                <w:rFonts w:ascii="Arial" w:cs="Arial" w:eastAsia="Arial" w:hAnsi="Arial"/>
                <w:sz w:val="14"/>
                <w:szCs w:val="14"/>
                <w:color w:val="auto"/>
              </w:rPr>
              <w:t>Provision for taxes on net investment income</w:t>
            </w: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w:t>
            </w: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300</w:t>
            </w:r>
          </w:p>
        </w:tc>
        <w:tc>
          <w:tcPr>
            <w:tcW w:w="2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300</w:t>
            </w:r>
          </w:p>
        </w:tc>
        <w:tc>
          <w:tcPr>
            <w:tcW w:w="100" w:type="dxa"/>
            <w:vAlign w:val="bottom"/>
          </w:tcPr>
          <w:p>
            <w:pPr>
              <w:spacing w:after="0"/>
              <w:rPr>
                <w:sz w:val="15"/>
                <w:szCs w:val="15"/>
                <w:color w:val="auto"/>
              </w:rPr>
            </w:pPr>
          </w:p>
        </w:tc>
      </w:tr>
      <w:tr>
        <w:trPr>
          <w:trHeight w:val="169"/>
        </w:trPr>
        <w:tc>
          <w:tcPr>
            <w:tcW w:w="5700" w:type="dxa"/>
            <w:vAlign w:val="bottom"/>
            <w:tcBorders>
              <w:bottom w:val="single" w:sz="8" w:color="CCECFF"/>
            </w:tcBorders>
            <w:shd w:val="clear" w:color="auto" w:fill="CCECFF"/>
          </w:tcPr>
          <w:p>
            <w:pPr>
              <w:ind w:left="200"/>
              <w:spacing w:after="0"/>
              <w:rPr>
                <w:sz w:val="20"/>
                <w:szCs w:val="20"/>
                <w:color w:val="auto"/>
              </w:rPr>
            </w:pPr>
            <w:r>
              <w:rPr>
                <w:rFonts w:ascii="Arial" w:cs="Arial" w:eastAsia="Arial" w:hAnsi="Arial"/>
                <w:sz w:val="14"/>
                <w:szCs w:val="14"/>
                <w:b w:val="1"/>
                <w:bCs w:val="1"/>
                <w:color w:val="auto"/>
              </w:rPr>
              <w:t>Total expenses</w:t>
            </w:r>
          </w:p>
        </w:tc>
        <w:tc>
          <w:tcPr>
            <w:tcW w:w="220" w:type="dxa"/>
            <w:vAlign w:val="bottom"/>
            <w:tcBorders>
              <w:bottom w:val="single" w:sz="8" w:color="auto"/>
            </w:tcBorders>
            <w:shd w:val="clear" w:color="auto" w:fill="CCECFF"/>
          </w:tcPr>
          <w:p>
            <w:pPr>
              <w:spacing w:after="0"/>
              <w:rPr>
                <w:sz w:val="14"/>
                <w:szCs w:val="14"/>
                <w:color w:val="auto"/>
              </w:rPr>
            </w:pPr>
          </w:p>
        </w:tc>
        <w:tc>
          <w:tcPr>
            <w:tcW w:w="9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13,906</w:t>
            </w:r>
          </w:p>
        </w:tc>
        <w:tc>
          <w:tcPr>
            <w:tcW w:w="260" w:type="dxa"/>
            <w:vAlign w:val="bottom"/>
            <w:tcBorders>
              <w:bottom w:val="single" w:sz="8" w:color="CCECFF"/>
            </w:tcBorders>
            <w:shd w:val="clear" w:color="auto" w:fill="CCECFF"/>
          </w:tcPr>
          <w:p>
            <w:pPr>
              <w:spacing w:after="0"/>
              <w:rPr>
                <w:sz w:val="14"/>
                <w:szCs w:val="14"/>
                <w:color w:val="auto"/>
              </w:rPr>
            </w:pPr>
          </w:p>
        </w:tc>
        <w:tc>
          <w:tcPr>
            <w:tcW w:w="280" w:type="dxa"/>
            <w:vAlign w:val="bottom"/>
            <w:tcBorders>
              <w:bottom w:val="single" w:sz="8" w:color="auto"/>
            </w:tcBorders>
            <w:shd w:val="clear" w:color="auto" w:fill="CCECFF"/>
          </w:tcPr>
          <w:p>
            <w:pPr>
              <w:spacing w:after="0"/>
              <w:rPr>
                <w:sz w:val="14"/>
                <w:szCs w:val="14"/>
                <w:color w:val="auto"/>
              </w:rPr>
            </w:pPr>
          </w:p>
        </w:tc>
        <w:tc>
          <w:tcPr>
            <w:tcW w:w="9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10,627</w:t>
            </w:r>
          </w:p>
        </w:tc>
        <w:tc>
          <w:tcPr>
            <w:tcW w:w="240" w:type="dxa"/>
            <w:vAlign w:val="bottom"/>
            <w:tcBorders>
              <w:bottom w:val="single" w:sz="8" w:color="CCECFF"/>
            </w:tcBorders>
            <w:shd w:val="clear" w:color="auto" w:fill="CCECFF"/>
          </w:tcPr>
          <w:p>
            <w:pPr>
              <w:spacing w:after="0"/>
              <w:rPr>
                <w:sz w:val="14"/>
                <w:szCs w:val="14"/>
                <w:color w:val="auto"/>
              </w:rPr>
            </w:pPr>
          </w:p>
        </w:tc>
        <w:tc>
          <w:tcPr>
            <w:tcW w:w="240" w:type="dxa"/>
            <w:vAlign w:val="bottom"/>
            <w:tcBorders>
              <w:bottom w:val="single" w:sz="8" w:color="auto"/>
            </w:tcBorders>
            <w:shd w:val="clear" w:color="auto" w:fill="CCECFF"/>
          </w:tcPr>
          <w:p>
            <w:pPr>
              <w:spacing w:after="0"/>
              <w:rPr>
                <w:sz w:val="14"/>
                <w:szCs w:val="14"/>
                <w:color w:val="auto"/>
              </w:rPr>
            </w:pPr>
          </w:p>
        </w:tc>
        <w:tc>
          <w:tcPr>
            <w:tcW w:w="9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40,773</w:t>
            </w:r>
          </w:p>
        </w:tc>
        <w:tc>
          <w:tcPr>
            <w:tcW w:w="240" w:type="dxa"/>
            <w:vAlign w:val="bottom"/>
            <w:tcBorders>
              <w:bottom w:val="single" w:sz="8" w:color="CCECFF"/>
            </w:tcBorders>
            <w:shd w:val="clear" w:color="auto" w:fill="CCECFF"/>
          </w:tcPr>
          <w:p>
            <w:pPr>
              <w:spacing w:after="0"/>
              <w:rPr>
                <w:sz w:val="14"/>
                <w:szCs w:val="14"/>
                <w:color w:val="auto"/>
              </w:rPr>
            </w:pPr>
          </w:p>
        </w:tc>
        <w:tc>
          <w:tcPr>
            <w:tcW w:w="280" w:type="dxa"/>
            <w:vAlign w:val="bottom"/>
            <w:tcBorders>
              <w:bottom w:val="single" w:sz="8" w:color="auto"/>
            </w:tcBorders>
            <w:shd w:val="clear" w:color="auto" w:fill="CCECFF"/>
          </w:tcPr>
          <w:p>
            <w:pPr>
              <w:spacing w:after="0"/>
              <w:rPr>
                <w:sz w:val="14"/>
                <w:szCs w:val="14"/>
                <w:color w:val="auto"/>
              </w:rPr>
            </w:pPr>
          </w:p>
        </w:tc>
        <w:tc>
          <w:tcPr>
            <w:tcW w:w="9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30,763</w:t>
            </w:r>
          </w:p>
        </w:tc>
        <w:tc>
          <w:tcPr>
            <w:tcW w:w="100" w:type="dxa"/>
            <w:vAlign w:val="bottom"/>
            <w:tcBorders>
              <w:bottom w:val="single" w:sz="8" w:color="CCECFF"/>
            </w:tcBorders>
            <w:shd w:val="clear" w:color="auto" w:fill="CCECFF"/>
          </w:tcPr>
          <w:p>
            <w:pPr>
              <w:spacing w:after="0"/>
              <w:rPr>
                <w:sz w:val="14"/>
                <w:szCs w:val="14"/>
                <w:color w:val="auto"/>
              </w:rPr>
            </w:pPr>
          </w:p>
        </w:tc>
      </w:tr>
      <w:tr>
        <w:trPr>
          <w:trHeight w:val="169"/>
        </w:trPr>
        <w:tc>
          <w:tcPr>
            <w:tcW w:w="5700" w:type="dxa"/>
            <w:vAlign w:val="bottom"/>
          </w:tcPr>
          <w:p>
            <w:pPr>
              <w:ind w:left="200"/>
              <w:spacing w:after="0"/>
              <w:rPr>
                <w:sz w:val="20"/>
                <w:szCs w:val="20"/>
                <w:color w:val="auto"/>
              </w:rPr>
            </w:pPr>
            <w:r>
              <w:rPr>
                <w:rFonts w:ascii="Arial" w:cs="Arial" w:eastAsia="Arial" w:hAnsi="Arial"/>
                <w:sz w:val="14"/>
                <w:szCs w:val="14"/>
                <w:b w:val="1"/>
                <w:bCs w:val="1"/>
                <w:color w:val="auto"/>
              </w:rPr>
              <w:t>Net investment income</w:t>
            </w: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11,823</w:t>
            </w: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10,279</w:t>
            </w: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35,926</w:t>
            </w: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30,311</w:t>
            </w:r>
          </w:p>
        </w:tc>
        <w:tc>
          <w:tcPr>
            <w:tcW w:w="100" w:type="dxa"/>
            <w:vAlign w:val="bottom"/>
          </w:tcPr>
          <w:p>
            <w:pPr>
              <w:spacing w:after="0"/>
              <w:rPr>
                <w:sz w:val="14"/>
                <w:szCs w:val="14"/>
                <w:color w:val="auto"/>
              </w:rPr>
            </w:pPr>
          </w:p>
        </w:tc>
      </w:tr>
      <w:tr>
        <w:trPr>
          <w:trHeight w:val="169"/>
        </w:trPr>
        <w:tc>
          <w:tcPr>
            <w:tcW w:w="5700" w:type="dxa"/>
            <w:vAlign w:val="bottom"/>
            <w:shd w:val="clear" w:color="auto" w:fill="CCECFF"/>
          </w:tcPr>
          <w:p>
            <w:pPr>
              <w:ind w:left="20"/>
              <w:spacing w:after="0"/>
              <w:rPr>
                <w:sz w:val="20"/>
                <w:szCs w:val="20"/>
                <w:color w:val="auto"/>
              </w:rPr>
            </w:pPr>
            <w:r>
              <w:rPr>
                <w:rFonts w:ascii="Arial" w:cs="Arial" w:eastAsia="Arial" w:hAnsi="Arial"/>
                <w:sz w:val="14"/>
                <w:szCs w:val="14"/>
                <w:b w:val="1"/>
                <w:bCs w:val="1"/>
                <w:color w:val="auto"/>
              </w:rPr>
              <w:t>Realized and unrealized gain (loss) on investments and debt:</w:t>
            </w:r>
          </w:p>
        </w:tc>
        <w:tc>
          <w:tcPr>
            <w:tcW w:w="220" w:type="dxa"/>
            <w:vAlign w:val="bottom"/>
            <w:shd w:val="clear" w:color="auto" w:fill="CCECFF"/>
          </w:tcPr>
          <w:p>
            <w:pPr>
              <w:spacing w:after="0"/>
              <w:rPr>
                <w:sz w:val="14"/>
                <w:szCs w:val="14"/>
                <w:color w:val="auto"/>
              </w:rPr>
            </w:pPr>
          </w:p>
        </w:tc>
        <w:tc>
          <w:tcPr>
            <w:tcW w:w="94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9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90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9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r>
      <w:tr>
        <w:trPr>
          <w:trHeight w:val="175"/>
        </w:trPr>
        <w:tc>
          <w:tcPr>
            <w:tcW w:w="5700" w:type="dxa"/>
            <w:vAlign w:val="bottom"/>
          </w:tcPr>
          <w:p>
            <w:pPr>
              <w:ind w:left="20"/>
              <w:spacing w:after="0"/>
              <w:rPr>
                <w:sz w:val="20"/>
                <w:szCs w:val="20"/>
                <w:color w:val="auto"/>
              </w:rPr>
            </w:pPr>
            <w:r>
              <w:rPr>
                <w:rFonts w:ascii="Arial" w:cs="Arial" w:eastAsia="Arial" w:hAnsi="Arial"/>
                <w:sz w:val="14"/>
                <w:szCs w:val="14"/>
                <w:color w:val="auto"/>
              </w:rPr>
              <w:t>Net realized gain (loss) on:</w:t>
            </w: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5700" w:type="dxa"/>
            <w:vAlign w:val="bottom"/>
            <w:shd w:val="clear" w:color="auto" w:fill="CCECFF"/>
          </w:tcPr>
          <w:p>
            <w:pPr>
              <w:ind w:left="200"/>
              <w:spacing w:after="0"/>
              <w:rPr>
                <w:sz w:val="20"/>
                <w:szCs w:val="20"/>
                <w:color w:val="auto"/>
              </w:rPr>
            </w:pPr>
            <w:r>
              <w:rPr>
                <w:rFonts w:ascii="Arial" w:cs="Arial" w:eastAsia="Arial" w:hAnsi="Arial"/>
                <w:sz w:val="14"/>
                <w:szCs w:val="14"/>
                <w:color w:val="auto"/>
              </w:rPr>
              <w:t>Non-controlled, non-affiliated investments</w:t>
            </w:r>
          </w:p>
        </w:tc>
        <w:tc>
          <w:tcPr>
            <w:tcW w:w="220" w:type="dxa"/>
            <w:vAlign w:val="bottom"/>
            <w:shd w:val="clear" w:color="auto" w:fill="CCECFF"/>
          </w:tcPr>
          <w:p>
            <w:pPr>
              <w:spacing w:after="0"/>
              <w:rPr>
                <w:sz w:val="15"/>
                <w:szCs w:val="15"/>
                <w:color w:val="auto"/>
              </w:rPr>
            </w:pPr>
          </w:p>
        </w:tc>
        <w:tc>
          <w:tcPr>
            <w:tcW w:w="9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701</w:t>
            </w:r>
          </w:p>
        </w:tc>
        <w:tc>
          <w:tcPr>
            <w:tcW w:w="260" w:type="dxa"/>
            <w:vAlign w:val="bottom"/>
            <w:shd w:val="clear" w:color="auto" w:fill="CCECFF"/>
          </w:tcPr>
          <w:p>
            <w:pPr>
              <w:spacing w:after="0"/>
              <w:rPr>
                <w:sz w:val="15"/>
                <w:szCs w:val="15"/>
                <w:color w:val="auto"/>
              </w:rPr>
            </w:pPr>
          </w:p>
        </w:tc>
        <w:tc>
          <w:tcPr>
            <w:tcW w:w="280" w:type="dxa"/>
            <w:vAlign w:val="bottom"/>
            <w:shd w:val="clear" w:color="auto" w:fill="CCECFF"/>
          </w:tcPr>
          <w:p>
            <w:pPr>
              <w:spacing w:after="0"/>
              <w:rPr>
                <w:sz w:val="15"/>
                <w:szCs w:val="15"/>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7,614</w:t>
            </w:r>
          </w:p>
        </w:tc>
        <w:tc>
          <w:tcPr>
            <w:tcW w:w="24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10,694</w:t>
            </w:r>
          </w:p>
        </w:tc>
        <w:tc>
          <w:tcPr>
            <w:tcW w:w="240" w:type="dxa"/>
            <w:vAlign w:val="bottom"/>
            <w:shd w:val="clear" w:color="auto" w:fill="CCECFF"/>
          </w:tcPr>
          <w:p>
            <w:pPr>
              <w:spacing w:after="0"/>
              <w:rPr>
                <w:sz w:val="15"/>
                <w:szCs w:val="15"/>
                <w:color w:val="auto"/>
              </w:rPr>
            </w:pPr>
          </w:p>
        </w:tc>
        <w:tc>
          <w:tcPr>
            <w:tcW w:w="280" w:type="dxa"/>
            <w:vAlign w:val="bottom"/>
            <w:shd w:val="clear" w:color="auto" w:fill="CCECFF"/>
          </w:tcPr>
          <w:p>
            <w:pPr>
              <w:spacing w:after="0"/>
              <w:rPr>
                <w:sz w:val="15"/>
                <w:szCs w:val="15"/>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6,380</w:t>
            </w:r>
          </w:p>
        </w:tc>
        <w:tc>
          <w:tcPr>
            <w:tcW w:w="100" w:type="dxa"/>
            <w:vAlign w:val="bottom"/>
            <w:shd w:val="clear" w:color="auto" w:fill="CCECFF"/>
          </w:tcPr>
          <w:p>
            <w:pPr>
              <w:spacing w:after="0"/>
              <w:rPr>
                <w:sz w:val="15"/>
                <w:szCs w:val="15"/>
                <w:color w:val="auto"/>
              </w:rPr>
            </w:pPr>
          </w:p>
        </w:tc>
      </w:tr>
      <w:tr>
        <w:trPr>
          <w:trHeight w:val="175"/>
        </w:trPr>
        <w:tc>
          <w:tcPr>
            <w:tcW w:w="5700" w:type="dxa"/>
            <w:vAlign w:val="bottom"/>
          </w:tcPr>
          <w:p>
            <w:pPr>
              <w:ind w:left="200"/>
              <w:spacing w:after="0"/>
              <w:rPr>
                <w:sz w:val="20"/>
                <w:szCs w:val="20"/>
                <w:color w:val="auto"/>
              </w:rPr>
            </w:pPr>
            <w:r>
              <w:rPr>
                <w:rFonts w:ascii="Arial" w:cs="Arial" w:eastAsia="Arial" w:hAnsi="Arial"/>
                <w:sz w:val="14"/>
                <w:szCs w:val="14"/>
                <w:color w:val="auto"/>
              </w:rPr>
              <w:t>Non-controlled and controlled, affiliated investments</w:t>
            </w:r>
          </w:p>
        </w:tc>
        <w:tc>
          <w:tcPr>
            <w:tcW w:w="220" w:type="dxa"/>
            <w:vAlign w:val="bottom"/>
          </w:tcPr>
          <w:p>
            <w:pPr>
              <w:spacing w:after="0"/>
              <w:rPr>
                <w:sz w:val="15"/>
                <w:szCs w:val="15"/>
                <w:color w:val="auto"/>
              </w:rPr>
            </w:pPr>
          </w:p>
        </w:tc>
        <w:tc>
          <w:tcPr>
            <w:tcW w:w="120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1160" w:type="dxa"/>
            <w:vAlign w:val="bottom"/>
            <w:gridSpan w:val="2"/>
          </w:tcPr>
          <w:p>
            <w:pPr>
              <w:jc w:val="right"/>
              <w:ind w:right="108"/>
              <w:spacing w:after="0"/>
              <w:rPr>
                <w:sz w:val="20"/>
                <w:szCs w:val="20"/>
                <w:color w:val="auto"/>
              </w:rPr>
            </w:pPr>
            <w:r>
              <w:rPr>
                <w:rFonts w:ascii="Arial" w:cs="Arial" w:eastAsia="Arial" w:hAnsi="Arial"/>
                <w:sz w:val="14"/>
                <w:szCs w:val="14"/>
                <w:color w:val="auto"/>
              </w:rPr>
              <w:t>(20,588 )</w:t>
            </w:r>
          </w:p>
        </w:tc>
        <w:tc>
          <w:tcPr>
            <w:tcW w:w="240" w:type="dxa"/>
            <w:vAlign w:val="bottom"/>
          </w:tcPr>
          <w:p>
            <w:pPr>
              <w:spacing w:after="0"/>
              <w:rPr>
                <w:sz w:val="15"/>
                <w:szCs w:val="15"/>
                <w:color w:val="auto"/>
              </w:rPr>
            </w:pPr>
          </w:p>
        </w:tc>
        <w:tc>
          <w:tcPr>
            <w:tcW w:w="1140" w:type="dxa"/>
            <w:vAlign w:val="bottom"/>
            <w:gridSpan w:val="2"/>
          </w:tcPr>
          <w:p>
            <w:pPr>
              <w:jc w:val="right"/>
              <w:ind w:right="108"/>
              <w:spacing w:after="0"/>
              <w:rPr>
                <w:sz w:val="20"/>
                <w:szCs w:val="20"/>
                <w:color w:val="auto"/>
              </w:rPr>
            </w:pPr>
            <w:r>
              <w:rPr>
                <w:rFonts w:ascii="Arial" w:cs="Arial" w:eastAsia="Arial" w:hAnsi="Arial"/>
                <w:sz w:val="14"/>
                <w:szCs w:val="14"/>
                <w:color w:val="auto"/>
              </w:rPr>
              <w:t>(22,315 )</w:t>
            </w:r>
          </w:p>
        </w:tc>
        <w:tc>
          <w:tcPr>
            <w:tcW w:w="280" w:type="dxa"/>
            <w:vAlign w:val="bottom"/>
          </w:tcPr>
          <w:p>
            <w:pPr>
              <w:spacing w:after="0"/>
              <w:rPr>
                <w:sz w:val="15"/>
                <w:szCs w:val="15"/>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(21,640 )</w:t>
            </w:r>
          </w:p>
        </w:tc>
      </w:tr>
      <w:tr>
        <w:trPr>
          <w:trHeight w:val="169"/>
        </w:trPr>
        <w:tc>
          <w:tcPr>
            <w:tcW w:w="5700" w:type="dxa"/>
            <w:vAlign w:val="bottom"/>
            <w:shd w:val="clear" w:color="auto" w:fill="CCECFF"/>
          </w:tcPr>
          <w:p>
            <w:pPr>
              <w:ind w:left="200"/>
              <w:spacing w:after="0"/>
              <w:rPr>
                <w:sz w:val="20"/>
                <w:szCs w:val="20"/>
                <w:color w:val="auto"/>
              </w:rPr>
            </w:pPr>
            <w:r>
              <w:rPr>
                <w:rFonts w:ascii="Arial" w:cs="Arial" w:eastAsia="Arial" w:hAnsi="Arial"/>
                <w:sz w:val="14"/>
                <w:szCs w:val="14"/>
                <w:b w:val="1"/>
                <w:bCs w:val="1"/>
                <w:color w:val="auto"/>
              </w:rPr>
              <w:t>Net realized gain (loss) on investments</w:t>
            </w:r>
          </w:p>
        </w:tc>
        <w:tc>
          <w:tcPr>
            <w:tcW w:w="220" w:type="dxa"/>
            <w:vAlign w:val="bottom"/>
            <w:tcBorders>
              <w:top w:val="single" w:sz="8" w:color="auto"/>
            </w:tcBorders>
            <w:shd w:val="clear" w:color="auto" w:fill="CCECFF"/>
          </w:tcPr>
          <w:p>
            <w:pPr>
              <w:spacing w:after="0"/>
              <w:rPr>
                <w:sz w:val="14"/>
                <w:szCs w:val="14"/>
                <w:color w:val="auto"/>
              </w:rPr>
            </w:pPr>
          </w:p>
        </w:tc>
        <w:tc>
          <w:tcPr>
            <w:tcW w:w="94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701</w:t>
            </w:r>
          </w:p>
        </w:tc>
        <w:tc>
          <w:tcPr>
            <w:tcW w:w="260" w:type="dxa"/>
            <w:vAlign w:val="bottom"/>
            <w:shd w:val="clear" w:color="auto" w:fill="CCECFF"/>
          </w:tcPr>
          <w:p>
            <w:pPr>
              <w:spacing w:after="0"/>
              <w:rPr>
                <w:sz w:val="14"/>
                <w:szCs w:val="14"/>
                <w:color w:val="auto"/>
              </w:rPr>
            </w:pPr>
          </w:p>
        </w:tc>
        <w:tc>
          <w:tcPr>
            <w:tcW w:w="280" w:type="dxa"/>
            <w:vAlign w:val="bottom"/>
            <w:tcBorders>
              <w:top w:val="single" w:sz="8" w:color="auto"/>
            </w:tcBorders>
            <w:shd w:val="clear" w:color="auto" w:fill="CCECFF"/>
          </w:tcPr>
          <w:p>
            <w:pPr>
              <w:spacing w:after="0"/>
              <w:rPr>
                <w:sz w:val="14"/>
                <w:szCs w:val="14"/>
                <w:color w:val="auto"/>
              </w:rPr>
            </w:pPr>
          </w:p>
        </w:tc>
        <w:tc>
          <w:tcPr>
            <w:tcW w:w="9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(12,974</w:t>
            </w:r>
          </w:p>
        </w:tc>
        <w:tc>
          <w:tcPr>
            <w:tcW w:w="240" w:type="dxa"/>
            <w:vAlign w:val="bottom"/>
            <w:shd w:val="clear" w:color="auto" w:fill="CCECFF"/>
          </w:tcPr>
          <w:p>
            <w:pPr>
              <w:jc w:val="right"/>
              <w:ind w:right="108"/>
              <w:spacing w:after="0"/>
              <w:rPr>
                <w:sz w:val="20"/>
                <w:szCs w:val="20"/>
                <w:color w:val="auto"/>
              </w:rPr>
            </w:pPr>
            <w:r>
              <w:rPr>
                <w:rFonts w:ascii="Arial" w:cs="Arial" w:eastAsia="Arial" w:hAnsi="Arial"/>
                <w:sz w:val="14"/>
                <w:szCs w:val="14"/>
                <w:color w:val="auto"/>
                <w:w w:val="84"/>
              </w:rPr>
              <w:t>)</w:t>
            </w:r>
          </w:p>
        </w:tc>
        <w:tc>
          <w:tcPr>
            <w:tcW w:w="240" w:type="dxa"/>
            <w:vAlign w:val="bottom"/>
            <w:tcBorders>
              <w:top w:val="single" w:sz="8" w:color="auto"/>
            </w:tcBorders>
            <w:shd w:val="clear" w:color="auto" w:fill="CCECFF"/>
          </w:tcPr>
          <w:p>
            <w:pPr>
              <w:spacing w:after="0"/>
              <w:rPr>
                <w:sz w:val="14"/>
                <w:szCs w:val="14"/>
                <w:color w:val="auto"/>
              </w:rPr>
            </w:pPr>
          </w:p>
        </w:tc>
        <w:tc>
          <w:tcPr>
            <w:tcW w:w="90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(11,621</w:t>
            </w:r>
          </w:p>
        </w:tc>
        <w:tc>
          <w:tcPr>
            <w:tcW w:w="240" w:type="dxa"/>
            <w:vAlign w:val="bottom"/>
            <w:shd w:val="clear" w:color="auto" w:fill="CCECFF"/>
          </w:tcPr>
          <w:p>
            <w:pPr>
              <w:jc w:val="right"/>
              <w:ind w:right="108"/>
              <w:spacing w:after="0"/>
              <w:rPr>
                <w:sz w:val="20"/>
                <w:szCs w:val="20"/>
                <w:color w:val="auto"/>
              </w:rPr>
            </w:pPr>
            <w:r>
              <w:rPr>
                <w:rFonts w:ascii="Arial" w:cs="Arial" w:eastAsia="Arial" w:hAnsi="Arial"/>
                <w:sz w:val="14"/>
                <w:szCs w:val="14"/>
                <w:color w:val="auto"/>
                <w:w w:val="84"/>
              </w:rPr>
              <w:t>)</w:t>
            </w:r>
          </w:p>
        </w:tc>
        <w:tc>
          <w:tcPr>
            <w:tcW w:w="280" w:type="dxa"/>
            <w:vAlign w:val="bottom"/>
            <w:tcBorders>
              <w:top w:val="single" w:sz="8" w:color="auto"/>
            </w:tcBorders>
            <w:shd w:val="clear" w:color="auto" w:fill="CCECFF"/>
          </w:tcPr>
          <w:p>
            <w:pPr>
              <w:spacing w:after="0"/>
              <w:rPr>
                <w:sz w:val="14"/>
                <w:szCs w:val="14"/>
                <w:color w:val="auto"/>
              </w:rPr>
            </w:pPr>
          </w:p>
        </w:tc>
        <w:tc>
          <w:tcPr>
            <w:tcW w:w="9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(15,260</w:t>
            </w:r>
          </w:p>
        </w:tc>
        <w:tc>
          <w:tcPr>
            <w:tcW w:w="100" w:type="dxa"/>
            <w:vAlign w:val="bottom"/>
            <w:shd w:val="clear" w:color="auto" w:fill="CCECFF"/>
          </w:tcPr>
          <w:p>
            <w:pPr>
              <w:jc w:val="right"/>
              <w:spacing w:after="0"/>
              <w:rPr>
                <w:sz w:val="20"/>
                <w:szCs w:val="20"/>
                <w:color w:val="auto"/>
              </w:rPr>
            </w:pPr>
            <w:r>
              <w:rPr>
                <w:rFonts w:ascii="Arial" w:cs="Arial" w:eastAsia="Arial" w:hAnsi="Arial"/>
                <w:sz w:val="14"/>
                <w:szCs w:val="14"/>
                <w:color w:val="auto"/>
                <w:w w:val="84"/>
              </w:rPr>
              <w:t>)</w:t>
            </w:r>
          </w:p>
        </w:tc>
      </w:tr>
      <w:tr>
        <w:trPr>
          <w:trHeight w:val="176"/>
        </w:trPr>
        <w:tc>
          <w:tcPr>
            <w:tcW w:w="5700" w:type="dxa"/>
            <w:vAlign w:val="bottom"/>
          </w:tcPr>
          <w:p>
            <w:pPr>
              <w:ind w:left="20"/>
              <w:spacing w:after="0"/>
              <w:rPr>
                <w:sz w:val="20"/>
                <w:szCs w:val="20"/>
                <w:color w:val="auto"/>
              </w:rPr>
            </w:pPr>
            <w:r>
              <w:rPr>
                <w:rFonts w:ascii="Arial" w:cs="Arial" w:eastAsia="Arial" w:hAnsi="Arial"/>
                <w:sz w:val="14"/>
                <w:szCs w:val="14"/>
                <w:color w:val="auto"/>
              </w:rPr>
              <w:t>Net change in unrealized appreciation (depreciation) on:</w:t>
            </w: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5700" w:type="dxa"/>
            <w:vAlign w:val="bottom"/>
            <w:shd w:val="clear" w:color="auto" w:fill="CCECFF"/>
          </w:tcPr>
          <w:p>
            <w:pPr>
              <w:ind w:left="200"/>
              <w:spacing w:after="0"/>
              <w:rPr>
                <w:sz w:val="20"/>
                <w:szCs w:val="20"/>
                <w:color w:val="auto"/>
              </w:rPr>
            </w:pPr>
            <w:r>
              <w:rPr>
                <w:rFonts w:ascii="Arial" w:cs="Arial" w:eastAsia="Arial" w:hAnsi="Arial"/>
                <w:sz w:val="14"/>
                <w:szCs w:val="14"/>
                <w:color w:val="auto"/>
              </w:rPr>
              <w:t>Non-controlled, non-affiliated investments</w:t>
            </w:r>
          </w:p>
        </w:tc>
        <w:tc>
          <w:tcPr>
            <w:tcW w:w="220" w:type="dxa"/>
            <w:vAlign w:val="bottom"/>
            <w:shd w:val="clear" w:color="auto" w:fill="CCECFF"/>
          </w:tcPr>
          <w:p>
            <w:pPr>
              <w:spacing w:after="0"/>
              <w:rPr>
                <w:sz w:val="15"/>
                <w:szCs w:val="15"/>
                <w:color w:val="auto"/>
              </w:rPr>
            </w:pPr>
          </w:p>
        </w:tc>
        <w:tc>
          <w:tcPr>
            <w:tcW w:w="1200" w:type="dxa"/>
            <w:vAlign w:val="bottom"/>
            <w:gridSpan w:val="2"/>
            <w:shd w:val="clear" w:color="auto" w:fill="CCECFF"/>
          </w:tcPr>
          <w:p>
            <w:pPr>
              <w:jc w:val="right"/>
              <w:ind w:right="128"/>
              <w:spacing w:after="0"/>
              <w:rPr>
                <w:sz w:val="20"/>
                <w:szCs w:val="20"/>
                <w:color w:val="auto"/>
              </w:rPr>
            </w:pPr>
            <w:r>
              <w:rPr>
                <w:rFonts w:ascii="Arial" w:cs="Arial" w:eastAsia="Arial" w:hAnsi="Arial"/>
                <w:sz w:val="14"/>
                <w:szCs w:val="14"/>
                <w:color w:val="auto"/>
              </w:rPr>
              <w:t>(11,204 )</w:t>
            </w:r>
          </w:p>
        </w:tc>
        <w:tc>
          <w:tcPr>
            <w:tcW w:w="280" w:type="dxa"/>
            <w:vAlign w:val="bottom"/>
            <w:shd w:val="clear" w:color="auto" w:fill="CCECFF"/>
          </w:tcPr>
          <w:p>
            <w:pPr>
              <w:spacing w:after="0"/>
              <w:rPr>
                <w:sz w:val="15"/>
                <w:szCs w:val="15"/>
                <w:color w:val="auto"/>
              </w:rPr>
            </w:pPr>
          </w:p>
        </w:tc>
        <w:tc>
          <w:tcPr>
            <w:tcW w:w="1160" w:type="dxa"/>
            <w:vAlign w:val="bottom"/>
            <w:gridSpan w:val="2"/>
            <w:shd w:val="clear" w:color="auto" w:fill="CCECFF"/>
          </w:tcPr>
          <w:p>
            <w:pPr>
              <w:jc w:val="right"/>
              <w:ind w:right="108"/>
              <w:spacing w:after="0"/>
              <w:rPr>
                <w:sz w:val="20"/>
                <w:szCs w:val="20"/>
                <w:color w:val="auto"/>
              </w:rPr>
            </w:pPr>
            <w:r>
              <w:rPr>
                <w:rFonts w:ascii="Arial" w:cs="Arial" w:eastAsia="Arial" w:hAnsi="Arial"/>
                <w:sz w:val="14"/>
                <w:szCs w:val="14"/>
                <w:color w:val="auto"/>
              </w:rPr>
              <w:t>(6,281 )</w:t>
            </w:r>
          </w:p>
        </w:tc>
        <w:tc>
          <w:tcPr>
            <w:tcW w:w="240" w:type="dxa"/>
            <w:vAlign w:val="bottom"/>
            <w:shd w:val="clear" w:color="auto" w:fill="CCECFF"/>
          </w:tcPr>
          <w:p>
            <w:pPr>
              <w:spacing w:after="0"/>
              <w:rPr>
                <w:sz w:val="15"/>
                <w:szCs w:val="15"/>
                <w:color w:val="auto"/>
              </w:rPr>
            </w:pPr>
          </w:p>
        </w:tc>
        <w:tc>
          <w:tcPr>
            <w:tcW w:w="1140" w:type="dxa"/>
            <w:vAlign w:val="bottom"/>
            <w:gridSpan w:val="2"/>
            <w:shd w:val="clear" w:color="auto" w:fill="CCECFF"/>
          </w:tcPr>
          <w:p>
            <w:pPr>
              <w:jc w:val="right"/>
              <w:ind w:right="108"/>
              <w:spacing w:after="0"/>
              <w:rPr>
                <w:sz w:val="20"/>
                <w:szCs w:val="20"/>
                <w:color w:val="auto"/>
              </w:rPr>
            </w:pPr>
            <w:r>
              <w:rPr>
                <w:rFonts w:ascii="Arial" w:cs="Arial" w:eastAsia="Arial" w:hAnsi="Arial"/>
                <w:sz w:val="14"/>
                <w:szCs w:val="14"/>
                <w:color w:val="auto"/>
              </w:rPr>
              <w:t>(12,243 )</w:t>
            </w:r>
          </w:p>
        </w:tc>
        <w:tc>
          <w:tcPr>
            <w:tcW w:w="280" w:type="dxa"/>
            <w:vAlign w:val="bottom"/>
            <w:shd w:val="clear" w:color="auto" w:fill="CCECFF"/>
          </w:tcPr>
          <w:p>
            <w:pPr>
              <w:spacing w:after="0"/>
              <w:rPr>
                <w:sz w:val="15"/>
                <w:szCs w:val="15"/>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28,407</w:t>
            </w:r>
          </w:p>
        </w:tc>
        <w:tc>
          <w:tcPr>
            <w:tcW w:w="100" w:type="dxa"/>
            <w:vAlign w:val="bottom"/>
            <w:shd w:val="clear" w:color="auto" w:fill="CCECFF"/>
          </w:tcPr>
          <w:p>
            <w:pPr>
              <w:spacing w:after="0"/>
              <w:rPr>
                <w:sz w:val="15"/>
                <w:szCs w:val="15"/>
                <w:color w:val="auto"/>
              </w:rPr>
            </w:pPr>
          </w:p>
        </w:tc>
      </w:tr>
      <w:tr>
        <w:trPr>
          <w:trHeight w:val="175"/>
        </w:trPr>
        <w:tc>
          <w:tcPr>
            <w:tcW w:w="5700" w:type="dxa"/>
            <w:vAlign w:val="bottom"/>
          </w:tcPr>
          <w:p>
            <w:pPr>
              <w:ind w:left="200"/>
              <w:spacing w:after="0"/>
              <w:rPr>
                <w:sz w:val="20"/>
                <w:szCs w:val="20"/>
                <w:color w:val="auto"/>
              </w:rPr>
            </w:pPr>
            <w:r>
              <w:rPr>
                <w:rFonts w:ascii="Arial" w:cs="Arial" w:eastAsia="Arial" w:hAnsi="Arial"/>
                <w:sz w:val="14"/>
                <w:szCs w:val="14"/>
                <w:color w:val="auto"/>
              </w:rPr>
              <w:t>Controlled and non-controlled, affiliated investments</w:t>
            </w:r>
          </w:p>
        </w:tc>
        <w:tc>
          <w:tcPr>
            <w:tcW w:w="220" w:type="dxa"/>
            <w:vAlign w:val="bottom"/>
          </w:tcPr>
          <w:p>
            <w:pPr>
              <w:spacing w:after="0"/>
              <w:rPr>
                <w:sz w:val="15"/>
                <w:szCs w:val="15"/>
                <w:color w:val="auto"/>
              </w:rPr>
            </w:pPr>
          </w:p>
        </w:tc>
        <w:tc>
          <w:tcPr>
            <w:tcW w:w="1200" w:type="dxa"/>
            <w:vAlign w:val="bottom"/>
            <w:gridSpan w:val="2"/>
          </w:tcPr>
          <w:p>
            <w:pPr>
              <w:jc w:val="right"/>
              <w:ind w:right="128"/>
              <w:spacing w:after="0"/>
              <w:rPr>
                <w:sz w:val="20"/>
                <w:szCs w:val="20"/>
                <w:color w:val="auto"/>
              </w:rPr>
            </w:pPr>
            <w:r>
              <w:rPr>
                <w:rFonts w:ascii="Arial" w:cs="Arial" w:eastAsia="Arial" w:hAnsi="Arial"/>
                <w:sz w:val="14"/>
                <w:szCs w:val="14"/>
                <w:color w:val="auto"/>
              </w:rPr>
              <w:t>(6,431 )</w:t>
            </w: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20,451</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8,597</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20,370</w:t>
            </w:r>
          </w:p>
        </w:tc>
        <w:tc>
          <w:tcPr>
            <w:tcW w:w="100" w:type="dxa"/>
            <w:vAlign w:val="bottom"/>
          </w:tcPr>
          <w:p>
            <w:pPr>
              <w:spacing w:after="0"/>
              <w:rPr>
                <w:sz w:val="15"/>
                <w:szCs w:val="15"/>
                <w:color w:val="auto"/>
              </w:rPr>
            </w:pPr>
          </w:p>
        </w:tc>
      </w:tr>
      <w:tr>
        <w:trPr>
          <w:trHeight w:val="175"/>
        </w:trPr>
        <w:tc>
          <w:tcPr>
            <w:tcW w:w="5700" w:type="dxa"/>
            <w:vAlign w:val="bottom"/>
            <w:shd w:val="clear" w:color="auto" w:fill="CCECFF"/>
          </w:tcPr>
          <w:p>
            <w:pPr>
              <w:ind w:left="200"/>
              <w:spacing w:after="0"/>
              <w:rPr>
                <w:sz w:val="20"/>
                <w:szCs w:val="20"/>
                <w:color w:val="auto"/>
              </w:rPr>
            </w:pPr>
            <w:r>
              <w:rPr>
                <w:rFonts w:ascii="Arial" w:cs="Arial" w:eastAsia="Arial" w:hAnsi="Arial"/>
                <w:sz w:val="14"/>
                <w:szCs w:val="14"/>
                <w:color w:val="auto"/>
              </w:rPr>
              <w:t>Provision for taxes on unrealized appreciation on investments</w:t>
            </w:r>
          </w:p>
        </w:tc>
        <w:tc>
          <w:tcPr>
            <w:tcW w:w="220" w:type="dxa"/>
            <w:vAlign w:val="bottom"/>
            <w:shd w:val="clear" w:color="auto" w:fill="CCECFF"/>
          </w:tcPr>
          <w:p>
            <w:pPr>
              <w:spacing w:after="0"/>
              <w:rPr>
                <w:sz w:val="15"/>
                <w:szCs w:val="15"/>
                <w:color w:val="auto"/>
              </w:rPr>
            </w:pPr>
          </w:p>
        </w:tc>
        <w:tc>
          <w:tcPr>
            <w:tcW w:w="1200" w:type="dxa"/>
            <w:vAlign w:val="bottom"/>
            <w:gridSpan w:val="2"/>
            <w:shd w:val="clear" w:color="auto" w:fill="CCECFF"/>
          </w:tcPr>
          <w:p>
            <w:pPr>
              <w:jc w:val="right"/>
              <w:ind w:right="18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CFF"/>
          </w:tcPr>
          <w:p>
            <w:pPr>
              <w:spacing w:after="0"/>
              <w:rPr>
                <w:sz w:val="15"/>
                <w:szCs w:val="15"/>
                <w:color w:val="auto"/>
              </w:rPr>
            </w:pPr>
          </w:p>
        </w:tc>
        <w:tc>
          <w:tcPr>
            <w:tcW w:w="1160" w:type="dxa"/>
            <w:vAlign w:val="bottom"/>
            <w:gridSpan w:val="2"/>
            <w:shd w:val="clear" w:color="auto" w:fill="CCECFF"/>
          </w:tcPr>
          <w:p>
            <w:pPr>
              <w:jc w:val="right"/>
              <w:ind w:right="18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CFF"/>
          </w:tcPr>
          <w:p>
            <w:pPr>
              <w:spacing w:after="0"/>
              <w:rPr>
                <w:sz w:val="15"/>
                <w:szCs w:val="15"/>
                <w:color w:val="auto"/>
              </w:rPr>
            </w:pPr>
          </w:p>
        </w:tc>
        <w:tc>
          <w:tcPr>
            <w:tcW w:w="1140" w:type="dxa"/>
            <w:vAlign w:val="bottom"/>
            <w:gridSpan w:val="2"/>
            <w:shd w:val="clear" w:color="auto" w:fill="CCECFF"/>
          </w:tcPr>
          <w:p>
            <w:pPr>
              <w:jc w:val="right"/>
              <w:ind w:right="108"/>
              <w:spacing w:after="0"/>
              <w:rPr>
                <w:sz w:val="20"/>
                <w:szCs w:val="20"/>
                <w:color w:val="auto"/>
              </w:rPr>
            </w:pPr>
            <w:r>
              <w:rPr>
                <w:rFonts w:ascii="Arial" w:cs="Arial" w:eastAsia="Arial" w:hAnsi="Arial"/>
                <w:sz w:val="14"/>
                <w:szCs w:val="14"/>
                <w:color w:val="auto"/>
              </w:rPr>
              <w:t>(5,340 )</w:t>
            </w:r>
          </w:p>
        </w:tc>
        <w:tc>
          <w:tcPr>
            <w:tcW w:w="280" w:type="dxa"/>
            <w:vAlign w:val="bottom"/>
            <w:shd w:val="clear" w:color="auto" w:fill="CCECFF"/>
          </w:tcPr>
          <w:p>
            <w:pPr>
              <w:spacing w:after="0"/>
              <w:rPr>
                <w:sz w:val="15"/>
                <w:szCs w:val="15"/>
                <w:color w:val="auto"/>
              </w:rPr>
            </w:pPr>
          </w:p>
        </w:tc>
        <w:tc>
          <w:tcPr>
            <w:tcW w:w="1020" w:type="dxa"/>
            <w:vAlign w:val="bottom"/>
            <w:gridSpan w:val="2"/>
            <w:shd w:val="clear" w:color="auto" w:fill="CCECFF"/>
          </w:tcPr>
          <w:p>
            <w:pPr>
              <w:jc w:val="right"/>
              <w:ind w:right="48"/>
              <w:spacing w:after="0"/>
              <w:rPr>
                <w:sz w:val="20"/>
                <w:szCs w:val="20"/>
                <w:color w:val="auto"/>
              </w:rPr>
            </w:pPr>
            <w:r>
              <w:rPr>
                <w:rFonts w:ascii="Arial" w:cs="Arial" w:eastAsia="Arial" w:hAnsi="Arial"/>
                <w:sz w:val="14"/>
                <w:szCs w:val="14"/>
                <w:color w:val="auto"/>
              </w:rPr>
              <w:t>—</w:t>
            </w:r>
          </w:p>
        </w:tc>
      </w:tr>
      <w:tr>
        <w:trPr>
          <w:trHeight w:val="175"/>
        </w:trPr>
        <w:tc>
          <w:tcPr>
            <w:tcW w:w="5700" w:type="dxa"/>
            <w:vAlign w:val="bottom"/>
          </w:tcPr>
          <w:p>
            <w:pPr>
              <w:ind w:left="200"/>
              <w:spacing w:after="0"/>
              <w:rPr>
                <w:sz w:val="20"/>
                <w:szCs w:val="20"/>
                <w:color w:val="auto"/>
              </w:rPr>
            </w:pPr>
            <w:r>
              <w:rPr>
                <w:rFonts w:ascii="Arial" w:cs="Arial" w:eastAsia="Arial" w:hAnsi="Arial"/>
                <w:sz w:val="14"/>
                <w:szCs w:val="14"/>
                <w:color w:val="auto"/>
              </w:rPr>
              <w:t>Debt (appreciation) depreciation (See Note 5 and 10)</w:t>
            </w: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26</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3,232</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1,273</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(11,317 )</w:t>
            </w:r>
          </w:p>
        </w:tc>
      </w:tr>
      <w:tr>
        <w:trPr>
          <w:trHeight w:val="169"/>
        </w:trPr>
        <w:tc>
          <w:tcPr>
            <w:tcW w:w="5700" w:type="dxa"/>
            <w:vAlign w:val="bottom"/>
            <w:tcBorders>
              <w:bottom w:val="single" w:sz="8" w:color="CCECFF"/>
            </w:tcBorders>
            <w:shd w:val="clear" w:color="auto" w:fill="CCECFF"/>
          </w:tcPr>
          <w:p>
            <w:pPr>
              <w:ind w:left="200"/>
              <w:spacing w:after="0"/>
              <w:rPr>
                <w:sz w:val="20"/>
                <w:szCs w:val="20"/>
                <w:color w:val="auto"/>
              </w:rPr>
            </w:pPr>
            <w:r>
              <w:rPr>
                <w:rFonts w:ascii="Arial" w:cs="Arial" w:eastAsia="Arial" w:hAnsi="Arial"/>
                <w:sz w:val="14"/>
                <w:szCs w:val="14"/>
                <w:b w:val="1"/>
                <w:bCs w:val="1"/>
                <w:color w:val="auto"/>
              </w:rPr>
              <w:t>Net change in unrealized (depreciation) appreciation on investments and debt</w:t>
            </w:r>
          </w:p>
        </w:tc>
        <w:tc>
          <w:tcPr>
            <w:tcW w:w="220" w:type="dxa"/>
            <w:vAlign w:val="bottom"/>
            <w:tcBorders>
              <w:top w:val="single" w:sz="8" w:color="auto"/>
              <w:bottom w:val="single" w:sz="8" w:color="auto"/>
            </w:tcBorders>
            <w:shd w:val="clear" w:color="auto" w:fill="CCECFF"/>
          </w:tcPr>
          <w:p>
            <w:pPr>
              <w:spacing w:after="0"/>
              <w:rPr>
                <w:sz w:val="14"/>
                <w:szCs w:val="14"/>
                <w:color w:val="auto"/>
              </w:rPr>
            </w:pPr>
          </w:p>
        </w:tc>
        <w:tc>
          <w:tcPr>
            <w:tcW w:w="9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(17,609</w:t>
            </w:r>
          </w:p>
        </w:tc>
        <w:tc>
          <w:tcPr>
            <w:tcW w:w="260" w:type="dxa"/>
            <w:vAlign w:val="bottom"/>
            <w:tcBorders>
              <w:bottom w:val="single" w:sz="8" w:color="CCECFF"/>
            </w:tcBorders>
            <w:shd w:val="clear" w:color="auto" w:fill="CCECFF"/>
          </w:tcPr>
          <w:p>
            <w:pPr>
              <w:jc w:val="right"/>
              <w:ind w:right="128"/>
              <w:spacing w:after="0"/>
              <w:rPr>
                <w:sz w:val="20"/>
                <w:szCs w:val="20"/>
                <w:color w:val="auto"/>
              </w:rPr>
            </w:pPr>
            <w:r>
              <w:rPr>
                <w:rFonts w:ascii="Arial" w:cs="Arial" w:eastAsia="Arial" w:hAnsi="Arial"/>
                <w:sz w:val="14"/>
                <w:szCs w:val="14"/>
                <w:color w:val="auto"/>
                <w:w w:val="84"/>
              </w:rPr>
              <w:t>)</w:t>
            </w:r>
          </w:p>
        </w:tc>
        <w:tc>
          <w:tcPr>
            <w:tcW w:w="280" w:type="dxa"/>
            <w:vAlign w:val="bottom"/>
            <w:tcBorders>
              <w:top w:val="single" w:sz="8" w:color="auto"/>
              <w:bottom w:val="single" w:sz="8" w:color="auto"/>
            </w:tcBorders>
            <w:shd w:val="clear" w:color="auto" w:fill="CCECFF"/>
          </w:tcPr>
          <w:p>
            <w:pPr>
              <w:spacing w:after="0"/>
              <w:rPr>
                <w:sz w:val="14"/>
                <w:szCs w:val="14"/>
                <w:color w:val="auto"/>
              </w:rPr>
            </w:pPr>
          </w:p>
        </w:tc>
        <w:tc>
          <w:tcPr>
            <w:tcW w:w="9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17,402</w:t>
            </w:r>
          </w:p>
        </w:tc>
        <w:tc>
          <w:tcPr>
            <w:tcW w:w="240" w:type="dxa"/>
            <w:vAlign w:val="bottom"/>
            <w:tcBorders>
              <w:bottom w:val="single" w:sz="8" w:color="CCECFF"/>
            </w:tcBorders>
            <w:shd w:val="clear" w:color="auto" w:fill="CCECFF"/>
          </w:tcPr>
          <w:p>
            <w:pPr>
              <w:spacing w:after="0"/>
              <w:rPr>
                <w:sz w:val="14"/>
                <w:szCs w:val="14"/>
                <w:color w:val="auto"/>
              </w:rPr>
            </w:pPr>
          </w:p>
        </w:tc>
        <w:tc>
          <w:tcPr>
            <w:tcW w:w="240" w:type="dxa"/>
            <w:vAlign w:val="bottom"/>
            <w:tcBorders>
              <w:top w:val="single" w:sz="8" w:color="auto"/>
              <w:bottom w:val="single" w:sz="8" w:color="auto"/>
            </w:tcBorders>
            <w:shd w:val="clear" w:color="auto" w:fill="CCECFF"/>
          </w:tcPr>
          <w:p>
            <w:pPr>
              <w:spacing w:after="0"/>
              <w:rPr>
                <w:sz w:val="14"/>
                <w:szCs w:val="14"/>
                <w:color w:val="auto"/>
              </w:rPr>
            </w:pPr>
          </w:p>
        </w:tc>
        <w:tc>
          <w:tcPr>
            <w:tcW w:w="9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(7,713</w:t>
            </w:r>
          </w:p>
        </w:tc>
        <w:tc>
          <w:tcPr>
            <w:tcW w:w="240" w:type="dxa"/>
            <w:vAlign w:val="bottom"/>
            <w:tcBorders>
              <w:bottom w:val="single" w:sz="8" w:color="CCECFF"/>
            </w:tcBorders>
            <w:shd w:val="clear" w:color="auto" w:fill="CCECFF"/>
          </w:tcPr>
          <w:p>
            <w:pPr>
              <w:jc w:val="right"/>
              <w:ind w:right="108"/>
              <w:spacing w:after="0"/>
              <w:rPr>
                <w:sz w:val="20"/>
                <w:szCs w:val="20"/>
                <w:color w:val="auto"/>
              </w:rPr>
            </w:pPr>
            <w:r>
              <w:rPr>
                <w:rFonts w:ascii="Arial" w:cs="Arial" w:eastAsia="Arial" w:hAnsi="Arial"/>
                <w:sz w:val="14"/>
                <w:szCs w:val="14"/>
                <w:color w:val="auto"/>
                <w:w w:val="84"/>
              </w:rPr>
              <w:t>)</w:t>
            </w:r>
          </w:p>
        </w:tc>
        <w:tc>
          <w:tcPr>
            <w:tcW w:w="280" w:type="dxa"/>
            <w:vAlign w:val="bottom"/>
            <w:tcBorders>
              <w:top w:val="single" w:sz="8" w:color="auto"/>
              <w:bottom w:val="single" w:sz="8" w:color="auto"/>
            </w:tcBorders>
            <w:shd w:val="clear" w:color="auto" w:fill="CCECFF"/>
          </w:tcPr>
          <w:p>
            <w:pPr>
              <w:spacing w:after="0"/>
              <w:rPr>
                <w:sz w:val="14"/>
                <w:szCs w:val="14"/>
                <w:color w:val="auto"/>
              </w:rPr>
            </w:pPr>
          </w:p>
        </w:tc>
        <w:tc>
          <w:tcPr>
            <w:tcW w:w="9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37,460</w:t>
            </w:r>
          </w:p>
        </w:tc>
        <w:tc>
          <w:tcPr>
            <w:tcW w:w="100" w:type="dxa"/>
            <w:vAlign w:val="bottom"/>
            <w:tcBorders>
              <w:bottom w:val="single" w:sz="8" w:color="CCECFF"/>
            </w:tcBorders>
            <w:shd w:val="clear" w:color="auto" w:fill="CCECFF"/>
          </w:tcPr>
          <w:p>
            <w:pPr>
              <w:spacing w:after="0"/>
              <w:rPr>
                <w:sz w:val="14"/>
                <w:szCs w:val="14"/>
                <w:color w:val="auto"/>
              </w:rPr>
            </w:pPr>
          </w:p>
        </w:tc>
      </w:tr>
      <w:tr>
        <w:trPr>
          <w:trHeight w:val="169"/>
        </w:trPr>
        <w:tc>
          <w:tcPr>
            <w:tcW w:w="5700" w:type="dxa"/>
            <w:vAlign w:val="bottom"/>
          </w:tcPr>
          <w:p>
            <w:pPr>
              <w:ind w:left="20"/>
              <w:spacing w:after="0"/>
              <w:rPr>
                <w:sz w:val="20"/>
                <w:szCs w:val="20"/>
                <w:color w:val="auto"/>
              </w:rPr>
            </w:pPr>
            <w:r>
              <w:rPr>
                <w:rFonts w:ascii="Arial" w:cs="Arial" w:eastAsia="Arial" w:hAnsi="Arial"/>
                <w:sz w:val="14"/>
                <w:szCs w:val="14"/>
                <w:b w:val="1"/>
                <w:bCs w:val="1"/>
                <w:color w:val="auto"/>
              </w:rPr>
              <w:t>Net realized and unrealized (loss) gain from investments and debt</w:t>
            </w:r>
          </w:p>
        </w:tc>
        <w:tc>
          <w:tcPr>
            <w:tcW w:w="220" w:type="dxa"/>
            <w:vAlign w:val="bottom"/>
          </w:tcPr>
          <w:p>
            <w:pPr>
              <w:spacing w:after="0"/>
              <w:rPr>
                <w:sz w:val="14"/>
                <w:szCs w:val="14"/>
                <w:color w:val="auto"/>
              </w:rPr>
            </w:pPr>
          </w:p>
        </w:tc>
        <w:tc>
          <w:tcPr>
            <w:tcW w:w="1200" w:type="dxa"/>
            <w:vAlign w:val="bottom"/>
            <w:gridSpan w:val="2"/>
          </w:tcPr>
          <w:p>
            <w:pPr>
              <w:jc w:val="right"/>
              <w:ind w:right="128"/>
              <w:spacing w:after="0"/>
              <w:rPr>
                <w:sz w:val="20"/>
                <w:szCs w:val="20"/>
                <w:color w:val="auto"/>
              </w:rPr>
            </w:pPr>
            <w:r>
              <w:rPr>
                <w:rFonts w:ascii="Arial" w:cs="Arial" w:eastAsia="Arial" w:hAnsi="Arial"/>
                <w:sz w:val="14"/>
                <w:szCs w:val="14"/>
                <w:color w:val="auto"/>
              </w:rPr>
              <w:t>(16,908 )</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4,428</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right"/>
              <w:ind w:right="108"/>
              <w:spacing w:after="0"/>
              <w:rPr>
                <w:sz w:val="20"/>
                <w:szCs w:val="20"/>
                <w:color w:val="auto"/>
              </w:rPr>
            </w:pPr>
            <w:r>
              <w:rPr>
                <w:rFonts w:ascii="Arial" w:cs="Arial" w:eastAsia="Arial" w:hAnsi="Arial"/>
                <w:sz w:val="14"/>
                <w:szCs w:val="14"/>
                <w:color w:val="auto"/>
              </w:rPr>
              <w:t>(19,334 )</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22,200</w:t>
            </w:r>
          </w:p>
        </w:tc>
        <w:tc>
          <w:tcPr>
            <w:tcW w:w="100" w:type="dxa"/>
            <w:vAlign w:val="bottom"/>
          </w:tcPr>
          <w:p>
            <w:pPr>
              <w:spacing w:after="0"/>
              <w:rPr>
                <w:sz w:val="14"/>
                <w:szCs w:val="14"/>
                <w:color w:val="auto"/>
              </w:rPr>
            </w:pPr>
          </w:p>
        </w:tc>
      </w:tr>
      <w:tr>
        <w:trPr>
          <w:trHeight w:val="209"/>
        </w:trPr>
        <w:tc>
          <w:tcPr>
            <w:tcW w:w="570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4"/>
                <w:szCs w:val="14"/>
                <w:b w:val="1"/>
                <w:bCs w:val="1"/>
                <w:color w:val="auto"/>
              </w:rPr>
              <w:t>Net increase (decrease) in net assets resulting from operations</w:t>
            </w:r>
          </w:p>
        </w:tc>
        <w:tc>
          <w:tcPr>
            <w:tcW w:w="220" w:type="dxa"/>
            <w:vAlign w:val="bottom"/>
            <w:tcBorders>
              <w:top w:val="single" w:sz="8" w:color="auto"/>
              <w:bottom w:val="single" w:sz="8" w:color="auto"/>
            </w:tcBorders>
            <w:shd w:val="clear" w:color="auto" w:fill="CCECFF"/>
          </w:tcPr>
          <w:p>
            <w:pPr>
              <w:jc w:val="right"/>
              <w:ind w:right="68"/>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(5,085</w:t>
            </w:r>
          </w:p>
        </w:tc>
        <w:tc>
          <w:tcPr>
            <w:tcW w:w="260" w:type="dxa"/>
            <w:vAlign w:val="bottom"/>
            <w:tcBorders>
              <w:bottom w:val="single" w:sz="8" w:color="CCECFF"/>
            </w:tcBorders>
            <w:shd w:val="clear" w:color="auto" w:fill="CCECFF"/>
          </w:tcPr>
          <w:p>
            <w:pPr>
              <w:jc w:val="right"/>
              <w:ind w:right="128"/>
              <w:spacing w:after="0"/>
              <w:rPr>
                <w:sz w:val="20"/>
                <w:szCs w:val="20"/>
                <w:color w:val="auto"/>
              </w:rPr>
            </w:pPr>
            <w:r>
              <w:rPr>
                <w:rFonts w:ascii="Arial" w:cs="Arial" w:eastAsia="Arial" w:hAnsi="Arial"/>
                <w:sz w:val="14"/>
                <w:szCs w:val="14"/>
                <w:color w:val="auto"/>
                <w:w w:val="84"/>
              </w:rPr>
              <w:t>)</w:t>
            </w:r>
          </w:p>
        </w:tc>
        <w:tc>
          <w:tcPr>
            <w:tcW w:w="280" w:type="dxa"/>
            <w:vAlign w:val="bottom"/>
            <w:tcBorders>
              <w:top w:val="single" w:sz="8" w:color="auto"/>
              <w:bottom w:val="single" w:sz="8" w:color="auto"/>
            </w:tcBorders>
            <w:shd w:val="clear" w:color="auto" w:fill="CCECFF"/>
          </w:tcPr>
          <w:p>
            <w:pPr>
              <w:jc w:val="right"/>
              <w:ind w:right="128"/>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14,707</w:t>
            </w:r>
          </w:p>
        </w:tc>
        <w:tc>
          <w:tcPr>
            <w:tcW w:w="240" w:type="dxa"/>
            <w:vAlign w:val="bottom"/>
            <w:tcBorders>
              <w:bottom w:val="single" w:sz="8" w:color="CCECFF"/>
            </w:tcBorders>
            <w:shd w:val="clear" w:color="auto" w:fill="CCECFF"/>
          </w:tcPr>
          <w:p>
            <w:pPr>
              <w:spacing w:after="0"/>
              <w:rPr>
                <w:sz w:val="18"/>
                <w:szCs w:val="18"/>
                <w:color w:val="auto"/>
              </w:rPr>
            </w:pPr>
          </w:p>
        </w:tc>
        <w:tc>
          <w:tcPr>
            <w:tcW w:w="240" w:type="dxa"/>
            <w:vAlign w:val="bottom"/>
            <w:tcBorders>
              <w:top w:val="single" w:sz="8" w:color="auto"/>
              <w:bottom w:val="single" w:sz="8" w:color="auto"/>
            </w:tcBorders>
            <w:shd w:val="clear" w:color="auto" w:fill="CCECFF"/>
          </w:tcPr>
          <w:p>
            <w:pPr>
              <w:jc w:val="right"/>
              <w:ind w:right="88"/>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16,592</w:t>
            </w:r>
          </w:p>
        </w:tc>
        <w:tc>
          <w:tcPr>
            <w:tcW w:w="240" w:type="dxa"/>
            <w:vAlign w:val="bottom"/>
            <w:tcBorders>
              <w:bottom w:val="single" w:sz="8" w:color="CCECFF"/>
            </w:tcBorders>
            <w:shd w:val="clear" w:color="auto" w:fill="CCECFF"/>
          </w:tcPr>
          <w:p>
            <w:pPr>
              <w:spacing w:after="0"/>
              <w:rPr>
                <w:sz w:val="18"/>
                <w:szCs w:val="18"/>
                <w:color w:val="auto"/>
              </w:rPr>
            </w:pPr>
          </w:p>
        </w:tc>
        <w:tc>
          <w:tcPr>
            <w:tcW w:w="280" w:type="dxa"/>
            <w:vAlign w:val="bottom"/>
            <w:tcBorders>
              <w:top w:val="single" w:sz="8" w:color="auto"/>
              <w:bottom w:val="single" w:sz="8" w:color="auto"/>
            </w:tcBorders>
            <w:shd w:val="clear" w:color="auto" w:fill="CCECFF"/>
          </w:tcPr>
          <w:p>
            <w:pPr>
              <w:jc w:val="right"/>
              <w:ind w:right="128"/>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52,511</w:t>
            </w:r>
          </w:p>
        </w:tc>
        <w:tc>
          <w:tcPr>
            <w:tcW w:w="100" w:type="dxa"/>
            <w:vAlign w:val="bottom"/>
            <w:tcBorders>
              <w:bottom w:val="single" w:sz="8" w:color="CCECFF"/>
            </w:tcBorders>
            <w:shd w:val="clear" w:color="auto" w:fill="CCECFF"/>
          </w:tcPr>
          <w:p>
            <w:pPr>
              <w:spacing w:after="0"/>
              <w:rPr>
                <w:sz w:val="18"/>
                <w:szCs w:val="18"/>
                <w:color w:val="auto"/>
              </w:rPr>
            </w:pPr>
          </w:p>
        </w:tc>
      </w:tr>
      <w:tr>
        <w:trPr>
          <w:trHeight w:val="156"/>
        </w:trPr>
        <w:tc>
          <w:tcPr>
            <w:tcW w:w="5700" w:type="dxa"/>
            <w:vAlign w:val="bottom"/>
          </w:tcPr>
          <w:p>
            <w:pPr>
              <w:ind w:left="20"/>
              <w:spacing w:after="0" w:line="156" w:lineRule="exact"/>
              <w:rPr>
                <w:sz w:val="20"/>
                <w:szCs w:val="20"/>
                <w:color w:val="auto"/>
              </w:rPr>
            </w:pPr>
            <w:r>
              <w:rPr>
                <w:rFonts w:ascii="Arial" w:cs="Arial" w:eastAsia="Arial" w:hAnsi="Arial"/>
                <w:sz w:val="14"/>
                <w:szCs w:val="14"/>
                <w:color w:val="auto"/>
                <w:w w:val="95"/>
              </w:rPr>
              <w:t>Net increase (decrease) in net assets resulting from operations per common share (See Note 7)</w:t>
            </w:r>
          </w:p>
        </w:tc>
        <w:tc>
          <w:tcPr>
            <w:tcW w:w="220" w:type="dxa"/>
            <w:vAlign w:val="bottom"/>
          </w:tcPr>
          <w:p>
            <w:pPr>
              <w:jc w:val="right"/>
              <w:ind w:right="68"/>
              <w:spacing w:after="0" w:line="156" w:lineRule="exact"/>
              <w:rPr>
                <w:sz w:val="20"/>
                <w:szCs w:val="20"/>
                <w:color w:val="auto"/>
              </w:rPr>
            </w:pPr>
            <w:r>
              <w:rPr>
                <w:rFonts w:ascii="Arial" w:cs="Arial" w:eastAsia="Arial" w:hAnsi="Arial"/>
                <w:sz w:val="14"/>
                <w:szCs w:val="14"/>
                <w:color w:val="auto"/>
                <w:w w:val="76"/>
              </w:rPr>
              <w:t>$</w:t>
            </w:r>
          </w:p>
        </w:tc>
        <w:tc>
          <w:tcPr>
            <w:tcW w:w="1200" w:type="dxa"/>
            <w:vAlign w:val="bottom"/>
            <w:gridSpan w:val="2"/>
          </w:tcPr>
          <w:p>
            <w:pPr>
              <w:jc w:val="right"/>
              <w:ind w:right="128"/>
              <w:spacing w:after="0" w:line="156" w:lineRule="exact"/>
              <w:rPr>
                <w:sz w:val="20"/>
                <w:szCs w:val="20"/>
                <w:color w:val="auto"/>
              </w:rPr>
            </w:pPr>
            <w:r>
              <w:rPr>
                <w:rFonts w:ascii="Arial" w:cs="Arial" w:eastAsia="Arial" w:hAnsi="Arial"/>
                <w:sz w:val="14"/>
                <w:szCs w:val="14"/>
                <w:color w:val="auto"/>
              </w:rPr>
              <w:t>(0.12 )</w:t>
            </w:r>
          </w:p>
        </w:tc>
        <w:tc>
          <w:tcPr>
            <w:tcW w:w="280" w:type="dxa"/>
            <w:vAlign w:val="bottom"/>
          </w:tcPr>
          <w:p>
            <w:pPr>
              <w:jc w:val="right"/>
              <w:ind w:right="128"/>
              <w:spacing w:after="0" w:line="156" w:lineRule="exact"/>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line="156" w:lineRule="exact"/>
              <w:rPr>
                <w:sz w:val="20"/>
                <w:szCs w:val="20"/>
                <w:color w:val="auto"/>
              </w:rPr>
            </w:pPr>
            <w:r>
              <w:rPr>
                <w:rFonts w:ascii="Arial" w:cs="Arial" w:eastAsia="Arial" w:hAnsi="Arial"/>
                <w:sz w:val="14"/>
                <w:szCs w:val="14"/>
                <w:color w:val="auto"/>
              </w:rPr>
              <w:t>0.38</w:t>
            </w:r>
          </w:p>
        </w:tc>
        <w:tc>
          <w:tcPr>
            <w:tcW w:w="240" w:type="dxa"/>
            <w:vAlign w:val="bottom"/>
          </w:tcPr>
          <w:p>
            <w:pPr>
              <w:spacing w:after="0"/>
              <w:rPr>
                <w:sz w:val="13"/>
                <w:szCs w:val="13"/>
                <w:color w:val="auto"/>
              </w:rPr>
            </w:pPr>
          </w:p>
        </w:tc>
        <w:tc>
          <w:tcPr>
            <w:tcW w:w="240" w:type="dxa"/>
            <w:vAlign w:val="bottom"/>
          </w:tcPr>
          <w:p>
            <w:pPr>
              <w:jc w:val="right"/>
              <w:ind w:right="88"/>
              <w:spacing w:after="0" w:line="156" w:lineRule="exact"/>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line="156" w:lineRule="exact"/>
              <w:rPr>
                <w:sz w:val="20"/>
                <w:szCs w:val="20"/>
                <w:color w:val="auto"/>
              </w:rPr>
            </w:pPr>
            <w:r>
              <w:rPr>
                <w:rFonts w:ascii="Arial" w:cs="Arial" w:eastAsia="Arial" w:hAnsi="Arial"/>
                <w:sz w:val="14"/>
                <w:szCs w:val="14"/>
                <w:color w:val="auto"/>
              </w:rPr>
              <w:t>0.42</w:t>
            </w:r>
          </w:p>
        </w:tc>
        <w:tc>
          <w:tcPr>
            <w:tcW w:w="240" w:type="dxa"/>
            <w:vAlign w:val="bottom"/>
          </w:tcPr>
          <w:p>
            <w:pPr>
              <w:spacing w:after="0"/>
              <w:rPr>
                <w:sz w:val="13"/>
                <w:szCs w:val="13"/>
                <w:color w:val="auto"/>
              </w:rPr>
            </w:pPr>
          </w:p>
        </w:tc>
        <w:tc>
          <w:tcPr>
            <w:tcW w:w="280" w:type="dxa"/>
            <w:vAlign w:val="bottom"/>
          </w:tcPr>
          <w:p>
            <w:pPr>
              <w:jc w:val="right"/>
              <w:ind w:right="128"/>
              <w:spacing w:after="0" w:line="156" w:lineRule="exact"/>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line="156" w:lineRule="exact"/>
              <w:rPr>
                <w:sz w:val="20"/>
                <w:szCs w:val="20"/>
                <w:color w:val="auto"/>
              </w:rPr>
            </w:pPr>
            <w:r>
              <w:rPr>
                <w:rFonts w:ascii="Arial" w:cs="Arial" w:eastAsia="Arial" w:hAnsi="Arial"/>
                <w:sz w:val="14"/>
                <w:szCs w:val="14"/>
                <w:color w:val="auto"/>
              </w:rPr>
              <w:t>1.35</w:t>
            </w:r>
          </w:p>
        </w:tc>
        <w:tc>
          <w:tcPr>
            <w:tcW w:w="100" w:type="dxa"/>
            <w:vAlign w:val="bottom"/>
          </w:tcPr>
          <w:p>
            <w:pPr>
              <w:spacing w:after="0"/>
              <w:rPr>
                <w:sz w:val="13"/>
                <w:szCs w:val="13"/>
                <w:color w:val="auto"/>
              </w:rPr>
            </w:pPr>
          </w:p>
        </w:tc>
      </w:tr>
      <w:tr>
        <w:trPr>
          <w:trHeight w:val="20"/>
        </w:trPr>
        <w:tc>
          <w:tcPr>
            <w:tcW w:w="57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700" w:type="dxa"/>
            <w:vAlign w:val="bottom"/>
            <w:tcBorders>
              <w:bottom w:val="single" w:sz="8" w:color="CCECFF"/>
            </w:tcBorders>
            <w:shd w:val="clear" w:color="auto" w:fill="CCECFF"/>
          </w:tcPr>
          <w:p>
            <w:pPr>
              <w:ind w:left="20"/>
              <w:spacing w:after="0" w:line="156" w:lineRule="exact"/>
              <w:rPr>
                <w:sz w:val="20"/>
                <w:szCs w:val="20"/>
                <w:color w:val="auto"/>
              </w:rPr>
            </w:pPr>
            <w:r>
              <w:rPr>
                <w:rFonts w:ascii="Arial" w:cs="Arial" w:eastAsia="Arial" w:hAnsi="Arial"/>
                <w:sz w:val="14"/>
                <w:szCs w:val="14"/>
                <w:color w:val="auto"/>
              </w:rPr>
              <w:t>Net investment income per common share</w:t>
            </w:r>
          </w:p>
        </w:tc>
        <w:tc>
          <w:tcPr>
            <w:tcW w:w="220" w:type="dxa"/>
            <w:vAlign w:val="bottom"/>
            <w:tcBorders>
              <w:bottom w:val="single" w:sz="8" w:color="auto"/>
            </w:tcBorders>
            <w:shd w:val="clear" w:color="auto" w:fill="CCECFF"/>
          </w:tcPr>
          <w:p>
            <w:pPr>
              <w:jc w:val="right"/>
              <w:ind w:right="68"/>
              <w:spacing w:after="0" w:line="156" w:lineRule="exact"/>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CFF"/>
          </w:tcPr>
          <w:p>
            <w:pPr>
              <w:jc w:val="right"/>
              <w:spacing w:after="0" w:line="156" w:lineRule="exact"/>
              <w:rPr>
                <w:sz w:val="20"/>
                <w:szCs w:val="20"/>
                <w:color w:val="auto"/>
              </w:rPr>
            </w:pPr>
            <w:r>
              <w:rPr>
                <w:rFonts w:ascii="Arial" w:cs="Arial" w:eastAsia="Arial" w:hAnsi="Arial"/>
                <w:sz w:val="14"/>
                <w:szCs w:val="14"/>
                <w:color w:val="auto"/>
              </w:rPr>
              <w:t>0.29</w:t>
            </w:r>
          </w:p>
        </w:tc>
        <w:tc>
          <w:tcPr>
            <w:tcW w:w="260" w:type="dxa"/>
            <w:vAlign w:val="bottom"/>
            <w:tcBorders>
              <w:bottom w:val="single" w:sz="8" w:color="CCECFF"/>
            </w:tcBorders>
            <w:shd w:val="clear" w:color="auto" w:fill="CCECFF"/>
          </w:tcPr>
          <w:p>
            <w:pPr>
              <w:spacing w:after="0"/>
              <w:rPr>
                <w:sz w:val="17"/>
                <w:szCs w:val="17"/>
                <w:color w:val="auto"/>
              </w:rPr>
            </w:pPr>
          </w:p>
        </w:tc>
        <w:tc>
          <w:tcPr>
            <w:tcW w:w="280" w:type="dxa"/>
            <w:vAlign w:val="bottom"/>
            <w:tcBorders>
              <w:bottom w:val="single" w:sz="8" w:color="auto"/>
            </w:tcBorders>
            <w:shd w:val="clear" w:color="auto" w:fill="CCECFF"/>
          </w:tcPr>
          <w:p>
            <w:pPr>
              <w:jc w:val="right"/>
              <w:ind w:right="128"/>
              <w:spacing w:after="0" w:line="156" w:lineRule="exact"/>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CFF"/>
          </w:tcPr>
          <w:p>
            <w:pPr>
              <w:jc w:val="right"/>
              <w:spacing w:after="0" w:line="156" w:lineRule="exact"/>
              <w:rPr>
                <w:sz w:val="20"/>
                <w:szCs w:val="20"/>
                <w:color w:val="auto"/>
              </w:rPr>
            </w:pPr>
            <w:r>
              <w:rPr>
                <w:rFonts w:ascii="Arial" w:cs="Arial" w:eastAsia="Arial" w:hAnsi="Arial"/>
                <w:sz w:val="14"/>
                <w:szCs w:val="14"/>
                <w:color w:val="auto"/>
              </w:rPr>
              <w:t>0.27</w:t>
            </w:r>
          </w:p>
        </w:tc>
        <w:tc>
          <w:tcPr>
            <w:tcW w:w="240" w:type="dxa"/>
            <w:vAlign w:val="bottom"/>
            <w:tcBorders>
              <w:bottom w:val="single" w:sz="8" w:color="CCECFF"/>
            </w:tcBorders>
            <w:shd w:val="clear" w:color="auto" w:fill="CCECFF"/>
          </w:tcPr>
          <w:p>
            <w:pPr>
              <w:spacing w:after="0"/>
              <w:rPr>
                <w:sz w:val="17"/>
                <w:szCs w:val="17"/>
                <w:color w:val="auto"/>
              </w:rPr>
            </w:pPr>
          </w:p>
        </w:tc>
        <w:tc>
          <w:tcPr>
            <w:tcW w:w="240" w:type="dxa"/>
            <w:vAlign w:val="bottom"/>
            <w:tcBorders>
              <w:bottom w:val="single" w:sz="8" w:color="auto"/>
            </w:tcBorders>
            <w:shd w:val="clear" w:color="auto" w:fill="CCECFF"/>
          </w:tcPr>
          <w:p>
            <w:pPr>
              <w:jc w:val="right"/>
              <w:ind w:right="88"/>
              <w:spacing w:after="0" w:line="156" w:lineRule="exact"/>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CFF"/>
          </w:tcPr>
          <w:p>
            <w:pPr>
              <w:jc w:val="right"/>
              <w:spacing w:after="0" w:line="156" w:lineRule="exact"/>
              <w:rPr>
                <w:sz w:val="20"/>
                <w:szCs w:val="20"/>
                <w:color w:val="auto"/>
              </w:rPr>
            </w:pPr>
            <w:r>
              <w:rPr>
                <w:rFonts w:ascii="Arial" w:cs="Arial" w:eastAsia="Arial" w:hAnsi="Arial"/>
                <w:sz w:val="14"/>
                <w:szCs w:val="14"/>
                <w:color w:val="auto"/>
              </w:rPr>
              <w:t>0.90</w:t>
            </w:r>
          </w:p>
        </w:tc>
        <w:tc>
          <w:tcPr>
            <w:tcW w:w="240" w:type="dxa"/>
            <w:vAlign w:val="bottom"/>
            <w:tcBorders>
              <w:bottom w:val="single" w:sz="8" w:color="CCECFF"/>
            </w:tcBorders>
            <w:shd w:val="clear" w:color="auto" w:fill="CCECFF"/>
          </w:tcPr>
          <w:p>
            <w:pPr>
              <w:spacing w:after="0"/>
              <w:rPr>
                <w:sz w:val="17"/>
                <w:szCs w:val="17"/>
                <w:color w:val="auto"/>
              </w:rPr>
            </w:pPr>
          </w:p>
        </w:tc>
        <w:tc>
          <w:tcPr>
            <w:tcW w:w="280" w:type="dxa"/>
            <w:vAlign w:val="bottom"/>
            <w:tcBorders>
              <w:bottom w:val="single" w:sz="8" w:color="auto"/>
            </w:tcBorders>
            <w:shd w:val="clear" w:color="auto" w:fill="CCECFF"/>
          </w:tcPr>
          <w:p>
            <w:pPr>
              <w:jc w:val="right"/>
              <w:ind w:right="128"/>
              <w:spacing w:after="0" w:line="156" w:lineRule="exact"/>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CFF"/>
          </w:tcPr>
          <w:p>
            <w:pPr>
              <w:jc w:val="right"/>
              <w:spacing w:after="0" w:line="156" w:lineRule="exact"/>
              <w:rPr>
                <w:sz w:val="20"/>
                <w:szCs w:val="20"/>
                <w:color w:val="auto"/>
              </w:rPr>
            </w:pPr>
            <w:r>
              <w:rPr>
                <w:rFonts w:ascii="Arial" w:cs="Arial" w:eastAsia="Arial" w:hAnsi="Arial"/>
                <w:sz w:val="14"/>
                <w:szCs w:val="14"/>
                <w:color w:val="auto"/>
              </w:rPr>
              <w:t>0.78</w:t>
            </w:r>
          </w:p>
        </w:tc>
        <w:tc>
          <w:tcPr>
            <w:tcW w:w="100" w:type="dxa"/>
            <w:vAlign w:val="bottom"/>
            <w:tcBorders>
              <w:bottom w:val="single" w:sz="8" w:color="CCECFF"/>
            </w:tcBorders>
            <w:shd w:val="clear" w:color="auto" w:fill="CCECFF"/>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-3056890</wp:posOffset>
            </wp:positionV>
            <wp:extent cx="77470"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-3056890</wp:posOffset>
            </wp:positionV>
            <wp:extent cx="68580"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-3056890</wp:posOffset>
            </wp:positionV>
            <wp:extent cx="68580"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-3056890</wp:posOffset>
            </wp:positionV>
            <wp:extent cx="68580"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-1908175</wp:posOffset>
            </wp:positionV>
            <wp:extent cx="77470"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-1908175</wp:posOffset>
            </wp:positionV>
            <wp:extent cx="68580"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-1908175</wp:posOffset>
            </wp:positionV>
            <wp:extent cx="68580"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-1908175</wp:posOffset>
            </wp:positionV>
            <wp:extent cx="68580"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-536575</wp:posOffset>
            </wp:positionV>
            <wp:extent cx="77470"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-536575</wp:posOffset>
            </wp:positionV>
            <wp:extent cx="68580"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-536575</wp:posOffset>
            </wp:positionV>
            <wp:extent cx="68580" cy="5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-536575</wp:posOffset>
            </wp:positionV>
            <wp:extent cx="68580"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-299720</wp:posOffset>
            </wp:positionV>
            <wp:extent cx="7747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-281940</wp:posOffset>
            </wp:positionV>
            <wp:extent cx="774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-299720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-281940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-299720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-281940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-299720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-281940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-24765</wp:posOffset>
            </wp:positionV>
            <wp:extent cx="774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-7620</wp:posOffset>
            </wp:positionV>
            <wp:extent cx="774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-24765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-7620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-24765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-7620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CHANGES IN NET ASSETS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issue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8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Three Months Ended June 30,</w:t>
            </w:r>
          </w:p>
        </w:tc>
        <w:tc>
          <w:tcPr>
            <w:tcW w:w="240" w:type="dxa"/>
            <w:vAlign w:val="bottom"/>
          </w:tcPr>
          <w:p>
            <w:pPr>
              <w:spacing w:after="0"/>
              <w:rPr>
                <w:sz w:val="16"/>
                <w:szCs w:val="16"/>
                <w:color w:val="auto"/>
              </w:rPr>
            </w:pPr>
          </w:p>
        </w:tc>
        <w:tc>
          <w:tcPr>
            <w:tcW w:w="242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w w:val="99"/>
              </w:rPr>
              <w:t>Nine Months Ended June 30,</w:t>
            </w:r>
          </w:p>
        </w:tc>
      </w:tr>
      <w:tr>
        <w:trPr>
          <w:trHeight w:val="169"/>
        </w:trPr>
        <w:tc>
          <w:tcPr>
            <w:tcW w:w="566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69"/>
        </w:trPr>
        <w:tc>
          <w:tcPr>
            <w:tcW w:w="5660" w:type="dxa"/>
            <w:vAlign w:val="bottom"/>
            <w:shd w:val="clear" w:color="auto" w:fill="CCECFF"/>
          </w:tcPr>
          <w:p>
            <w:pPr>
              <w:ind w:left="20"/>
              <w:spacing w:after="0"/>
              <w:rPr>
                <w:sz w:val="20"/>
                <w:szCs w:val="20"/>
                <w:color w:val="auto"/>
              </w:rPr>
            </w:pPr>
            <w:r>
              <w:rPr>
                <w:rFonts w:ascii="Arial" w:cs="Arial" w:eastAsia="Arial" w:hAnsi="Arial"/>
                <w:sz w:val="14"/>
                <w:szCs w:val="14"/>
                <w:b w:val="1"/>
                <w:bCs w:val="1"/>
                <w:color w:val="auto"/>
              </w:rPr>
              <w:t>Net increase (decrease) in net assets from operations:</w:t>
            </w:r>
          </w:p>
        </w:tc>
        <w:tc>
          <w:tcPr>
            <w:tcW w:w="240" w:type="dxa"/>
            <w:vAlign w:val="bottom"/>
            <w:shd w:val="clear" w:color="auto" w:fill="CCECFF"/>
          </w:tcPr>
          <w:p>
            <w:pPr>
              <w:spacing w:after="0"/>
              <w:rPr>
                <w:sz w:val="14"/>
                <w:szCs w:val="14"/>
                <w:color w:val="auto"/>
              </w:rPr>
            </w:pPr>
          </w:p>
        </w:tc>
        <w:tc>
          <w:tcPr>
            <w:tcW w:w="94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94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90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9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r>
      <w:tr>
        <w:trPr>
          <w:trHeight w:val="176"/>
        </w:trPr>
        <w:tc>
          <w:tcPr>
            <w:tcW w:w="5660" w:type="dxa"/>
            <w:vAlign w:val="bottom"/>
          </w:tcPr>
          <w:p>
            <w:pPr>
              <w:ind w:left="200"/>
              <w:spacing w:after="0"/>
              <w:rPr>
                <w:sz w:val="20"/>
                <w:szCs w:val="20"/>
                <w:color w:val="auto"/>
              </w:rPr>
            </w:pPr>
            <w:r>
              <w:rPr>
                <w:rFonts w:ascii="Arial" w:cs="Arial" w:eastAsia="Arial" w:hAnsi="Arial"/>
                <w:sz w:val="14"/>
                <w:szCs w:val="14"/>
                <w:color w:val="auto"/>
              </w:rPr>
              <w:t>Net investment income</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11,823</w:t>
            </w:r>
          </w:p>
        </w:tc>
        <w:tc>
          <w:tcPr>
            <w:tcW w:w="260" w:type="dxa"/>
            <w:vAlign w:val="bottom"/>
          </w:tcPr>
          <w:p>
            <w:pPr>
              <w:spacing w:after="0"/>
              <w:rPr>
                <w:sz w:val="15"/>
                <w:szCs w:val="15"/>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10,279</w:t>
            </w:r>
          </w:p>
        </w:tc>
        <w:tc>
          <w:tcPr>
            <w:tcW w:w="260" w:type="dxa"/>
            <w:vAlign w:val="bottom"/>
          </w:tcPr>
          <w:p>
            <w:pPr>
              <w:spacing w:after="0"/>
              <w:rPr>
                <w:sz w:val="15"/>
                <w:szCs w:val="15"/>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35,926</w:t>
            </w:r>
          </w:p>
        </w:tc>
        <w:tc>
          <w:tcPr>
            <w:tcW w:w="220" w:type="dxa"/>
            <w:vAlign w:val="bottom"/>
          </w:tcPr>
          <w:p>
            <w:pPr>
              <w:spacing w:after="0"/>
              <w:rPr>
                <w:sz w:val="15"/>
                <w:szCs w:val="15"/>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30,311</w:t>
            </w:r>
          </w:p>
        </w:tc>
        <w:tc>
          <w:tcPr>
            <w:tcW w:w="100" w:type="dxa"/>
            <w:vAlign w:val="bottom"/>
          </w:tcPr>
          <w:p>
            <w:pPr>
              <w:spacing w:after="0"/>
              <w:rPr>
                <w:sz w:val="15"/>
                <w:szCs w:val="15"/>
                <w:color w:val="auto"/>
              </w:rPr>
            </w:pPr>
          </w:p>
        </w:tc>
      </w:tr>
      <w:tr>
        <w:trPr>
          <w:trHeight w:val="175"/>
        </w:trPr>
        <w:tc>
          <w:tcPr>
            <w:tcW w:w="5660" w:type="dxa"/>
            <w:vAlign w:val="bottom"/>
            <w:shd w:val="clear" w:color="auto" w:fill="CCECFF"/>
          </w:tcPr>
          <w:p>
            <w:pPr>
              <w:ind w:left="200"/>
              <w:spacing w:after="0"/>
              <w:rPr>
                <w:sz w:val="20"/>
                <w:szCs w:val="20"/>
                <w:color w:val="auto"/>
              </w:rPr>
            </w:pPr>
            <w:r>
              <w:rPr>
                <w:rFonts w:ascii="Arial" w:cs="Arial" w:eastAsia="Arial" w:hAnsi="Arial"/>
                <w:sz w:val="14"/>
                <w:szCs w:val="14"/>
                <w:color w:val="auto"/>
              </w:rPr>
              <w:t>Net realized gain (loss) on investments</w:t>
            </w:r>
          </w:p>
        </w:tc>
        <w:tc>
          <w:tcPr>
            <w:tcW w:w="240" w:type="dxa"/>
            <w:vAlign w:val="bottom"/>
            <w:shd w:val="clear" w:color="auto" w:fill="CCECFF"/>
          </w:tcPr>
          <w:p>
            <w:pPr>
              <w:spacing w:after="0"/>
              <w:rPr>
                <w:sz w:val="15"/>
                <w:szCs w:val="15"/>
                <w:color w:val="auto"/>
              </w:rPr>
            </w:pPr>
          </w:p>
        </w:tc>
        <w:tc>
          <w:tcPr>
            <w:tcW w:w="9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701</w:t>
            </w:r>
          </w:p>
        </w:tc>
        <w:tc>
          <w:tcPr>
            <w:tcW w:w="260" w:type="dxa"/>
            <w:vAlign w:val="bottom"/>
            <w:shd w:val="clear" w:color="auto" w:fill="CCECFF"/>
          </w:tcPr>
          <w:p>
            <w:pPr>
              <w:spacing w:after="0"/>
              <w:rPr>
                <w:sz w:val="15"/>
                <w:szCs w:val="15"/>
                <w:color w:val="auto"/>
              </w:rPr>
            </w:pPr>
          </w:p>
        </w:tc>
        <w:tc>
          <w:tcPr>
            <w:tcW w:w="280" w:type="dxa"/>
            <w:vAlign w:val="bottom"/>
            <w:shd w:val="clear" w:color="auto" w:fill="CCECFF"/>
          </w:tcPr>
          <w:p>
            <w:pPr>
              <w:spacing w:after="0"/>
              <w:rPr>
                <w:sz w:val="15"/>
                <w:szCs w:val="15"/>
                <w:color w:val="auto"/>
              </w:rPr>
            </w:pPr>
          </w:p>
        </w:tc>
        <w:tc>
          <w:tcPr>
            <w:tcW w:w="120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(12,974 )</w:t>
            </w:r>
          </w:p>
        </w:tc>
        <w:tc>
          <w:tcPr>
            <w:tcW w:w="240" w:type="dxa"/>
            <w:vAlign w:val="bottom"/>
            <w:shd w:val="clear" w:color="auto" w:fill="CCECFF"/>
          </w:tcPr>
          <w:p>
            <w:pPr>
              <w:spacing w:after="0"/>
              <w:rPr>
                <w:sz w:val="15"/>
                <w:szCs w:val="15"/>
                <w:color w:val="auto"/>
              </w:rPr>
            </w:pPr>
          </w:p>
        </w:tc>
        <w:tc>
          <w:tcPr>
            <w:tcW w:w="1120" w:type="dxa"/>
            <w:vAlign w:val="bottom"/>
            <w:gridSpan w:val="2"/>
            <w:shd w:val="clear" w:color="auto" w:fill="CCECFF"/>
          </w:tcPr>
          <w:p>
            <w:pPr>
              <w:jc w:val="right"/>
              <w:ind w:right="160"/>
              <w:spacing w:after="0"/>
              <w:rPr>
                <w:sz w:val="20"/>
                <w:szCs w:val="20"/>
                <w:color w:val="auto"/>
              </w:rPr>
            </w:pPr>
            <w:r>
              <w:rPr>
                <w:rFonts w:ascii="Arial" w:cs="Arial" w:eastAsia="Arial" w:hAnsi="Arial"/>
                <w:sz w:val="14"/>
                <w:szCs w:val="14"/>
                <w:color w:val="auto"/>
              </w:rPr>
              <w:t>(11,621 )</w:t>
            </w:r>
          </w:p>
        </w:tc>
        <w:tc>
          <w:tcPr>
            <w:tcW w:w="280" w:type="dxa"/>
            <w:vAlign w:val="bottom"/>
            <w:shd w:val="clear" w:color="auto" w:fill="CCECFF"/>
          </w:tcPr>
          <w:p>
            <w:pPr>
              <w:spacing w:after="0"/>
              <w:rPr>
                <w:sz w:val="15"/>
                <w:szCs w:val="15"/>
                <w:color w:val="auto"/>
              </w:rPr>
            </w:pPr>
          </w:p>
        </w:tc>
        <w:tc>
          <w:tcPr>
            <w:tcW w:w="1020" w:type="dxa"/>
            <w:vAlign w:val="bottom"/>
            <w:gridSpan w:val="2"/>
            <w:shd w:val="clear" w:color="auto" w:fill="CCECFF"/>
          </w:tcPr>
          <w:p>
            <w:pPr>
              <w:jc w:val="right"/>
              <w:ind w:right="40"/>
              <w:spacing w:after="0"/>
              <w:rPr>
                <w:sz w:val="20"/>
                <w:szCs w:val="20"/>
                <w:color w:val="auto"/>
              </w:rPr>
            </w:pPr>
            <w:r>
              <w:rPr>
                <w:rFonts w:ascii="Arial" w:cs="Arial" w:eastAsia="Arial" w:hAnsi="Arial"/>
                <w:sz w:val="14"/>
                <w:szCs w:val="14"/>
                <w:color w:val="auto"/>
              </w:rPr>
              <w:t>(15,260 )</w:t>
            </w:r>
          </w:p>
        </w:tc>
      </w:tr>
      <w:tr>
        <w:trPr>
          <w:trHeight w:val="176"/>
        </w:trPr>
        <w:tc>
          <w:tcPr>
            <w:tcW w:w="5660" w:type="dxa"/>
            <w:vAlign w:val="bottom"/>
          </w:tcPr>
          <w:p>
            <w:pPr>
              <w:ind w:left="200"/>
              <w:spacing w:after="0"/>
              <w:rPr>
                <w:sz w:val="20"/>
                <w:szCs w:val="20"/>
                <w:color w:val="auto"/>
              </w:rPr>
            </w:pPr>
            <w:r>
              <w:rPr>
                <w:rFonts w:ascii="Arial" w:cs="Arial" w:eastAsia="Arial" w:hAnsi="Arial"/>
                <w:sz w:val="14"/>
                <w:szCs w:val="14"/>
                <w:color w:val="auto"/>
              </w:rPr>
              <w:t>Net change in unrealized appreciation (depreciation) on investments</w:t>
            </w:r>
          </w:p>
        </w:tc>
        <w:tc>
          <w:tcPr>
            <w:tcW w:w="240" w:type="dxa"/>
            <w:vAlign w:val="bottom"/>
          </w:tcPr>
          <w:p>
            <w:pPr>
              <w:spacing w:after="0"/>
              <w:rPr>
                <w:sz w:val="15"/>
                <w:szCs w:val="15"/>
                <w:color w:val="auto"/>
              </w:rPr>
            </w:pPr>
          </w:p>
        </w:tc>
        <w:tc>
          <w:tcPr>
            <w:tcW w:w="1200" w:type="dxa"/>
            <w:vAlign w:val="bottom"/>
            <w:gridSpan w:val="2"/>
          </w:tcPr>
          <w:p>
            <w:pPr>
              <w:jc w:val="right"/>
              <w:ind w:right="128"/>
              <w:spacing w:after="0"/>
              <w:rPr>
                <w:sz w:val="20"/>
                <w:szCs w:val="20"/>
                <w:color w:val="auto"/>
              </w:rPr>
            </w:pPr>
            <w:r>
              <w:rPr>
                <w:rFonts w:ascii="Arial" w:cs="Arial" w:eastAsia="Arial" w:hAnsi="Arial"/>
                <w:sz w:val="14"/>
                <w:szCs w:val="14"/>
                <w:color w:val="auto"/>
              </w:rPr>
              <w:t>(17,635 )</w:t>
            </w: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14,170</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(3,646 )</w:t>
            </w: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48,777</w:t>
            </w:r>
          </w:p>
        </w:tc>
        <w:tc>
          <w:tcPr>
            <w:tcW w:w="100" w:type="dxa"/>
            <w:vAlign w:val="bottom"/>
          </w:tcPr>
          <w:p>
            <w:pPr>
              <w:spacing w:after="0"/>
              <w:rPr>
                <w:sz w:val="15"/>
                <w:szCs w:val="15"/>
                <w:color w:val="auto"/>
              </w:rPr>
            </w:pPr>
          </w:p>
        </w:tc>
      </w:tr>
      <w:tr>
        <w:trPr>
          <w:trHeight w:val="175"/>
        </w:trPr>
        <w:tc>
          <w:tcPr>
            <w:tcW w:w="5660" w:type="dxa"/>
            <w:vAlign w:val="bottom"/>
            <w:shd w:val="clear" w:color="auto" w:fill="CCECFF"/>
          </w:tcPr>
          <w:p>
            <w:pPr>
              <w:ind w:left="200"/>
              <w:spacing w:after="0"/>
              <w:rPr>
                <w:sz w:val="20"/>
                <w:szCs w:val="20"/>
                <w:color w:val="auto"/>
              </w:rPr>
            </w:pPr>
            <w:r>
              <w:rPr>
                <w:rFonts w:ascii="Arial" w:cs="Arial" w:eastAsia="Arial" w:hAnsi="Arial"/>
                <w:sz w:val="14"/>
                <w:szCs w:val="14"/>
                <w:color w:val="auto"/>
              </w:rPr>
              <w:t>Net change in provision for taxes on unrealized appreciation on investments</w:t>
            </w:r>
          </w:p>
        </w:tc>
        <w:tc>
          <w:tcPr>
            <w:tcW w:w="240" w:type="dxa"/>
            <w:vAlign w:val="bottom"/>
            <w:shd w:val="clear" w:color="auto" w:fill="CCECFF"/>
          </w:tcPr>
          <w:p>
            <w:pPr>
              <w:spacing w:after="0"/>
              <w:rPr>
                <w:sz w:val="15"/>
                <w:szCs w:val="15"/>
                <w:color w:val="auto"/>
              </w:rPr>
            </w:pPr>
          </w:p>
        </w:tc>
        <w:tc>
          <w:tcPr>
            <w:tcW w:w="1200" w:type="dxa"/>
            <w:vAlign w:val="bottom"/>
            <w:gridSpan w:val="2"/>
            <w:shd w:val="clear" w:color="auto" w:fill="CCECFF"/>
          </w:tcPr>
          <w:p>
            <w:pPr>
              <w:jc w:val="right"/>
              <w:ind w:right="20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CFF"/>
          </w:tcPr>
          <w:p>
            <w:pPr>
              <w:spacing w:after="0"/>
              <w:rPr>
                <w:sz w:val="15"/>
                <w:szCs w:val="15"/>
                <w:color w:val="auto"/>
              </w:rPr>
            </w:pPr>
          </w:p>
        </w:tc>
        <w:tc>
          <w:tcPr>
            <w:tcW w:w="1200" w:type="dxa"/>
            <w:vAlign w:val="bottom"/>
            <w:gridSpan w:val="2"/>
            <w:shd w:val="clear" w:color="auto" w:fill="CCECFF"/>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CFF"/>
          </w:tcPr>
          <w:p>
            <w:pPr>
              <w:spacing w:after="0"/>
              <w:rPr>
                <w:sz w:val="15"/>
                <w:szCs w:val="15"/>
                <w:color w:val="auto"/>
              </w:rPr>
            </w:pPr>
          </w:p>
        </w:tc>
        <w:tc>
          <w:tcPr>
            <w:tcW w:w="1120" w:type="dxa"/>
            <w:vAlign w:val="bottom"/>
            <w:gridSpan w:val="2"/>
            <w:shd w:val="clear" w:color="auto" w:fill="CCECFF"/>
          </w:tcPr>
          <w:p>
            <w:pPr>
              <w:jc w:val="right"/>
              <w:ind w:right="160"/>
              <w:spacing w:after="0"/>
              <w:rPr>
                <w:sz w:val="20"/>
                <w:szCs w:val="20"/>
                <w:color w:val="auto"/>
              </w:rPr>
            </w:pPr>
            <w:r>
              <w:rPr>
                <w:rFonts w:ascii="Arial" w:cs="Arial" w:eastAsia="Arial" w:hAnsi="Arial"/>
                <w:sz w:val="14"/>
                <w:szCs w:val="14"/>
                <w:color w:val="auto"/>
              </w:rPr>
              <w:t>(5,340 )</w:t>
            </w:r>
          </w:p>
        </w:tc>
        <w:tc>
          <w:tcPr>
            <w:tcW w:w="280" w:type="dxa"/>
            <w:vAlign w:val="bottom"/>
            <w:shd w:val="clear" w:color="auto" w:fill="CCECFF"/>
          </w:tcPr>
          <w:p>
            <w:pPr>
              <w:spacing w:after="0"/>
              <w:rPr>
                <w:sz w:val="15"/>
                <w:szCs w:val="15"/>
                <w:color w:val="auto"/>
              </w:rPr>
            </w:pPr>
          </w:p>
        </w:tc>
        <w:tc>
          <w:tcPr>
            <w:tcW w:w="1020" w:type="dxa"/>
            <w:vAlign w:val="bottom"/>
            <w:gridSpan w:val="2"/>
            <w:shd w:val="clear" w:color="auto" w:fill="CCECFF"/>
          </w:tcPr>
          <w:p>
            <w:pPr>
              <w:jc w:val="right"/>
              <w:ind w:right="120"/>
              <w:spacing w:after="0"/>
              <w:rPr>
                <w:sz w:val="20"/>
                <w:szCs w:val="20"/>
                <w:color w:val="auto"/>
              </w:rPr>
            </w:pPr>
            <w:r>
              <w:rPr>
                <w:rFonts w:ascii="Arial" w:cs="Arial" w:eastAsia="Arial" w:hAnsi="Arial"/>
                <w:sz w:val="14"/>
                <w:szCs w:val="14"/>
                <w:color w:val="auto"/>
              </w:rPr>
              <w:t>—</w:t>
            </w:r>
          </w:p>
        </w:tc>
      </w:tr>
      <w:tr>
        <w:trPr>
          <w:trHeight w:val="176"/>
        </w:trPr>
        <w:tc>
          <w:tcPr>
            <w:tcW w:w="5660" w:type="dxa"/>
            <w:vAlign w:val="bottom"/>
          </w:tcPr>
          <w:p>
            <w:pPr>
              <w:ind w:left="200"/>
              <w:spacing w:after="0"/>
              <w:rPr>
                <w:sz w:val="20"/>
                <w:szCs w:val="20"/>
                <w:color w:val="auto"/>
              </w:rPr>
            </w:pPr>
            <w:r>
              <w:rPr>
                <w:rFonts w:ascii="Arial" w:cs="Arial" w:eastAsia="Arial" w:hAnsi="Arial"/>
                <w:sz w:val="14"/>
                <w:szCs w:val="14"/>
                <w:color w:val="auto"/>
              </w:rPr>
              <w:t>Net change in unrealized (appreciation) depreciation on debt</w:t>
            </w:r>
          </w:p>
        </w:tc>
        <w:tc>
          <w:tcPr>
            <w:tcW w:w="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26</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3,232</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1,273</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4"/>
                <w:szCs w:val="14"/>
                <w:color w:val="auto"/>
              </w:rPr>
              <w:t>(11,317 )</w:t>
            </w:r>
          </w:p>
        </w:tc>
      </w:tr>
      <w:tr>
        <w:trPr>
          <w:trHeight w:val="169"/>
        </w:trPr>
        <w:tc>
          <w:tcPr>
            <w:tcW w:w="5660" w:type="dxa"/>
            <w:vAlign w:val="bottom"/>
            <w:tcBorders>
              <w:bottom w:val="single" w:sz="8" w:color="CCECFF"/>
            </w:tcBorders>
            <w:shd w:val="clear" w:color="auto" w:fill="CCECFF"/>
          </w:tcPr>
          <w:p>
            <w:pPr>
              <w:ind w:left="200"/>
              <w:spacing w:after="0"/>
              <w:rPr>
                <w:sz w:val="20"/>
                <w:szCs w:val="20"/>
                <w:color w:val="auto"/>
              </w:rPr>
            </w:pPr>
            <w:r>
              <w:rPr>
                <w:rFonts w:ascii="Arial" w:cs="Arial" w:eastAsia="Arial" w:hAnsi="Arial"/>
                <w:sz w:val="14"/>
                <w:szCs w:val="14"/>
                <w:b w:val="1"/>
                <w:bCs w:val="1"/>
                <w:color w:val="auto"/>
              </w:rPr>
              <w:t>Net increase (decrease) in net assets resulting from operations</w:t>
            </w:r>
          </w:p>
        </w:tc>
        <w:tc>
          <w:tcPr>
            <w:tcW w:w="240" w:type="dxa"/>
            <w:vAlign w:val="bottom"/>
            <w:tcBorders>
              <w:top w:val="single" w:sz="8" w:color="auto"/>
              <w:bottom w:val="single" w:sz="8" w:color="auto"/>
            </w:tcBorders>
            <w:shd w:val="clear" w:color="auto" w:fill="CCECFF"/>
          </w:tcPr>
          <w:p>
            <w:pPr>
              <w:spacing w:after="0"/>
              <w:rPr>
                <w:sz w:val="14"/>
                <w:szCs w:val="14"/>
                <w:color w:val="auto"/>
              </w:rPr>
            </w:pPr>
          </w:p>
        </w:tc>
        <w:tc>
          <w:tcPr>
            <w:tcW w:w="9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(5,085</w:t>
            </w:r>
          </w:p>
        </w:tc>
        <w:tc>
          <w:tcPr>
            <w:tcW w:w="260" w:type="dxa"/>
            <w:vAlign w:val="bottom"/>
            <w:tcBorders>
              <w:bottom w:val="single" w:sz="8" w:color="CCECFF"/>
            </w:tcBorders>
            <w:shd w:val="clear" w:color="auto" w:fill="CCECFF"/>
          </w:tcPr>
          <w:p>
            <w:pPr>
              <w:jc w:val="right"/>
              <w:ind w:right="128"/>
              <w:spacing w:after="0"/>
              <w:rPr>
                <w:sz w:val="20"/>
                <w:szCs w:val="20"/>
                <w:color w:val="auto"/>
              </w:rPr>
            </w:pPr>
            <w:r>
              <w:rPr>
                <w:rFonts w:ascii="Arial" w:cs="Arial" w:eastAsia="Arial" w:hAnsi="Arial"/>
                <w:sz w:val="14"/>
                <w:szCs w:val="14"/>
                <w:color w:val="auto"/>
                <w:w w:val="84"/>
              </w:rPr>
              <w:t>)</w:t>
            </w:r>
          </w:p>
        </w:tc>
        <w:tc>
          <w:tcPr>
            <w:tcW w:w="280" w:type="dxa"/>
            <w:vAlign w:val="bottom"/>
            <w:tcBorders>
              <w:top w:val="single" w:sz="8" w:color="auto"/>
              <w:bottom w:val="single" w:sz="8" w:color="auto"/>
            </w:tcBorders>
            <w:shd w:val="clear" w:color="auto" w:fill="CCECFF"/>
          </w:tcPr>
          <w:p>
            <w:pPr>
              <w:spacing w:after="0"/>
              <w:rPr>
                <w:sz w:val="14"/>
                <w:szCs w:val="14"/>
                <w:color w:val="auto"/>
              </w:rPr>
            </w:pPr>
          </w:p>
        </w:tc>
        <w:tc>
          <w:tcPr>
            <w:tcW w:w="9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14,707</w:t>
            </w:r>
          </w:p>
        </w:tc>
        <w:tc>
          <w:tcPr>
            <w:tcW w:w="260" w:type="dxa"/>
            <w:vAlign w:val="bottom"/>
            <w:tcBorders>
              <w:bottom w:val="single" w:sz="8" w:color="CCECFF"/>
            </w:tcBorders>
            <w:shd w:val="clear" w:color="auto" w:fill="CCECFF"/>
          </w:tcPr>
          <w:p>
            <w:pPr>
              <w:spacing w:after="0"/>
              <w:rPr>
                <w:sz w:val="14"/>
                <w:szCs w:val="14"/>
                <w:color w:val="auto"/>
              </w:rPr>
            </w:pPr>
          </w:p>
        </w:tc>
        <w:tc>
          <w:tcPr>
            <w:tcW w:w="240" w:type="dxa"/>
            <w:vAlign w:val="bottom"/>
            <w:tcBorders>
              <w:top w:val="single" w:sz="8" w:color="auto"/>
              <w:bottom w:val="single" w:sz="8" w:color="auto"/>
            </w:tcBorders>
            <w:shd w:val="clear" w:color="auto" w:fill="CCECFF"/>
          </w:tcPr>
          <w:p>
            <w:pPr>
              <w:spacing w:after="0"/>
              <w:rPr>
                <w:sz w:val="14"/>
                <w:szCs w:val="14"/>
                <w:color w:val="auto"/>
              </w:rPr>
            </w:pPr>
          </w:p>
        </w:tc>
        <w:tc>
          <w:tcPr>
            <w:tcW w:w="9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16,592</w:t>
            </w:r>
          </w:p>
        </w:tc>
        <w:tc>
          <w:tcPr>
            <w:tcW w:w="220" w:type="dxa"/>
            <w:vAlign w:val="bottom"/>
            <w:tcBorders>
              <w:bottom w:val="single" w:sz="8" w:color="CCECFF"/>
            </w:tcBorders>
            <w:shd w:val="clear" w:color="auto" w:fill="CCECFF"/>
          </w:tcPr>
          <w:p>
            <w:pPr>
              <w:spacing w:after="0"/>
              <w:rPr>
                <w:sz w:val="14"/>
                <w:szCs w:val="14"/>
                <w:color w:val="auto"/>
              </w:rPr>
            </w:pPr>
          </w:p>
        </w:tc>
        <w:tc>
          <w:tcPr>
            <w:tcW w:w="280" w:type="dxa"/>
            <w:vAlign w:val="bottom"/>
            <w:tcBorders>
              <w:top w:val="single" w:sz="8" w:color="auto"/>
              <w:bottom w:val="single" w:sz="8" w:color="auto"/>
            </w:tcBorders>
            <w:shd w:val="clear" w:color="auto" w:fill="CCECFF"/>
          </w:tcPr>
          <w:p>
            <w:pPr>
              <w:spacing w:after="0"/>
              <w:rPr>
                <w:sz w:val="14"/>
                <w:szCs w:val="14"/>
                <w:color w:val="auto"/>
              </w:rPr>
            </w:pPr>
          </w:p>
        </w:tc>
        <w:tc>
          <w:tcPr>
            <w:tcW w:w="9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52,511</w:t>
            </w:r>
          </w:p>
        </w:tc>
        <w:tc>
          <w:tcPr>
            <w:tcW w:w="100" w:type="dxa"/>
            <w:vAlign w:val="bottom"/>
            <w:tcBorders>
              <w:bottom w:val="single" w:sz="8" w:color="CCECFF"/>
            </w:tcBorders>
            <w:shd w:val="clear" w:color="auto" w:fill="CCECFF"/>
          </w:tcPr>
          <w:p>
            <w:pPr>
              <w:spacing w:after="0"/>
              <w:rPr>
                <w:sz w:val="14"/>
                <w:szCs w:val="14"/>
                <w:color w:val="auto"/>
              </w:rPr>
            </w:pPr>
          </w:p>
        </w:tc>
      </w:tr>
      <w:tr>
        <w:trPr>
          <w:trHeight w:val="169"/>
        </w:trPr>
        <w:tc>
          <w:tcPr>
            <w:tcW w:w="5660" w:type="dxa"/>
            <w:vAlign w:val="bottom"/>
          </w:tcPr>
          <w:p>
            <w:pPr>
              <w:ind w:left="20"/>
              <w:spacing w:after="0"/>
              <w:rPr>
                <w:sz w:val="20"/>
                <w:szCs w:val="20"/>
                <w:color w:val="auto"/>
              </w:rPr>
            </w:pPr>
            <w:r>
              <w:rPr>
                <w:rFonts w:ascii="Arial" w:cs="Arial" w:eastAsia="Arial" w:hAnsi="Arial"/>
                <w:sz w:val="14"/>
                <w:szCs w:val="14"/>
                <w:b w:val="1"/>
                <w:bCs w:val="1"/>
                <w:color w:val="auto"/>
              </w:rPr>
              <w:t>Distributions to stockholders:</w:t>
            </w: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5660" w:type="dxa"/>
            <w:vAlign w:val="bottom"/>
            <w:shd w:val="clear" w:color="auto" w:fill="CCECFF"/>
          </w:tcPr>
          <w:p>
            <w:pPr>
              <w:ind w:left="200"/>
              <w:spacing w:after="0"/>
              <w:rPr>
                <w:sz w:val="20"/>
                <w:szCs w:val="20"/>
                <w:color w:val="auto"/>
              </w:rPr>
            </w:pPr>
            <w:r>
              <w:rPr>
                <w:rFonts w:ascii="Arial" w:cs="Arial" w:eastAsia="Arial" w:hAnsi="Arial"/>
                <w:sz w:val="14"/>
                <w:szCs w:val="14"/>
                <w:color w:val="auto"/>
              </w:rPr>
              <w:t>Distribution of net investment income</w:t>
            </w:r>
          </w:p>
        </w:tc>
        <w:tc>
          <w:tcPr>
            <w:tcW w:w="240" w:type="dxa"/>
            <w:vAlign w:val="bottom"/>
            <w:shd w:val="clear" w:color="auto" w:fill="CCECFF"/>
          </w:tcPr>
          <w:p>
            <w:pPr>
              <w:spacing w:after="0"/>
              <w:rPr>
                <w:sz w:val="15"/>
                <w:szCs w:val="15"/>
                <w:color w:val="auto"/>
              </w:rPr>
            </w:pPr>
          </w:p>
        </w:tc>
        <w:tc>
          <w:tcPr>
            <w:tcW w:w="1200" w:type="dxa"/>
            <w:vAlign w:val="bottom"/>
            <w:gridSpan w:val="2"/>
            <w:shd w:val="clear" w:color="auto" w:fill="CCECFF"/>
          </w:tcPr>
          <w:p>
            <w:pPr>
              <w:jc w:val="right"/>
              <w:ind w:right="128"/>
              <w:spacing w:after="0"/>
              <w:rPr>
                <w:sz w:val="20"/>
                <w:szCs w:val="20"/>
                <w:color w:val="auto"/>
              </w:rPr>
            </w:pPr>
            <w:r>
              <w:rPr>
                <w:rFonts w:ascii="Arial" w:cs="Arial" w:eastAsia="Arial" w:hAnsi="Arial"/>
                <w:sz w:val="14"/>
                <w:szCs w:val="14"/>
                <w:color w:val="auto"/>
              </w:rPr>
              <w:t>(11,780 )</w:t>
            </w:r>
          </w:p>
        </w:tc>
        <w:tc>
          <w:tcPr>
            <w:tcW w:w="280" w:type="dxa"/>
            <w:vAlign w:val="bottom"/>
            <w:shd w:val="clear" w:color="auto" w:fill="CCECFF"/>
          </w:tcPr>
          <w:p>
            <w:pPr>
              <w:spacing w:after="0"/>
              <w:rPr>
                <w:sz w:val="15"/>
                <w:szCs w:val="15"/>
                <w:color w:val="auto"/>
              </w:rPr>
            </w:pPr>
          </w:p>
        </w:tc>
        <w:tc>
          <w:tcPr>
            <w:tcW w:w="120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(11,050 )</w:t>
            </w:r>
          </w:p>
        </w:tc>
        <w:tc>
          <w:tcPr>
            <w:tcW w:w="240" w:type="dxa"/>
            <w:vAlign w:val="bottom"/>
            <w:shd w:val="clear" w:color="auto" w:fill="CCECFF"/>
          </w:tcPr>
          <w:p>
            <w:pPr>
              <w:spacing w:after="0"/>
              <w:rPr>
                <w:sz w:val="15"/>
                <w:szCs w:val="15"/>
                <w:color w:val="auto"/>
              </w:rPr>
            </w:pPr>
          </w:p>
        </w:tc>
        <w:tc>
          <w:tcPr>
            <w:tcW w:w="1120" w:type="dxa"/>
            <w:vAlign w:val="bottom"/>
            <w:gridSpan w:val="2"/>
            <w:shd w:val="clear" w:color="auto" w:fill="CCECFF"/>
          </w:tcPr>
          <w:p>
            <w:pPr>
              <w:jc w:val="right"/>
              <w:ind w:right="160"/>
              <w:spacing w:after="0"/>
              <w:rPr>
                <w:sz w:val="20"/>
                <w:szCs w:val="20"/>
                <w:color w:val="auto"/>
              </w:rPr>
            </w:pPr>
            <w:r>
              <w:rPr>
                <w:rFonts w:ascii="Arial" w:cs="Arial" w:eastAsia="Arial" w:hAnsi="Arial"/>
                <w:sz w:val="14"/>
                <w:szCs w:val="14"/>
                <w:color w:val="auto"/>
              </w:rPr>
              <w:t>(34,141 )</w:t>
            </w:r>
          </w:p>
        </w:tc>
        <w:tc>
          <w:tcPr>
            <w:tcW w:w="280" w:type="dxa"/>
            <w:vAlign w:val="bottom"/>
            <w:shd w:val="clear" w:color="auto" w:fill="CCECFF"/>
          </w:tcPr>
          <w:p>
            <w:pPr>
              <w:spacing w:after="0"/>
              <w:rPr>
                <w:sz w:val="15"/>
                <w:szCs w:val="15"/>
                <w:color w:val="auto"/>
              </w:rPr>
            </w:pPr>
          </w:p>
        </w:tc>
        <w:tc>
          <w:tcPr>
            <w:tcW w:w="1020" w:type="dxa"/>
            <w:vAlign w:val="bottom"/>
            <w:gridSpan w:val="2"/>
            <w:shd w:val="clear" w:color="auto" w:fill="CCECFF"/>
          </w:tcPr>
          <w:p>
            <w:pPr>
              <w:jc w:val="right"/>
              <w:ind w:right="40"/>
              <w:spacing w:after="0"/>
              <w:rPr>
                <w:sz w:val="20"/>
                <w:szCs w:val="20"/>
                <w:color w:val="auto"/>
              </w:rPr>
            </w:pPr>
            <w:r>
              <w:rPr>
                <w:rFonts w:ascii="Arial" w:cs="Arial" w:eastAsia="Arial" w:hAnsi="Arial"/>
                <w:sz w:val="14"/>
                <w:szCs w:val="14"/>
                <w:color w:val="auto"/>
              </w:rPr>
              <w:t>(33,150 )</w:t>
            </w:r>
          </w:p>
        </w:tc>
      </w:tr>
      <w:tr>
        <w:trPr>
          <w:trHeight w:val="20"/>
        </w:trPr>
        <w:tc>
          <w:tcPr>
            <w:tcW w:w="5660" w:type="dxa"/>
            <w:vAlign w:val="bottom"/>
            <w:shd w:val="clear" w:color="auto" w:fill="CCEC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CCEC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CCEC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r>
      <w:tr>
        <w:trPr>
          <w:trHeight w:val="169"/>
        </w:trPr>
        <w:tc>
          <w:tcPr>
            <w:tcW w:w="5660" w:type="dxa"/>
            <w:vAlign w:val="bottom"/>
          </w:tcPr>
          <w:p>
            <w:pPr>
              <w:ind w:left="200"/>
              <w:spacing w:after="0"/>
              <w:rPr>
                <w:sz w:val="20"/>
                <w:szCs w:val="20"/>
                <w:color w:val="auto"/>
              </w:rPr>
            </w:pPr>
            <w:r>
              <w:rPr>
                <w:rFonts w:ascii="Arial" w:cs="Arial" w:eastAsia="Arial" w:hAnsi="Arial"/>
                <w:sz w:val="14"/>
                <w:szCs w:val="14"/>
                <w:b w:val="1"/>
                <w:bCs w:val="1"/>
                <w:color w:val="auto"/>
              </w:rPr>
              <w:t>Total distributions to stockholders</w:t>
            </w:r>
          </w:p>
        </w:tc>
        <w:tc>
          <w:tcPr>
            <w:tcW w:w="240" w:type="dxa"/>
            <w:vAlign w:val="bottom"/>
          </w:tcPr>
          <w:p>
            <w:pPr>
              <w:spacing w:after="0"/>
              <w:rPr>
                <w:sz w:val="14"/>
                <w:szCs w:val="14"/>
                <w:color w:val="auto"/>
              </w:rPr>
            </w:pPr>
          </w:p>
        </w:tc>
        <w:tc>
          <w:tcPr>
            <w:tcW w:w="1200" w:type="dxa"/>
            <w:vAlign w:val="bottom"/>
            <w:gridSpan w:val="2"/>
          </w:tcPr>
          <w:p>
            <w:pPr>
              <w:jc w:val="right"/>
              <w:ind w:right="128"/>
              <w:spacing w:after="0"/>
              <w:rPr>
                <w:sz w:val="20"/>
                <w:szCs w:val="20"/>
                <w:color w:val="auto"/>
              </w:rPr>
            </w:pPr>
            <w:r>
              <w:rPr>
                <w:rFonts w:ascii="Arial" w:cs="Arial" w:eastAsia="Arial" w:hAnsi="Arial"/>
                <w:sz w:val="14"/>
                <w:szCs w:val="14"/>
                <w:color w:val="auto"/>
              </w:rPr>
              <w:t>(11,780 )</w:t>
            </w:r>
          </w:p>
        </w:tc>
        <w:tc>
          <w:tcPr>
            <w:tcW w:w="280" w:type="dxa"/>
            <w:vAlign w:val="bottom"/>
          </w:tcPr>
          <w:p>
            <w:pPr>
              <w:spacing w:after="0"/>
              <w:rPr>
                <w:sz w:val="14"/>
                <w:szCs w:val="14"/>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(11,050 )</w:t>
            </w:r>
          </w:p>
        </w:tc>
        <w:tc>
          <w:tcPr>
            <w:tcW w:w="24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(34,141 )</w:t>
            </w:r>
          </w:p>
        </w:tc>
        <w:tc>
          <w:tcPr>
            <w:tcW w:w="280" w:type="dxa"/>
            <w:vAlign w:val="bottom"/>
          </w:tcPr>
          <w:p>
            <w:pPr>
              <w:spacing w:after="0"/>
              <w:rPr>
                <w:sz w:val="14"/>
                <w:szCs w:val="14"/>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4"/>
                <w:szCs w:val="14"/>
                <w:color w:val="auto"/>
              </w:rPr>
              <w:t>(33,150 )</w:t>
            </w:r>
          </w:p>
        </w:tc>
      </w:tr>
      <w:tr>
        <w:trPr>
          <w:trHeight w:val="169"/>
        </w:trPr>
        <w:tc>
          <w:tcPr>
            <w:tcW w:w="5660" w:type="dxa"/>
            <w:vAlign w:val="bottom"/>
            <w:shd w:val="clear" w:color="auto" w:fill="CCECFF"/>
          </w:tcPr>
          <w:p>
            <w:pPr>
              <w:ind w:left="20"/>
              <w:spacing w:after="0"/>
              <w:rPr>
                <w:sz w:val="20"/>
                <w:szCs w:val="20"/>
                <w:color w:val="auto"/>
              </w:rPr>
            </w:pPr>
            <w:r>
              <w:rPr>
                <w:rFonts w:ascii="Arial" w:cs="Arial" w:eastAsia="Arial" w:hAnsi="Arial"/>
                <w:sz w:val="14"/>
                <w:szCs w:val="14"/>
                <w:b w:val="1"/>
                <w:bCs w:val="1"/>
                <w:color w:val="auto"/>
              </w:rPr>
              <w:t>Capital transactions</w:t>
            </w:r>
          </w:p>
        </w:tc>
        <w:tc>
          <w:tcPr>
            <w:tcW w:w="240" w:type="dxa"/>
            <w:vAlign w:val="bottom"/>
            <w:tcBorders>
              <w:top w:val="single" w:sz="8" w:color="auto"/>
            </w:tcBorders>
            <w:shd w:val="clear" w:color="auto" w:fill="CCECFF"/>
          </w:tcPr>
          <w:p>
            <w:pPr>
              <w:spacing w:after="0"/>
              <w:rPr>
                <w:sz w:val="14"/>
                <w:szCs w:val="14"/>
                <w:color w:val="auto"/>
              </w:rPr>
            </w:pPr>
          </w:p>
        </w:tc>
        <w:tc>
          <w:tcPr>
            <w:tcW w:w="940" w:type="dxa"/>
            <w:vAlign w:val="bottom"/>
            <w:tcBorders>
              <w:top w:val="single" w:sz="8" w:color="auto"/>
            </w:tcBorders>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280" w:type="dxa"/>
            <w:vAlign w:val="bottom"/>
            <w:tcBorders>
              <w:top w:val="single" w:sz="8" w:color="auto"/>
            </w:tcBorders>
            <w:shd w:val="clear" w:color="auto" w:fill="CCECFF"/>
          </w:tcPr>
          <w:p>
            <w:pPr>
              <w:spacing w:after="0"/>
              <w:rPr>
                <w:sz w:val="14"/>
                <w:szCs w:val="14"/>
                <w:color w:val="auto"/>
              </w:rPr>
            </w:pPr>
          </w:p>
        </w:tc>
        <w:tc>
          <w:tcPr>
            <w:tcW w:w="940" w:type="dxa"/>
            <w:vAlign w:val="bottom"/>
            <w:tcBorders>
              <w:top w:val="single" w:sz="8" w:color="auto"/>
            </w:tcBorders>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240" w:type="dxa"/>
            <w:vAlign w:val="bottom"/>
            <w:tcBorders>
              <w:top w:val="single" w:sz="8" w:color="auto"/>
            </w:tcBorders>
            <w:shd w:val="clear" w:color="auto" w:fill="CCECFF"/>
          </w:tcPr>
          <w:p>
            <w:pPr>
              <w:spacing w:after="0"/>
              <w:rPr>
                <w:sz w:val="14"/>
                <w:szCs w:val="14"/>
                <w:color w:val="auto"/>
              </w:rPr>
            </w:pPr>
          </w:p>
        </w:tc>
        <w:tc>
          <w:tcPr>
            <w:tcW w:w="900" w:type="dxa"/>
            <w:vAlign w:val="bottom"/>
            <w:tcBorders>
              <w:top w:val="single" w:sz="8" w:color="auto"/>
            </w:tcBorders>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280" w:type="dxa"/>
            <w:vAlign w:val="bottom"/>
            <w:tcBorders>
              <w:top w:val="single" w:sz="8" w:color="auto"/>
            </w:tcBorders>
            <w:shd w:val="clear" w:color="auto" w:fill="CCECFF"/>
          </w:tcPr>
          <w:p>
            <w:pPr>
              <w:spacing w:after="0"/>
              <w:rPr>
                <w:sz w:val="14"/>
                <w:szCs w:val="14"/>
                <w:color w:val="auto"/>
              </w:rPr>
            </w:pPr>
          </w:p>
        </w:tc>
        <w:tc>
          <w:tcPr>
            <w:tcW w:w="920" w:type="dxa"/>
            <w:vAlign w:val="bottom"/>
            <w:tcBorders>
              <w:top w:val="single" w:sz="8" w:color="auto"/>
            </w:tcBorders>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r>
      <w:tr>
        <w:trPr>
          <w:trHeight w:val="175"/>
        </w:trPr>
        <w:tc>
          <w:tcPr>
            <w:tcW w:w="5660" w:type="dxa"/>
            <w:vAlign w:val="bottom"/>
          </w:tcPr>
          <w:p>
            <w:pPr>
              <w:ind w:left="200"/>
              <w:spacing w:after="0"/>
              <w:rPr>
                <w:sz w:val="20"/>
                <w:szCs w:val="20"/>
                <w:color w:val="auto"/>
              </w:rPr>
            </w:pPr>
            <w:r>
              <w:rPr>
                <w:rFonts w:ascii="Arial" w:cs="Arial" w:eastAsia="Arial" w:hAnsi="Arial"/>
                <w:sz w:val="14"/>
                <w:szCs w:val="14"/>
                <w:color w:val="auto"/>
              </w:rPr>
              <w:t>Public offering (See Note 1)</w:t>
            </w:r>
          </w:p>
        </w:tc>
        <w:tc>
          <w:tcPr>
            <w:tcW w:w="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1,820</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32,336</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76"/>
        </w:trPr>
        <w:tc>
          <w:tcPr>
            <w:tcW w:w="5660" w:type="dxa"/>
            <w:vAlign w:val="bottom"/>
            <w:shd w:val="clear" w:color="auto" w:fill="CCECFF"/>
          </w:tcPr>
          <w:p>
            <w:pPr>
              <w:ind w:left="200"/>
              <w:spacing w:after="0"/>
              <w:rPr>
                <w:sz w:val="20"/>
                <w:szCs w:val="20"/>
                <w:color w:val="auto"/>
              </w:rPr>
            </w:pPr>
            <w:r>
              <w:rPr>
                <w:rFonts w:ascii="Arial" w:cs="Arial" w:eastAsia="Arial" w:hAnsi="Arial"/>
                <w:sz w:val="14"/>
                <w:szCs w:val="14"/>
                <w:color w:val="auto"/>
              </w:rPr>
              <w:t>Offering costs</w:t>
            </w:r>
          </w:p>
        </w:tc>
        <w:tc>
          <w:tcPr>
            <w:tcW w:w="240" w:type="dxa"/>
            <w:vAlign w:val="bottom"/>
            <w:shd w:val="clear" w:color="auto" w:fill="CCECFF"/>
          </w:tcPr>
          <w:p>
            <w:pPr>
              <w:spacing w:after="0"/>
              <w:rPr>
                <w:sz w:val="15"/>
                <w:szCs w:val="15"/>
                <w:color w:val="auto"/>
              </w:rPr>
            </w:pPr>
          </w:p>
        </w:tc>
        <w:tc>
          <w:tcPr>
            <w:tcW w:w="1200" w:type="dxa"/>
            <w:vAlign w:val="bottom"/>
            <w:gridSpan w:val="2"/>
            <w:shd w:val="clear" w:color="auto" w:fill="CCECFF"/>
          </w:tcPr>
          <w:p>
            <w:pPr>
              <w:jc w:val="right"/>
              <w:ind w:right="128"/>
              <w:spacing w:after="0"/>
              <w:rPr>
                <w:sz w:val="20"/>
                <w:szCs w:val="20"/>
                <w:color w:val="auto"/>
              </w:rPr>
            </w:pPr>
            <w:r>
              <w:rPr>
                <w:rFonts w:ascii="Arial" w:cs="Arial" w:eastAsia="Arial" w:hAnsi="Arial"/>
                <w:sz w:val="14"/>
                <w:szCs w:val="14"/>
                <w:color w:val="auto"/>
              </w:rPr>
              <w:t>(28 )</w:t>
            </w:r>
          </w:p>
        </w:tc>
        <w:tc>
          <w:tcPr>
            <w:tcW w:w="280" w:type="dxa"/>
            <w:vAlign w:val="bottom"/>
            <w:shd w:val="clear" w:color="auto" w:fill="CCECFF"/>
          </w:tcPr>
          <w:p>
            <w:pPr>
              <w:spacing w:after="0"/>
              <w:rPr>
                <w:sz w:val="15"/>
                <w:szCs w:val="15"/>
                <w:color w:val="auto"/>
              </w:rPr>
            </w:pPr>
          </w:p>
        </w:tc>
        <w:tc>
          <w:tcPr>
            <w:tcW w:w="1200" w:type="dxa"/>
            <w:vAlign w:val="bottom"/>
            <w:gridSpan w:val="2"/>
            <w:shd w:val="clear" w:color="auto" w:fill="CCECFF"/>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CFF"/>
          </w:tcPr>
          <w:p>
            <w:pPr>
              <w:spacing w:after="0"/>
              <w:rPr>
                <w:sz w:val="15"/>
                <w:szCs w:val="15"/>
                <w:color w:val="auto"/>
              </w:rPr>
            </w:pPr>
          </w:p>
        </w:tc>
        <w:tc>
          <w:tcPr>
            <w:tcW w:w="1120" w:type="dxa"/>
            <w:vAlign w:val="bottom"/>
            <w:gridSpan w:val="2"/>
            <w:shd w:val="clear" w:color="auto" w:fill="CCECFF"/>
          </w:tcPr>
          <w:p>
            <w:pPr>
              <w:jc w:val="right"/>
              <w:ind w:right="160"/>
              <w:spacing w:after="0"/>
              <w:rPr>
                <w:sz w:val="20"/>
                <w:szCs w:val="20"/>
                <w:color w:val="auto"/>
              </w:rPr>
            </w:pPr>
            <w:r>
              <w:rPr>
                <w:rFonts w:ascii="Arial" w:cs="Arial" w:eastAsia="Arial" w:hAnsi="Arial"/>
                <w:sz w:val="14"/>
                <w:szCs w:val="14"/>
                <w:color w:val="auto"/>
              </w:rPr>
              <w:t>(486 )</w:t>
            </w:r>
          </w:p>
        </w:tc>
        <w:tc>
          <w:tcPr>
            <w:tcW w:w="280" w:type="dxa"/>
            <w:vAlign w:val="bottom"/>
            <w:shd w:val="clear" w:color="auto" w:fill="CCECFF"/>
          </w:tcPr>
          <w:p>
            <w:pPr>
              <w:spacing w:after="0"/>
              <w:rPr>
                <w:sz w:val="15"/>
                <w:szCs w:val="15"/>
                <w:color w:val="auto"/>
              </w:rPr>
            </w:pPr>
          </w:p>
        </w:tc>
        <w:tc>
          <w:tcPr>
            <w:tcW w:w="1020" w:type="dxa"/>
            <w:vAlign w:val="bottom"/>
            <w:gridSpan w:val="2"/>
            <w:shd w:val="clear" w:color="auto" w:fill="CCECFF"/>
          </w:tcPr>
          <w:p>
            <w:pPr>
              <w:jc w:val="right"/>
              <w:ind w:right="120"/>
              <w:spacing w:after="0"/>
              <w:rPr>
                <w:sz w:val="20"/>
                <w:szCs w:val="20"/>
                <w:color w:val="auto"/>
              </w:rPr>
            </w:pPr>
            <w:r>
              <w:rPr>
                <w:rFonts w:ascii="Arial" w:cs="Arial" w:eastAsia="Arial" w:hAnsi="Arial"/>
                <w:sz w:val="14"/>
                <w:szCs w:val="14"/>
                <w:color w:val="auto"/>
              </w:rPr>
              <w:t>—</w:t>
            </w:r>
          </w:p>
        </w:tc>
      </w:tr>
      <w:tr>
        <w:trPr>
          <w:trHeight w:val="169"/>
        </w:trPr>
        <w:tc>
          <w:tcPr>
            <w:tcW w:w="5660" w:type="dxa"/>
            <w:vAlign w:val="bottom"/>
            <w:tcBorders>
              <w:top w:val="single" w:sz="8" w:color="CCECFF"/>
            </w:tcBorders>
          </w:tcPr>
          <w:p>
            <w:pPr>
              <w:ind w:left="200"/>
              <w:spacing w:after="0"/>
              <w:rPr>
                <w:sz w:val="20"/>
                <w:szCs w:val="20"/>
                <w:color w:val="auto"/>
              </w:rPr>
            </w:pPr>
            <w:r>
              <w:rPr>
                <w:rFonts w:ascii="Arial" w:cs="Arial" w:eastAsia="Arial" w:hAnsi="Arial"/>
                <w:sz w:val="14"/>
                <w:szCs w:val="14"/>
                <w:b w:val="1"/>
                <w:bCs w:val="1"/>
                <w:color w:val="auto"/>
              </w:rPr>
              <w:t>Net increase in net assets resulting from capital transactions</w:t>
            </w:r>
          </w:p>
        </w:tc>
        <w:tc>
          <w:tcPr>
            <w:tcW w:w="24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1,792</w:t>
            </w:r>
          </w:p>
        </w:tc>
        <w:tc>
          <w:tcPr>
            <w:tcW w:w="260" w:type="dxa"/>
            <w:vAlign w:val="bottom"/>
            <w:tcBorders>
              <w:top w:val="single" w:sz="8" w:color="CCECFF"/>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top w:val="single" w:sz="8" w:color="CCECFF"/>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31,850</w:t>
            </w:r>
          </w:p>
        </w:tc>
        <w:tc>
          <w:tcPr>
            <w:tcW w:w="220" w:type="dxa"/>
            <w:vAlign w:val="bottom"/>
            <w:tcBorders>
              <w:top w:val="single" w:sz="8" w:color="CCECFF"/>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CFF"/>
            </w:tcBorders>
          </w:tcPr>
          <w:p>
            <w:pPr>
              <w:spacing w:after="0"/>
              <w:rPr>
                <w:sz w:val="14"/>
                <w:szCs w:val="14"/>
                <w:color w:val="auto"/>
              </w:rPr>
            </w:pPr>
          </w:p>
        </w:tc>
      </w:tr>
      <w:tr>
        <w:trPr>
          <w:trHeight w:val="169"/>
        </w:trPr>
        <w:tc>
          <w:tcPr>
            <w:tcW w:w="566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4"/>
                <w:szCs w:val="14"/>
                <w:b w:val="1"/>
                <w:bCs w:val="1"/>
                <w:color w:val="auto"/>
              </w:rPr>
              <w:t>Net increase (decrease) in net assets</w:t>
            </w:r>
          </w:p>
        </w:tc>
        <w:tc>
          <w:tcPr>
            <w:tcW w:w="240" w:type="dxa"/>
            <w:vAlign w:val="bottom"/>
            <w:tcBorders>
              <w:bottom w:val="single" w:sz="8" w:color="auto"/>
            </w:tcBorders>
            <w:shd w:val="clear" w:color="auto" w:fill="CCECFF"/>
          </w:tcPr>
          <w:p>
            <w:pPr>
              <w:spacing w:after="0"/>
              <w:rPr>
                <w:sz w:val="14"/>
                <w:szCs w:val="14"/>
                <w:color w:val="auto"/>
              </w:rPr>
            </w:pPr>
          </w:p>
        </w:tc>
        <w:tc>
          <w:tcPr>
            <w:tcW w:w="9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(15,073</w:t>
            </w:r>
          </w:p>
        </w:tc>
        <w:tc>
          <w:tcPr>
            <w:tcW w:w="260" w:type="dxa"/>
            <w:vAlign w:val="bottom"/>
            <w:tcBorders>
              <w:bottom w:val="single" w:sz="8" w:color="CCECFF"/>
            </w:tcBorders>
            <w:shd w:val="clear" w:color="auto" w:fill="CCECFF"/>
          </w:tcPr>
          <w:p>
            <w:pPr>
              <w:jc w:val="right"/>
              <w:ind w:right="128"/>
              <w:spacing w:after="0"/>
              <w:rPr>
                <w:sz w:val="20"/>
                <w:szCs w:val="20"/>
                <w:color w:val="auto"/>
              </w:rPr>
            </w:pPr>
            <w:r>
              <w:rPr>
                <w:rFonts w:ascii="Arial" w:cs="Arial" w:eastAsia="Arial" w:hAnsi="Arial"/>
                <w:sz w:val="14"/>
                <w:szCs w:val="14"/>
                <w:color w:val="auto"/>
                <w:w w:val="84"/>
              </w:rPr>
              <w:t>)</w:t>
            </w:r>
          </w:p>
        </w:tc>
        <w:tc>
          <w:tcPr>
            <w:tcW w:w="280" w:type="dxa"/>
            <w:vAlign w:val="bottom"/>
            <w:tcBorders>
              <w:bottom w:val="single" w:sz="8" w:color="auto"/>
            </w:tcBorders>
            <w:shd w:val="clear" w:color="auto" w:fill="CCECFF"/>
          </w:tcPr>
          <w:p>
            <w:pPr>
              <w:spacing w:after="0"/>
              <w:rPr>
                <w:sz w:val="14"/>
                <w:szCs w:val="14"/>
                <w:color w:val="auto"/>
              </w:rPr>
            </w:pPr>
          </w:p>
        </w:tc>
        <w:tc>
          <w:tcPr>
            <w:tcW w:w="9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3,657</w:t>
            </w:r>
          </w:p>
        </w:tc>
        <w:tc>
          <w:tcPr>
            <w:tcW w:w="260" w:type="dxa"/>
            <w:vAlign w:val="bottom"/>
            <w:tcBorders>
              <w:bottom w:val="single" w:sz="8" w:color="CCECFF"/>
            </w:tcBorders>
            <w:shd w:val="clear" w:color="auto" w:fill="CCECFF"/>
          </w:tcPr>
          <w:p>
            <w:pPr>
              <w:spacing w:after="0"/>
              <w:rPr>
                <w:sz w:val="14"/>
                <w:szCs w:val="14"/>
                <w:color w:val="auto"/>
              </w:rPr>
            </w:pPr>
          </w:p>
        </w:tc>
        <w:tc>
          <w:tcPr>
            <w:tcW w:w="240" w:type="dxa"/>
            <w:vAlign w:val="bottom"/>
            <w:tcBorders>
              <w:bottom w:val="single" w:sz="8" w:color="auto"/>
            </w:tcBorders>
            <w:shd w:val="clear" w:color="auto" w:fill="CCECFF"/>
          </w:tcPr>
          <w:p>
            <w:pPr>
              <w:spacing w:after="0"/>
              <w:rPr>
                <w:sz w:val="14"/>
                <w:szCs w:val="14"/>
                <w:color w:val="auto"/>
              </w:rPr>
            </w:pPr>
          </w:p>
        </w:tc>
        <w:tc>
          <w:tcPr>
            <w:tcW w:w="9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14,300</w:t>
            </w:r>
          </w:p>
        </w:tc>
        <w:tc>
          <w:tcPr>
            <w:tcW w:w="220" w:type="dxa"/>
            <w:vAlign w:val="bottom"/>
            <w:tcBorders>
              <w:bottom w:val="single" w:sz="8" w:color="CCECFF"/>
            </w:tcBorders>
            <w:shd w:val="clear" w:color="auto" w:fill="CCECFF"/>
          </w:tcPr>
          <w:p>
            <w:pPr>
              <w:spacing w:after="0"/>
              <w:rPr>
                <w:sz w:val="14"/>
                <w:szCs w:val="14"/>
                <w:color w:val="auto"/>
              </w:rPr>
            </w:pPr>
          </w:p>
        </w:tc>
        <w:tc>
          <w:tcPr>
            <w:tcW w:w="280" w:type="dxa"/>
            <w:vAlign w:val="bottom"/>
            <w:tcBorders>
              <w:bottom w:val="single" w:sz="8" w:color="auto"/>
            </w:tcBorders>
            <w:shd w:val="clear" w:color="auto" w:fill="CCECFF"/>
          </w:tcPr>
          <w:p>
            <w:pPr>
              <w:spacing w:after="0"/>
              <w:rPr>
                <w:sz w:val="14"/>
                <w:szCs w:val="14"/>
                <w:color w:val="auto"/>
              </w:rPr>
            </w:pPr>
          </w:p>
        </w:tc>
        <w:tc>
          <w:tcPr>
            <w:tcW w:w="9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19,361</w:t>
            </w:r>
          </w:p>
        </w:tc>
        <w:tc>
          <w:tcPr>
            <w:tcW w:w="100" w:type="dxa"/>
            <w:vAlign w:val="bottom"/>
            <w:tcBorders>
              <w:bottom w:val="single" w:sz="8" w:color="CCECFF"/>
            </w:tcBorders>
            <w:shd w:val="clear" w:color="auto" w:fill="CCECFF"/>
          </w:tcPr>
          <w:p>
            <w:pPr>
              <w:spacing w:after="0"/>
              <w:rPr>
                <w:sz w:val="14"/>
                <w:szCs w:val="14"/>
                <w:color w:val="auto"/>
              </w:rPr>
            </w:pPr>
          </w:p>
        </w:tc>
      </w:tr>
      <w:tr>
        <w:trPr>
          <w:trHeight w:val="169"/>
        </w:trPr>
        <w:tc>
          <w:tcPr>
            <w:tcW w:w="5660" w:type="dxa"/>
            <w:vAlign w:val="bottom"/>
          </w:tcPr>
          <w:p>
            <w:pPr>
              <w:ind w:left="20"/>
              <w:spacing w:after="0"/>
              <w:rPr>
                <w:sz w:val="20"/>
                <w:szCs w:val="20"/>
                <w:color w:val="auto"/>
              </w:rPr>
            </w:pPr>
            <w:r>
              <w:rPr>
                <w:rFonts w:ascii="Arial" w:cs="Arial" w:eastAsia="Arial" w:hAnsi="Arial"/>
                <w:sz w:val="14"/>
                <w:szCs w:val="14"/>
                <w:b w:val="1"/>
                <w:bCs w:val="1"/>
                <w:color w:val="auto"/>
              </w:rPr>
              <w:t>Net assets:</w:t>
            </w: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6"/>
        </w:trPr>
        <w:tc>
          <w:tcPr>
            <w:tcW w:w="5660" w:type="dxa"/>
            <w:vAlign w:val="bottom"/>
            <w:tcBorders>
              <w:bottom w:val="single" w:sz="8" w:color="CCECFF"/>
            </w:tcBorders>
            <w:shd w:val="clear" w:color="auto" w:fill="CCECFF"/>
          </w:tcPr>
          <w:p>
            <w:pPr>
              <w:ind w:left="200"/>
              <w:spacing w:after="0"/>
              <w:rPr>
                <w:sz w:val="20"/>
                <w:szCs w:val="20"/>
                <w:color w:val="auto"/>
              </w:rPr>
            </w:pPr>
            <w:r>
              <w:rPr>
                <w:rFonts w:ascii="Arial" w:cs="Arial" w:eastAsia="Arial" w:hAnsi="Arial"/>
                <w:sz w:val="14"/>
                <w:szCs w:val="14"/>
                <w:color w:val="auto"/>
              </w:rPr>
              <w:t>Beginning of period</w:t>
            </w:r>
          </w:p>
        </w:tc>
        <w:tc>
          <w:tcPr>
            <w:tcW w:w="240" w:type="dxa"/>
            <w:vAlign w:val="bottom"/>
            <w:tcBorders>
              <w:bottom w:val="single" w:sz="8" w:color="auto"/>
            </w:tcBorders>
            <w:shd w:val="clear" w:color="auto" w:fill="CCECFF"/>
          </w:tcPr>
          <w:p>
            <w:pPr>
              <w:spacing w:after="0"/>
              <w:rPr>
                <w:sz w:val="15"/>
                <w:szCs w:val="15"/>
                <w:color w:val="auto"/>
              </w:rPr>
            </w:pPr>
          </w:p>
        </w:tc>
        <w:tc>
          <w:tcPr>
            <w:tcW w:w="9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519,986</w:t>
            </w:r>
          </w:p>
        </w:tc>
        <w:tc>
          <w:tcPr>
            <w:tcW w:w="260" w:type="dxa"/>
            <w:vAlign w:val="bottom"/>
            <w:tcBorders>
              <w:bottom w:val="single" w:sz="8" w:color="CCECFF"/>
            </w:tcBorders>
            <w:shd w:val="clear" w:color="auto" w:fill="CCECFF"/>
          </w:tcPr>
          <w:p>
            <w:pPr>
              <w:spacing w:after="0"/>
              <w:rPr>
                <w:sz w:val="15"/>
                <w:szCs w:val="15"/>
                <w:color w:val="auto"/>
              </w:rPr>
            </w:pPr>
          </w:p>
        </w:tc>
        <w:tc>
          <w:tcPr>
            <w:tcW w:w="280" w:type="dxa"/>
            <w:vAlign w:val="bottom"/>
            <w:tcBorders>
              <w:bottom w:val="single" w:sz="8" w:color="auto"/>
            </w:tcBorders>
            <w:shd w:val="clear" w:color="auto" w:fill="CCECFF"/>
          </w:tcPr>
          <w:p>
            <w:pPr>
              <w:spacing w:after="0"/>
              <w:rPr>
                <w:sz w:val="15"/>
                <w:szCs w:val="15"/>
                <w:color w:val="auto"/>
              </w:rPr>
            </w:pPr>
          </w:p>
        </w:tc>
        <w:tc>
          <w:tcPr>
            <w:tcW w:w="9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492,974</w:t>
            </w:r>
          </w:p>
        </w:tc>
        <w:tc>
          <w:tcPr>
            <w:tcW w:w="260" w:type="dxa"/>
            <w:vAlign w:val="bottom"/>
            <w:tcBorders>
              <w:bottom w:val="single" w:sz="8" w:color="CCECFF"/>
            </w:tcBorders>
            <w:shd w:val="clear" w:color="auto" w:fill="CCECFF"/>
          </w:tcPr>
          <w:p>
            <w:pPr>
              <w:spacing w:after="0"/>
              <w:rPr>
                <w:sz w:val="15"/>
                <w:szCs w:val="15"/>
                <w:color w:val="auto"/>
              </w:rPr>
            </w:pPr>
          </w:p>
        </w:tc>
        <w:tc>
          <w:tcPr>
            <w:tcW w:w="240" w:type="dxa"/>
            <w:vAlign w:val="bottom"/>
            <w:tcBorders>
              <w:bottom w:val="single" w:sz="8" w:color="auto"/>
            </w:tcBorders>
            <w:shd w:val="clear" w:color="auto" w:fill="CCECFF"/>
          </w:tcPr>
          <w:p>
            <w:pPr>
              <w:spacing w:after="0"/>
              <w:rPr>
                <w:sz w:val="15"/>
                <w:szCs w:val="15"/>
                <w:color w:val="auto"/>
              </w:rPr>
            </w:pPr>
          </w:p>
        </w:tc>
        <w:tc>
          <w:tcPr>
            <w:tcW w:w="9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490,611</w:t>
            </w:r>
          </w:p>
        </w:tc>
        <w:tc>
          <w:tcPr>
            <w:tcW w:w="220" w:type="dxa"/>
            <w:vAlign w:val="bottom"/>
            <w:tcBorders>
              <w:bottom w:val="single" w:sz="8" w:color="CCECFF"/>
            </w:tcBorders>
            <w:shd w:val="clear" w:color="auto" w:fill="CCECFF"/>
          </w:tcPr>
          <w:p>
            <w:pPr>
              <w:spacing w:after="0"/>
              <w:rPr>
                <w:sz w:val="15"/>
                <w:szCs w:val="15"/>
                <w:color w:val="auto"/>
              </w:rPr>
            </w:pPr>
          </w:p>
        </w:tc>
        <w:tc>
          <w:tcPr>
            <w:tcW w:w="280" w:type="dxa"/>
            <w:vAlign w:val="bottom"/>
            <w:tcBorders>
              <w:bottom w:val="single" w:sz="8" w:color="auto"/>
            </w:tcBorders>
            <w:shd w:val="clear" w:color="auto" w:fill="CCECFF"/>
          </w:tcPr>
          <w:p>
            <w:pPr>
              <w:spacing w:after="0"/>
              <w:rPr>
                <w:sz w:val="15"/>
                <w:szCs w:val="15"/>
                <w:color w:val="auto"/>
              </w:rPr>
            </w:pPr>
          </w:p>
        </w:tc>
        <w:tc>
          <w:tcPr>
            <w:tcW w:w="9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477,270</w:t>
            </w:r>
          </w:p>
        </w:tc>
        <w:tc>
          <w:tcPr>
            <w:tcW w:w="100" w:type="dxa"/>
            <w:vAlign w:val="bottom"/>
            <w:tcBorders>
              <w:bottom w:val="single" w:sz="8" w:color="CCECFF"/>
            </w:tcBorders>
            <w:shd w:val="clear" w:color="auto" w:fill="CCECFF"/>
          </w:tcPr>
          <w:p>
            <w:pPr>
              <w:spacing w:after="0"/>
              <w:rPr>
                <w:sz w:val="15"/>
                <w:szCs w:val="15"/>
                <w:color w:val="auto"/>
              </w:rPr>
            </w:pPr>
          </w:p>
        </w:tc>
      </w:tr>
      <w:tr>
        <w:trPr>
          <w:trHeight w:val="169"/>
        </w:trPr>
        <w:tc>
          <w:tcPr>
            <w:tcW w:w="5660" w:type="dxa"/>
            <w:vAlign w:val="bottom"/>
          </w:tcPr>
          <w:p>
            <w:pPr>
              <w:ind w:left="200"/>
              <w:spacing w:after="0"/>
              <w:rPr>
                <w:sz w:val="20"/>
                <w:szCs w:val="20"/>
                <w:color w:val="auto"/>
              </w:rPr>
            </w:pPr>
            <w:r>
              <w:rPr>
                <w:rFonts w:ascii="Arial" w:cs="Arial" w:eastAsia="Arial" w:hAnsi="Arial"/>
                <w:sz w:val="14"/>
                <w:szCs w:val="14"/>
                <w:color w:val="auto"/>
              </w:rPr>
              <w:t>End of period</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504,913</w:t>
            </w:r>
          </w:p>
        </w:tc>
        <w:tc>
          <w:tcPr>
            <w:tcW w:w="260" w:type="dxa"/>
            <w:vAlign w:val="bottom"/>
          </w:tcPr>
          <w:p>
            <w:pPr>
              <w:spacing w:after="0"/>
              <w:rPr>
                <w:sz w:val="14"/>
                <w:szCs w:val="14"/>
                <w:color w:val="auto"/>
              </w:rPr>
            </w:pPr>
          </w:p>
        </w:tc>
        <w:tc>
          <w:tcPr>
            <w:tcW w:w="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496,631</w:t>
            </w:r>
          </w:p>
        </w:tc>
        <w:tc>
          <w:tcPr>
            <w:tcW w:w="260" w:type="dxa"/>
            <w:vAlign w:val="bottom"/>
          </w:tcPr>
          <w:p>
            <w:pPr>
              <w:spacing w:after="0"/>
              <w:rPr>
                <w:sz w:val="14"/>
                <w:szCs w:val="14"/>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504,912</w:t>
            </w:r>
          </w:p>
        </w:tc>
        <w:tc>
          <w:tcPr>
            <w:tcW w:w="220" w:type="dxa"/>
            <w:vAlign w:val="bottom"/>
          </w:tcPr>
          <w:p>
            <w:pPr>
              <w:spacing w:after="0"/>
              <w:rPr>
                <w:sz w:val="14"/>
                <w:szCs w:val="14"/>
                <w:color w:val="auto"/>
              </w:rPr>
            </w:pPr>
          </w:p>
        </w:tc>
        <w:tc>
          <w:tcPr>
            <w:tcW w:w="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496,631</w:t>
            </w:r>
          </w:p>
        </w:tc>
        <w:tc>
          <w:tcPr>
            <w:tcW w:w="100" w:type="dxa"/>
            <w:vAlign w:val="bottom"/>
          </w:tcPr>
          <w:p>
            <w:pPr>
              <w:spacing w:after="0"/>
              <w:rPr>
                <w:sz w:val="14"/>
                <w:szCs w:val="14"/>
                <w:color w:val="auto"/>
              </w:rPr>
            </w:pPr>
          </w:p>
        </w:tc>
      </w:tr>
      <w:tr>
        <w:trPr>
          <w:trHeight w:val="20"/>
        </w:trPr>
        <w:tc>
          <w:tcPr>
            <w:tcW w:w="5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5660" w:type="dxa"/>
            <w:vAlign w:val="bottom"/>
            <w:shd w:val="clear" w:color="auto" w:fill="CCECFF"/>
          </w:tcPr>
          <w:p>
            <w:pPr>
              <w:ind w:left="20"/>
              <w:spacing w:after="0" w:line="156" w:lineRule="exact"/>
              <w:rPr>
                <w:sz w:val="20"/>
                <w:szCs w:val="20"/>
                <w:color w:val="auto"/>
              </w:rPr>
            </w:pPr>
            <w:r>
              <w:rPr>
                <w:rFonts w:ascii="Arial" w:cs="Arial" w:eastAsia="Arial" w:hAnsi="Arial"/>
                <w:sz w:val="14"/>
                <w:szCs w:val="14"/>
                <w:b w:val="1"/>
                <w:bCs w:val="1"/>
                <w:color w:val="auto"/>
              </w:rPr>
              <w:t>Capital share activity:</w:t>
            </w:r>
          </w:p>
        </w:tc>
        <w:tc>
          <w:tcPr>
            <w:tcW w:w="240" w:type="dxa"/>
            <w:vAlign w:val="bottom"/>
            <w:shd w:val="clear" w:color="auto" w:fill="CCECFF"/>
          </w:tcPr>
          <w:p>
            <w:pPr>
              <w:spacing w:after="0"/>
              <w:rPr>
                <w:sz w:val="13"/>
                <w:szCs w:val="13"/>
                <w:color w:val="auto"/>
              </w:rPr>
            </w:pPr>
          </w:p>
        </w:tc>
        <w:tc>
          <w:tcPr>
            <w:tcW w:w="94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94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90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9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r>
      <w:tr>
        <w:trPr>
          <w:trHeight w:val="175"/>
        </w:trPr>
        <w:tc>
          <w:tcPr>
            <w:tcW w:w="5660" w:type="dxa"/>
            <w:vAlign w:val="bottom"/>
          </w:tcPr>
          <w:p>
            <w:pPr>
              <w:ind w:left="200"/>
              <w:spacing w:after="0"/>
              <w:rPr>
                <w:sz w:val="20"/>
                <w:szCs w:val="20"/>
                <w:color w:val="auto"/>
              </w:rPr>
            </w:pPr>
            <w:r>
              <w:rPr>
                <w:rFonts w:ascii="Arial" w:cs="Arial" w:eastAsia="Arial" w:hAnsi="Arial"/>
                <w:sz w:val="14"/>
                <w:szCs w:val="14"/>
                <w:color w:val="auto"/>
              </w:rPr>
              <w:t>Shares issued from public offering</w:t>
            </w:r>
          </w:p>
        </w:tc>
        <w:tc>
          <w:tcPr>
            <w:tcW w:w="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136,072</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2,464,910</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20"/>
        </w:trPr>
        <w:tc>
          <w:tcPr>
            <w:tcW w:w="56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-1556385</wp:posOffset>
            </wp:positionV>
            <wp:extent cx="77470" cy="57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-1556385</wp:posOffset>
            </wp:positionV>
            <wp:extent cx="77470" cy="57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-1556385</wp:posOffset>
            </wp:positionV>
            <wp:extent cx="68580" cy="57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-1556385</wp:posOffset>
            </wp:positionV>
            <wp:extent cx="68580" cy="57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-1325245</wp:posOffset>
            </wp:positionV>
            <wp:extent cx="77470" cy="57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-1325245</wp:posOffset>
            </wp:positionV>
            <wp:extent cx="77470" cy="57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-1325245</wp:posOffset>
            </wp:positionV>
            <wp:extent cx="68580" cy="57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-1325245</wp:posOffset>
            </wp:positionV>
            <wp:extent cx="68580" cy="57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-862330</wp:posOffset>
            </wp:positionV>
            <wp:extent cx="77470" cy="57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-862330</wp:posOffset>
            </wp:positionV>
            <wp:extent cx="77470" cy="57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-862330</wp:posOffset>
            </wp:positionV>
            <wp:extent cx="68580" cy="57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-862330</wp:posOffset>
            </wp:positionV>
            <wp:extent cx="68580" cy="57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-622300</wp:posOffset>
            </wp:positionV>
            <wp:extent cx="77470" cy="57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-622300</wp:posOffset>
            </wp:positionV>
            <wp:extent cx="77470" cy="57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-622300</wp:posOffset>
            </wp:positionV>
            <wp:extent cx="68580" cy="57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-622300</wp:posOffset>
            </wp:positionV>
            <wp:extent cx="68580" cy="57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-390525</wp:posOffset>
            </wp:positionV>
            <wp:extent cx="77470" cy="57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-390525</wp:posOffset>
            </wp:positionV>
            <wp:extent cx="77470" cy="57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-390525</wp:posOffset>
            </wp:positionV>
            <wp:extent cx="68580" cy="57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-390525</wp:posOffset>
            </wp:positionV>
            <wp:extent cx="68580" cy="57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60" w:type="dxa"/>
            <w:vAlign w:val="bottom"/>
          </w:tcPr>
          <w:p>
            <w:pPr>
              <w:spacing w:after="0"/>
              <w:rPr>
                <w:sz w:val="16"/>
                <w:szCs w:val="16"/>
                <w:color w:val="auto"/>
              </w:rPr>
            </w:pPr>
          </w:p>
        </w:tc>
        <w:tc>
          <w:tcPr>
            <w:tcW w:w="2880" w:type="dxa"/>
            <w:vAlign w:val="bottom"/>
            <w:tcBorders>
              <w:bottom w:val="single" w:sz="8" w:color="auto"/>
            </w:tcBorders>
            <w:gridSpan w:val="4"/>
          </w:tcPr>
          <w:p>
            <w:pPr>
              <w:jc w:val="right"/>
              <w:ind w:right="208"/>
              <w:spacing w:after="0"/>
              <w:rPr>
                <w:sz w:val="20"/>
                <w:szCs w:val="20"/>
                <w:color w:val="auto"/>
              </w:rPr>
            </w:pPr>
            <w:r>
              <w:rPr>
                <w:rFonts w:ascii="Arial" w:cs="Arial" w:eastAsia="Arial" w:hAnsi="Arial"/>
                <w:sz w:val="14"/>
                <w:szCs w:val="14"/>
                <w:b w:val="1"/>
                <w:bCs w:val="1"/>
                <w:color w:val="auto"/>
              </w:rPr>
              <w:t>Nine months ended June 30,</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66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7660" w:type="dxa"/>
            <w:vAlign w:val="bottom"/>
            <w:shd w:val="clear" w:color="auto" w:fill="CCEC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1000" w:type="dxa"/>
            <w:vAlign w:val="bottom"/>
            <w:shd w:val="clear" w:color="auto" w:fill="CCECFF"/>
          </w:tcPr>
          <w:p>
            <w:pPr>
              <w:spacing w:after="0"/>
              <w:rPr>
                <w:sz w:val="14"/>
                <w:szCs w:val="14"/>
                <w:color w:val="auto"/>
              </w:rPr>
            </w:pPr>
          </w:p>
        </w:tc>
        <w:tc>
          <w:tcPr>
            <w:tcW w:w="58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020" w:type="dxa"/>
            <w:vAlign w:val="bottom"/>
            <w:shd w:val="clear" w:color="auto" w:fill="CCECFF"/>
          </w:tcPr>
          <w:p>
            <w:pPr>
              <w:spacing w:after="0"/>
              <w:rPr>
                <w:sz w:val="14"/>
                <w:szCs w:val="14"/>
                <w:color w:val="auto"/>
              </w:rPr>
            </w:pPr>
          </w:p>
        </w:tc>
        <w:tc>
          <w:tcPr>
            <w:tcW w:w="6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r>
      <w:tr>
        <w:trPr>
          <w:trHeight w:val="176"/>
        </w:trPr>
        <w:tc>
          <w:tcPr>
            <w:tcW w:w="7660" w:type="dxa"/>
            <w:vAlign w:val="bottom"/>
          </w:tcPr>
          <w:p>
            <w:pPr>
              <w:ind w:left="380"/>
              <w:spacing w:after="0"/>
              <w:rPr>
                <w:sz w:val="20"/>
                <w:szCs w:val="20"/>
                <w:color w:val="auto"/>
              </w:rPr>
            </w:pPr>
            <w:r>
              <w:rPr>
                <w:rFonts w:ascii="Arial" w:cs="Arial" w:eastAsia="Arial" w:hAnsi="Arial"/>
                <w:sz w:val="14"/>
                <w:szCs w:val="14"/>
                <w:color w:val="auto"/>
              </w:rPr>
              <w:t>Net increase in net assets resulting from operations</w:t>
            </w:r>
          </w:p>
        </w:tc>
        <w:tc>
          <w:tcPr>
            <w:tcW w:w="1000" w:type="dxa"/>
            <w:vAlign w:val="bottom"/>
          </w:tcPr>
          <w:p>
            <w:pPr>
              <w:jc w:val="right"/>
              <w:ind w:right="848"/>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16,593</w:t>
            </w:r>
          </w:p>
        </w:tc>
        <w:tc>
          <w:tcPr>
            <w:tcW w:w="280" w:type="dxa"/>
            <w:vAlign w:val="bottom"/>
          </w:tcPr>
          <w:p>
            <w:pPr>
              <w:spacing w:after="0"/>
              <w:rPr>
                <w:sz w:val="15"/>
                <w:szCs w:val="15"/>
                <w:color w:val="auto"/>
              </w:rPr>
            </w:pPr>
          </w:p>
        </w:tc>
        <w:tc>
          <w:tcPr>
            <w:tcW w:w="1020" w:type="dxa"/>
            <w:vAlign w:val="bottom"/>
          </w:tcPr>
          <w:p>
            <w:pPr>
              <w:jc w:val="right"/>
              <w:ind w:right="848"/>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52,511</w:t>
            </w:r>
          </w:p>
        </w:tc>
        <w:tc>
          <w:tcPr>
            <w:tcW w:w="100" w:type="dxa"/>
            <w:vAlign w:val="bottom"/>
          </w:tcPr>
          <w:p>
            <w:pPr>
              <w:spacing w:after="0"/>
              <w:rPr>
                <w:sz w:val="15"/>
                <w:szCs w:val="15"/>
                <w:color w:val="auto"/>
              </w:rPr>
            </w:pPr>
          </w:p>
        </w:tc>
      </w:tr>
      <w:tr>
        <w:trPr>
          <w:trHeight w:val="143"/>
        </w:trPr>
        <w:tc>
          <w:tcPr>
            <w:tcW w:w="7660" w:type="dxa"/>
            <w:vAlign w:val="bottom"/>
            <w:shd w:val="clear" w:color="auto" w:fill="CCECFF"/>
          </w:tcPr>
          <w:p>
            <w:pPr>
              <w:ind w:left="380"/>
              <w:spacing w:after="0" w:line="143" w:lineRule="exact"/>
              <w:rPr>
                <w:sz w:val="20"/>
                <w:szCs w:val="20"/>
                <w:color w:val="auto"/>
              </w:rPr>
            </w:pPr>
            <w:r>
              <w:rPr>
                <w:rFonts w:ascii="Arial" w:cs="Arial" w:eastAsia="Arial" w:hAnsi="Arial"/>
                <w:sz w:val="14"/>
                <w:szCs w:val="14"/>
                <w:color w:val="auto"/>
              </w:rPr>
              <w:t>Adjustments to reconcile net increase in net assets resulting from operations to net cash</w:t>
            </w:r>
          </w:p>
        </w:tc>
        <w:tc>
          <w:tcPr>
            <w:tcW w:w="100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1020" w:type="dxa"/>
            <w:vAlign w:val="bottom"/>
            <w:shd w:val="clear" w:color="auto" w:fill="CCECFF"/>
          </w:tcPr>
          <w:p>
            <w:pPr>
              <w:spacing w:after="0"/>
              <w:rPr>
                <w:sz w:val="12"/>
                <w:szCs w:val="12"/>
                <w:color w:val="auto"/>
              </w:rPr>
            </w:pPr>
          </w:p>
        </w:tc>
        <w:tc>
          <w:tcPr>
            <w:tcW w:w="6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81"/>
        </w:trPr>
        <w:tc>
          <w:tcPr>
            <w:tcW w:w="7660" w:type="dxa"/>
            <w:vAlign w:val="bottom"/>
            <w:shd w:val="clear" w:color="auto" w:fill="CCECFF"/>
          </w:tcPr>
          <w:p>
            <w:pPr>
              <w:ind w:left="480"/>
              <w:spacing w:after="0"/>
              <w:rPr>
                <w:sz w:val="20"/>
                <w:szCs w:val="20"/>
                <w:color w:val="auto"/>
              </w:rPr>
            </w:pPr>
            <w:r>
              <w:rPr>
                <w:rFonts w:ascii="Arial" w:cs="Arial" w:eastAsia="Arial" w:hAnsi="Arial"/>
                <w:sz w:val="14"/>
                <w:szCs w:val="14"/>
                <w:color w:val="auto"/>
              </w:rPr>
              <w:t>(used in) provided by operating activities:</w:t>
            </w:r>
          </w:p>
        </w:tc>
        <w:tc>
          <w:tcPr>
            <w:tcW w:w="1000" w:type="dxa"/>
            <w:vAlign w:val="bottom"/>
            <w:shd w:val="clear" w:color="auto" w:fill="CCECFF"/>
          </w:tcPr>
          <w:p>
            <w:pPr>
              <w:spacing w:after="0"/>
              <w:rPr>
                <w:sz w:val="15"/>
                <w:szCs w:val="15"/>
                <w:color w:val="auto"/>
              </w:rPr>
            </w:pPr>
          </w:p>
        </w:tc>
        <w:tc>
          <w:tcPr>
            <w:tcW w:w="580" w:type="dxa"/>
            <w:vAlign w:val="bottom"/>
            <w:shd w:val="clear" w:color="auto" w:fill="CCECFF"/>
          </w:tcPr>
          <w:p>
            <w:pPr>
              <w:spacing w:after="0"/>
              <w:rPr>
                <w:sz w:val="15"/>
                <w:szCs w:val="15"/>
                <w:color w:val="auto"/>
              </w:rPr>
            </w:pPr>
          </w:p>
        </w:tc>
        <w:tc>
          <w:tcPr>
            <w:tcW w:w="280" w:type="dxa"/>
            <w:vAlign w:val="bottom"/>
            <w:shd w:val="clear" w:color="auto" w:fill="CCECFF"/>
          </w:tcPr>
          <w:p>
            <w:pPr>
              <w:spacing w:after="0"/>
              <w:rPr>
                <w:sz w:val="15"/>
                <w:szCs w:val="15"/>
                <w:color w:val="auto"/>
              </w:rPr>
            </w:pPr>
          </w:p>
        </w:tc>
        <w:tc>
          <w:tcPr>
            <w:tcW w:w="1020" w:type="dxa"/>
            <w:vAlign w:val="bottom"/>
            <w:shd w:val="clear" w:color="auto" w:fill="CCECFF"/>
          </w:tcPr>
          <w:p>
            <w:pPr>
              <w:spacing w:after="0"/>
              <w:rPr>
                <w:sz w:val="15"/>
                <w:szCs w:val="15"/>
                <w:color w:val="auto"/>
              </w:rPr>
            </w:pPr>
          </w:p>
        </w:tc>
        <w:tc>
          <w:tcPr>
            <w:tcW w:w="60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r>
      <w:tr>
        <w:trPr>
          <w:trHeight w:val="176"/>
        </w:trPr>
        <w:tc>
          <w:tcPr>
            <w:tcW w:w="7660" w:type="dxa"/>
            <w:vAlign w:val="bottom"/>
          </w:tcPr>
          <w:p>
            <w:pPr>
              <w:ind w:left="560"/>
              <w:spacing w:after="0"/>
              <w:rPr>
                <w:sz w:val="20"/>
                <w:szCs w:val="20"/>
                <w:color w:val="auto"/>
              </w:rPr>
            </w:pPr>
            <w:r>
              <w:rPr>
                <w:rFonts w:ascii="Arial" w:cs="Arial" w:eastAsia="Arial" w:hAnsi="Arial"/>
                <w:sz w:val="14"/>
                <w:szCs w:val="14"/>
                <w:color w:val="auto"/>
              </w:rPr>
              <w:t>Net change in unrealized depreciation (appreciation) on investments</w:t>
            </w:r>
          </w:p>
        </w:tc>
        <w:tc>
          <w:tcPr>
            <w:tcW w:w="10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3,645</w:t>
            </w: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(48,777 )</w:t>
            </w:r>
          </w:p>
        </w:tc>
      </w:tr>
      <w:tr>
        <w:trPr>
          <w:trHeight w:val="176"/>
        </w:trPr>
        <w:tc>
          <w:tcPr>
            <w:tcW w:w="7660" w:type="dxa"/>
            <w:vAlign w:val="bottom"/>
            <w:shd w:val="clear" w:color="auto" w:fill="CCECFF"/>
          </w:tcPr>
          <w:p>
            <w:pPr>
              <w:ind w:left="560"/>
              <w:spacing w:after="0"/>
              <w:rPr>
                <w:sz w:val="20"/>
                <w:szCs w:val="20"/>
                <w:color w:val="auto"/>
              </w:rPr>
            </w:pPr>
            <w:r>
              <w:rPr>
                <w:rFonts w:ascii="Arial" w:cs="Arial" w:eastAsia="Arial" w:hAnsi="Arial"/>
                <w:sz w:val="14"/>
                <w:szCs w:val="14"/>
                <w:color w:val="auto"/>
              </w:rPr>
              <w:t>Net change in unrealized (depreciation) appreciation on debt</w:t>
            </w:r>
          </w:p>
        </w:tc>
        <w:tc>
          <w:tcPr>
            <w:tcW w:w="1000" w:type="dxa"/>
            <w:vAlign w:val="bottom"/>
            <w:shd w:val="clear" w:color="auto" w:fill="CCECFF"/>
          </w:tcPr>
          <w:p>
            <w:pPr>
              <w:spacing w:after="0"/>
              <w:rPr>
                <w:sz w:val="15"/>
                <w:szCs w:val="15"/>
                <w:color w:val="auto"/>
              </w:rPr>
            </w:pPr>
          </w:p>
        </w:tc>
        <w:tc>
          <w:tcPr>
            <w:tcW w:w="860" w:type="dxa"/>
            <w:vAlign w:val="bottom"/>
            <w:gridSpan w:val="2"/>
            <w:shd w:val="clear" w:color="auto" w:fill="CCECFF"/>
          </w:tcPr>
          <w:p>
            <w:pPr>
              <w:jc w:val="right"/>
              <w:ind w:right="148"/>
              <w:spacing w:after="0"/>
              <w:rPr>
                <w:sz w:val="20"/>
                <w:szCs w:val="20"/>
                <w:color w:val="auto"/>
              </w:rPr>
            </w:pPr>
            <w:r>
              <w:rPr>
                <w:rFonts w:ascii="Arial" w:cs="Arial" w:eastAsia="Arial" w:hAnsi="Arial"/>
                <w:sz w:val="14"/>
                <w:szCs w:val="14"/>
                <w:color w:val="auto"/>
              </w:rPr>
              <w:t>(1,273 )</w:t>
            </w:r>
          </w:p>
        </w:tc>
        <w:tc>
          <w:tcPr>
            <w:tcW w:w="1020" w:type="dxa"/>
            <w:vAlign w:val="bottom"/>
            <w:shd w:val="clear" w:color="auto" w:fill="CCECFF"/>
          </w:tcPr>
          <w:p>
            <w:pPr>
              <w:spacing w:after="0"/>
              <w:rPr>
                <w:sz w:val="15"/>
                <w:szCs w:val="15"/>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11,317</w:t>
            </w:r>
          </w:p>
        </w:tc>
        <w:tc>
          <w:tcPr>
            <w:tcW w:w="100" w:type="dxa"/>
            <w:vAlign w:val="bottom"/>
            <w:shd w:val="clear" w:color="auto" w:fill="CCECFF"/>
          </w:tcPr>
          <w:p>
            <w:pPr>
              <w:spacing w:after="0"/>
              <w:rPr>
                <w:sz w:val="15"/>
                <w:szCs w:val="15"/>
                <w:color w:val="auto"/>
              </w:rPr>
            </w:pPr>
          </w:p>
        </w:tc>
      </w:tr>
      <w:tr>
        <w:trPr>
          <w:trHeight w:val="175"/>
        </w:trPr>
        <w:tc>
          <w:tcPr>
            <w:tcW w:w="7660" w:type="dxa"/>
            <w:vAlign w:val="bottom"/>
          </w:tcPr>
          <w:p>
            <w:pPr>
              <w:ind w:left="560"/>
              <w:spacing w:after="0"/>
              <w:rPr>
                <w:sz w:val="20"/>
                <w:szCs w:val="20"/>
                <w:color w:val="auto"/>
              </w:rPr>
            </w:pPr>
            <w:r>
              <w:rPr>
                <w:rFonts w:ascii="Arial" w:cs="Arial" w:eastAsia="Arial" w:hAnsi="Arial"/>
                <w:sz w:val="14"/>
                <w:szCs w:val="14"/>
                <w:color w:val="auto"/>
              </w:rPr>
              <w:t>Net realized loss on investments</w:t>
            </w:r>
          </w:p>
        </w:tc>
        <w:tc>
          <w:tcPr>
            <w:tcW w:w="10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11,621</w:t>
            </w: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15,260</w:t>
            </w:r>
          </w:p>
        </w:tc>
        <w:tc>
          <w:tcPr>
            <w:tcW w:w="100" w:type="dxa"/>
            <w:vAlign w:val="bottom"/>
          </w:tcPr>
          <w:p>
            <w:pPr>
              <w:spacing w:after="0"/>
              <w:rPr>
                <w:sz w:val="15"/>
                <w:szCs w:val="15"/>
                <w:color w:val="auto"/>
              </w:rPr>
            </w:pPr>
          </w:p>
        </w:tc>
      </w:tr>
      <w:tr>
        <w:trPr>
          <w:trHeight w:val="176"/>
        </w:trPr>
        <w:tc>
          <w:tcPr>
            <w:tcW w:w="7660" w:type="dxa"/>
            <w:vAlign w:val="bottom"/>
            <w:shd w:val="clear" w:color="auto" w:fill="CCECFF"/>
          </w:tcPr>
          <w:p>
            <w:pPr>
              <w:ind w:left="560"/>
              <w:spacing w:after="0"/>
              <w:rPr>
                <w:sz w:val="20"/>
                <w:szCs w:val="20"/>
                <w:color w:val="auto"/>
              </w:rPr>
            </w:pPr>
            <w:r>
              <w:rPr>
                <w:rFonts w:ascii="Arial" w:cs="Arial" w:eastAsia="Arial" w:hAnsi="Arial"/>
                <w:sz w:val="14"/>
                <w:szCs w:val="14"/>
                <w:color w:val="auto"/>
              </w:rPr>
              <w:t>Net accretion of discount and amortization of premium</w:t>
            </w:r>
          </w:p>
        </w:tc>
        <w:tc>
          <w:tcPr>
            <w:tcW w:w="1000" w:type="dxa"/>
            <w:vAlign w:val="bottom"/>
            <w:shd w:val="clear" w:color="auto" w:fill="CCECFF"/>
          </w:tcPr>
          <w:p>
            <w:pPr>
              <w:spacing w:after="0"/>
              <w:rPr>
                <w:sz w:val="15"/>
                <w:szCs w:val="15"/>
                <w:color w:val="auto"/>
              </w:rPr>
            </w:pPr>
          </w:p>
        </w:tc>
        <w:tc>
          <w:tcPr>
            <w:tcW w:w="860" w:type="dxa"/>
            <w:vAlign w:val="bottom"/>
            <w:gridSpan w:val="2"/>
            <w:shd w:val="clear" w:color="auto" w:fill="CCECFF"/>
          </w:tcPr>
          <w:p>
            <w:pPr>
              <w:jc w:val="right"/>
              <w:ind w:right="148"/>
              <w:spacing w:after="0"/>
              <w:rPr>
                <w:sz w:val="20"/>
                <w:szCs w:val="20"/>
                <w:color w:val="auto"/>
              </w:rPr>
            </w:pPr>
            <w:r>
              <w:rPr>
                <w:rFonts w:ascii="Arial" w:cs="Arial" w:eastAsia="Arial" w:hAnsi="Arial"/>
                <w:sz w:val="14"/>
                <w:szCs w:val="14"/>
                <w:color w:val="auto"/>
              </w:rPr>
              <w:t>(2,920 )</w:t>
            </w:r>
          </w:p>
        </w:tc>
        <w:tc>
          <w:tcPr>
            <w:tcW w:w="1020" w:type="dxa"/>
            <w:vAlign w:val="bottom"/>
            <w:shd w:val="clear" w:color="auto" w:fill="CCECFF"/>
          </w:tcPr>
          <w:p>
            <w:pPr>
              <w:spacing w:after="0"/>
              <w:rPr>
                <w:sz w:val="15"/>
                <w:szCs w:val="15"/>
                <w:color w:val="auto"/>
              </w:rPr>
            </w:pPr>
          </w:p>
        </w:tc>
        <w:tc>
          <w:tcPr>
            <w:tcW w:w="70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(1,927 )</w:t>
            </w:r>
          </w:p>
        </w:tc>
      </w:tr>
      <w:tr>
        <w:trPr>
          <w:trHeight w:val="175"/>
        </w:trPr>
        <w:tc>
          <w:tcPr>
            <w:tcW w:w="7660" w:type="dxa"/>
            <w:vAlign w:val="bottom"/>
          </w:tcPr>
          <w:p>
            <w:pPr>
              <w:ind w:left="560"/>
              <w:spacing w:after="0"/>
              <w:rPr>
                <w:sz w:val="20"/>
                <w:szCs w:val="20"/>
                <w:color w:val="auto"/>
              </w:rPr>
            </w:pPr>
            <w:r>
              <w:rPr>
                <w:rFonts w:ascii="Arial" w:cs="Arial" w:eastAsia="Arial" w:hAnsi="Arial"/>
                <w:sz w:val="14"/>
                <w:szCs w:val="14"/>
                <w:color w:val="auto"/>
              </w:rPr>
              <w:t>Purchases of investments</w:t>
            </w:r>
          </w:p>
        </w:tc>
        <w:tc>
          <w:tcPr>
            <w:tcW w:w="1000" w:type="dxa"/>
            <w:vAlign w:val="bottom"/>
          </w:tcPr>
          <w:p>
            <w:pPr>
              <w:spacing w:after="0"/>
              <w:rPr>
                <w:sz w:val="15"/>
                <w:szCs w:val="15"/>
                <w:color w:val="auto"/>
              </w:rPr>
            </w:pPr>
          </w:p>
        </w:tc>
        <w:tc>
          <w:tcPr>
            <w:tcW w:w="860" w:type="dxa"/>
            <w:vAlign w:val="bottom"/>
            <w:gridSpan w:val="2"/>
          </w:tcPr>
          <w:p>
            <w:pPr>
              <w:jc w:val="right"/>
              <w:ind w:right="148"/>
              <w:spacing w:after="0"/>
              <w:rPr>
                <w:sz w:val="20"/>
                <w:szCs w:val="20"/>
                <w:color w:val="auto"/>
              </w:rPr>
            </w:pPr>
            <w:r>
              <w:rPr>
                <w:rFonts w:ascii="Arial" w:cs="Arial" w:eastAsia="Arial" w:hAnsi="Arial"/>
                <w:sz w:val="14"/>
                <w:szCs w:val="14"/>
                <w:color w:val="auto"/>
                <w:w w:val="97"/>
              </w:rPr>
              <w:t>(553,106 )</w:t>
            </w:r>
          </w:p>
        </w:tc>
        <w:tc>
          <w:tcPr>
            <w:tcW w:w="102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(475,456 )</w:t>
            </w:r>
          </w:p>
        </w:tc>
      </w:tr>
      <w:tr>
        <w:trPr>
          <w:trHeight w:val="176"/>
        </w:trPr>
        <w:tc>
          <w:tcPr>
            <w:tcW w:w="7660" w:type="dxa"/>
            <w:vAlign w:val="bottom"/>
            <w:shd w:val="clear" w:color="auto" w:fill="CCECFF"/>
          </w:tcPr>
          <w:p>
            <w:pPr>
              <w:ind w:left="560"/>
              <w:spacing w:after="0"/>
              <w:rPr>
                <w:sz w:val="20"/>
                <w:szCs w:val="20"/>
                <w:color w:val="auto"/>
              </w:rPr>
            </w:pPr>
            <w:r>
              <w:rPr>
                <w:rFonts w:ascii="Arial" w:cs="Arial" w:eastAsia="Arial" w:hAnsi="Arial"/>
                <w:sz w:val="14"/>
                <w:szCs w:val="14"/>
                <w:color w:val="auto"/>
              </w:rPr>
              <w:t>Payment-in-kind interest</w:t>
            </w:r>
          </w:p>
        </w:tc>
        <w:tc>
          <w:tcPr>
            <w:tcW w:w="1000" w:type="dxa"/>
            <w:vAlign w:val="bottom"/>
            <w:shd w:val="clear" w:color="auto" w:fill="CCECFF"/>
          </w:tcPr>
          <w:p>
            <w:pPr>
              <w:spacing w:after="0"/>
              <w:rPr>
                <w:sz w:val="15"/>
                <w:szCs w:val="15"/>
                <w:color w:val="auto"/>
              </w:rPr>
            </w:pPr>
          </w:p>
        </w:tc>
        <w:tc>
          <w:tcPr>
            <w:tcW w:w="860" w:type="dxa"/>
            <w:vAlign w:val="bottom"/>
            <w:gridSpan w:val="2"/>
            <w:shd w:val="clear" w:color="auto" w:fill="CCECFF"/>
          </w:tcPr>
          <w:p>
            <w:pPr>
              <w:jc w:val="right"/>
              <w:ind w:right="148"/>
              <w:spacing w:after="0"/>
              <w:rPr>
                <w:sz w:val="20"/>
                <w:szCs w:val="20"/>
                <w:color w:val="auto"/>
              </w:rPr>
            </w:pPr>
            <w:r>
              <w:rPr>
                <w:rFonts w:ascii="Arial" w:cs="Arial" w:eastAsia="Arial" w:hAnsi="Arial"/>
                <w:sz w:val="14"/>
                <w:szCs w:val="14"/>
                <w:color w:val="auto"/>
              </w:rPr>
              <w:t>(1,203 )</w:t>
            </w:r>
          </w:p>
        </w:tc>
        <w:tc>
          <w:tcPr>
            <w:tcW w:w="1020" w:type="dxa"/>
            <w:vAlign w:val="bottom"/>
            <w:shd w:val="clear" w:color="auto" w:fill="CCECFF"/>
          </w:tcPr>
          <w:p>
            <w:pPr>
              <w:spacing w:after="0"/>
              <w:rPr>
                <w:sz w:val="15"/>
                <w:szCs w:val="15"/>
                <w:color w:val="auto"/>
              </w:rPr>
            </w:pPr>
          </w:p>
        </w:tc>
        <w:tc>
          <w:tcPr>
            <w:tcW w:w="70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(2,589 )</w:t>
            </w:r>
          </w:p>
        </w:tc>
      </w:tr>
      <w:tr>
        <w:trPr>
          <w:trHeight w:val="176"/>
        </w:trPr>
        <w:tc>
          <w:tcPr>
            <w:tcW w:w="7660" w:type="dxa"/>
            <w:vAlign w:val="bottom"/>
          </w:tcPr>
          <w:p>
            <w:pPr>
              <w:ind w:left="560"/>
              <w:spacing w:after="0"/>
              <w:rPr>
                <w:sz w:val="20"/>
                <w:szCs w:val="20"/>
                <w:color w:val="auto"/>
              </w:rPr>
            </w:pPr>
            <w:r>
              <w:rPr>
                <w:rFonts w:ascii="Arial" w:cs="Arial" w:eastAsia="Arial" w:hAnsi="Arial"/>
                <w:sz w:val="14"/>
                <w:szCs w:val="14"/>
                <w:color w:val="auto"/>
              </w:rPr>
              <w:t>Proceeds from dispositions of investments</w:t>
            </w:r>
          </w:p>
        </w:tc>
        <w:tc>
          <w:tcPr>
            <w:tcW w:w="10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397,184</w:t>
            </w: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565,539</w:t>
            </w:r>
          </w:p>
        </w:tc>
        <w:tc>
          <w:tcPr>
            <w:tcW w:w="100" w:type="dxa"/>
            <w:vAlign w:val="bottom"/>
          </w:tcPr>
          <w:p>
            <w:pPr>
              <w:spacing w:after="0"/>
              <w:rPr>
                <w:sz w:val="15"/>
                <w:szCs w:val="15"/>
                <w:color w:val="auto"/>
              </w:rPr>
            </w:pPr>
          </w:p>
        </w:tc>
      </w:tr>
      <w:tr>
        <w:trPr>
          <w:trHeight w:val="175"/>
        </w:trPr>
        <w:tc>
          <w:tcPr>
            <w:tcW w:w="7660" w:type="dxa"/>
            <w:vAlign w:val="bottom"/>
            <w:shd w:val="clear" w:color="auto" w:fill="CCECFF"/>
          </w:tcPr>
          <w:p>
            <w:pPr>
              <w:ind w:left="560"/>
              <w:spacing w:after="0"/>
              <w:rPr>
                <w:sz w:val="20"/>
                <w:szCs w:val="20"/>
                <w:color w:val="auto"/>
              </w:rPr>
            </w:pPr>
            <w:r>
              <w:rPr>
                <w:rFonts w:ascii="Arial" w:cs="Arial" w:eastAsia="Arial" w:hAnsi="Arial"/>
                <w:sz w:val="14"/>
                <w:szCs w:val="14"/>
                <w:color w:val="auto"/>
              </w:rPr>
              <w:t>Amortization of deferred financing costs</w:t>
            </w:r>
          </w:p>
        </w:tc>
        <w:tc>
          <w:tcPr>
            <w:tcW w:w="1000" w:type="dxa"/>
            <w:vAlign w:val="bottom"/>
            <w:shd w:val="clear" w:color="auto" w:fill="CCECFF"/>
          </w:tcPr>
          <w:p>
            <w:pPr>
              <w:spacing w:after="0"/>
              <w:rPr>
                <w:sz w:val="15"/>
                <w:szCs w:val="15"/>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385</w:t>
            </w:r>
          </w:p>
        </w:tc>
        <w:tc>
          <w:tcPr>
            <w:tcW w:w="280" w:type="dxa"/>
            <w:vAlign w:val="bottom"/>
            <w:shd w:val="clear" w:color="auto" w:fill="CCECFF"/>
          </w:tcPr>
          <w:p>
            <w:pPr>
              <w:spacing w:after="0"/>
              <w:rPr>
                <w:sz w:val="15"/>
                <w:szCs w:val="15"/>
                <w:color w:val="auto"/>
              </w:rPr>
            </w:pPr>
          </w:p>
        </w:tc>
        <w:tc>
          <w:tcPr>
            <w:tcW w:w="1020" w:type="dxa"/>
            <w:vAlign w:val="bottom"/>
            <w:shd w:val="clear" w:color="auto" w:fill="CCECFF"/>
          </w:tcPr>
          <w:p>
            <w:pPr>
              <w:spacing w:after="0"/>
              <w:rPr>
                <w:sz w:val="15"/>
                <w:szCs w:val="15"/>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646</w:t>
            </w:r>
          </w:p>
        </w:tc>
        <w:tc>
          <w:tcPr>
            <w:tcW w:w="100" w:type="dxa"/>
            <w:vAlign w:val="bottom"/>
            <w:shd w:val="clear" w:color="auto" w:fill="CCECFF"/>
          </w:tcPr>
          <w:p>
            <w:pPr>
              <w:spacing w:after="0"/>
              <w:rPr>
                <w:sz w:val="15"/>
                <w:szCs w:val="15"/>
                <w:color w:val="auto"/>
              </w:rPr>
            </w:pPr>
          </w:p>
        </w:tc>
      </w:tr>
      <w:tr>
        <w:trPr>
          <w:trHeight w:val="176"/>
        </w:trPr>
        <w:tc>
          <w:tcPr>
            <w:tcW w:w="7660" w:type="dxa"/>
            <w:vAlign w:val="bottom"/>
          </w:tcPr>
          <w:p>
            <w:pPr>
              <w:ind w:left="560"/>
              <w:spacing w:after="0"/>
              <w:rPr>
                <w:sz w:val="20"/>
                <w:szCs w:val="20"/>
                <w:color w:val="auto"/>
              </w:rPr>
            </w:pPr>
            <w:r>
              <w:rPr>
                <w:rFonts w:ascii="Arial" w:cs="Arial" w:eastAsia="Arial" w:hAnsi="Arial"/>
                <w:sz w:val="14"/>
                <w:szCs w:val="14"/>
                <w:color w:val="auto"/>
              </w:rPr>
              <w:t>(Increase) decrease in interest receivable</w:t>
            </w:r>
          </w:p>
        </w:tc>
        <w:tc>
          <w:tcPr>
            <w:tcW w:w="1000" w:type="dxa"/>
            <w:vAlign w:val="bottom"/>
          </w:tcPr>
          <w:p>
            <w:pPr>
              <w:spacing w:after="0"/>
              <w:rPr>
                <w:sz w:val="15"/>
                <w:szCs w:val="15"/>
                <w:color w:val="auto"/>
              </w:rPr>
            </w:pPr>
          </w:p>
        </w:tc>
        <w:tc>
          <w:tcPr>
            <w:tcW w:w="860" w:type="dxa"/>
            <w:vAlign w:val="bottom"/>
            <w:gridSpan w:val="2"/>
          </w:tcPr>
          <w:p>
            <w:pPr>
              <w:jc w:val="right"/>
              <w:ind w:right="148"/>
              <w:spacing w:after="0"/>
              <w:rPr>
                <w:sz w:val="20"/>
                <w:szCs w:val="20"/>
                <w:color w:val="auto"/>
              </w:rPr>
            </w:pPr>
            <w:r>
              <w:rPr>
                <w:rFonts w:ascii="Arial" w:cs="Arial" w:eastAsia="Arial" w:hAnsi="Arial"/>
                <w:sz w:val="14"/>
                <w:szCs w:val="14"/>
                <w:color w:val="auto"/>
              </w:rPr>
              <w:t>(1,913 )</w:t>
            </w:r>
          </w:p>
        </w:tc>
        <w:tc>
          <w:tcPr>
            <w:tcW w:w="102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(2,646 )</w:t>
            </w:r>
          </w:p>
        </w:tc>
      </w:tr>
      <w:tr>
        <w:trPr>
          <w:trHeight w:val="175"/>
        </w:trPr>
        <w:tc>
          <w:tcPr>
            <w:tcW w:w="7660" w:type="dxa"/>
            <w:vAlign w:val="bottom"/>
            <w:shd w:val="clear" w:color="auto" w:fill="CCECFF"/>
          </w:tcPr>
          <w:p>
            <w:pPr>
              <w:ind w:left="560"/>
              <w:spacing w:after="0"/>
              <w:rPr>
                <w:sz w:val="20"/>
                <w:szCs w:val="20"/>
                <w:color w:val="auto"/>
              </w:rPr>
            </w:pPr>
            <w:r>
              <w:rPr>
                <w:rFonts w:ascii="Arial" w:cs="Arial" w:eastAsia="Arial" w:hAnsi="Arial"/>
                <w:sz w:val="14"/>
                <w:szCs w:val="14"/>
                <w:color w:val="auto"/>
              </w:rPr>
              <w:t>Decrease (increase) in receivable for investments sold</w:t>
            </w:r>
          </w:p>
        </w:tc>
        <w:tc>
          <w:tcPr>
            <w:tcW w:w="1000" w:type="dxa"/>
            <w:vAlign w:val="bottom"/>
            <w:shd w:val="clear" w:color="auto" w:fill="CCECFF"/>
          </w:tcPr>
          <w:p>
            <w:pPr>
              <w:spacing w:after="0"/>
              <w:rPr>
                <w:sz w:val="15"/>
                <w:szCs w:val="15"/>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27,357</w:t>
            </w:r>
          </w:p>
        </w:tc>
        <w:tc>
          <w:tcPr>
            <w:tcW w:w="280" w:type="dxa"/>
            <w:vAlign w:val="bottom"/>
            <w:shd w:val="clear" w:color="auto" w:fill="CCECFF"/>
          </w:tcPr>
          <w:p>
            <w:pPr>
              <w:spacing w:after="0"/>
              <w:rPr>
                <w:sz w:val="15"/>
                <w:szCs w:val="15"/>
                <w:color w:val="auto"/>
              </w:rPr>
            </w:pPr>
          </w:p>
        </w:tc>
        <w:tc>
          <w:tcPr>
            <w:tcW w:w="1020" w:type="dxa"/>
            <w:vAlign w:val="bottom"/>
            <w:shd w:val="clear" w:color="auto" w:fill="CCECFF"/>
          </w:tcPr>
          <w:p>
            <w:pPr>
              <w:spacing w:after="0"/>
              <w:rPr>
                <w:sz w:val="15"/>
                <w:szCs w:val="15"/>
                <w:color w:val="auto"/>
              </w:rPr>
            </w:pPr>
          </w:p>
        </w:tc>
        <w:tc>
          <w:tcPr>
            <w:tcW w:w="70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(11,954 )</w:t>
            </w:r>
          </w:p>
        </w:tc>
      </w:tr>
      <w:tr>
        <w:trPr>
          <w:trHeight w:val="176"/>
        </w:trPr>
        <w:tc>
          <w:tcPr>
            <w:tcW w:w="7660" w:type="dxa"/>
            <w:vAlign w:val="bottom"/>
          </w:tcPr>
          <w:p>
            <w:pPr>
              <w:ind w:left="560"/>
              <w:spacing w:after="0"/>
              <w:rPr>
                <w:sz w:val="20"/>
                <w:szCs w:val="20"/>
                <w:color w:val="auto"/>
              </w:rPr>
            </w:pPr>
            <w:r>
              <w:rPr>
                <w:rFonts w:ascii="Arial" w:cs="Arial" w:eastAsia="Arial" w:hAnsi="Arial"/>
                <w:sz w:val="14"/>
                <w:szCs w:val="14"/>
                <w:color w:val="auto"/>
              </w:rPr>
              <w:t>(Decrease) increase in prepaid expenses and other assets</w:t>
            </w:r>
          </w:p>
        </w:tc>
        <w:tc>
          <w:tcPr>
            <w:tcW w:w="1000" w:type="dxa"/>
            <w:vAlign w:val="bottom"/>
          </w:tcPr>
          <w:p>
            <w:pPr>
              <w:spacing w:after="0"/>
              <w:rPr>
                <w:sz w:val="15"/>
                <w:szCs w:val="15"/>
                <w:color w:val="auto"/>
              </w:rPr>
            </w:pPr>
          </w:p>
        </w:tc>
        <w:tc>
          <w:tcPr>
            <w:tcW w:w="860" w:type="dxa"/>
            <w:vAlign w:val="bottom"/>
            <w:gridSpan w:val="2"/>
          </w:tcPr>
          <w:p>
            <w:pPr>
              <w:jc w:val="right"/>
              <w:ind w:right="148"/>
              <w:spacing w:after="0"/>
              <w:rPr>
                <w:sz w:val="20"/>
                <w:szCs w:val="20"/>
                <w:color w:val="auto"/>
              </w:rPr>
            </w:pPr>
            <w:r>
              <w:rPr>
                <w:rFonts w:ascii="Arial" w:cs="Arial" w:eastAsia="Arial" w:hAnsi="Arial"/>
                <w:sz w:val="14"/>
                <w:szCs w:val="14"/>
                <w:color w:val="auto"/>
              </w:rPr>
              <w:t>(10,127 )</w:t>
            </w:r>
          </w:p>
        </w:tc>
        <w:tc>
          <w:tcPr>
            <w:tcW w:w="10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173</w:t>
            </w:r>
          </w:p>
        </w:tc>
        <w:tc>
          <w:tcPr>
            <w:tcW w:w="100" w:type="dxa"/>
            <w:vAlign w:val="bottom"/>
          </w:tcPr>
          <w:p>
            <w:pPr>
              <w:spacing w:after="0"/>
              <w:rPr>
                <w:sz w:val="15"/>
                <w:szCs w:val="15"/>
                <w:color w:val="auto"/>
              </w:rPr>
            </w:pPr>
          </w:p>
        </w:tc>
      </w:tr>
      <w:tr>
        <w:trPr>
          <w:trHeight w:val="176"/>
        </w:trPr>
        <w:tc>
          <w:tcPr>
            <w:tcW w:w="7660" w:type="dxa"/>
            <w:vAlign w:val="bottom"/>
            <w:shd w:val="clear" w:color="auto" w:fill="CCECFF"/>
          </w:tcPr>
          <w:p>
            <w:pPr>
              <w:ind w:left="560"/>
              <w:spacing w:after="0"/>
              <w:rPr>
                <w:sz w:val="20"/>
                <w:szCs w:val="20"/>
                <w:color w:val="auto"/>
              </w:rPr>
            </w:pPr>
            <w:r>
              <w:rPr>
                <w:rFonts w:ascii="Arial" w:cs="Arial" w:eastAsia="Arial" w:hAnsi="Arial"/>
                <w:sz w:val="14"/>
                <w:szCs w:val="14"/>
                <w:color w:val="auto"/>
              </w:rPr>
              <w:t>(Decrease) increase in payable for investments purchased</w:t>
            </w:r>
          </w:p>
        </w:tc>
        <w:tc>
          <w:tcPr>
            <w:tcW w:w="1000" w:type="dxa"/>
            <w:vAlign w:val="bottom"/>
            <w:shd w:val="clear" w:color="auto" w:fill="CCECFF"/>
          </w:tcPr>
          <w:p>
            <w:pPr>
              <w:spacing w:after="0"/>
              <w:rPr>
                <w:sz w:val="15"/>
                <w:szCs w:val="15"/>
                <w:color w:val="auto"/>
              </w:rPr>
            </w:pPr>
          </w:p>
        </w:tc>
        <w:tc>
          <w:tcPr>
            <w:tcW w:w="860" w:type="dxa"/>
            <w:vAlign w:val="bottom"/>
            <w:gridSpan w:val="2"/>
            <w:shd w:val="clear" w:color="auto" w:fill="CCECFF"/>
          </w:tcPr>
          <w:p>
            <w:pPr>
              <w:jc w:val="right"/>
              <w:ind w:right="148"/>
              <w:spacing w:after="0"/>
              <w:rPr>
                <w:sz w:val="20"/>
                <w:szCs w:val="20"/>
                <w:color w:val="auto"/>
              </w:rPr>
            </w:pPr>
            <w:r>
              <w:rPr>
                <w:rFonts w:ascii="Arial" w:cs="Arial" w:eastAsia="Arial" w:hAnsi="Arial"/>
                <w:sz w:val="14"/>
                <w:szCs w:val="14"/>
                <w:color w:val="auto"/>
              </w:rPr>
              <w:t>(3,746 )</w:t>
            </w:r>
          </w:p>
        </w:tc>
        <w:tc>
          <w:tcPr>
            <w:tcW w:w="1020" w:type="dxa"/>
            <w:vAlign w:val="bottom"/>
            <w:shd w:val="clear" w:color="auto" w:fill="CCECFF"/>
          </w:tcPr>
          <w:p>
            <w:pPr>
              <w:spacing w:after="0"/>
              <w:rPr>
                <w:sz w:val="15"/>
                <w:szCs w:val="15"/>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23,477</w:t>
            </w:r>
          </w:p>
        </w:tc>
        <w:tc>
          <w:tcPr>
            <w:tcW w:w="100" w:type="dxa"/>
            <w:vAlign w:val="bottom"/>
            <w:shd w:val="clear" w:color="auto" w:fill="CCECFF"/>
          </w:tcPr>
          <w:p>
            <w:pPr>
              <w:spacing w:after="0"/>
              <w:rPr>
                <w:sz w:val="15"/>
                <w:szCs w:val="15"/>
                <w:color w:val="auto"/>
              </w:rPr>
            </w:pPr>
          </w:p>
        </w:tc>
      </w:tr>
      <w:tr>
        <w:trPr>
          <w:trHeight w:val="175"/>
        </w:trPr>
        <w:tc>
          <w:tcPr>
            <w:tcW w:w="7660" w:type="dxa"/>
            <w:vAlign w:val="bottom"/>
          </w:tcPr>
          <w:p>
            <w:pPr>
              <w:ind w:left="560"/>
              <w:spacing w:after="0"/>
              <w:rPr>
                <w:sz w:val="20"/>
                <w:szCs w:val="20"/>
                <w:color w:val="auto"/>
              </w:rPr>
            </w:pPr>
            <w:r>
              <w:rPr>
                <w:rFonts w:ascii="Arial" w:cs="Arial" w:eastAsia="Arial" w:hAnsi="Arial"/>
                <w:sz w:val="14"/>
                <w:szCs w:val="14"/>
                <w:color w:val="auto"/>
              </w:rPr>
              <w:t>Decrease in interest payable on debt</w:t>
            </w:r>
          </w:p>
        </w:tc>
        <w:tc>
          <w:tcPr>
            <w:tcW w:w="1000" w:type="dxa"/>
            <w:vAlign w:val="bottom"/>
          </w:tcPr>
          <w:p>
            <w:pPr>
              <w:spacing w:after="0"/>
              <w:rPr>
                <w:sz w:val="15"/>
                <w:szCs w:val="15"/>
                <w:color w:val="auto"/>
              </w:rPr>
            </w:pPr>
          </w:p>
        </w:tc>
        <w:tc>
          <w:tcPr>
            <w:tcW w:w="860" w:type="dxa"/>
            <w:vAlign w:val="bottom"/>
            <w:gridSpan w:val="2"/>
          </w:tcPr>
          <w:p>
            <w:pPr>
              <w:jc w:val="right"/>
              <w:ind w:right="148"/>
              <w:spacing w:after="0"/>
              <w:rPr>
                <w:sz w:val="20"/>
                <w:szCs w:val="20"/>
                <w:color w:val="auto"/>
              </w:rPr>
            </w:pPr>
            <w:r>
              <w:rPr>
                <w:rFonts w:ascii="Arial" w:cs="Arial" w:eastAsia="Arial" w:hAnsi="Arial"/>
                <w:sz w:val="14"/>
                <w:szCs w:val="14"/>
                <w:color w:val="auto"/>
              </w:rPr>
              <w:t>(955 )</w:t>
            </w:r>
          </w:p>
        </w:tc>
        <w:tc>
          <w:tcPr>
            <w:tcW w:w="102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(503 )</w:t>
            </w:r>
          </w:p>
        </w:tc>
      </w:tr>
      <w:tr>
        <w:trPr>
          <w:trHeight w:val="176"/>
        </w:trPr>
        <w:tc>
          <w:tcPr>
            <w:tcW w:w="7660" w:type="dxa"/>
            <w:vAlign w:val="bottom"/>
            <w:shd w:val="clear" w:color="auto" w:fill="CCECFF"/>
          </w:tcPr>
          <w:p>
            <w:pPr>
              <w:ind w:left="560"/>
              <w:spacing w:after="0"/>
              <w:rPr>
                <w:sz w:val="20"/>
                <w:szCs w:val="20"/>
                <w:color w:val="auto"/>
              </w:rPr>
            </w:pPr>
            <w:r>
              <w:rPr>
                <w:rFonts w:ascii="Arial" w:cs="Arial" w:eastAsia="Arial" w:hAnsi="Arial"/>
                <w:sz w:val="14"/>
                <w:szCs w:val="14"/>
                <w:color w:val="auto"/>
              </w:rPr>
              <w:t>Increase (decrease) in base management fee payable</w:t>
            </w:r>
          </w:p>
        </w:tc>
        <w:tc>
          <w:tcPr>
            <w:tcW w:w="1000" w:type="dxa"/>
            <w:vAlign w:val="bottom"/>
            <w:shd w:val="clear" w:color="auto" w:fill="CCECFF"/>
          </w:tcPr>
          <w:p>
            <w:pPr>
              <w:spacing w:after="0"/>
              <w:rPr>
                <w:sz w:val="15"/>
                <w:szCs w:val="15"/>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355</w:t>
            </w:r>
          </w:p>
        </w:tc>
        <w:tc>
          <w:tcPr>
            <w:tcW w:w="280" w:type="dxa"/>
            <w:vAlign w:val="bottom"/>
            <w:shd w:val="clear" w:color="auto" w:fill="CCECFF"/>
          </w:tcPr>
          <w:p>
            <w:pPr>
              <w:spacing w:after="0"/>
              <w:rPr>
                <w:sz w:val="15"/>
                <w:szCs w:val="15"/>
                <w:color w:val="auto"/>
              </w:rPr>
            </w:pPr>
          </w:p>
        </w:tc>
        <w:tc>
          <w:tcPr>
            <w:tcW w:w="1020" w:type="dxa"/>
            <w:vAlign w:val="bottom"/>
            <w:shd w:val="clear" w:color="auto" w:fill="CCECFF"/>
          </w:tcPr>
          <w:p>
            <w:pPr>
              <w:spacing w:after="0"/>
              <w:rPr>
                <w:sz w:val="15"/>
                <w:szCs w:val="15"/>
                <w:color w:val="auto"/>
              </w:rPr>
            </w:pPr>
          </w:p>
        </w:tc>
        <w:tc>
          <w:tcPr>
            <w:tcW w:w="70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(155 )</w:t>
            </w:r>
          </w:p>
        </w:tc>
      </w:tr>
      <w:tr>
        <w:trPr>
          <w:trHeight w:val="175"/>
        </w:trPr>
        <w:tc>
          <w:tcPr>
            <w:tcW w:w="7660" w:type="dxa"/>
            <w:vAlign w:val="bottom"/>
          </w:tcPr>
          <w:p>
            <w:pPr>
              <w:ind w:left="560"/>
              <w:spacing w:after="0"/>
              <w:rPr>
                <w:sz w:val="20"/>
                <w:szCs w:val="20"/>
                <w:color w:val="auto"/>
              </w:rPr>
            </w:pPr>
            <w:r>
              <w:rPr>
                <w:rFonts w:ascii="Arial" w:cs="Arial" w:eastAsia="Arial" w:hAnsi="Arial"/>
                <w:sz w:val="14"/>
                <w:szCs w:val="14"/>
                <w:color w:val="auto"/>
              </w:rPr>
              <w:t>Increase (decrease) in performance-based incentive fee payable</w:t>
            </w:r>
          </w:p>
        </w:tc>
        <w:tc>
          <w:tcPr>
            <w:tcW w:w="10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1,952</w:t>
            </w: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(419 )</w:t>
            </w:r>
          </w:p>
        </w:tc>
      </w:tr>
      <w:tr>
        <w:trPr>
          <w:trHeight w:val="176"/>
        </w:trPr>
        <w:tc>
          <w:tcPr>
            <w:tcW w:w="7660" w:type="dxa"/>
            <w:vAlign w:val="bottom"/>
            <w:shd w:val="clear" w:color="auto" w:fill="CCECFF"/>
          </w:tcPr>
          <w:p>
            <w:pPr>
              <w:ind w:left="560"/>
              <w:spacing w:after="0"/>
              <w:rPr>
                <w:sz w:val="20"/>
                <w:szCs w:val="20"/>
                <w:color w:val="auto"/>
              </w:rPr>
            </w:pPr>
            <w:r>
              <w:rPr>
                <w:rFonts w:ascii="Arial" w:cs="Arial" w:eastAsia="Arial" w:hAnsi="Arial"/>
                <w:sz w:val="14"/>
                <w:szCs w:val="14"/>
                <w:color w:val="auto"/>
              </w:rPr>
              <w:t>Increase in deferred tax liability</w:t>
            </w:r>
          </w:p>
        </w:tc>
        <w:tc>
          <w:tcPr>
            <w:tcW w:w="1000" w:type="dxa"/>
            <w:vAlign w:val="bottom"/>
            <w:shd w:val="clear" w:color="auto" w:fill="CCECFF"/>
          </w:tcPr>
          <w:p>
            <w:pPr>
              <w:spacing w:after="0"/>
              <w:rPr>
                <w:sz w:val="15"/>
                <w:szCs w:val="15"/>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5,340</w:t>
            </w:r>
          </w:p>
        </w:tc>
        <w:tc>
          <w:tcPr>
            <w:tcW w:w="280" w:type="dxa"/>
            <w:vAlign w:val="bottom"/>
            <w:shd w:val="clear" w:color="auto" w:fill="CCECFF"/>
          </w:tcPr>
          <w:p>
            <w:pPr>
              <w:spacing w:after="0"/>
              <w:rPr>
                <w:sz w:val="15"/>
                <w:szCs w:val="15"/>
                <w:color w:val="auto"/>
              </w:rPr>
            </w:pPr>
          </w:p>
        </w:tc>
        <w:tc>
          <w:tcPr>
            <w:tcW w:w="1020" w:type="dxa"/>
            <w:vAlign w:val="bottom"/>
            <w:shd w:val="clear" w:color="auto" w:fill="CCECFF"/>
          </w:tcPr>
          <w:p>
            <w:pPr>
              <w:spacing w:after="0"/>
              <w:rPr>
                <w:sz w:val="15"/>
                <w:szCs w:val="15"/>
                <w:color w:val="auto"/>
              </w:rPr>
            </w:pPr>
          </w:p>
        </w:tc>
        <w:tc>
          <w:tcPr>
            <w:tcW w:w="700" w:type="dxa"/>
            <w:vAlign w:val="bottom"/>
            <w:gridSpan w:val="2"/>
            <w:shd w:val="clear" w:color="auto" w:fill="CCECFF"/>
          </w:tcPr>
          <w:p>
            <w:pPr>
              <w:jc w:val="right"/>
              <w:ind w:right="48"/>
              <w:spacing w:after="0"/>
              <w:rPr>
                <w:sz w:val="20"/>
                <w:szCs w:val="20"/>
                <w:color w:val="auto"/>
              </w:rPr>
            </w:pPr>
            <w:r>
              <w:rPr>
                <w:rFonts w:ascii="Arial" w:cs="Arial" w:eastAsia="Arial" w:hAnsi="Arial"/>
                <w:sz w:val="14"/>
                <w:szCs w:val="14"/>
                <w:color w:val="auto"/>
              </w:rPr>
              <w:t>—</w:t>
            </w:r>
          </w:p>
        </w:tc>
      </w:tr>
      <w:tr>
        <w:trPr>
          <w:trHeight w:val="175"/>
        </w:trPr>
        <w:tc>
          <w:tcPr>
            <w:tcW w:w="7660" w:type="dxa"/>
            <w:vAlign w:val="bottom"/>
          </w:tcPr>
          <w:p>
            <w:pPr>
              <w:ind w:left="560"/>
              <w:spacing w:after="0"/>
              <w:rPr>
                <w:sz w:val="20"/>
                <w:szCs w:val="20"/>
                <w:color w:val="auto"/>
              </w:rPr>
            </w:pPr>
            <w:r>
              <w:rPr>
                <w:rFonts w:ascii="Arial" w:cs="Arial" w:eastAsia="Arial" w:hAnsi="Arial"/>
                <w:sz w:val="14"/>
                <w:szCs w:val="14"/>
                <w:color w:val="auto"/>
              </w:rPr>
              <w:t>(Decrease) in accrued other expenses</w:t>
            </w:r>
          </w:p>
        </w:tc>
        <w:tc>
          <w:tcPr>
            <w:tcW w:w="1000" w:type="dxa"/>
            <w:vAlign w:val="bottom"/>
          </w:tcPr>
          <w:p>
            <w:pPr>
              <w:spacing w:after="0"/>
              <w:rPr>
                <w:sz w:val="15"/>
                <w:szCs w:val="15"/>
                <w:color w:val="auto"/>
              </w:rPr>
            </w:pPr>
          </w:p>
        </w:tc>
        <w:tc>
          <w:tcPr>
            <w:tcW w:w="860" w:type="dxa"/>
            <w:vAlign w:val="bottom"/>
            <w:gridSpan w:val="2"/>
          </w:tcPr>
          <w:p>
            <w:pPr>
              <w:jc w:val="right"/>
              <w:ind w:right="148"/>
              <w:spacing w:after="0"/>
              <w:rPr>
                <w:sz w:val="20"/>
                <w:szCs w:val="20"/>
                <w:color w:val="auto"/>
              </w:rPr>
            </w:pPr>
            <w:r>
              <w:rPr>
                <w:rFonts w:ascii="Arial" w:cs="Arial" w:eastAsia="Arial" w:hAnsi="Arial"/>
                <w:sz w:val="14"/>
                <w:szCs w:val="14"/>
                <w:color w:val="auto"/>
              </w:rPr>
              <w:t>(768 )</w:t>
            </w:r>
          </w:p>
        </w:tc>
        <w:tc>
          <w:tcPr>
            <w:tcW w:w="102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(66 )</w:t>
            </w:r>
          </w:p>
        </w:tc>
      </w:tr>
      <w:tr>
        <w:trPr>
          <w:trHeight w:val="169"/>
        </w:trPr>
        <w:tc>
          <w:tcPr>
            <w:tcW w:w="7660" w:type="dxa"/>
            <w:vAlign w:val="bottom"/>
            <w:tcBorders>
              <w:bottom w:val="single" w:sz="8" w:color="CCECFF"/>
            </w:tcBorders>
            <w:shd w:val="clear" w:color="auto" w:fill="CCECFF"/>
          </w:tcPr>
          <w:p>
            <w:pPr>
              <w:ind w:left="740"/>
              <w:spacing w:after="0"/>
              <w:rPr>
                <w:sz w:val="20"/>
                <w:szCs w:val="20"/>
                <w:color w:val="auto"/>
              </w:rPr>
            </w:pPr>
            <w:r>
              <w:rPr>
                <w:rFonts w:ascii="Arial" w:cs="Arial" w:eastAsia="Arial" w:hAnsi="Arial"/>
                <w:sz w:val="14"/>
                <w:szCs w:val="14"/>
                <w:color w:val="auto"/>
              </w:rPr>
              <w:t>Net cash (used in) provided by operating activities</w:t>
            </w:r>
          </w:p>
        </w:tc>
        <w:tc>
          <w:tcPr>
            <w:tcW w:w="1000" w:type="dxa"/>
            <w:vAlign w:val="bottom"/>
            <w:tcBorders>
              <w:top w:val="single" w:sz="8" w:color="auto"/>
              <w:bottom w:val="single" w:sz="8" w:color="auto"/>
            </w:tcBorders>
            <w:shd w:val="clear" w:color="auto" w:fill="CCECFF"/>
          </w:tcPr>
          <w:p>
            <w:pPr>
              <w:spacing w:after="0"/>
              <w:rPr>
                <w:sz w:val="14"/>
                <w:szCs w:val="14"/>
                <w:color w:val="auto"/>
              </w:rPr>
            </w:pPr>
          </w:p>
        </w:tc>
        <w:tc>
          <w:tcPr>
            <w:tcW w:w="5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w w:val="97"/>
              </w:rPr>
              <w:t>(111,578</w:t>
            </w:r>
          </w:p>
        </w:tc>
        <w:tc>
          <w:tcPr>
            <w:tcW w:w="280" w:type="dxa"/>
            <w:vAlign w:val="bottom"/>
            <w:tcBorders>
              <w:bottom w:val="single" w:sz="8" w:color="CCECFF"/>
            </w:tcBorders>
            <w:shd w:val="clear" w:color="auto" w:fill="CCECFF"/>
          </w:tcPr>
          <w:p>
            <w:pPr>
              <w:jc w:val="right"/>
              <w:ind w:right="148"/>
              <w:spacing w:after="0"/>
              <w:rPr>
                <w:sz w:val="20"/>
                <w:szCs w:val="20"/>
                <w:color w:val="auto"/>
              </w:rPr>
            </w:pPr>
            <w:r>
              <w:rPr>
                <w:rFonts w:ascii="Arial" w:cs="Arial" w:eastAsia="Arial" w:hAnsi="Arial"/>
                <w:sz w:val="14"/>
                <w:szCs w:val="14"/>
                <w:color w:val="auto"/>
                <w:w w:val="84"/>
              </w:rPr>
              <w:t>)</w:t>
            </w:r>
          </w:p>
        </w:tc>
        <w:tc>
          <w:tcPr>
            <w:tcW w:w="1020" w:type="dxa"/>
            <w:vAlign w:val="bottom"/>
            <w:tcBorders>
              <w:top w:val="single" w:sz="8" w:color="auto"/>
              <w:bottom w:val="single" w:sz="8" w:color="auto"/>
            </w:tcBorders>
            <w:shd w:val="clear" w:color="auto" w:fill="CCECFF"/>
          </w:tcPr>
          <w:p>
            <w:pPr>
              <w:spacing w:after="0"/>
              <w:rPr>
                <w:sz w:val="14"/>
                <w:szCs w:val="14"/>
                <w:color w:val="auto"/>
              </w:rPr>
            </w:pPr>
          </w:p>
        </w:tc>
        <w:tc>
          <w:tcPr>
            <w:tcW w:w="6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124,431</w:t>
            </w:r>
          </w:p>
        </w:tc>
        <w:tc>
          <w:tcPr>
            <w:tcW w:w="100" w:type="dxa"/>
            <w:vAlign w:val="bottom"/>
            <w:tcBorders>
              <w:bottom w:val="single" w:sz="8" w:color="CCECFF"/>
            </w:tcBorders>
            <w:shd w:val="clear" w:color="auto" w:fill="CCECFF"/>
          </w:tcPr>
          <w:p>
            <w:pPr>
              <w:spacing w:after="0"/>
              <w:rPr>
                <w:sz w:val="14"/>
                <w:szCs w:val="14"/>
                <w:color w:val="auto"/>
              </w:rPr>
            </w:pPr>
          </w:p>
        </w:tc>
      </w:tr>
      <w:tr>
        <w:trPr>
          <w:trHeight w:val="169"/>
        </w:trPr>
        <w:tc>
          <w:tcPr>
            <w:tcW w:w="7660" w:type="dxa"/>
            <w:vAlign w:val="bottom"/>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10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6"/>
        </w:trPr>
        <w:tc>
          <w:tcPr>
            <w:tcW w:w="7660" w:type="dxa"/>
            <w:vAlign w:val="bottom"/>
            <w:shd w:val="clear" w:color="auto" w:fill="CCECFF"/>
          </w:tcPr>
          <w:p>
            <w:pPr>
              <w:ind w:left="560"/>
              <w:spacing w:after="0"/>
              <w:rPr>
                <w:sz w:val="20"/>
                <w:szCs w:val="20"/>
                <w:color w:val="auto"/>
              </w:rPr>
            </w:pPr>
            <w:r>
              <w:rPr>
                <w:rFonts w:ascii="Arial" w:cs="Arial" w:eastAsia="Arial" w:hAnsi="Arial"/>
                <w:sz w:val="14"/>
                <w:szCs w:val="14"/>
                <w:color w:val="auto"/>
              </w:rPr>
              <w:t>Proceeds from public offering</w:t>
            </w:r>
          </w:p>
        </w:tc>
        <w:tc>
          <w:tcPr>
            <w:tcW w:w="1000" w:type="dxa"/>
            <w:vAlign w:val="bottom"/>
            <w:shd w:val="clear" w:color="auto" w:fill="CCECFF"/>
          </w:tcPr>
          <w:p>
            <w:pPr>
              <w:spacing w:after="0"/>
              <w:rPr>
                <w:sz w:val="15"/>
                <w:szCs w:val="15"/>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32,336</w:t>
            </w:r>
          </w:p>
        </w:tc>
        <w:tc>
          <w:tcPr>
            <w:tcW w:w="280" w:type="dxa"/>
            <w:vAlign w:val="bottom"/>
            <w:shd w:val="clear" w:color="auto" w:fill="CCECFF"/>
          </w:tcPr>
          <w:p>
            <w:pPr>
              <w:spacing w:after="0"/>
              <w:rPr>
                <w:sz w:val="15"/>
                <w:szCs w:val="15"/>
                <w:color w:val="auto"/>
              </w:rPr>
            </w:pPr>
          </w:p>
        </w:tc>
        <w:tc>
          <w:tcPr>
            <w:tcW w:w="1020" w:type="dxa"/>
            <w:vAlign w:val="bottom"/>
            <w:shd w:val="clear" w:color="auto" w:fill="CCECFF"/>
          </w:tcPr>
          <w:p>
            <w:pPr>
              <w:spacing w:after="0"/>
              <w:rPr>
                <w:sz w:val="15"/>
                <w:szCs w:val="15"/>
                <w:color w:val="auto"/>
              </w:rPr>
            </w:pPr>
          </w:p>
        </w:tc>
        <w:tc>
          <w:tcPr>
            <w:tcW w:w="700" w:type="dxa"/>
            <w:vAlign w:val="bottom"/>
            <w:gridSpan w:val="2"/>
            <w:shd w:val="clear" w:color="auto" w:fill="CCECFF"/>
          </w:tcPr>
          <w:p>
            <w:pPr>
              <w:jc w:val="right"/>
              <w:ind w:right="48"/>
              <w:spacing w:after="0"/>
              <w:rPr>
                <w:sz w:val="20"/>
                <w:szCs w:val="20"/>
                <w:color w:val="auto"/>
              </w:rPr>
            </w:pPr>
            <w:r>
              <w:rPr>
                <w:rFonts w:ascii="Arial" w:cs="Arial" w:eastAsia="Arial" w:hAnsi="Arial"/>
                <w:sz w:val="14"/>
                <w:szCs w:val="14"/>
                <w:color w:val="auto"/>
              </w:rPr>
              <w:t>—</w:t>
            </w:r>
          </w:p>
        </w:tc>
      </w:tr>
      <w:tr>
        <w:trPr>
          <w:trHeight w:val="175"/>
        </w:trPr>
        <w:tc>
          <w:tcPr>
            <w:tcW w:w="7660" w:type="dxa"/>
            <w:vAlign w:val="bottom"/>
          </w:tcPr>
          <w:p>
            <w:pPr>
              <w:ind w:left="560"/>
              <w:spacing w:after="0"/>
              <w:rPr>
                <w:sz w:val="20"/>
                <w:szCs w:val="20"/>
                <w:color w:val="auto"/>
              </w:rPr>
            </w:pPr>
            <w:r>
              <w:rPr>
                <w:rFonts w:ascii="Arial" w:cs="Arial" w:eastAsia="Arial" w:hAnsi="Arial"/>
                <w:sz w:val="14"/>
                <w:szCs w:val="14"/>
                <w:color w:val="auto"/>
              </w:rPr>
              <w:t>Offering costs</w:t>
            </w:r>
          </w:p>
        </w:tc>
        <w:tc>
          <w:tcPr>
            <w:tcW w:w="1000" w:type="dxa"/>
            <w:vAlign w:val="bottom"/>
          </w:tcPr>
          <w:p>
            <w:pPr>
              <w:spacing w:after="0"/>
              <w:rPr>
                <w:sz w:val="15"/>
                <w:szCs w:val="15"/>
                <w:color w:val="auto"/>
              </w:rPr>
            </w:pPr>
          </w:p>
        </w:tc>
        <w:tc>
          <w:tcPr>
            <w:tcW w:w="860" w:type="dxa"/>
            <w:vAlign w:val="bottom"/>
            <w:gridSpan w:val="2"/>
          </w:tcPr>
          <w:p>
            <w:pPr>
              <w:jc w:val="right"/>
              <w:ind w:right="148"/>
              <w:spacing w:after="0"/>
              <w:rPr>
                <w:sz w:val="20"/>
                <w:szCs w:val="20"/>
                <w:color w:val="auto"/>
              </w:rPr>
            </w:pPr>
            <w:r>
              <w:rPr>
                <w:rFonts w:ascii="Arial" w:cs="Arial" w:eastAsia="Arial" w:hAnsi="Arial"/>
                <w:sz w:val="14"/>
                <w:szCs w:val="14"/>
                <w:color w:val="auto"/>
              </w:rPr>
              <w:t>(485 )</w:t>
            </w:r>
          </w:p>
        </w:tc>
        <w:tc>
          <w:tcPr>
            <w:tcW w:w="1020" w:type="dxa"/>
            <w:vAlign w:val="bottom"/>
          </w:tcPr>
          <w:p>
            <w:pPr>
              <w:spacing w:after="0"/>
              <w:rPr>
                <w:sz w:val="15"/>
                <w:szCs w:val="15"/>
                <w:color w:val="auto"/>
              </w:rPr>
            </w:pPr>
          </w:p>
        </w:tc>
        <w:tc>
          <w:tcPr>
            <w:tcW w:w="70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r>
      <w:tr>
        <w:trPr>
          <w:trHeight w:val="176"/>
        </w:trPr>
        <w:tc>
          <w:tcPr>
            <w:tcW w:w="7660" w:type="dxa"/>
            <w:vAlign w:val="bottom"/>
            <w:shd w:val="clear" w:color="auto" w:fill="CCECFF"/>
          </w:tcPr>
          <w:p>
            <w:pPr>
              <w:ind w:left="560"/>
              <w:spacing w:after="0"/>
              <w:rPr>
                <w:sz w:val="20"/>
                <w:szCs w:val="20"/>
                <w:color w:val="auto"/>
              </w:rPr>
            </w:pPr>
            <w:r>
              <w:rPr>
                <w:rFonts w:ascii="Arial" w:cs="Arial" w:eastAsia="Arial" w:hAnsi="Arial"/>
                <w:sz w:val="14"/>
                <w:szCs w:val="14"/>
                <w:color w:val="auto"/>
              </w:rPr>
              <w:t>Distributions paid to stockholders</w:t>
            </w:r>
          </w:p>
        </w:tc>
        <w:tc>
          <w:tcPr>
            <w:tcW w:w="1000" w:type="dxa"/>
            <w:vAlign w:val="bottom"/>
            <w:shd w:val="clear" w:color="auto" w:fill="CCECFF"/>
          </w:tcPr>
          <w:p>
            <w:pPr>
              <w:spacing w:after="0"/>
              <w:rPr>
                <w:sz w:val="15"/>
                <w:szCs w:val="15"/>
                <w:color w:val="auto"/>
              </w:rPr>
            </w:pPr>
          </w:p>
        </w:tc>
        <w:tc>
          <w:tcPr>
            <w:tcW w:w="860" w:type="dxa"/>
            <w:vAlign w:val="bottom"/>
            <w:gridSpan w:val="2"/>
            <w:shd w:val="clear" w:color="auto" w:fill="CCECFF"/>
          </w:tcPr>
          <w:p>
            <w:pPr>
              <w:jc w:val="right"/>
              <w:ind w:right="148"/>
              <w:spacing w:after="0"/>
              <w:rPr>
                <w:sz w:val="20"/>
                <w:szCs w:val="20"/>
                <w:color w:val="auto"/>
              </w:rPr>
            </w:pPr>
            <w:r>
              <w:rPr>
                <w:rFonts w:ascii="Arial" w:cs="Arial" w:eastAsia="Arial" w:hAnsi="Arial"/>
                <w:sz w:val="14"/>
                <w:szCs w:val="14"/>
                <w:color w:val="auto"/>
              </w:rPr>
              <w:t>(33,904 )</w:t>
            </w:r>
          </w:p>
        </w:tc>
        <w:tc>
          <w:tcPr>
            <w:tcW w:w="1020" w:type="dxa"/>
            <w:vAlign w:val="bottom"/>
            <w:shd w:val="clear" w:color="auto" w:fill="CCECFF"/>
          </w:tcPr>
          <w:p>
            <w:pPr>
              <w:spacing w:after="0"/>
              <w:rPr>
                <w:sz w:val="15"/>
                <w:szCs w:val="15"/>
                <w:color w:val="auto"/>
              </w:rPr>
            </w:pPr>
          </w:p>
        </w:tc>
        <w:tc>
          <w:tcPr>
            <w:tcW w:w="70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(33,150 )</w:t>
            </w:r>
          </w:p>
        </w:tc>
      </w:tr>
      <w:tr>
        <w:trPr>
          <w:trHeight w:val="175"/>
        </w:trPr>
        <w:tc>
          <w:tcPr>
            <w:tcW w:w="7660" w:type="dxa"/>
            <w:vAlign w:val="bottom"/>
          </w:tcPr>
          <w:p>
            <w:pPr>
              <w:ind w:left="560"/>
              <w:spacing w:after="0"/>
              <w:rPr>
                <w:sz w:val="20"/>
                <w:szCs w:val="20"/>
                <w:color w:val="auto"/>
              </w:rPr>
            </w:pPr>
            <w:r>
              <w:rPr>
                <w:rFonts w:ascii="Arial" w:cs="Arial" w:eastAsia="Arial" w:hAnsi="Arial"/>
                <w:sz w:val="14"/>
                <w:szCs w:val="14"/>
                <w:color w:val="auto"/>
              </w:rPr>
              <w:t>Repayment of 2023 Notes issuance (See Notes 5 and 10)</w:t>
            </w:r>
          </w:p>
        </w:tc>
        <w:tc>
          <w:tcPr>
            <w:tcW w:w="1000" w:type="dxa"/>
            <w:vAlign w:val="bottom"/>
          </w:tcPr>
          <w:p>
            <w:pPr>
              <w:spacing w:after="0"/>
              <w:rPr>
                <w:sz w:val="15"/>
                <w:szCs w:val="15"/>
                <w:color w:val="auto"/>
              </w:rPr>
            </w:pPr>
          </w:p>
        </w:tc>
        <w:tc>
          <w:tcPr>
            <w:tcW w:w="860" w:type="dxa"/>
            <w:vAlign w:val="bottom"/>
            <w:gridSpan w:val="2"/>
          </w:tcPr>
          <w:p>
            <w:pPr>
              <w:jc w:val="right"/>
              <w:ind w:right="148"/>
              <w:spacing w:after="0"/>
              <w:rPr>
                <w:sz w:val="20"/>
                <w:szCs w:val="20"/>
                <w:color w:val="auto"/>
              </w:rPr>
            </w:pPr>
            <w:r>
              <w:rPr>
                <w:rFonts w:ascii="Arial" w:cs="Arial" w:eastAsia="Arial" w:hAnsi="Arial"/>
                <w:sz w:val="14"/>
                <w:szCs w:val="14"/>
                <w:color w:val="auto"/>
              </w:rPr>
              <w:t>(20,787 )</w:t>
            </w:r>
          </w:p>
        </w:tc>
        <w:tc>
          <w:tcPr>
            <w:tcW w:w="102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(20,787 )</w:t>
            </w:r>
          </w:p>
        </w:tc>
      </w:tr>
      <w:tr>
        <w:trPr>
          <w:trHeight w:val="176"/>
        </w:trPr>
        <w:tc>
          <w:tcPr>
            <w:tcW w:w="7660" w:type="dxa"/>
            <w:vAlign w:val="bottom"/>
            <w:shd w:val="clear" w:color="auto" w:fill="CCECFF"/>
          </w:tcPr>
          <w:p>
            <w:pPr>
              <w:ind w:left="560"/>
              <w:spacing w:after="0"/>
              <w:rPr>
                <w:sz w:val="20"/>
                <w:szCs w:val="20"/>
                <w:color w:val="auto"/>
              </w:rPr>
            </w:pPr>
            <w:r>
              <w:rPr>
                <w:rFonts w:ascii="Arial" w:cs="Arial" w:eastAsia="Arial" w:hAnsi="Arial"/>
                <w:sz w:val="14"/>
                <w:szCs w:val="14"/>
                <w:color w:val="auto"/>
              </w:rPr>
              <w:t>Proceeds from 2026 Notes issuance (See Notes 5 and 10)</w:t>
            </w:r>
          </w:p>
        </w:tc>
        <w:tc>
          <w:tcPr>
            <w:tcW w:w="1000" w:type="dxa"/>
            <w:vAlign w:val="bottom"/>
            <w:shd w:val="clear" w:color="auto" w:fill="CCECFF"/>
          </w:tcPr>
          <w:p>
            <w:pPr>
              <w:spacing w:after="0"/>
              <w:rPr>
                <w:sz w:val="15"/>
                <w:szCs w:val="15"/>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84,333</w:t>
            </w:r>
          </w:p>
        </w:tc>
        <w:tc>
          <w:tcPr>
            <w:tcW w:w="280" w:type="dxa"/>
            <w:vAlign w:val="bottom"/>
            <w:shd w:val="clear" w:color="auto" w:fill="CCECFF"/>
          </w:tcPr>
          <w:p>
            <w:pPr>
              <w:spacing w:after="0"/>
              <w:rPr>
                <w:sz w:val="15"/>
                <w:szCs w:val="15"/>
                <w:color w:val="auto"/>
              </w:rPr>
            </w:pPr>
          </w:p>
        </w:tc>
        <w:tc>
          <w:tcPr>
            <w:tcW w:w="1020" w:type="dxa"/>
            <w:vAlign w:val="bottom"/>
            <w:shd w:val="clear" w:color="auto" w:fill="CCECFF"/>
          </w:tcPr>
          <w:p>
            <w:pPr>
              <w:spacing w:after="0"/>
              <w:rPr>
                <w:sz w:val="15"/>
                <w:szCs w:val="15"/>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96,841</w:t>
            </w:r>
          </w:p>
        </w:tc>
        <w:tc>
          <w:tcPr>
            <w:tcW w:w="100" w:type="dxa"/>
            <w:vAlign w:val="bottom"/>
            <w:shd w:val="clear" w:color="auto" w:fill="CCECFF"/>
          </w:tcPr>
          <w:p>
            <w:pPr>
              <w:spacing w:after="0"/>
              <w:rPr>
                <w:sz w:val="15"/>
                <w:szCs w:val="15"/>
                <w:color w:val="auto"/>
              </w:rPr>
            </w:pPr>
          </w:p>
        </w:tc>
      </w:tr>
      <w:tr>
        <w:trPr>
          <w:trHeight w:val="175"/>
        </w:trPr>
        <w:tc>
          <w:tcPr>
            <w:tcW w:w="7660" w:type="dxa"/>
            <w:vAlign w:val="bottom"/>
          </w:tcPr>
          <w:p>
            <w:pPr>
              <w:ind w:left="560"/>
              <w:spacing w:after="0"/>
              <w:rPr>
                <w:sz w:val="20"/>
                <w:szCs w:val="20"/>
                <w:color w:val="auto"/>
              </w:rPr>
            </w:pPr>
            <w:r>
              <w:rPr>
                <w:rFonts w:ascii="Arial" w:cs="Arial" w:eastAsia="Arial" w:hAnsi="Arial"/>
                <w:sz w:val="14"/>
                <w:szCs w:val="14"/>
                <w:color w:val="auto"/>
              </w:rPr>
              <w:t>Borrowings under Credit Facility (See Notes 5 and 10)</w:t>
            </w:r>
          </w:p>
        </w:tc>
        <w:tc>
          <w:tcPr>
            <w:tcW w:w="10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147,254</w:t>
            </w: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255,500</w:t>
            </w:r>
          </w:p>
        </w:tc>
        <w:tc>
          <w:tcPr>
            <w:tcW w:w="100" w:type="dxa"/>
            <w:vAlign w:val="bottom"/>
          </w:tcPr>
          <w:p>
            <w:pPr>
              <w:spacing w:after="0"/>
              <w:rPr>
                <w:sz w:val="15"/>
                <w:szCs w:val="15"/>
                <w:color w:val="auto"/>
              </w:rPr>
            </w:pPr>
          </w:p>
        </w:tc>
      </w:tr>
      <w:tr>
        <w:trPr>
          <w:trHeight w:val="175"/>
        </w:trPr>
        <w:tc>
          <w:tcPr>
            <w:tcW w:w="7660" w:type="dxa"/>
            <w:vAlign w:val="bottom"/>
            <w:shd w:val="clear" w:color="auto" w:fill="CCECFF"/>
          </w:tcPr>
          <w:p>
            <w:pPr>
              <w:ind w:left="560"/>
              <w:spacing w:after="0"/>
              <w:rPr>
                <w:sz w:val="20"/>
                <w:szCs w:val="20"/>
                <w:color w:val="auto"/>
              </w:rPr>
            </w:pPr>
            <w:r>
              <w:rPr>
                <w:rFonts w:ascii="Arial" w:cs="Arial" w:eastAsia="Arial" w:hAnsi="Arial"/>
                <w:sz w:val="14"/>
                <w:szCs w:val="14"/>
                <w:color w:val="auto"/>
              </w:rPr>
              <w:t>Repayments under Credit Facility (See Notes 5 and 10)</w:t>
            </w:r>
          </w:p>
        </w:tc>
        <w:tc>
          <w:tcPr>
            <w:tcW w:w="1000" w:type="dxa"/>
            <w:vAlign w:val="bottom"/>
            <w:shd w:val="clear" w:color="auto" w:fill="CCECFF"/>
          </w:tcPr>
          <w:p>
            <w:pPr>
              <w:spacing w:after="0"/>
              <w:rPr>
                <w:sz w:val="15"/>
                <w:szCs w:val="15"/>
                <w:color w:val="auto"/>
              </w:rPr>
            </w:pPr>
          </w:p>
        </w:tc>
        <w:tc>
          <w:tcPr>
            <w:tcW w:w="860" w:type="dxa"/>
            <w:vAlign w:val="bottom"/>
            <w:gridSpan w:val="2"/>
            <w:shd w:val="clear" w:color="auto" w:fill="CCECFF"/>
          </w:tcPr>
          <w:p>
            <w:pPr>
              <w:jc w:val="right"/>
              <w:ind w:right="148"/>
              <w:spacing w:after="0"/>
              <w:rPr>
                <w:sz w:val="20"/>
                <w:szCs w:val="20"/>
                <w:color w:val="auto"/>
              </w:rPr>
            </w:pPr>
            <w:r>
              <w:rPr>
                <w:rFonts w:ascii="Arial" w:cs="Arial" w:eastAsia="Arial" w:hAnsi="Arial"/>
                <w:sz w:val="14"/>
                <w:szCs w:val="14"/>
                <w:color w:val="auto"/>
                <w:w w:val="97"/>
              </w:rPr>
              <w:t>(107,000 )</w:t>
            </w:r>
          </w:p>
        </w:tc>
        <w:tc>
          <w:tcPr>
            <w:tcW w:w="1020" w:type="dxa"/>
            <w:vAlign w:val="bottom"/>
            <w:shd w:val="clear" w:color="auto" w:fill="CCECFF"/>
          </w:tcPr>
          <w:p>
            <w:pPr>
              <w:spacing w:after="0"/>
              <w:rPr>
                <w:sz w:val="15"/>
                <w:szCs w:val="15"/>
                <w:color w:val="auto"/>
              </w:rPr>
            </w:pPr>
          </w:p>
        </w:tc>
        <w:tc>
          <w:tcPr>
            <w:tcW w:w="70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(430,699 )</w:t>
            </w:r>
          </w:p>
        </w:tc>
      </w:tr>
      <w:tr>
        <w:trPr>
          <w:trHeight w:val="20"/>
        </w:trPr>
        <w:tc>
          <w:tcPr>
            <w:tcW w:w="7660" w:type="dxa"/>
            <w:vAlign w:val="bottom"/>
            <w:shd w:val="clear" w:color="auto" w:fill="CCEC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shd w:val="clear" w:color="auto" w:fill="CCEC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r>
      <w:tr>
        <w:trPr>
          <w:trHeight w:val="169"/>
        </w:trPr>
        <w:tc>
          <w:tcPr>
            <w:tcW w:w="7660" w:type="dxa"/>
            <w:vAlign w:val="bottom"/>
          </w:tcPr>
          <w:p>
            <w:pPr>
              <w:ind w:left="740"/>
              <w:spacing w:after="0"/>
              <w:rPr>
                <w:sz w:val="20"/>
                <w:szCs w:val="20"/>
                <w:color w:val="auto"/>
              </w:rPr>
            </w:pPr>
            <w:r>
              <w:rPr>
                <w:rFonts w:ascii="Arial" w:cs="Arial" w:eastAsia="Arial" w:hAnsi="Arial"/>
                <w:sz w:val="14"/>
                <w:szCs w:val="14"/>
                <w:color w:val="auto"/>
              </w:rPr>
              <w:t>Net cash provided by (used in) financing activities</w:t>
            </w:r>
          </w:p>
        </w:tc>
        <w:tc>
          <w:tcPr>
            <w:tcW w:w="10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101,747</w:t>
            </w: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(132,295 )</w:t>
            </w:r>
          </w:p>
        </w:tc>
      </w:tr>
      <w:tr>
        <w:trPr>
          <w:trHeight w:val="169"/>
        </w:trPr>
        <w:tc>
          <w:tcPr>
            <w:tcW w:w="7660" w:type="dxa"/>
            <w:vAlign w:val="bottom"/>
            <w:shd w:val="clear" w:color="auto" w:fill="CCECFF"/>
          </w:tcPr>
          <w:p>
            <w:pPr>
              <w:ind w:left="20"/>
              <w:spacing w:after="0"/>
              <w:rPr>
                <w:sz w:val="20"/>
                <w:szCs w:val="20"/>
                <w:color w:val="auto"/>
              </w:rPr>
            </w:pPr>
            <w:r>
              <w:rPr>
                <w:rFonts w:ascii="Arial" w:cs="Arial" w:eastAsia="Arial" w:hAnsi="Arial"/>
                <w:sz w:val="14"/>
                <w:szCs w:val="14"/>
                <w:b w:val="1"/>
                <w:bCs w:val="1"/>
                <w:color w:val="auto"/>
              </w:rPr>
              <w:t>Net decrease in cash equivalents</w:t>
            </w:r>
          </w:p>
        </w:tc>
        <w:tc>
          <w:tcPr>
            <w:tcW w:w="1000" w:type="dxa"/>
            <w:vAlign w:val="bottom"/>
            <w:tcBorders>
              <w:top w:val="single" w:sz="8" w:color="auto"/>
            </w:tcBorders>
            <w:shd w:val="clear" w:color="auto" w:fill="CCECFF"/>
          </w:tcPr>
          <w:p>
            <w:pPr>
              <w:spacing w:after="0"/>
              <w:rPr>
                <w:sz w:val="14"/>
                <w:szCs w:val="14"/>
                <w:color w:val="auto"/>
              </w:rPr>
            </w:pPr>
          </w:p>
        </w:tc>
        <w:tc>
          <w:tcPr>
            <w:tcW w:w="5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(9,832</w:t>
            </w:r>
          </w:p>
        </w:tc>
        <w:tc>
          <w:tcPr>
            <w:tcW w:w="280" w:type="dxa"/>
            <w:vAlign w:val="bottom"/>
            <w:shd w:val="clear" w:color="auto" w:fill="CCECFF"/>
          </w:tcPr>
          <w:p>
            <w:pPr>
              <w:jc w:val="right"/>
              <w:ind w:right="148"/>
              <w:spacing w:after="0"/>
              <w:rPr>
                <w:sz w:val="20"/>
                <w:szCs w:val="20"/>
                <w:color w:val="auto"/>
              </w:rPr>
            </w:pPr>
            <w:r>
              <w:rPr>
                <w:rFonts w:ascii="Arial" w:cs="Arial" w:eastAsia="Arial" w:hAnsi="Arial"/>
                <w:sz w:val="14"/>
                <w:szCs w:val="14"/>
                <w:color w:val="auto"/>
                <w:w w:val="84"/>
              </w:rPr>
              <w:t>)</w:t>
            </w:r>
          </w:p>
        </w:tc>
        <w:tc>
          <w:tcPr>
            <w:tcW w:w="1020" w:type="dxa"/>
            <w:vAlign w:val="bottom"/>
            <w:tcBorders>
              <w:top w:val="single" w:sz="8" w:color="auto"/>
            </w:tcBorders>
            <w:shd w:val="clear" w:color="auto" w:fill="CCECFF"/>
          </w:tcPr>
          <w:p>
            <w:pPr>
              <w:spacing w:after="0"/>
              <w:rPr>
                <w:sz w:val="14"/>
                <w:szCs w:val="14"/>
                <w:color w:val="auto"/>
              </w:rPr>
            </w:pPr>
          </w:p>
        </w:tc>
        <w:tc>
          <w:tcPr>
            <w:tcW w:w="60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(7,864</w:t>
            </w:r>
          </w:p>
        </w:tc>
        <w:tc>
          <w:tcPr>
            <w:tcW w:w="100" w:type="dxa"/>
            <w:vAlign w:val="bottom"/>
            <w:shd w:val="clear" w:color="auto" w:fill="CCECFF"/>
          </w:tcPr>
          <w:p>
            <w:pPr>
              <w:jc w:val="right"/>
              <w:spacing w:after="0"/>
              <w:rPr>
                <w:sz w:val="20"/>
                <w:szCs w:val="20"/>
                <w:color w:val="auto"/>
              </w:rPr>
            </w:pPr>
            <w:r>
              <w:rPr>
                <w:rFonts w:ascii="Arial" w:cs="Arial" w:eastAsia="Arial" w:hAnsi="Arial"/>
                <w:sz w:val="14"/>
                <w:szCs w:val="14"/>
                <w:color w:val="auto"/>
                <w:w w:val="84"/>
              </w:rPr>
              <w:t>)</w:t>
            </w:r>
          </w:p>
        </w:tc>
      </w:tr>
      <w:tr>
        <w:trPr>
          <w:trHeight w:val="175"/>
        </w:trPr>
        <w:tc>
          <w:tcPr>
            <w:tcW w:w="7660" w:type="dxa"/>
            <w:vAlign w:val="bottom"/>
          </w:tcPr>
          <w:p>
            <w:pPr>
              <w:ind w:left="20"/>
              <w:spacing w:after="0"/>
              <w:rPr>
                <w:sz w:val="20"/>
                <w:szCs w:val="20"/>
                <w:color w:val="auto"/>
              </w:rPr>
            </w:pPr>
            <w:r>
              <w:rPr>
                <w:rFonts w:ascii="Arial" w:cs="Arial" w:eastAsia="Arial" w:hAnsi="Arial"/>
                <w:sz w:val="14"/>
                <w:szCs w:val="14"/>
                <w:color w:val="auto"/>
              </w:rPr>
              <w:t>Effect of exchange rate changes on cash</w:t>
            </w:r>
          </w:p>
        </w:tc>
        <w:tc>
          <w:tcPr>
            <w:tcW w:w="10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622</w:t>
            </w: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(945 )</w:t>
            </w:r>
          </w:p>
        </w:tc>
      </w:tr>
      <w:tr>
        <w:trPr>
          <w:trHeight w:val="176"/>
        </w:trPr>
        <w:tc>
          <w:tcPr>
            <w:tcW w:w="766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4"/>
                <w:szCs w:val="14"/>
                <w:b w:val="1"/>
                <w:bCs w:val="1"/>
                <w:color w:val="auto"/>
              </w:rPr>
              <w:t>Cash and cash equivalents, beginning of period</w:t>
            </w:r>
          </w:p>
        </w:tc>
        <w:tc>
          <w:tcPr>
            <w:tcW w:w="1000" w:type="dxa"/>
            <w:vAlign w:val="bottom"/>
            <w:tcBorders>
              <w:bottom w:val="single" w:sz="8" w:color="auto"/>
            </w:tcBorders>
            <w:shd w:val="clear" w:color="auto" w:fill="CCECFF"/>
          </w:tcPr>
          <w:p>
            <w:pPr>
              <w:spacing w:after="0"/>
              <w:rPr>
                <w:sz w:val="15"/>
                <w:szCs w:val="15"/>
                <w:color w:val="auto"/>
              </w:rPr>
            </w:pPr>
          </w:p>
        </w:tc>
        <w:tc>
          <w:tcPr>
            <w:tcW w:w="5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49,826</w:t>
            </w:r>
          </w:p>
        </w:tc>
        <w:tc>
          <w:tcPr>
            <w:tcW w:w="280" w:type="dxa"/>
            <w:vAlign w:val="bottom"/>
            <w:tcBorders>
              <w:bottom w:val="single" w:sz="8" w:color="CCECFF"/>
            </w:tcBorders>
            <w:shd w:val="clear" w:color="auto" w:fill="CCECFF"/>
          </w:tcPr>
          <w:p>
            <w:pPr>
              <w:spacing w:after="0"/>
              <w:rPr>
                <w:sz w:val="15"/>
                <w:szCs w:val="15"/>
                <w:color w:val="auto"/>
              </w:rPr>
            </w:pPr>
          </w:p>
        </w:tc>
        <w:tc>
          <w:tcPr>
            <w:tcW w:w="1020" w:type="dxa"/>
            <w:vAlign w:val="bottom"/>
            <w:tcBorders>
              <w:bottom w:val="single" w:sz="8" w:color="auto"/>
            </w:tcBorders>
            <w:shd w:val="clear" w:color="auto" w:fill="CCECFF"/>
          </w:tcPr>
          <w:p>
            <w:pPr>
              <w:spacing w:after="0"/>
              <w:rPr>
                <w:sz w:val="15"/>
                <w:szCs w:val="15"/>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57,512</w:t>
            </w:r>
          </w:p>
        </w:tc>
        <w:tc>
          <w:tcPr>
            <w:tcW w:w="100" w:type="dxa"/>
            <w:vAlign w:val="bottom"/>
            <w:tcBorders>
              <w:bottom w:val="single" w:sz="8" w:color="CCECFF"/>
            </w:tcBorders>
            <w:shd w:val="clear" w:color="auto" w:fill="CCECFF"/>
          </w:tcPr>
          <w:p>
            <w:pPr>
              <w:spacing w:after="0"/>
              <w:rPr>
                <w:sz w:val="15"/>
                <w:szCs w:val="15"/>
                <w:color w:val="auto"/>
              </w:rPr>
            </w:pPr>
          </w:p>
        </w:tc>
      </w:tr>
      <w:tr>
        <w:trPr>
          <w:trHeight w:val="169"/>
        </w:trPr>
        <w:tc>
          <w:tcPr>
            <w:tcW w:w="7660" w:type="dxa"/>
            <w:vAlign w:val="bottom"/>
          </w:tcPr>
          <w:p>
            <w:pPr>
              <w:ind w:left="20"/>
              <w:spacing w:after="0"/>
              <w:rPr>
                <w:sz w:val="20"/>
                <w:szCs w:val="20"/>
                <w:color w:val="auto"/>
              </w:rPr>
            </w:pPr>
            <w:r>
              <w:rPr>
                <w:rFonts w:ascii="Arial" w:cs="Arial" w:eastAsia="Arial" w:hAnsi="Arial"/>
                <w:sz w:val="14"/>
                <w:szCs w:val="14"/>
                <w:b w:val="1"/>
                <w:bCs w:val="1"/>
                <w:color w:val="auto"/>
              </w:rPr>
              <w:t>Cash and cash equivalents, end of period</w:t>
            </w:r>
          </w:p>
        </w:tc>
        <w:tc>
          <w:tcPr>
            <w:tcW w:w="1000" w:type="dxa"/>
            <w:vAlign w:val="bottom"/>
            <w:tcBorders>
              <w:bottom w:val="single" w:sz="8" w:color="auto"/>
            </w:tcBorders>
          </w:tcPr>
          <w:p>
            <w:pPr>
              <w:jc w:val="right"/>
              <w:ind w:right="848"/>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40,616</w:t>
            </w:r>
          </w:p>
        </w:tc>
        <w:tc>
          <w:tcPr>
            <w:tcW w:w="280" w:type="dxa"/>
            <w:vAlign w:val="bottom"/>
          </w:tcPr>
          <w:p>
            <w:pPr>
              <w:spacing w:after="0"/>
              <w:rPr>
                <w:sz w:val="14"/>
                <w:szCs w:val="14"/>
                <w:color w:val="auto"/>
              </w:rPr>
            </w:pPr>
          </w:p>
        </w:tc>
        <w:tc>
          <w:tcPr>
            <w:tcW w:w="1020" w:type="dxa"/>
            <w:vAlign w:val="bottom"/>
            <w:tcBorders>
              <w:bottom w:val="single" w:sz="8" w:color="auto"/>
            </w:tcBorders>
          </w:tcPr>
          <w:p>
            <w:pPr>
              <w:jc w:val="right"/>
              <w:ind w:right="84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48,703</w:t>
            </w:r>
          </w:p>
        </w:tc>
        <w:tc>
          <w:tcPr>
            <w:tcW w:w="100" w:type="dxa"/>
            <w:vAlign w:val="bottom"/>
          </w:tcPr>
          <w:p>
            <w:pPr>
              <w:spacing w:after="0"/>
              <w:rPr>
                <w:sz w:val="14"/>
                <w:szCs w:val="14"/>
                <w:color w:val="auto"/>
              </w:rPr>
            </w:pPr>
          </w:p>
        </w:tc>
      </w:tr>
      <w:tr>
        <w:trPr>
          <w:trHeight w:val="20"/>
        </w:trPr>
        <w:tc>
          <w:tcPr>
            <w:tcW w:w="76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7660" w:type="dxa"/>
            <w:vAlign w:val="bottom"/>
            <w:shd w:val="clear" w:color="auto" w:fill="CCECFF"/>
          </w:tcPr>
          <w:p>
            <w:pPr>
              <w:ind w:left="20"/>
              <w:spacing w:after="0" w:line="156" w:lineRule="exact"/>
              <w:rPr>
                <w:sz w:val="20"/>
                <w:szCs w:val="20"/>
                <w:color w:val="auto"/>
              </w:rPr>
            </w:pPr>
            <w:r>
              <w:rPr>
                <w:rFonts w:ascii="Arial" w:cs="Arial" w:eastAsia="Arial" w:hAnsi="Arial"/>
                <w:sz w:val="14"/>
                <w:szCs w:val="14"/>
                <w:b w:val="1"/>
                <w:bCs w:val="1"/>
                <w:color w:val="auto"/>
              </w:rPr>
              <w:t>Supplemental disclosures:</w:t>
            </w:r>
          </w:p>
        </w:tc>
        <w:tc>
          <w:tcPr>
            <w:tcW w:w="1000" w:type="dxa"/>
            <w:vAlign w:val="bottom"/>
            <w:shd w:val="clear" w:color="auto" w:fill="CCECFF"/>
          </w:tcPr>
          <w:p>
            <w:pPr>
              <w:spacing w:after="0"/>
              <w:rPr>
                <w:sz w:val="13"/>
                <w:szCs w:val="13"/>
                <w:color w:val="auto"/>
              </w:rPr>
            </w:pPr>
          </w:p>
        </w:tc>
        <w:tc>
          <w:tcPr>
            <w:tcW w:w="58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020" w:type="dxa"/>
            <w:vAlign w:val="bottom"/>
            <w:shd w:val="clear" w:color="auto" w:fill="CCECFF"/>
          </w:tcPr>
          <w:p>
            <w:pPr>
              <w:spacing w:after="0"/>
              <w:rPr>
                <w:sz w:val="13"/>
                <w:szCs w:val="13"/>
                <w:color w:val="auto"/>
              </w:rPr>
            </w:pPr>
          </w:p>
        </w:tc>
        <w:tc>
          <w:tcPr>
            <w:tcW w:w="6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r>
      <w:tr>
        <w:trPr>
          <w:trHeight w:val="175"/>
        </w:trPr>
        <w:tc>
          <w:tcPr>
            <w:tcW w:w="7660" w:type="dxa"/>
            <w:vAlign w:val="bottom"/>
          </w:tcPr>
          <w:p>
            <w:pPr>
              <w:ind w:left="200"/>
              <w:spacing w:after="0"/>
              <w:rPr>
                <w:sz w:val="20"/>
                <w:szCs w:val="20"/>
                <w:color w:val="auto"/>
              </w:rPr>
            </w:pPr>
            <w:r>
              <w:rPr>
                <w:rFonts w:ascii="Arial" w:cs="Arial" w:eastAsia="Arial" w:hAnsi="Arial"/>
                <w:sz w:val="14"/>
                <w:szCs w:val="14"/>
                <w:color w:val="auto"/>
              </w:rPr>
              <w:t>Interest paid</w:t>
            </w:r>
          </w:p>
        </w:tc>
        <w:tc>
          <w:tcPr>
            <w:tcW w:w="1000" w:type="dxa"/>
            <w:vAlign w:val="bottom"/>
          </w:tcPr>
          <w:p>
            <w:pPr>
              <w:jc w:val="right"/>
              <w:ind w:right="848"/>
              <w:spacing w:after="0"/>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148"/>
              <w:spacing w:after="0"/>
              <w:rPr>
                <w:sz w:val="20"/>
                <w:szCs w:val="20"/>
                <w:color w:val="auto"/>
              </w:rPr>
            </w:pPr>
            <w:r>
              <w:rPr>
                <w:rFonts w:ascii="Arial" w:cs="Arial" w:eastAsia="Arial" w:hAnsi="Arial"/>
                <w:sz w:val="14"/>
                <w:szCs w:val="14"/>
                <w:color w:val="auto"/>
              </w:rPr>
              <w:t>(20,610 )</w:t>
            </w:r>
          </w:p>
        </w:tc>
        <w:tc>
          <w:tcPr>
            <w:tcW w:w="1020" w:type="dxa"/>
            <w:vAlign w:val="bottom"/>
          </w:tcPr>
          <w:p>
            <w:pPr>
              <w:jc w:val="right"/>
              <w:ind w:right="848"/>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15,883</w:t>
            </w:r>
          </w:p>
        </w:tc>
        <w:tc>
          <w:tcPr>
            <w:tcW w:w="100" w:type="dxa"/>
            <w:vAlign w:val="bottom"/>
          </w:tcPr>
          <w:p>
            <w:pPr>
              <w:spacing w:after="0"/>
              <w:rPr>
                <w:sz w:val="15"/>
                <w:szCs w:val="15"/>
                <w:color w:val="auto"/>
              </w:rPr>
            </w:pPr>
          </w:p>
        </w:tc>
      </w:tr>
      <w:tr>
        <w:trPr>
          <w:trHeight w:val="20"/>
        </w:trPr>
        <w:tc>
          <w:tcPr>
            <w:tcW w:w="76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660" w:type="dxa"/>
            <w:vAlign w:val="bottom"/>
            <w:tcBorders>
              <w:bottom w:val="single" w:sz="8" w:color="CCECFF"/>
            </w:tcBorders>
            <w:shd w:val="clear" w:color="auto" w:fill="CCECFF"/>
          </w:tcPr>
          <w:p>
            <w:pPr>
              <w:ind w:left="200"/>
              <w:spacing w:after="0" w:line="156" w:lineRule="exact"/>
              <w:rPr>
                <w:sz w:val="20"/>
                <w:szCs w:val="20"/>
                <w:color w:val="auto"/>
              </w:rPr>
            </w:pPr>
            <w:r>
              <w:rPr>
                <w:rFonts w:ascii="Arial" w:cs="Arial" w:eastAsia="Arial" w:hAnsi="Arial"/>
                <w:sz w:val="14"/>
                <w:szCs w:val="14"/>
                <w:color w:val="auto"/>
              </w:rPr>
              <w:t>Taxes paid</w:t>
            </w:r>
          </w:p>
        </w:tc>
        <w:tc>
          <w:tcPr>
            <w:tcW w:w="1000" w:type="dxa"/>
            <w:vAlign w:val="bottom"/>
            <w:tcBorders>
              <w:bottom w:val="single" w:sz="8" w:color="auto"/>
            </w:tcBorders>
            <w:shd w:val="clear" w:color="auto" w:fill="CCECFF"/>
          </w:tcPr>
          <w:p>
            <w:pPr>
              <w:jc w:val="right"/>
              <w:ind w:right="848"/>
              <w:spacing w:after="0" w:line="156" w:lineRule="exact"/>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shd w:val="clear" w:color="auto" w:fill="CCECFF"/>
          </w:tcPr>
          <w:p>
            <w:pPr>
              <w:jc w:val="right"/>
              <w:spacing w:after="0" w:line="156" w:lineRule="exact"/>
              <w:rPr>
                <w:sz w:val="20"/>
                <w:szCs w:val="20"/>
                <w:color w:val="auto"/>
              </w:rPr>
            </w:pPr>
            <w:r>
              <w:rPr>
                <w:rFonts w:ascii="Arial" w:cs="Arial" w:eastAsia="Arial" w:hAnsi="Arial"/>
                <w:sz w:val="14"/>
                <w:szCs w:val="14"/>
                <w:color w:val="auto"/>
              </w:rPr>
              <w:t>2,557</w:t>
            </w:r>
          </w:p>
        </w:tc>
        <w:tc>
          <w:tcPr>
            <w:tcW w:w="280" w:type="dxa"/>
            <w:vAlign w:val="bottom"/>
            <w:tcBorders>
              <w:bottom w:val="single" w:sz="8" w:color="CCECFF"/>
            </w:tcBorders>
            <w:shd w:val="clear" w:color="auto" w:fill="CCECFF"/>
          </w:tcPr>
          <w:p>
            <w:pPr>
              <w:spacing w:after="0"/>
              <w:rPr>
                <w:sz w:val="17"/>
                <w:szCs w:val="17"/>
                <w:color w:val="auto"/>
              </w:rPr>
            </w:pPr>
          </w:p>
        </w:tc>
        <w:tc>
          <w:tcPr>
            <w:tcW w:w="1020" w:type="dxa"/>
            <w:vAlign w:val="bottom"/>
            <w:tcBorders>
              <w:bottom w:val="single" w:sz="8" w:color="auto"/>
            </w:tcBorders>
            <w:shd w:val="clear" w:color="auto" w:fill="CCECFF"/>
          </w:tcPr>
          <w:p>
            <w:pPr>
              <w:jc w:val="right"/>
              <w:ind w:right="848"/>
              <w:spacing w:after="0" w:line="156" w:lineRule="exact"/>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CFF"/>
          </w:tcPr>
          <w:p>
            <w:pPr>
              <w:jc w:val="right"/>
              <w:spacing w:after="0" w:line="156" w:lineRule="exact"/>
              <w:rPr>
                <w:sz w:val="20"/>
                <w:szCs w:val="20"/>
                <w:color w:val="auto"/>
              </w:rPr>
            </w:pPr>
            <w:r>
              <w:rPr>
                <w:rFonts w:ascii="Arial" w:cs="Arial" w:eastAsia="Arial" w:hAnsi="Arial"/>
                <w:sz w:val="14"/>
                <w:szCs w:val="14"/>
                <w:color w:val="auto"/>
              </w:rPr>
              <w:t>405</w:t>
            </w:r>
          </w:p>
        </w:tc>
        <w:tc>
          <w:tcPr>
            <w:tcW w:w="100" w:type="dxa"/>
            <w:vAlign w:val="bottom"/>
            <w:tcBorders>
              <w:bottom w:val="single" w:sz="8" w:color="CCECFF"/>
            </w:tcBorders>
            <w:shd w:val="clear" w:color="auto" w:fill="CCECFF"/>
          </w:tcPr>
          <w:p>
            <w:pPr>
              <w:spacing w:after="0"/>
              <w:rPr>
                <w:sz w:val="17"/>
                <w:szCs w:val="17"/>
                <w:color w:val="auto"/>
              </w:rPr>
            </w:pPr>
          </w:p>
        </w:tc>
      </w:tr>
      <w:tr>
        <w:trPr>
          <w:trHeight w:val="156"/>
        </w:trPr>
        <w:tc>
          <w:tcPr>
            <w:tcW w:w="7660" w:type="dxa"/>
            <w:vAlign w:val="bottom"/>
          </w:tcPr>
          <w:p>
            <w:pPr>
              <w:ind w:left="200"/>
              <w:spacing w:after="0" w:line="156" w:lineRule="exact"/>
              <w:rPr>
                <w:sz w:val="20"/>
                <w:szCs w:val="20"/>
                <w:color w:val="auto"/>
              </w:rPr>
            </w:pPr>
            <w:r>
              <w:rPr>
                <w:rFonts w:ascii="Arial" w:cs="Arial" w:eastAsia="Arial" w:hAnsi="Arial"/>
                <w:sz w:val="14"/>
                <w:szCs w:val="14"/>
                <w:color w:val="auto"/>
              </w:rPr>
              <w:t>Non-cash exchanges and conversions</w:t>
            </w:r>
          </w:p>
        </w:tc>
        <w:tc>
          <w:tcPr>
            <w:tcW w:w="1000" w:type="dxa"/>
            <w:vAlign w:val="bottom"/>
            <w:tcBorders>
              <w:bottom w:val="single" w:sz="8" w:color="auto"/>
            </w:tcBorders>
          </w:tcPr>
          <w:p>
            <w:pPr>
              <w:jc w:val="right"/>
              <w:ind w:right="848"/>
              <w:spacing w:after="0" w:line="156" w:lineRule="exact"/>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50,352</w:t>
            </w:r>
          </w:p>
        </w:tc>
        <w:tc>
          <w:tcPr>
            <w:tcW w:w="280" w:type="dxa"/>
            <w:vAlign w:val="bottom"/>
          </w:tcPr>
          <w:p>
            <w:pPr>
              <w:spacing w:after="0"/>
              <w:rPr>
                <w:sz w:val="13"/>
                <w:szCs w:val="13"/>
                <w:color w:val="auto"/>
              </w:rPr>
            </w:pPr>
          </w:p>
        </w:tc>
        <w:tc>
          <w:tcPr>
            <w:tcW w:w="1020" w:type="dxa"/>
            <w:vAlign w:val="bottom"/>
            <w:tcBorders>
              <w:bottom w:val="single" w:sz="8" w:color="auto"/>
            </w:tcBorders>
          </w:tcPr>
          <w:p>
            <w:pPr>
              <w:jc w:val="right"/>
              <w:ind w:right="848"/>
              <w:spacing w:after="0" w:line="156" w:lineRule="exact"/>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20,491</w:t>
            </w:r>
          </w:p>
        </w:tc>
        <w:tc>
          <w:tcPr>
            <w:tcW w:w="100" w:type="dxa"/>
            <w:vAlign w:val="bottom"/>
          </w:tcPr>
          <w:p>
            <w:pPr>
              <w:spacing w:after="0"/>
              <w:rPr>
                <w:sz w:val="13"/>
                <w:szCs w:val="13"/>
                <w:color w:val="auto"/>
              </w:rPr>
            </w:pPr>
          </w:p>
        </w:tc>
      </w:tr>
      <w:tr>
        <w:trPr>
          <w:trHeight w:val="20"/>
        </w:trPr>
        <w:tc>
          <w:tcPr>
            <w:tcW w:w="76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-2028190</wp:posOffset>
            </wp:positionV>
            <wp:extent cx="68580" cy="57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-2028190</wp:posOffset>
            </wp:positionV>
            <wp:extent cx="68580" cy="57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-1127760</wp:posOffset>
            </wp:positionV>
            <wp:extent cx="68580" cy="57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-1127760</wp:posOffset>
            </wp:positionV>
            <wp:extent cx="68580" cy="57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-664845</wp:posOffset>
            </wp:positionV>
            <wp:extent cx="68580" cy="57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-664845</wp:posOffset>
            </wp:positionV>
            <wp:extent cx="68580" cy="57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-162560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-145415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-145415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SCHEDULE OF INVESTMENTS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JUNE 30, 2022</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tcPr>
          <w:p>
            <w:pPr>
              <w:jc w:val="center"/>
              <w:spacing w:after="0"/>
              <w:rPr>
                <w:sz w:val="20"/>
                <w:szCs w:val="20"/>
                <w:color w:val="auto"/>
              </w:rPr>
            </w:pPr>
            <w:r>
              <w:rPr>
                <w:rFonts w:ascii="Arial" w:cs="Arial" w:eastAsia="Arial" w:hAnsi="Arial"/>
                <w:sz w:val="11"/>
                <w:szCs w:val="11"/>
                <w:b w:val="1"/>
                <w:bCs w:val="1"/>
                <w:color w:val="auto"/>
                <w:w w:val="83"/>
              </w:rPr>
              <w:t>Basis Point</w:t>
            </w: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gridSpan w:val="2"/>
            <w:vMerge w:val="restart"/>
          </w:tcPr>
          <w:p>
            <w:pPr>
              <w:jc w:val="right"/>
              <w:ind w:right="280"/>
              <w:spacing w:after="0"/>
              <w:rPr>
                <w:sz w:val="20"/>
                <w:szCs w:val="20"/>
                <w:color w:val="auto"/>
              </w:rPr>
            </w:pPr>
            <w:r>
              <w:rPr>
                <w:rFonts w:ascii="Arial" w:cs="Arial" w:eastAsia="Arial" w:hAnsi="Arial"/>
                <w:sz w:val="11"/>
                <w:szCs w:val="11"/>
                <w:b w:val="1"/>
                <w:bCs w:val="1"/>
                <w:color w:val="auto"/>
              </w:rPr>
              <w:t>Current</w:t>
            </w:r>
          </w:p>
        </w:tc>
        <w:tc>
          <w:tcPr>
            <w:tcW w:w="120" w:type="dxa"/>
            <w:vAlign w:val="bottom"/>
          </w:tcPr>
          <w:p>
            <w:pPr>
              <w:spacing w:after="0"/>
              <w:rPr>
                <w:sz w:val="9"/>
                <w:szCs w:val="9"/>
                <w:color w:val="auto"/>
              </w:rPr>
            </w:pPr>
          </w:p>
        </w:tc>
        <w:tc>
          <w:tcPr>
            <w:tcW w:w="680" w:type="dxa"/>
            <w:vAlign w:val="bottom"/>
          </w:tcPr>
          <w:p>
            <w:pPr>
              <w:jc w:val="center"/>
              <w:ind w:left="266"/>
              <w:spacing w:after="0" w:line="108" w:lineRule="exact"/>
              <w:rPr>
                <w:sz w:val="20"/>
                <w:szCs w:val="20"/>
                <w:color w:val="auto"/>
              </w:rPr>
            </w:pPr>
            <w:r>
              <w:rPr>
                <w:rFonts w:ascii="Arial" w:cs="Arial" w:eastAsia="Arial" w:hAnsi="Arial"/>
                <w:sz w:val="11"/>
                <w:szCs w:val="11"/>
                <w:b w:val="1"/>
                <w:bCs w:val="1"/>
                <w:color w:val="auto"/>
                <w:w w:val="85"/>
              </w:rPr>
              <w:t>Spread</w:t>
            </w: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vMerge w:val="restart"/>
          </w:tcPr>
          <w:p>
            <w:pPr>
              <w:jc w:val="right"/>
              <w:ind w:right="166"/>
              <w:spacing w:after="0"/>
              <w:rPr>
                <w:sz w:val="20"/>
                <w:szCs w:val="20"/>
                <w:color w:val="auto"/>
              </w:rPr>
            </w:pPr>
            <w:r>
              <w:rPr>
                <w:rFonts w:ascii="Arial" w:cs="Arial" w:eastAsia="Arial" w:hAnsi="Arial"/>
                <w:sz w:val="11"/>
                <w:szCs w:val="11"/>
                <w:b w:val="1"/>
                <w:bCs w:val="1"/>
                <w:color w:val="auto"/>
              </w:rPr>
              <w:t>Par /</w:t>
            </w:r>
          </w:p>
        </w:tc>
        <w:tc>
          <w:tcPr>
            <w:tcW w:w="2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1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Issuer Name</w:t>
            </w:r>
          </w:p>
        </w:tc>
        <w:tc>
          <w:tcPr>
            <w:tcW w:w="120" w:type="dxa"/>
            <w:vAlign w:val="bottom"/>
          </w:tcPr>
          <w:p>
            <w:pPr>
              <w:spacing w:after="0"/>
              <w:rPr>
                <w:sz w:val="9"/>
                <w:szCs w:val="9"/>
                <w:color w:val="auto"/>
              </w:rPr>
            </w:pPr>
          </w:p>
        </w:tc>
        <w:tc>
          <w:tcPr>
            <w:tcW w:w="6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Maturity</w:t>
            </w:r>
          </w:p>
        </w:tc>
        <w:tc>
          <w:tcPr>
            <w:tcW w:w="140" w:type="dxa"/>
            <w:vAlign w:val="bottom"/>
          </w:tcPr>
          <w:p>
            <w:pPr>
              <w:spacing w:after="0"/>
              <w:rPr>
                <w:sz w:val="9"/>
                <w:szCs w:val="9"/>
                <w:color w:val="auto"/>
              </w:rPr>
            </w:pPr>
          </w:p>
        </w:tc>
        <w:tc>
          <w:tcPr>
            <w:tcW w:w="224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2"/>
              </w:rPr>
              <w:t>Industry</w:t>
            </w:r>
          </w:p>
        </w:tc>
        <w:tc>
          <w:tcPr>
            <w:tcW w:w="14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jc w:val="right"/>
              <w:spacing w:after="0" w:line="108" w:lineRule="exact"/>
              <w:rPr>
                <w:sz w:val="20"/>
                <w:szCs w:val="20"/>
                <w:color w:val="auto"/>
              </w:rPr>
            </w:pPr>
            <w:r>
              <w:rPr>
                <w:rFonts w:ascii="Arial" w:cs="Arial" w:eastAsia="Arial" w:hAnsi="Arial"/>
                <w:sz w:val="11"/>
                <w:szCs w:val="11"/>
                <w:b w:val="1"/>
                <w:bCs w:val="1"/>
                <w:color w:val="auto"/>
              </w:rPr>
              <w:t>Above</w:t>
            </w: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vMerge w:val="restart"/>
          </w:tcPr>
          <w:p>
            <w:pPr>
              <w:jc w:val="right"/>
              <w:ind w:right="186"/>
              <w:spacing w:after="0"/>
              <w:rPr>
                <w:sz w:val="20"/>
                <w:szCs w:val="20"/>
                <w:color w:val="auto"/>
              </w:rPr>
            </w:pPr>
            <w:r>
              <w:rPr>
                <w:rFonts w:ascii="Arial" w:cs="Arial" w:eastAsia="Arial" w:hAnsi="Arial"/>
                <w:sz w:val="11"/>
                <w:szCs w:val="11"/>
                <w:b w:val="1"/>
                <w:bCs w:val="1"/>
                <w:color w:val="auto"/>
              </w:rPr>
              <w:t>Cost</w:t>
            </w:r>
          </w:p>
        </w:tc>
        <w:tc>
          <w:tcPr>
            <w:tcW w:w="220" w:type="dxa"/>
            <w:vAlign w:val="bottom"/>
          </w:tcPr>
          <w:p>
            <w:pPr>
              <w:spacing w:after="0"/>
              <w:rPr>
                <w:sz w:val="9"/>
                <w:szCs w:val="9"/>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1"/>
                <w:szCs w:val="11"/>
                <w:b w:val="1"/>
                <w:bCs w:val="1"/>
                <w:color w:val="auto"/>
                <w:w w:val="95"/>
              </w:rPr>
              <w:t xml:space="preserve">Fair Value </w:t>
            </w:r>
            <w:r>
              <w:rPr>
                <w:rFonts w:ascii="Arial" w:cs="Arial" w:eastAsia="Arial" w:hAnsi="Arial"/>
                <w:sz w:val="14"/>
                <w:szCs w:val="14"/>
                <w:b w:val="1"/>
                <w:bCs w:val="1"/>
                <w:color w:val="auto"/>
                <w:w w:val="95"/>
                <w:vertAlign w:val="superscript"/>
              </w:rPr>
              <w:t>(2)</w:t>
            </w:r>
          </w:p>
        </w:tc>
        <w:tc>
          <w:tcPr>
            <w:tcW w:w="0" w:type="dxa"/>
            <w:vAlign w:val="bottom"/>
          </w:tcPr>
          <w:p>
            <w:pPr>
              <w:spacing w:after="0"/>
              <w:rPr>
                <w:sz w:val="1"/>
                <w:szCs w:val="1"/>
                <w:color w:val="auto"/>
              </w:rPr>
            </w:pPr>
          </w:p>
        </w:tc>
      </w:tr>
      <w:tr>
        <w:trPr>
          <w:trHeight w:val="142"/>
        </w:trPr>
        <w:tc>
          <w:tcPr>
            <w:tcW w:w="31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2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1"/>
                <w:szCs w:val="11"/>
                <w:b w:val="1"/>
                <w:bCs w:val="1"/>
                <w:color w:val="auto"/>
              </w:rPr>
              <w:t>Coupon</w:t>
            </w:r>
          </w:p>
        </w:tc>
        <w:tc>
          <w:tcPr>
            <w:tcW w:w="120" w:type="dxa"/>
            <w:vAlign w:val="bottom"/>
          </w:tcPr>
          <w:p>
            <w:pPr>
              <w:spacing w:after="0"/>
              <w:rPr>
                <w:sz w:val="12"/>
                <w:szCs w:val="12"/>
                <w:color w:val="auto"/>
              </w:rPr>
            </w:pPr>
          </w:p>
        </w:tc>
        <w:tc>
          <w:tcPr>
            <w:tcW w:w="980" w:type="dxa"/>
            <w:vAlign w:val="bottom"/>
            <w:gridSpan w:val="2"/>
          </w:tcPr>
          <w:p>
            <w:pPr>
              <w:jc w:val="center"/>
              <w:spacing w:after="0" w:line="130" w:lineRule="exact"/>
              <w:rPr>
                <w:sz w:val="20"/>
                <w:szCs w:val="20"/>
                <w:color w:val="auto"/>
              </w:rPr>
            </w:pPr>
            <w:r>
              <w:rPr>
                <w:rFonts w:ascii="Arial" w:cs="Arial" w:eastAsia="Arial" w:hAnsi="Arial"/>
                <w:sz w:val="11"/>
                <w:szCs w:val="11"/>
                <w:b w:val="1"/>
                <w:bCs w:val="1"/>
                <w:color w:val="auto"/>
                <w:w w:val="87"/>
              </w:rPr>
              <w:t xml:space="preserve">Index </w:t>
            </w:r>
            <w:r>
              <w:rPr>
                <w:rFonts w:ascii="Arial" w:cs="Arial" w:eastAsia="Arial" w:hAnsi="Arial"/>
                <w:sz w:val="14"/>
                <w:szCs w:val="14"/>
                <w:b w:val="1"/>
                <w:bCs w:val="1"/>
                <w:color w:val="auto"/>
                <w:w w:val="87"/>
                <w:vertAlign w:val="superscript"/>
              </w:rPr>
              <w:t>(1)</w:t>
            </w:r>
          </w:p>
        </w:tc>
        <w:tc>
          <w:tcPr>
            <w:tcW w:w="220" w:type="dxa"/>
            <w:vAlign w:val="bottom"/>
          </w:tcPr>
          <w:p>
            <w:pPr>
              <w:spacing w:after="0"/>
              <w:rPr>
                <w:sz w:val="12"/>
                <w:szCs w:val="12"/>
                <w:color w:val="auto"/>
              </w:rPr>
            </w:pPr>
          </w:p>
        </w:tc>
        <w:tc>
          <w:tcPr>
            <w:tcW w:w="700" w:type="dxa"/>
            <w:vAlign w:val="bottom"/>
          </w:tcPr>
          <w:p>
            <w:pPr>
              <w:jc w:val="right"/>
              <w:ind w:right="126"/>
              <w:spacing w:after="0"/>
              <w:rPr>
                <w:sz w:val="20"/>
                <w:szCs w:val="20"/>
                <w:color w:val="auto"/>
              </w:rPr>
            </w:pPr>
            <w:r>
              <w:rPr>
                <w:rFonts w:ascii="Arial" w:cs="Arial" w:eastAsia="Arial" w:hAnsi="Arial"/>
                <w:sz w:val="11"/>
                <w:szCs w:val="11"/>
                <w:b w:val="1"/>
                <w:bCs w:val="1"/>
                <w:color w:val="auto"/>
              </w:rPr>
              <w:t>Shares</w:t>
            </w:r>
          </w:p>
        </w:tc>
        <w:tc>
          <w:tcPr>
            <w:tcW w:w="2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900" w:type="dxa"/>
            <w:vAlign w:val="bottom"/>
            <w:gridSpan w:val="3"/>
          </w:tcPr>
          <w:p>
            <w:pPr>
              <w:ind w:left="20"/>
              <w:spacing w:after="0" w:line="121" w:lineRule="exact"/>
              <w:rPr>
                <w:sz w:val="20"/>
                <w:szCs w:val="20"/>
                <w:color w:val="auto"/>
              </w:rPr>
            </w:pPr>
            <w:r>
              <w:rPr>
                <w:rFonts w:ascii="Arial" w:cs="Arial" w:eastAsia="Arial" w:hAnsi="Arial"/>
                <w:sz w:val="11"/>
                <w:szCs w:val="11"/>
                <w:b w:val="1"/>
                <w:bCs w:val="1"/>
                <w:color w:val="auto"/>
                <w:w w:val="90"/>
              </w:rPr>
              <w:t xml:space="preserve">Investments in Non-Controlled, Non-Affiliated Portfolio Companies—187.1% </w:t>
            </w:r>
            <w:r>
              <w:rPr>
                <w:rFonts w:ascii="Arial" w:cs="Arial" w:eastAsia="Arial" w:hAnsi="Arial"/>
                <w:sz w:val="14"/>
                <w:szCs w:val="14"/>
                <w:b w:val="1"/>
                <w:bCs w:val="1"/>
                <w:color w:val="auto"/>
                <w:w w:val="90"/>
                <w:vertAlign w:val="superscript"/>
              </w:rPr>
              <w:t>(3), (4)</w:t>
            </w:r>
          </w:p>
        </w:tc>
        <w:tc>
          <w:tcPr>
            <w:tcW w:w="140" w:type="dxa"/>
            <w:vAlign w:val="bottom"/>
          </w:tcPr>
          <w:p>
            <w:pPr>
              <w:spacing w:after="0"/>
              <w:rPr>
                <w:sz w:val="10"/>
                <w:szCs w:val="10"/>
                <w:color w:val="auto"/>
              </w:rPr>
            </w:pPr>
          </w:p>
        </w:tc>
        <w:tc>
          <w:tcPr>
            <w:tcW w:w="224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3160" w:type="dxa"/>
            <w:vAlign w:val="bottom"/>
          </w:tcPr>
          <w:p>
            <w:pPr>
              <w:ind w:left="20"/>
              <w:spacing w:after="0"/>
              <w:rPr>
                <w:sz w:val="20"/>
                <w:szCs w:val="20"/>
                <w:color w:val="auto"/>
              </w:rPr>
            </w:pPr>
            <w:r>
              <w:rPr>
                <w:rFonts w:ascii="Arial" w:cs="Arial" w:eastAsia="Arial" w:hAnsi="Arial"/>
                <w:sz w:val="11"/>
                <w:szCs w:val="11"/>
                <w:b w:val="1"/>
                <w:bCs w:val="1"/>
                <w:color w:val="auto"/>
              </w:rPr>
              <w:t>First Lien Secured Debt—166.7%</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3160" w:type="dxa"/>
            <w:vAlign w:val="bottom"/>
          </w:tcPr>
          <w:p>
            <w:pPr>
              <w:ind w:left="20"/>
              <w:spacing w:after="0" w:line="115" w:lineRule="exact"/>
              <w:rPr>
                <w:sz w:val="20"/>
                <w:szCs w:val="20"/>
                <w:color w:val="auto"/>
              </w:rPr>
            </w:pPr>
            <w:r>
              <w:rPr>
                <w:rFonts w:ascii="Arial" w:cs="Arial" w:eastAsia="Arial" w:hAnsi="Arial"/>
                <w:sz w:val="11"/>
                <w:szCs w:val="11"/>
                <w:color w:val="auto"/>
              </w:rPr>
              <w:t>Ad.net Acquisition, LLC</w:t>
            </w:r>
          </w:p>
        </w:tc>
        <w:tc>
          <w:tcPr>
            <w:tcW w:w="740" w:type="dxa"/>
            <w:vAlign w:val="bottom"/>
            <w:gridSpan w:val="2"/>
          </w:tcPr>
          <w:p>
            <w:pPr>
              <w:jc w:val="center"/>
              <w:ind w:left="86"/>
              <w:spacing w:after="0" w:line="115" w:lineRule="exact"/>
              <w:rPr>
                <w:sz w:val="20"/>
                <w:szCs w:val="20"/>
                <w:color w:val="auto"/>
              </w:rPr>
            </w:pPr>
            <w:r>
              <w:rPr>
                <w:rFonts w:ascii="Arial" w:cs="Arial" w:eastAsia="Arial" w:hAnsi="Arial"/>
                <w:sz w:val="11"/>
                <w:szCs w:val="11"/>
                <w:color w:val="auto"/>
                <w:w w:val="87"/>
              </w:rPr>
              <w:t>05/06/2026</w:t>
            </w:r>
          </w:p>
        </w:tc>
        <w:tc>
          <w:tcPr>
            <w:tcW w:w="140" w:type="dxa"/>
            <w:vAlign w:val="bottom"/>
          </w:tcPr>
          <w:p>
            <w:pPr>
              <w:spacing w:after="0"/>
              <w:rPr>
                <w:sz w:val="9"/>
                <w:szCs w:val="9"/>
                <w:color w:val="auto"/>
              </w:rPr>
            </w:pPr>
          </w:p>
        </w:tc>
        <w:tc>
          <w:tcPr>
            <w:tcW w:w="2240" w:type="dxa"/>
            <w:vAlign w:val="bottom"/>
          </w:tcPr>
          <w:p>
            <w:pPr>
              <w:jc w:val="center"/>
              <w:spacing w:after="0" w:line="115" w:lineRule="exact"/>
              <w:rPr>
                <w:sz w:val="20"/>
                <w:szCs w:val="20"/>
                <w:color w:val="auto"/>
              </w:rPr>
            </w:pPr>
            <w:r>
              <w:rPr>
                <w:rFonts w:ascii="Arial" w:cs="Arial" w:eastAsia="Arial" w:hAnsi="Arial"/>
                <w:sz w:val="11"/>
                <w:szCs w:val="11"/>
                <w:color w:val="auto"/>
                <w:w w:val="93"/>
              </w:rPr>
              <w:t>Media</w:t>
            </w:r>
          </w:p>
        </w:tc>
        <w:tc>
          <w:tcPr>
            <w:tcW w:w="960" w:type="dxa"/>
            <w:vAlign w:val="bottom"/>
            <w:gridSpan w:val="3"/>
          </w:tcPr>
          <w:p>
            <w:pPr>
              <w:jc w:val="right"/>
              <w:ind w:right="20"/>
              <w:spacing w:after="0" w:line="115" w:lineRule="exact"/>
              <w:rPr>
                <w:sz w:val="20"/>
                <w:szCs w:val="20"/>
                <w:color w:val="auto"/>
              </w:rPr>
            </w:pPr>
            <w:r>
              <w:rPr>
                <w:rFonts w:ascii="Arial" w:cs="Arial" w:eastAsia="Arial" w:hAnsi="Arial"/>
                <w:sz w:val="11"/>
                <w:szCs w:val="11"/>
                <w:color w:val="auto"/>
              </w:rPr>
              <w:t>8.25 %</w:t>
            </w:r>
          </w:p>
        </w:tc>
        <w:tc>
          <w:tcPr>
            <w:tcW w:w="120" w:type="dxa"/>
            <w:vAlign w:val="bottom"/>
          </w:tcPr>
          <w:p>
            <w:pPr>
              <w:spacing w:after="0"/>
              <w:rPr>
                <w:sz w:val="9"/>
                <w:szCs w:val="9"/>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1"/>
                <w:szCs w:val="11"/>
                <w:color w:val="auto"/>
              </w:rPr>
              <w:t>3M</w:t>
            </w:r>
          </w:p>
        </w:tc>
        <w:tc>
          <w:tcPr>
            <w:tcW w:w="300" w:type="dxa"/>
            <w:vAlign w:val="bottom"/>
          </w:tcPr>
          <w:p>
            <w:pPr>
              <w:jc w:val="right"/>
              <w:spacing w:after="0" w:line="115" w:lineRule="exact"/>
              <w:rPr>
                <w:sz w:val="20"/>
                <w:szCs w:val="20"/>
                <w:color w:val="auto"/>
              </w:rPr>
            </w:pPr>
            <w:r>
              <w:rPr>
                <w:rFonts w:ascii="Arial" w:cs="Arial" w:eastAsia="Arial" w:hAnsi="Arial"/>
                <w:sz w:val="11"/>
                <w:szCs w:val="11"/>
                <w:color w:val="auto"/>
                <w:w w:val="84"/>
              </w:rPr>
              <w:t>L+600</w:t>
            </w:r>
          </w:p>
        </w:tc>
        <w:tc>
          <w:tcPr>
            <w:tcW w:w="9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4,950</w:t>
            </w:r>
          </w:p>
        </w:tc>
        <w:tc>
          <w:tcPr>
            <w:tcW w:w="94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4,890</w:t>
            </w:r>
          </w:p>
        </w:tc>
        <w:tc>
          <w:tcPr>
            <w:tcW w:w="94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4,950</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316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Ad.net Acquisition, LLC (Revolver) </w:t>
            </w:r>
            <w:r>
              <w:rPr>
                <w:rFonts w:ascii="Arial" w:cs="Arial" w:eastAsia="Arial" w:hAnsi="Arial"/>
                <w:sz w:val="14"/>
                <w:szCs w:val="14"/>
                <w:color w:val="auto"/>
                <w:vertAlign w:val="superscript"/>
              </w:rPr>
              <w:t>(7), (9)</w:t>
            </w:r>
          </w:p>
        </w:tc>
        <w:tc>
          <w:tcPr>
            <w:tcW w:w="74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05/06/2026</w:t>
            </w:r>
          </w:p>
        </w:tc>
        <w:tc>
          <w:tcPr>
            <w:tcW w:w="140" w:type="dxa"/>
            <w:vAlign w:val="bottom"/>
          </w:tcPr>
          <w:p>
            <w:pPr>
              <w:spacing w:after="0"/>
              <w:rPr>
                <w:sz w:val="13"/>
                <w:szCs w:val="13"/>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14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1,244</w:t>
            </w:r>
          </w:p>
        </w:tc>
        <w:tc>
          <w:tcPr>
            <w:tcW w:w="2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5"/>
        </w:trPr>
        <w:tc>
          <w:tcPr>
            <w:tcW w:w="3160" w:type="dxa"/>
            <w:vAlign w:val="bottom"/>
          </w:tcPr>
          <w:p>
            <w:pPr>
              <w:ind w:left="20"/>
              <w:spacing w:after="0" w:line="115" w:lineRule="exact"/>
              <w:rPr>
                <w:sz w:val="20"/>
                <w:szCs w:val="20"/>
                <w:color w:val="auto"/>
              </w:rPr>
            </w:pPr>
            <w:r>
              <w:rPr>
                <w:rFonts w:ascii="Arial" w:cs="Arial" w:eastAsia="Arial" w:hAnsi="Arial"/>
                <w:sz w:val="11"/>
                <w:szCs w:val="11"/>
                <w:color w:val="auto"/>
              </w:rPr>
              <w:t>Altamira Technologies, LLC</w:t>
            </w:r>
          </w:p>
        </w:tc>
        <w:tc>
          <w:tcPr>
            <w:tcW w:w="740" w:type="dxa"/>
            <w:vAlign w:val="bottom"/>
            <w:gridSpan w:val="2"/>
          </w:tcPr>
          <w:p>
            <w:pPr>
              <w:jc w:val="center"/>
              <w:ind w:left="86"/>
              <w:spacing w:after="0" w:line="115" w:lineRule="exact"/>
              <w:rPr>
                <w:sz w:val="20"/>
                <w:szCs w:val="20"/>
                <w:color w:val="auto"/>
              </w:rPr>
            </w:pPr>
            <w:r>
              <w:rPr>
                <w:rFonts w:ascii="Arial" w:cs="Arial" w:eastAsia="Arial" w:hAnsi="Arial"/>
                <w:sz w:val="11"/>
                <w:szCs w:val="11"/>
                <w:color w:val="auto"/>
                <w:w w:val="87"/>
              </w:rPr>
              <w:t>07/24/2025</w:t>
            </w:r>
          </w:p>
        </w:tc>
        <w:tc>
          <w:tcPr>
            <w:tcW w:w="140" w:type="dxa"/>
            <w:vAlign w:val="bottom"/>
          </w:tcPr>
          <w:p>
            <w:pPr>
              <w:spacing w:after="0"/>
              <w:rPr>
                <w:sz w:val="9"/>
                <w:szCs w:val="9"/>
                <w:color w:val="auto"/>
              </w:rPr>
            </w:pPr>
          </w:p>
        </w:tc>
        <w:tc>
          <w:tcPr>
            <w:tcW w:w="2240" w:type="dxa"/>
            <w:vAlign w:val="bottom"/>
          </w:tcPr>
          <w:p>
            <w:pPr>
              <w:jc w:val="center"/>
              <w:spacing w:after="0" w:line="115" w:lineRule="exact"/>
              <w:rPr>
                <w:sz w:val="20"/>
                <w:szCs w:val="20"/>
                <w:color w:val="auto"/>
              </w:rPr>
            </w:pPr>
            <w:r>
              <w:rPr>
                <w:rFonts w:ascii="Arial" w:cs="Arial" w:eastAsia="Arial" w:hAnsi="Arial"/>
                <w:sz w:val="11"/>
                <w:szCs w:val="11"/>
                <w:color w:val="auto"/>
                <w:w w:val="90"/>
              </w:rPr>
              <w:t>IT Services</w:t>
            </w:r>
          </w:p>
        </w:tc>
        <w:tc>
          <w:tcPr>
            <w:tcW w:w="960" w:type="dxa"/>
            <w:vAlign w:val="bottom"/>
            <w:gridSpan w:val="3"/>
          </w:tcPr>
          <w:p>
            <w:pPr>
              <w:jc w:val="right"/>
              <w:ind w:right="20"/>
              <w:spacing w:after="0" w:line="115" w:lineRule="exact"/>
              <w:rPr>
                <w:sz w:val="20"/>
                <w:szCs w:val="20"/>
                <w:color w:val="auto"/>
              </w:rPr>
            </w:pPr>
            <w:r>
              <w:rPr>
                <w:rFonts w:ascii="Arial" w:cs="Arial" w:eastAsia="Arial" w:hAnsi="Arial"/>
                <w:sz w:val="11"/>
                <w:szCs w:val="11"/>
                <w:color w:val="auto"/>
              </w:rPr>
              <w:t>9.24 %</w:t>
            </w:r>
          </w:p>
        </w:tc>
        <w:tc>
          <w:tcPr>
            <w:tcW w:w="120" w:type="dxa"/>
            <w:vAlign w:val="bottom"/>
          </w:tcPr>
          <w:p>
            <w:pPr>
              <w:spacing w:after="0"/>
              <w:rPr>
                <w:sz w:val="9"/>
                <w:szCs w:val="9"/>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1"/>
                <w:szCs w:val="11"/>
                <w:color w:val="auto"/>
              </w:rPr>
              <w:t>3M</w:t>
            </w:r>
          </w:p>
        </w:tc>
        <w:tc>
          <w:tcPr>
            <w:tcW w:w="300" w:type="dxa"/>
            <w:vAlign w:val="bottom"/>
          </w:tcPr>
          <w:p>
            <w:pPr>
              <w:jc w:val="right"/>
              <w:spacing w:after="0" w:line="115" w:lineRule="exact"/>
              <w:rPr>
                <w:sz w:val="20"/>
                <w:szCs w:val="20"/>
                <w:color w:val="auto"/>
              </w:rPr>
            </w:pPr>
            <w:r>
              <w:rPr>
                <w:rFonts w:ascii="Arial" w:cs="Arial" w:eastAsia="Arial" w:hAnsi="Arial"/>
                <w:sz w:val="11"/>
                <w:szCs w:val="11"/>
                <w:color w:val="auto"/>
                <w:w w:val="84"/>
              </w:rPr>
              <w:t>L+800</w:t>
            </w:r>
          </w:p>
        </w:tc>
        <w:tc>
          <w:tcPr>
            <w:tcW w:w="9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4,863</w:t>
            </w:r>
          </w:p>
        </w:tc>
        <w:tc>
          <w:tcPr>
            <w:tcW w:w="94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4,821</w:t>
            </w:r>
          </w:p>
        </w:tc>
        <w:tc>
          <w:tcPr>
            <w:tcW w:w="94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4,632</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16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Altamira Technologies, LLC (Revolver) </w:t>
            </w:r>
            <w:r>
              <w:rPr>
                <w:rFonts w:ascii="Arial" w:cs="Arial" w:eastAsia="Arial" w:hAnsi="Arial"/>
                <w:sz w:val="14"/>
                <w:szCs w:val="14"/>
                <w:color w:val="auto"/>
                <w:vertAlign w:val="superscript"/>
              </w:rPr>
              <w:t>(7)</w:t>
            </w:r>
          </w:p>
        </w:tc>
        <w:tc>
          <w:tcPr>
            <w:tcW w:w="74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07/24/2025</w:t>
            </w:r>
          </w:p>
        </w:tc>
        <w:tc>
          <w:tcPr>
            <w:tcW w:w="140" w:type="dxa"/>
            <w:vAlign w:val="bottom"/>
          </w:tcPr>
          <w:p>
            <w:pPr>
              <w:spacing w:after="0"/>
              <w:rPr>
                <w:sz w:val="11"/>
                <w:szCs w:val="11"/>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90"/>
              </w:rPr>
              <w:t>IT Services</w:t>
            </w:r>
          </w:p>
        </w:tc>
        <w:tc>
          <w:tcPr>
            <w:tcW w:w="960" w:type="dxa"/>
            <w:vAlign w:val="bottom"/>
            <w:gridSpan w:val="3"/>
          </w:tcPr>
          <w:p>
            <w:pPr>
              <w:jc w:val="right"/>
              <w:ind w:right="20"/>
              <w:spacing w:after="0"/>
              <w:rPr>
                <w:sz w:val="20"/>
                <w:szCs w:val="20"/>
                <w:color w:val="auto"/>
              </w:rPr>
            </w:pPr>
            <w:r>
              <w:rPr>
                <w:rFonts w:ascii="Arial" w:cs="Arial" w:eastAsia="Arial" w:hAnsi="Arial"/>
                <w:sz w:val="11"/>
                <w:szCs w:val="11"/>
                <w:color w:val="auto"/>
              </w:rPr>
              <w:t>10.25 %</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3M</w:t>
            </w:r>
          </w:p>
        </w:tc>
        <w:tc>
          <w:tcPr>
            <w:tcW w:w="300" w:type="dxa"/>
            <w:vAlign w:val="bottom"/>
          </w:tcPr>
          <w:p>
            <w:pPr>
              <w:jc w:val="right"/>
              <w:spacing w:after="0"/>
              <w:rPr>
                <w:sz w:val="20"/>
                <w:szCs w:val="20"/>
                <w:color w:val="auto"/>
              </w:rPr>
            </w:pPr>
            <w:r>
              <w:rPr>
                <w:rFonts w:ascii="Arial" w:cs="Arial" w:eastAsia="Arial" w:hAnsi="Arial"/>
                <w:sz w:val="11"/>
                <w:szCs w:val="11"/>
                <w:color w:val="auto"/>
                <w:w w:val="84"/>
              </w:rPr>
              <w:t>L+800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575</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575</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548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16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Altamira Technologies, LLC (Revolver) </w:t>
            </w:r>
            <w:r>
              <w:rPr>
                <w:rFonts w:ascii="Arial" w:cs="Arial" w:eastAsia="Arial" w:hAnsi="Arial"/>
                <w:sz w:val="14"/>
                <w:szCs w:val="14"/>
                <w:color w:val="auto"/>
                <w:vertAlign w:val="superscript"/>
              </w:rPr>
              <w:t>(7), (9)</w:t>
            </w:r>
          </w:p>
        </w:tc>
        <w:tc>
          <w:tcPr>
            <w:tcW w:w="74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07/24/2025</w:t>
            </w:r>
          </w:p>
        </w:tc>
        <w:tc>
          <w:tcPr>
            <w:tcW w:w="140" w:type="dxa"/>
            <w:vAlign w:val="bottom"/>
          </w:tcPr>
          <w:p>
            <w:pPr>
              <w:spacing w:after="0"/>
              <w:rPr>
                <w:sz w:val="13"/>
                <w:szCs w:val="13"/>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90"/>
              </w:rPr>
              <w:t>IT Services</w:t>
            </w:r>
          </w:p>
        </w:tc>
        <w:tc>
          <w:tcPr>
            <w:tcW w:w="14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1,581</w:t>
            </w:r>
          </w:p>
        </w:tc>
        <w:tc>
          <w:tcPr>
            <w:tcW w:w="2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1040" w:type="dxa"/>
            <w:vAlign w:val="bottom"/>
            <w:gridSpan w:val="3"/>
          </w:tcPr>
          <w:p>
            <w:pPr>
              <w:jc w:val="right"/>
              <w:ind w:right="60"/>
              <w:spacing w:after="0"/>
              <w:rPr>
                <w:sz w:val="20"/>
                <w:szCs w:val="20"/>
                <w:color w:val="auto"/>
              </w:rPr>
            </w:pPr>
            <w:r>
              <w:rPr>
                <w:rFonts w:ascii="Arial" w:cs="Arial" w:eastAsia="Arial" w:hAnsi="Arial"/>
                <w:sz w:val="11"/>
                <w:szCs w:val="11"/>
                <w:color w:val="auto"/>
              </w:rPr>
              <w:t>(75 )</w:t>
            </w:r>
          </w:p>
        </w:tc>
        <w:tc>
          <w:tcPr>
            <w:tcW w:w="0" w:type="dxa"/>
            <w:vAlign w:val="bottom"/>
          </w:tcPr>
          <w:p>
            <w:pPr>
              <w:spacing w:after="0"/>
              <w:rPr>
                <w:sz w:val="1"/>
                <w:szCs w:val="1"/>
                <w:color w:val="auto"/>
              </w:rPr>
            </w:pPr>
          </w:p>
        </w:tc>
      </w:tr>
      <w:tr>
        <w:trPr>
          <w:trHeight w:val="121"/>
        </w:trPr>
        <w:tc>
          <w:tcPr>
            <w:tcW w:w="3160" w:type="dxa"/>
            <w:vAlign w:val="bottom"/>
          </w:tcPr>
          <w:p>
            <w:pPr>
              <w:ind w:left="20"/>
              <w:spacing w:after="0" w:line="121" w:lineRule="exact"/>
              <w:rPr>
                <w:sz w:val="20"/>
                <w:szCs w:val="20"/>
                <w:color w:val="auto"/>
              </w:rPr>
            </w:pPr>
            <w:r>
              <w:rPr>
                <w:rFonts w:ascii="Arial" w:cs="Arial" w:eastAsia="Arial" w:hAnsi="Arial"/>
                <w:sz w:val="11"/>
                <w:szCs w:val="11"/>
                <w:color w:val="auto"/>
              </w:rPr>
              <w:t>American Insulated Glass, LLC</w:t>
            </w:r>
          </w:p>
        </w:tc>
        <w:tc>
          <w:tcPr>
            <w:tcW w:w="740" w:type="dxa"/>
            <w:vAlign w:val="bottom"/>
            <w:gridSpan w:val="2"/>
          </w:tcPr>
          <w:p>
            <w:pPr>
              <w:jc w:val="center"/>
              <w:ind w:left="86"/>
              <w:spacing w:after="0" w:line="121" w:lineRule="exact"/>
              <w:rPr>
                <w:sz w:val="20"/>
                <w:szCs w:val="20"/>
                <w:color w:val="auto"/>
              </w:rPr>
            </w:pPr>
            <w:r>
              <w:rPr>
                <w:rFonts w:ascii="Arial" w:cs="Arial" w:eastAsia="Arial" w:hAnsi="Arial"/>
                <w:sz w:val="11"/>
                <w:szCs w:val="11"/>
                <w:color w:val="auto"/>
                <w:w w:val="87"/>
              </w:rPr>
              <w:t>12/21/2023</w:t>
            </w:r>
          </w:p>
        </w:tc>
        <w:tc>
          <w:tcPr>
            <w:tcW w:w="140" w:type="dxa"/>
            <w:vAlign w:val="bottom"/>
          </w:tcPr>
          <w:p>
            <w:pPr>
              <w:spacing w:after="0"/>
              <w:rPr>
                <w:sz w:val="10"/>
                <w:szCs w:val="10"/>
                <w:color w:val="auto"/>
              </w:rPr>
            </w:pPr>
          </w:p>
        </w:tc>
        <w:tc>
          <w:tcPr>
            <w:tcW w:w="2240" w:type="dxa"/>
            <w:vAlign w:val="bottom"/>
          </w:tcPr>
          <w:p>
            <w:pPr>
              <w:jc w:val="center"/>
              <w:spacing w:after="0" w:line="121" w:lineRule="exact"/>
              <w:rPr>
                <w:sz w:val="20"/>
                <w:szCs w:val="20"/>
                <w:color w:val="auto"/>
              </w:rPr>
            </w:pPr>
            <w:r>
              <w:rPr>
                <w:rFonts w:ascii="Arial" w:cs="Arial" w:eastAsia="Arial" w:hAnsi="Arial"/>
                <w:sz w:val="11"/>
                <w:szCs w:val="11"/>
                <w:color w:val="auto"/>
                <w:w w:val="91"/>
              </w:rPr>
              <w:t>Building Products</w:t>
            </w:r>
          </w:p>
        </w:tc>
        <w:tc>
          <w:tcPr>
            <w:tcW w:w="960" w:type="dxa"/>
            <w:vAlign w:val="bottom"/>
            <w:gridSpan w:val="3"/>
          </w:tcPr>
          <w:p>
            <w:pPr>
              <w:jc w:val="right"/>
              <w:ind w:right="20"/>
              <w:spacing w:after="0" w:line="121" w:lineRule="exact"/>
              <w:rPr>
                <w:sz w:val="20"/>
                <w:szCs w:val="20"/>
                <w:color w:val="auto"/>
              </w:rPr>
            </w:pPr>
            <w:r>
              <w:rPr>
                <w:rFonts w:ascii="Arial" w:cs="Arial" w:eastAsia="Arial" w:hAnsi="Arial"/>
                <w:sz w:val="11"/>
                <w:szCs w:val="11"/>
                <w:color w:val="auto"/>
              </w:rPr>
              <w:t>6.50 %</w:t>
            </w:r>
          </w:p>
        </w:tc>
        <w:tc>
          <w:tcPr>
            <w:tcW w:w="120" w:type="dxa"/>
            <w:vAlign w:val="bottom"/>
          </w:tcPr>
          <w:p>
            <w:pPr>
              <w:jc w:val="right"/>
              <w:ind w:right="10"/>
              <w:spacing w:after="0"/>
              <w:rPr>
                <w:sz w:val="20"/>
                <w:szCs w:val="20"/>
                <w:color w:val="auto"/>
              </w:rPr>
            </w:pPr>
            <w:r>
              <w:rPr>
                <w:rFonts w:ascii="Arial" w:cs="Arial" w:eastAsia="Arial" w:hAnsi="Arial"/>
                <w:sz w:val="6"/>
                <w:szCs w:val="6"/>
                <w:color w:val="auto"/>
                <w:w w:val="81"/>
              </w:rPr>
              <w:t>(6)</w:t>
            </w:r>
          </w:p>
        </w:tc>
        <w:tc>
          <w:tcPr>
            <w:tcW w:w="680" w:type="dxa"/>
            <w:vAlign w:val="bottom"/>
          </w:tcPr>
          <w:p>
            <w:pPr>
              <w:jc w:val="right"/>
              <w:spacing w:after="0" w:line="121" w:lineRule="exact"/>
              <w:rPr>
                <w:sz w:val="20"/>
                <w:szCs w:val="20"/>
                <w:color w:val="auto"/>
              </w:rPr>
            </w:pPr>
            <w:r>
              <w:rPr>
                <w:rFonts w:ascii="Arial" w:cs="Arial" w:eastAsia="Arial" w:hAnsi="Arial"/>
                <w:sz w:val="11"/>
                <w:szCs w:val="11"/>
                <w:color w:val="auto"/>
              </w:rPr>
              <w:t>3M</w:t>
            </w:r>
          </w:p>
        </w:tc>
        <w:tc>
          <w:tcPr>
            <w:tcW w:w="300" w:type="dxa"/>
            <w:vAlign w:val="bottom"/>
          </w:tcPr>
          <w:p>
            <w:pPr>
              <w:jc w:val="right"/>
              <w:spacing w:after="0" w:line="121" w:lineRule="exact"/>
              <w:rPr>
                <w:sz w:val="20"/>
                <w:szCs w:val="20"/>
                <w:color w:val="auto"/>
              </w:rPr>
            </w:pPr>
            <w:r>
              <w:rPr>
                <w:rFonts w:ascii="Arial" w:cs="Arial" w:eastAsia="Arial" w:hAnsi="Arial"/>
                <w:sz w:val="11"/>
                <w:szCs w:val="11"/>
                <w:color w:val="auto"/>
                <w:w w:val="84"/>
              </w:rPr>
              <w:t>L+550</w:t>
            </w:r>
          </w:p>
        </w:tc>
        <w:tc>
          <w:tcPr>
            <w:tcW w:w="920" w:type="dxa"/>
            <w:vAlign w:val="bottom"/>
            <w:gridSpan w:val="2"/>
          </w:tcPr>
          <w:p>
            <w:pPr>
              <w:jc w:val="right"/>
              <w:spacing w:after="0" w:line="121" w:lineRule="exact"/>
              <w:rPr>
                <w:sz w:val="20"/>
                <w:szCs w:val="20"/>
                <w:color w:val="auto"/>
              </w:rPr>
            </w:pPr>
            <w:r>
              <w:rPr>
                <w:rFonts w:ascii="Arial" w:cs="Arial" w:eastAsia="Arial" w:hAnsi="Arial"/>
                <w:sz w:val="11"/>
                <w:szCs w:val="11"/>
                <w:color w:val="auto"/>
              </w:rPr>
              <w:t>7,624</w:t>
            </w:r>
          </w:p>
        </w:tc>
        <w:tc>
          <w:tcPr>
            <w:tcW w:w="940" w:type="dxa"/>
            <w:vAlign w:val="bottom"/>
            <w:gridSpan w:val="2"/>
          </w:tcPr>
          <w:p>
            <w:pPr>
              <w:jc w:val="right"/>
              <w:spacing w:after="0" w:line="121" w:lineRule="exact"/>
              <w:rPr>
                <w:sz w:val="20"/>
                <w:szCs w:val="20"/>
                <w:color w:val="auto"/>
              </w:rPr>
            </w:pPr>
            <w:r>
              <w:rPr>
                <w:rFonts w:ascii="Arial" w:cs="Arial" w:eastAsia="Arial" w:hAnsi="Arial"/>
                <w:sz w:val="11"/>
                <w:szCs w:val="11"/>
                <w:color w:val="auto"/>
              </w:rPr>
              <w:t>7,574</w:t>
            </w:r>
          </w:p>
        </w:tc>
        <w:tc>
          <w:tcPr>
            <w:tcW w:w="940" w:type="dxa"/>
            <w:vAlign w:val="bottom"/>
            <w:gridSpan w:val="2"/>
          </w:tcPr>
          <w:p>
            <w:pPr>
              <w:jc w:val="right"/>
              <w:spacing w:after="0" w:line="121" w:lineRule="exact"/>
              <w:rPr>
                <w:sz w:val="20"/>
                <w:szCs w:val="20"/>
                <w:color w:val="auto"/>
              </w:rPr>
            </w:pPr>
            <w:r>
              <w:rPr>
                <w:rFonts w:ascii="Arial" w:cs="Arial" w:eastAsia="Arial" w:hAnsi="Arial"/>
                <w:sz w:val="11"/>
                <w:szCs w:val="11"/>
                <w:color w:val="auto"/>
              </w:rPr>
              <w:t>7,624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3160" w:type="dxa"/>
            <w:vAlign w:val="bottom"/>
          </w:tcPr>
          <w:p>
            <w:pPr>
              <w:ind w:left="20"/>
              <w:spacing w:after="0" w:line="129" w:lineRule="exact"/>
              <w:rPr>
                <w:sz w:val="20"/>
                <w:szCs w:val="20"/>
                <w:color w:val="auto"/>
              </w:rPr>
            </w:pPr>
            <w:r>
              <w:rPr>
                <w:rFonts w:ascii="Arial" w:cs="Arial" w:eastAsia="Arial" w:hAnsi="Arial"/>
                <w:sz w:val="11"/>
                <w:szCs w:val="11"/>
                <w:color w:val="auto"/>
              </w:rPr>
              <w:t>American Teleconferencing Services, Ltd.</w:t>
            </w:r>
            <w:r>
              <w:rPr>
                <w:rFonts w:ascii="Arial" w:cs="Arial" w:eastAsia="Arial" w:hAnsi="Arial"/>
                <w:sz w:val="14"/>
                <w:szCs w:val="14"/>
                <w:color w:val="auto"/>
                <w:vertAlign w:val="superscript"/>
              </w:rPr>
              <w:t>(7)</w:t>
            </w:r>
          </w:p>
        </w:tc>
        <w:tc>
          <w:tcPr>
            <w:tcW w:w="74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06/08/2023</w:t>
            </w:r>
          </w:p>
        </w:tc>
        <w:tc>
          <w:tcPr>
            <w:tcW w:w="140" w:type="dxa"/>
            <w:vAlign w:val="bottom"/>
          </w:tcPr>
          <w:p>
            <w:pPr>
              <w:spacing w:after="0"/>
              <w:rPr>
                <w:sz w:val="11"/>
                <w:szCs w:val="11"/>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89"/>
              </w:rPr>
              <w:t>Telecommunications</w:t>
            </w:r>
          </w:p>
        </w:tc>
        <w:tc>
          <w:tcPr>
            <w:tcW w:w="840" w:type="dxa"/>
            <w:vAlign w:val="bottom"/>
            <w:gridSpan w:val="2"/>
          </w:tcPr>
          <w:p>
            <w:pPr>
              <w:jc w:val="right"/>
              <w:spacing w:after="0"/>
              <w:rPr>
                <w:sz w:val="20"/>
                <w:szCs w:val="20"/>
                <w:color w:val="auto"/>
              </w:rPr>
            </w:pPr>
            <w:r>
              <w:rPr>
                <w:rFonts w:ascii="Arial" w:cs="Arial" w:eastAsia="Arial" w:hAnsi="Arial"/>
                <w:sz w:val="11"/>
                <w:szCs w:val="11"/>
                <w:color w:val="auto"/>
              </w:rPr>
              <w:t>0.00%</w:t>
            </w:r>
          </w:p>
        </w:tc>
        <w:tc>
          <w:tcPr>
            <w:tcW w:w="120" w:type="dxa"/>
            <w:vAlign w:val="bottom"/>
          </w:tcPr>
          <w:p>
            <w:pPr>
              <w:spacing w:after="0"/>
              <w:rPr>
                <w:sz w:val="11"/>
                <w:szCs w:val="11"/>
                <w:color w:val="auto"/>
              </w:rPr>
            </w:pPr>
          </w:p>
        </w:tc>
        <w:tc>
          <w:tcPr>
            <w:tcW w:w="120" w:type="dxa"/>
            <w:vAlign w:val="bottom"/>
            <w:vMerge w:val="restart"/>
          </w:tcPr>
          <w:p>
            <w:pPr>
              <w:jc w:val="right"/>
              <w:ind w:right="10"/>
              <w:spacing w:after="0"/>
              <w:rPr>
                <w:sz w:val="20"/>
                <w:szCs w:val="20"/>
                <w:color w:val="auto"/>
              </w:rPr>
            </w:pPr>
            <w:r>
              <w:rPr>
                <w:rFonts w:ascii="Arial" w:cs="Arial" w:eastAsia="Arial" w:hAnsi="Arial"/>
                <w:sz w:val="6"/>
                <w:szCs w:val="6"/>
                <w:color w:val="auto"/>
                <w:w w:val="81"/>
              </w:rPr>
              <w:t>(6)</w:t>
            </w:r>
          </w:p>
        </w:tc>
        <w:tc>
          <w:tcPr>
            <w:tcW w:w="68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7,986</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7,915</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3"/>
        </w:trPr>
        <w:tc>
          <w:tcPr>
            <w:tcW w:w="3160" w:type="dxa"/>
            <w:vAlign w:val="bottom"/>
            <w:vMerge w:val="restart"/>
          </w:tcPr>
          <w:p>
            <w:pPr>
              <w:ind w:left="20"/>
              <w:spacing w:after="0"/>
              <w:rPr>
                <w:sz w:val="20"/>
                <w:szCs w:val="20"/>
                <w:color w:val="auto"/>
              </w:rPr>
            </w:pPr>
            <w:r>
              <w:rPr>
                <w:rFonts w:ascii="Arial" w:cs="Arial" w:eastAsia="Arial" w:hAnsi="Arial"/>
                <w:sz w:val="11"/>
                <w:szCs w:val="11"/>
                <w:color w:val="auto"/>
              </w:rPr>
              <w:t xml:space="preserve">American Teleconferencing Services, Ltd. (Revolver) </w:t>
            </w:r>
            <w:r>
              <w:rPr>
                <w:rFonts w:ascii="Arial" w:cs="Arial" w:eastAsia="Arial" w:hAnsi="Arial"/>
                <w:sz w:val="14"/>
                <w:szCs w:val="14"/>
                <w:color w:val="auto"/>
                <w:vertAlign w:val="superscript"/>
              </w:rPr>
              <w:t>(7)</w:t>
            </w:r>
          </w:p>
        </w:tc>
        <w:tc>
          <w:tcPr>
            <w:tcW w:w="740" w:type="dxa"/>
            <w:vAlign w:val="bottom"/>
            <w:gridSpan w:val="2"/>
            <w:vMerge w:val="restart"/>
          </w:tcPr>
          <w:p>
            <w:pPr>
              <w:jc w:val="center"/>
              <w:ind w:left="86"/>
              <w:spacing w:after="0"/>
              <w:rPr>
                <w:sz w:val="20"/>
                <w:szCs w:val="20"/>
                <w:color w:val="auto"/>
              </w:rPr>
            </w:pPr>
            <w:r>
              <w:rPr>
                <w:rFonts w:ascii="Arial" w:cs="Arial" w:eastAsia="Arial" w:hAnsi="Arial"/>
                <w:sz w:val="11"/>
                <w:szCs w:val="11"/>
                <w:color w:val="auto"/>
                <w:w w:val="87"/>
              </w:rPr>
              <w:t>12/08/2022</w:t>
            </w:r>
          </w:p>
        </w:tc>
        <w:tc>
          <w:tcPr>
            <w:tcW w:w="140" w:type="dxa"/>
            <w:vAlign w:val="bottom"/>
          </w:tcPr>
          <w:p>
            <w:pPr>
              <w:spacing w:after="0"/>
              <w:rPr>
                <w:sz w:val="5"/>
                <w:szCs w:val="5"/>
                <w:color w:val="auto"/>
              </w:rPr>
            </w:pPr>
          </w:p>
        </w:tc>
        <w:tc>
          <w:tcPr>
            <w:tcW w:w="2240" w:type="dxa"/>
            <w:vAlign w:val="bottom"/>
            <w:vMerge w:val="restart"/>
          </w:tcPr>
          <w:p>
            <w:pPr>
              <w:jc w:val="center"/>
              <w:spacing w:after="0"/>
              <w:rPr>
                <w:sz w:val="20"/>
                <w:szCs w:val="20"/>
                <w:color w:val="auto"/>
              </w:rPr>
            </w:pPr>
            <w:r>
              <w:rPr>
                <w:rFonts w:ascii="Arial" w:cs="Arial" w:eastAsia="Arial" w:hAnsi="Arial"/>
                <w:sz w:val="11"/>
                <w:szCs w:val="11"/>
                <w:color w:val="auto"/>
                <w:w w:val="89"/>
              </w:rPr>
              <w:t>Telecommunications</w:t>
            </w:r>
          </w:p>
        </w:tc>
        <w:tc>
          <w:tcPr>
            <w:tcW w:w="840" w:type="dxa"/>
            <w:vAlign w:val="bottom"/>
            <w:gridSpan w:val="2"/>
            <w:vMerge w:val="restart"/>
          </w:tcPr>
          <w:p>
            <w:pPr>
              <w:jc w:val="right"/>
              <w:spacing w:after="0"/>
              <w:rPr>
                <w:sz w:val="20"/>
                <w:szCs w:val="20"/>
                <w:color w:val="auto"/>
              </w:rPr>
            </w:pPr>
            <w:r>
              <w:rPr>
                <w:rFonts w:ascii="Arial" w:cs="Arial" w:eastAsia="Arial" w:hAnsi="Arial"/>
                <w:sz w:val="11"/>
                <w:szCs w:val="11"/>
                <w:color w:val="auto"/>
              </w:rPr>
              <w:t>0.00%</w:t>
            </w:r>
          </w:p>
        </w:tc>
        <w:tc>
          <w:tcPr>
            <w:tcW w:w="12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3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vMerge w:val="restart"/>
          </w:tcPr>
          <w:p>
            <w:pPr>
              <w:jc w:val="right"/>
              <w:spacing w:after="0"/>
              <w:rPr>
                <w:sz w:val="20"/>
                <w:szCs w:val="20"/>
                <w:color w:val="auto"/>
              </w:rPr>
            </w:pPr>
            <w:r>
              <w:rPr>
                <w:rFonts w:ascii="Arial" w:cs="Arial" w:eastAsia="Arial" w:hAnsi="Arial"/>
                <w:sz w:val="11"/>
                <w:szCs w:val="11"/>
                <w:color w:val="auto"/>
              </w:rPr>
              <w:t>1,656</w:t>
            </w:r>
          </w:p>
        </w:tc>
        <w:tc>
          <w:tcPr>
            <w:tcW w:w="940" w:type="dxa"/>
            <w:vAlign w:val="bottom"/>
            <w:gridSpan w:val="2"/>
            <w:vMerge w:val="restart"/>
          </w:tcPr>
          <w:p>
            <w:pPr>
              <w:jc w:val="right"/>
              <w:spacing w:after="0"/>
              <w:rPr>
                <w:sz w:val="20"/>
                <w:szCs w:val="20"/>
                <w:color w:val="auto"/>
              </w:rPr>
            </w:pPr>
            <w:r>
              <w:rPr>
                <w:rFonts w:ascii="Arial" w:cs="Arial" w:eastAsia="Arial" w:hAnsi="Arial"/>
                <w:sz w:val="11"/>
                <w:szCs w:val="11"/>
                <w:color w:val="auto"/>
              </w:rPr>
              <w:t>1,642</w:t>
            </w:r>
          </w:p>
        </w:tc>
        <w:tc>
          <w:tcPr>
            <w:tcW w:w="940" w:type="dxa"/>
            <w:vAlign w:val="bottom"/>
            <w:gridSpan w:val="2"/>
            <w:vMerge w:val="restart"/>
          </w:tcPr>
          <w:p>
            <w:pPr>
              <w:jc w:val="right"/>
              <w:spacing w:after="0"/>
              <w:rPr>
                <w:sz w:val="20"/>
                <w:szCs w:val="20"/>
                <w:color w:val="auto"/>
              </w:rPr>
            </w:pPr>
            <w:r>
              <w:rPr>
                <w:rFonts w:ascii="Arial" w:cs="Arial" w:eastAsia="Arial" w:hAnsi="Arial"/>
                <w:sz w:val="11"/>
                <w:szCs w:val="11"/>
                <w:color w:val="auto"/>
              </w:rPr>
              <w:t>994</w:t>
            </w: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3160" w:type="dxa"/>
            <w:vAlign w:val="bottom"/>
            <w:vMerge w:val="continue"/>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2240" w:type="dxa"/>
            <w:vAlign w:val="bottom"/>
            <w:vMerge w:val="continue"/>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vMerge w:val="continue"/>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3160" w:type="dxa"/>
            <w:vAlign w:val="bottom"/>
            <w:shd w:val="clear" w:color="auto" w:fill="CCECFF"/>
          </w:tcPr>
          <w:p>
            <w:pPr>
              <w:ind w:left="20"/>
              <w:spacing w:after="0"/>
              <w:rPr>
                <w:sz w:val="20"/>
                <w:szCs w:val="20"/>
                <w:color w:val="auto"/>
              </w:rPr>
            </w:pPr>
            <w:r>
              <w:rPr>
                <w:rFonts w:ascii="Arial" w:cs="Arial" w:eastAsia="Arial" w:hAnsi="Arial"/>
                <w:sz w:val="11"/>
                <w:szCs w:val="11"/>
                <w:color w:val="auto"/>
                <w:w w:val="99"/>
              </w:rPr>
              <w:t>Amsive Holding Corporation (f/k/a Vision Purchaser Corporation)</w:t>
            </w:r>
          </w:p>
        </w:tc>
        <w:tc>
          <w:tcPr>
            <w:tcW w:w="74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7"/>
              </w:rPr>
              <w:t>06/10/2025</w:t>
            </w:r>
          </w:p>
        </w:tc>
        <w:tc>
          <w:tcPr>
            <w:tcW w:w="140" w:type="dxa"/>
            <w:vAlign w:val="bottom"/>
            <w:shd w:val="clear" w:color="auto" w:fill="CCECFF"/>
          </w:tcPr>
          <w:p>
            <w:pPr>
              <w:spacing w:after="0"/>
              <w:rPr>
                <w:sz w:val="11"/>
                <w:szCs w:val="11"/>
                <w:color w:val="auto"/>
              </w:rPr>
            </w:pPr>
          </w:p>
        </w:tc>
        <w:tc>
          <w:tcPr>
            <w:tcW w:w="22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3"/>
              </w:rPr>
              <w:t>Media</w:t>
            </w:r>
          </w:p>
        </w:tc>
        <w:tc>
          <w:tcPr>
            <w:tcW w:w="960" w:type="dxa"/>
            <w:vAlign w:val="bottom"/>
            <w:gridSpan w:val="3"/>
            <w:shd w:val="clear" w:color="auto" w:fill="CCECFF"/>
          </w:tcPr>
          <w:p>
            <w:pPr>
              <w:jc w:val="right"/>
              <w:ind w:right="20"/>
              <w:spacing w:after="0"/>
              <w:rPr>
                <w:sz w:val="20"/>
                <w:szCs w:val="20"/>
                <w:color w:val="auto"/>
              </w:rPr>
            </w:pPr>
            <w:r>
              <w:rPr>
                <w:rFonts w:ascii="Arial" w:cs="Arial" w:eastAsia="Arial" w:hAnsi="Arial"/>
                <w:sz w:val="11"/>
                <w:szCs w:val="11"/>
                <w:color w:val="auto"/>
              </w:rPr>
              <w:t>8.65 %</w:t>
            </w: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w:t>
            </w:r>
          </w:p>
        </w:tc>
        <w:tc>
          <w:tcPr>
            <w:tcW w:w="300" w:type="dxa"/>
            <w:vAlign w:val="bottom"/>
            <w:shd w:val="clear" w:color="auto" w:fill="CCECFF"/>
          </w:tcPr>
          <w:p>
            <w:pPr>
              <w:jc w:val="right"/>
              <w:spacing w:after="0"/>
              <w:rPr>
                <w:sz w:val="20"/>
                <w:szCs w:val="20"/>
                <w:color w:val="auto"/>
              </w:rPr>
            </w:pPr>
            <w:r>
              <w:rPr>
                <w:rFonts w:ascii="Arial" w:cs="Arial" w:eastAsia="Arial" w:hAnsi="Arial"/>
                <w:sz w:val="11"/>
                <w:szCs w:val="11"/>
                <w:color w:val="auto"/>
                <w:w w:val="84"/>
              </w:rPr>
              <w:t>L+625</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14,140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13,974</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14,069</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3160" w:type="dxa"/>
            <w:vAlign w:val="bottom"/>
          </w:tcPr>
          <w:p>
            <w:pPr>
              <w:ind w:left="20"/>
              <w:spacing w:after="0" w:line="105" w:lineRule="exact"/>
              <w:rPr>
                <w:sz w:val="20"/>
                <w:szCs w:val="20"/>
                <w:color w:val="auto"/>
              </w:rPr>
            </w:pPr>
            <w:r>
              <w:rPr>
                <w:rFonts w:ascii="Arial" w:cs="Arial" w:eastAsia="Arial" w:hAnsi="Arial"/>
                <w:sz w:val="11"/>
                <w:szCs w:val="11"/>
                <w:color w:val="auto"/>
              </w:rPr>
              <w:t>Any Hour Services</w:t>
            </w:r>
          </w:p>
        </w:tc>
        <w:tc>
          <w:tcPr>
            <w:tcW w:w="740" w:type="dxa"/>
            <w:vAlign w:val="bottom"/>
            <w:gridSpan w:val="2"/>
          </w:tcPr>
          <w:p>
            <w:pPr>
              <w:jc w:val="center"/>
              <w:ind w:left="86"/>
              <w:spacing w:after="0" w:line="105" w:lineRule="exact"/>
              <w:rPr>
                <w:sz w:val="20"/>
                <w:szCs w:val="20"/>
                <w:color w:val="auto"/>
              </w:rPr>
            </w:pPr>
            <w:r>
              <w:rPr>
                <w:rFonts w:ascii="Arial" w:cs="Arial" w:eastAsia="Arial" w:hAnsi="Arial"/>
                <w:sz w:val="11"/>
                <w:szCs w:val="11"/>
                <w:color w:val="auto"/>
                <w:w w:val="87"/>
              </w:rPr>
              <w:t>07/21/2027</w:t>
            </w:r>
          </w:p>
        </w:tc>
        <w:tc>
          <w:tcPr>
            <w:tcW w:w="140" w:type="dxa"/>
            <w:vAlign w:val="bottom"/>
          </w:tcPr>
          <w:p>
            <w:pPr>
              <w:spacing w:after="0"/>
              <w:rPr>
                <w:sz w:val="9"/>
                <w:szCs w:val="9"/>
                <w:color w:val="auto"/>
              </w:rPr>
            </w:pPr>
          </w:p>
        </w:tc>
        <w:tc>
          <w:tcPr>
            <w:tcW w:w="2240" w:type="dxa"/>
            <w:vAlign w:val="bottom"/>
          </w:tcPr>
          <w:p>
            <w:pPr>
              <w:jc w:val="center"/>
              <w:spacing w:after="0" w:line="105" w:lineRule="exact"/>
              <w:rPr>
                <w:sz w:val="20"/>
                <w:szCs w:val="20"/>
                <w:color w:val="auto"/>
              </w:rPr>
            </w:pPr>
            <w:r>
              <w:rPr>
                <w:rFonts w:ascii="Arial" w:cs="Arial" w:eastAsia="Arial" w:hAnsi="Arial"/>
                <w:sz w:val="11"/>
                <w:szCs w:val="11"/>
                <w:color w:val="auto"/>
                <w:w w:val="87"/>
              </w:rPr>
              <w:t>Energy Equipment and Services</w:t>
            </w:r>
          </w:p>
        </w:tc>
        <w:tc>
          <w:tcPr>
            <w:tcW w:w="960" w:type="dxa"/>
            <w:vAlign w:val="bottom"/>
            <w:gridSpan w:val="3"/>
          </w:tcPr>
          <w:p>
            <w:pPr>
              <w:jc w:val="right"/>
              <w:ind w:right="20"/>
              <w:spacing w:after="0" w:line="105" w:lineRule="exact"/>
              <w:rPr>
                <w:sz w:val="20"/>
                <w:szCs w:val="20"/>
                <w:color w:val="auto"/>
              </w:rPr>
            </w:pPr>
            <w:r>
              <w:rPr>
                <w:rFonts w:ascii="Arial" w:cs="Arial" w:eastAsia="Arial" w:hAnsi="Arial"/>
                <w:sz w:val="11"/>
                <w:szCs w:val="11"/>
                <w:color w:val="auto"/>
              </w:rPr>
              <w:t>6.55 %</w:t>
            </w:r>
          </w:p>
        </w:tc>
        <w:tc>
          <w:tcPr>
            <w:tcW w:w="120" w:type="dxa"/>
            <w:vAlign w:val="bottom"/>
          </w:tcPr>
          <w:p>
            <w:pPr>
              <w:spacing w:after="0"/>
              <w:rPr>
                <w:sz w:val="9"/>
                <w:szCs w:val="9"/>
                <w:color w:val="auto"/>
              </w:rPr>
            </w:pPr>
          </w:p>
        </w:tc>
        <w:tc>
          <w:tcPr>
            <w:tcW w:w="680" w:type="dxa"/>
            <w:vAlign w:val="bottom"/>
          </w:tcPr>
          <w:p>
            <w:pPr>
              <w:jc w:val="right"/>
              <w:spacing w:after="0" w:line="105" w:lineRule="exact"/>
              <w:rPr>
                <w:sz w:val="20"/>
                <w:szCs w:val="20"/>
                <w:color w:val="auto"/>
              </w:rPr>
            </w:pPr>
            <w:r>
              <w:rPr>
                <w:rFonts w:ascii="Arial" w:cs="Arial" w:eastAsia="Arial" w:hAnsi="Arial"/>
                <w:sz w:val="11"/>
                <w:szCs w:val="11"/>
                <w:color w:val="auto"/>
              </w:rPr>
              <w:t>3M</w:t>
            </w:r>
          </w:p>
        </w:tc>
        <w:tc>
          <w:tcPr>
            <w:tcW w:w="300" w:type="dxa"/>
            <w:vAlign w:val="bottom"/>
          </w:tcPr>
          <w:p>
            <w:pPr>
              <w:jc w:val="right"/>
              <w:spacing w:after="0" w:line="105" w:lineRule="exact"/>
              <w:rPr>
                <w:sz w:val="20"/>
                <w:szCs w:val="20"/>
                <w:color w:val="auto"/>
              </w:rPr>
            </w:pPr>
            <w:r>
              <w:rPr>
                <w:rFonts w:ascii="Arial" w:cs="Arial" w:eastAsia="Arial" w:hAnsi="Arial"/>
                <w:sz w:val="11"/>
                <w:szCs w:val="11"/>
                <w:color w:val="auto"/>
                <w:w w:val="84"/>
              </w:rPr>
              <w:t>L+525</w:t>
            </w:r>
          </w:p>
        </w:tc>
        <w:tc>
          <w:tcPr>
            <w:tcW w:w="920" w:type="dxa"/>
            <w:vAlign w:val="bottom"/>
            <w:gridSpan w:val="2"/>
          </w:tcPr>
          <w:p>
            <w:pPr>
              <w:jc w:val="right"/>
              <w:spacing w:after="0" w:line="105" w:lineRule="exact"/>
              <w:rPr>
                <w:sz w:val="20"/>
                <w:szCs w:val="20"/>
                <w:color w:val="auto"/>
              </w:rPr>
            </w:pPr>
            <w:r>
              <w:rPr>
                <w:rFonts w:ascii="Arial" w:cs="Arial" w:eastAsia="Arial" w:hAnsi="Arial"/>
                <w:sz w:val="11"/>
                <w:szCs w:val="11"/>
                <w:color w:val="auto"/>
              </w:rPr>
              <w:t>13,103</w:t>
            </w:r>
          </w:p>
        </w:tc>
        <w:tc>
          <w:tcPr>
            <w:tcW w:w="940" w:type="dxa"/>
            <w:vAlign w:val="bottom"/>
            <w:gridSpan w:val="2"/>
          </w:tcPr>
          <w:p>
            <w:pPr>
              <w:jc w:val="right"/>
              <w:spacing w:after="0" w:line="105" w:lineRule="exact"/>
              <w:rPr>
                <w:sz w:val="20"/>
                <w:szCs w:val="20"/>
                <w:color w:val="auto"/>
              </w:rPr>
            </w:pPr>
            <w:r>
              <w:rPr>
                <w:rFonts w:ascii="Arial" w:cs="Arial" w:eastAsia="Arial" w:hAnsi="Arial"/>
                <w:sz w:val="11"/>
                <w:szCs w:val="11"/>
                <w:color w:val="auto"/>
              </w:rPr>
              <w:t>12,961</w:t>
            </w:r>
          </w:p>
        </w:tc>
        <w:tc>
          <w:tcPr>
            <w:tcW w:w="940" w:type="dxa"/>
            <w:vAlign w:val="bottom"/>
            <w:gridSpan w:val="2"/>
          </w:tcPr>
          <w:p>
            <w:pPr>
              <w:jc w:val="right"/>
              <w:spacing w:after="0" w:line="105" w:lineRule="exact"/>
              <w:rPr>
                <w:sz w:val="20"/>
                <w:szCs w:val="20"/>
                <w:color w:val="auto"/>
              </w:rPr>
            </w:pPr>
            <w:r>
              <w:rPr>
                <w:rFonts w:ascii="Arial" w:cs="Arial" w:eastAsia="Arial" w:hAnsi="Arial"/>
                <w:sz w:val="11"/>
                <w:szCs w:val="11"/>
                <w:color w:val="auto"/>
              </w:rPr>
              <w:t>12,972</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160" w:type="dxa"/>
            <w:vAlign w:val="bottom"/>
          </w:tcPr>
          <w:p>
            <w:pPr>
              <w:ind w:left="20"/>
              <w:spacing w:after="0" w:line="135" w:lineRule="exact"/>
              <w:rPr>
                <w:sz w:val="20"/>
                <w:szCs w:val="20"/>
                <w:color w:val="auto"/>
              </w:rPr>
            </w:pPr>
            <w:r>
              <w:rPr>
                <w:rFonts w:ascii="Arial" w:cs="Arial" w:eastAsia="Arial" w:hAnsi="Arial"/>
                <w:sz w:val="11"/>
                <w:szCs w:val="11"/>
                <w:color w:val="auto"/>
              </w:rPr>
              <w:t>Any Hour Services Term Loan II</w:t>
            </w:r>
            <w:r>
              <w:rPr>
                <w:rFonts w:ascii="Arial" w:cs="Arial" w:eastAsia="Arial" w:hAnsi="Arial"/>
                <w:sz w:val="14"/>
                <w:szCs w:val="14"/>
                <w:color w:val="auto"/>
                <w:vertAlign w:val="superscript"/>
              </w:rPr>
              <w:t>(7), (9)</w:t>
            </w:r>
          </w:p>
        </w:tc>
        <w:tc>
          <w:tcPr>
            <w:tcW w:w="74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01/14/2024</w:t>
            </w:r>
          </w:p>
        </w:tc>
        <w:tc>
          <w:tcPr>
            <w:tcW w:w="140" w:type="dxa"/>
            <w:vAlign w:val="bottom"/>
          </w:tcPr>
          <w:p>
            <w:pPr>
              <w:spacing w:after="0"/>
              <w:rPr>
                <w:sz w:val="11"/>
                <w:szCs w:val="11"/>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87"/>
              </w:rPr>
              <w:t>Energy Equipment and Services</w:t>
            </w:r>
          </w:p>
        </w:tc>
        <w:tc>
          <w:tcPr>
            <w:tcW w:w="14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979</w:t>
            </w:r>
          </w:p>
        </w:tc>
        <w:tc>
          <w:tcPr>
            <w:tcW w:w="2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5"/>
        </w:trPr>
        <w:tc>
          <w:tcPr>
            <w:tcW w:w="3160" w:type="dxa"/>
            <w:vAlign w:val="bottom"/>
          </w:tcPr>
          <w:p>
            <w:pPr>
              <w:ind w:left="20"/>
              <w:spacing w:after="0"/>
              <w:rPr>
                <w:sz w:val="20"/>
                <w:szCs w:val="20"/>
                <w:color w:val="auto"/>
              </w:rPr>
            </w:pPr>
            <w:r>
              <w:rPr>
                <w:rFonts w:ascii="Arial" w:cs="Arial" w:eastAsia="Arial" w:hAnsi="Arial"/>
                <w:sz w:val="11"/>
                <w:szCs w:val="11"/>
                <w:color w:val="auto"/>
              </w:rPr>
              <w:t xml:space="preserve">Any Hour Services (Revolver) </w:t>
            </w:r>
            <w:r>
              <w:rPr>
                <w:rFonts w:ascii="Arial" w:cs="Arial" w:eastAsia="Arial" w:hAnsi="Arial"/>
                <w:sz w:val="14"/>
                <w:szCs w:val="14"/>
                <w:color w:val="auto"/>
                <w:vertAlign w:val="superscript"/>
              </w:rPr>
              <w:t>(7), (9)</w:t>
            </w:r>
          </w:p>
        </w:tc>
        <w:tc>
          <w:tcPr>
            <w:tcW w:w="74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07/21/2027</w:t>
            </w:r>
          </w:p>
        </w:tc>
        <w:tc>
          <w:tcPr>
            <w:tcW w:w="140" w:type="dxa"/>
            <w:vAlign w:val="bottom"/>
          </w:tcPr>
          <w:p>
            <w:pPr>
              <w:spacing w:after="0"/>
              <w:rPr>
                <w:sz w:val="14"/>
                <w:szCs w:val="14"/>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87"/>
              </w:rPr>
              <w:t>Energy Equipment and Services</w:t>
            </w:r>
          </w:p>
        </w:tc>
        <w:tc>
          <w:tcPr>
            <w:tcW w:w="14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1,147</w:t>
            </w:r>
          </w:p>
        </w:tc>
        <w:tc>
          <w:tcPr>
            <w:tcW w:w="2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1040" w:type="dxa"/>
            <w:vAlign w:val="bottom"/>
            <w:gridSpan w:val="3"/>
          </w:tcPr>
          <w:p>
            <w:pPr>
              <w:jc w:val="right"/>
              <w:ind w:right="60"/>
              <w:spacing w:after="0"/>
              <w:rPr>
                <w:sz w:val="20"/>
                <w:szCs w:val="20"/>
                <w:color w:val="auto"/>
              </w:rPr>
            </w:pPr>
            <w:r>
              <w:rPr>
                <w:rFonts w:ascii="Arial" w:cs="Arial" w:eastAsia="Arial" w:hAnsi="Arial"/>
                <w:sz w:val="11"/>
                <w:szCs w:val="11"/>
                <w:color w:val="auto"/>
              </w:rPr>
              <w:t>(11 )</w:t>
            </w:r>
          </w:p>
        </w:tc>
        <w:tc>
          <w:tcPr>
            <w:tcW w:w="0" w:type="dxa"/>
            <w:vAlign w:val="bottom"/>
          </w:tcPr>
          <w:p>
            <w:pPr>
              <w:spacing w:after="0"/>
              <w:rPr>
                <w:sz w:val="1"/>
                <w:szCs w:val="1"/>
                <w:color w:val="auto"/>
              </w:rPr>
            </w:pPr>
          </w:p>
        </w:tc>
      </w:tr>
      <w:tr>
        <w:trPr>
          <w:trHeight w:val="135"/>
        </w:trPr>
        <w:tc>
          <w:tcPr>
            <w:tcW w:w="3160" w:type="dxa"/>
            <w:vAlign w:val="bottom"/>
            <w:shd w:val="clear" w:color="auto" w:fill="CCECFF"/>
          </w:tcPr>
          <w:p>
            <w:pPr>
              <w:ind w:left="20"/>
              <w:spacing w:after="0"/>
              <w:rPr>
                <w:sz w:val="20"/>
                <w:szCs w:val="20"/>
                <w:color w:val="auto"/>
              </w:rPr>
            </w:pPr>
            <w:r>
              <w:rPr>
                <w:rFonts w:ascii="Arial" w:cs="Arial" w:eastAsia="Arial" w:hAnsi="Arial"/>
                <w:sz w:val="11"/>
                <w:szCs w:val="11"/>
                <w:color w:val="auto"/>
              </w:rPr>
              <w:t>Apex Service Partners, LLC</w:t>
            </w:r>
          </w:p>
        </w:tc>
        <w:tc>
          <w:tcPr>
            <w:tcW w:w="74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7"/>
              </w:rPr>
              <w:t>07/31/2025</w:t>
            </w:r>
          </w:p>
        </w:tc>
        <w:tc>
          <w:tcPr>
            <w:tcW w:w="140" w:type="dxa"/>
            <w:vAlign w:val="bottom"/>
            <w:shd w:val="clear" w:color="auto" w:fill="CCECFF"/>
          </w:tcPr>
          <w:p>
            <w:pPr>
              <w:spacing w:after="0"/>
              <w:rPr>
                <w:sz w:val="11"/>
                <w:szCs w:val="11"/>
                <w:color w:val="auto"/>
              </w:rPr>
            </w:pPr>
          </w:p>
        </w:tc>
        <w:tc>
          <w:tcPr>
            <w:tcW w:w="22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Diversified Consumer Services</w:t>
            </w:r>
          </w:p>
        </w:tc>
        <w:tc>
          <w:tcPr>
            <w:tcW w:w="960" w:type="dxa"/>
            <w:vAlign w:val="bottom"/>
            <w:gridSpan w:val="3"/>
            <w:shd w:val="clear" w:color="auto" w:fill="CCECFF"/>
          </w:tcPr>
          <w:p>
            <w:pPr>
              <w:jc w:val="right"/>
              <w:ind w:right="20"/>
              <w:spacing w:after="0"/>
              <w:rPr>
                <w:sz w:val="20"/>
                <w:szCs w:val="20"/>
                <w:color w:val="auto"/>
              </w:rPr>
            </w:pPr>
            <w:r>
              <w:rPr>
                <w:rFonts w:ascii="Arial" w:cs="Arial" w:eastAsia="Arial" w:hAnsi="Arial"/>
                <w:sz w:val="11"/>
                <w:szCs w:val="11"/>
                <w:color w:val="auto"/>
              </w:rPr>
              <w:t>6.72 %</w:t>
            </w: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w:t>
            </w:r>
          </w:p>
        </w:tc>
        <w:tc>
          <w:tcPr>
            <w:tcW w:w="300" w:type="dxa"/>
            <w:vAlign w:val="bottom"/>
            <w:shd w:val="clear" w:color="auto" w:fill="CCECFF"/>
          </w:tcPr>
          <w:p>
            <w:pPr>
              <w:jc w:val="right"/>
              <w:spacing w:after="0"/>
              <w:rPr>
                <w:sz w:val="20"/>
                <w:szCs w:val="20"/>
                <w:color w:val="auto"/>
              </w:rPr>
            </w:pPr>
            <w:r>
              <w:rPr>
                <w:rFonts w:ascii="Arial" w:cs="Arial" w:eastAsia="Arial" w:hAnsi="Arial"/>
                <w:sz w:val="11"/>
                <w:szCs w:val="11"/>
                <w:color w:val="auto"/>
                <w:w w:val="84"/>
              </w:rPr>
              <w:t>L+525</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6,224</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6,179</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6,193</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3160" w:type="dxa"/>
            <w:vAlign w:val="bottom"/>
          </w:tcPr>
          <w:p>
            <w:pPr>
              <w:ind w:left="20"/>
              <w:spacing w:after="0" w:line="125" w:lineRule="exact"/>
              <w:rPr>
                <w:sz w:val="20"/>
                <w:szCs w:val="20"/>
                <w:color w:val="auto"/>
              </w:rPr>
            </w:pPr>
            <w:r>
              <w:rPr>
                <w:rFonts w:ascii="Arial" w:cs="Arial" w:eastAsia="Arial" w:hAnsi="Arial"/>
                <w:sz w:val="11"/>
                <w:szCs w:val="11"/>
                <w:color w:val="auto"/>
              </w:rPr>
              <w:t>Apex Service Partners, LLC Term Loan B</w:t>
            </w:r>
          </w:p>
        </w:tc>
        <w:tc>
          <w:tcPr>
            <w:tcW w:w="740" w:type="dxa"/>
            <w:vAlign w:val="bottom"/>
            <w:gridSpan w:val="2"/>
          </w:tcPr>
          <w:p>
            <w:pPr>
              <w:jc w:val="center"/>
              <w:ind w:left="86"/>
              <w:spacing w:after="0" w:line="125" w:lineRule="exact"/>
              <w:rPr>
                <w:sz w:val="20"/>
                <w:szCs w:val="20"/>
                <w:color w:val="auto"/>
              </w:rPr>
            </w:pPr>
            <w:r>
              <w:rPr>
                <w:rFonts w:ascii="Arial" w:cs="Arial" w:eastAsia="Arial" w:hAnsi="Arial"/>
                <w:sz w:val="11"/>
                <w:szCs w:val="11"/>
                <w:color w:val="auto"/>
                <w:w w:val="87"/>
              </w:rPr>
              <w:t>07/31/2025</w:t>
            </w:r>
          </w:p>
        </w:tc>
        <w:tc>
          <w:tcPr>
            <w:tcW w:w="140" w:type="dxa"/>
            <w:vAlign w:val="bottom"/>
          </w:tcPr>
          <w:p>
            <w:pPr>
              <w:spacing w:after="0"/>
              <w:rPr>
                <w:sz w:val="10"/>
                <w:szCs w:val="10"/>
                <w:color w:val="auto"/>
              </w:rPr>
            </w:pPr>
          </w:p>
        </w:tc>
        <w:tc>
          <w:tcPr>
            <w:tcW w:w="2240" w:type="dxa"/>
            <w:vAlign w:val="bottom"/>
          </w:tcPr>
          <w:p>
            <w:pPr>
              <w:jc w:val="center"/>
              <w:spacing w:after="0" w:line="125" w:lineRule="exact"/>
              <w:rPr>
                <w:sz w:val="20"/>
                <w:szCs w:val="20"/>
                <w:color w:val="auto"/>
              </w:rPr>
            </w:pPr>
            <w:r>
              <w:rPr>
                <w:rFonts w:ascii="Arial" w:cs="Arial" w:eastAsia="Arial" w:hAnsi="Arial"/>
                <w:sz w:val="11"/>
                <w:szCs w:val="11"/>
                <w:color w:val="auto"/>
                <w:w w:val="89"/>
              </w:rPr>
              <w:t>Diversified Consumer Services</w:t>
            </w:r>
          </w:p>
        </w:tc>
        <w:tc>
          <w:tcPr>
            <w:tcW w:w="960" w:type="dxa"/>
            <w:vAlign w:val="bottom"/>
            <w:gridSpan w:val="3"/>
          </w:tcPr>
          <w:p>
            <w:pPr>
              <w:jc w:val="right"/>
              <w:ind w:right="20"/>
              <w:spacing w:after="0" w:line="125" w:lineRule="exact"/>
              <w:rPr>
                <w:sz w:val="20"/>
                <w:szCs w:val="20"/>
                <w:color w:val="auto"/>
              </w:rPr>
            </w:pPr>
            <w:r>
              <w:rPr>
                <w:rFonts w:ascii="Arial" w:cs="Arial" w:eastAsia="Arial" w:hAnsi="Arial"/>
                <w:sz w:val="11"/>
                <w:szCs w:val="11"/>
                <w:color w:val="auto"/>
              </w:rPr>
              <w:t>7.75 %</w:t>
            </w:r>
          </w:p>
        </w:tc>
        <w:tc>
          <w:tcPr>
            <w:tcW w:w="120" w:type="dxa"/>
            <w:vAlign w:val="bottom"/>
          </w:tcPr>
          <w:p>
            <w:pPr>
              <w:spacing w:after="0"/>
              <w:rPr>
                <w:sz w:val="10"/>
                <w:szCs w:val="10"/>
                <w:color w:val="auto"/>
              </w:rPr>
            </w:pPr>
          </w:p>
        </w:tc>
        <w:tc>
          <w:tcPr>
            <w:tcW w:w="680" w:type="dxa"/>
            <w:vAlign w:val="bottom"/>
          </w:tcPr>
          <w:p>
            <w:pPr>
              <w:jc w:val="right"/>
              <w:spacing w:after="0" w:line="125" w:lineRule="exact"/>
              <w:rPr>
                <w:sz w:val="20"/>
                <w:szCs w:val="20"/>
                <w:color w:val="auto"/>
              </w:rPr>
            </w:pPr>
            <w:r>
              <w:rPr>
                <w:rFonts w:ascii="Arial" w:cs="Arial" w:eastAsia="Arial" w:hAnsi="Arial"/>
                <w:sz w:val="11"/>
                <w:szCs w:val="11"/>
                <w:color w:val="auto"/>
              </w:rPr>
              <w:t>1M</w:t>
            </w:r>
          </w:p>
        </w:tc>
        <w:tc>
          <w:tcPr>
            <w:tcW w:w="300" w:type="dxa"/>
            <w:vAlign w:val="bottom"/>
          </w:tcPr>
          <w:p>
            <w:pPr>
              <w:jc w:val="right"/>
              <w:spacing w:after="0" w:line="125" w:lineRule="exact"/>
              <w:rPr>
                <w:sz w:val="20"/>
                <w:szCs w:val="20"/>
                <w:color w:val="auto"/>
              </w:rPr>
            </w:pPr>
            <w:r>
              <w:rPr>
                <w:rFonts w:ascii="Arial" w:cs="Arial" w:eastAsia="Arial" w:hAnsi="Arial"/>
                <w:sz w:val="11"/>
                <w:szCs w:val="11"/>
                <w:color w:val="auto"/>
                <w:w w:val="84"/>
              </w:rPr>
              <w:t>L+550</w:t>
            </w:r>
          </w:p>
        </w:tc>
        <w:tc>
          <w:tcPr>
            <w:tcW w:w="920" w:type="dxa"/>
            <w:vAlign w:val="bottom"/>
            <w:gridSpan w:val="2"/>
          </w:tcPr>
          <w:p>
            <w:pPr>
              <w:jc w:val="right"/>
              <w:spacing w:after="0" w:line="125" w:lineRule="exact"/>
              <w:rPr>
                <w:sz w:val="20"/>
                <w:szCs w:val="20"/>
                <w:color w:val="auto"/>
              </w:rPr>
            </w:pPr>
            <w:r>
              <w:rPr>
                <w:rFonts w:ascii="Arial" w:cs="Arial" w:eastAsia="Arial" w:hAnsi="Arial"/>
                <w:sz w:val="11"/>
                <w:szCs w:val="11"/>
                <w:color w:val="auto"/>
              </w:rPr>
              <w:t>297</w:t>
            </w:r>
          </w:p>
        </w:tc>
        <w:tc>
          <w:tcPr>
            <w:tcW w:w="940" w:type="dxa"/>
            <w:vAlign w:val="bottom"/>
            <w:gridSpan w:val="2"/>
          </w:tcPr>
          <w:p>
            <w:pPr>
              <w:jc w:val="right"/>
              <w:spacing w:after="0" w:line="125" w:lineRule="exact"/>
              <w:rPr>
                <w:sz w:val="20"/>
                <w:szCs w:val="20"/>
                <w:color w:val="auto"/>
              </w:rPr>
            </w:pPr>
            <w:r>
              <w:rPr>
                <w:rFonts w:ascii="Arial" w:cs="Arial" w:eastAsia="Arial" w:hAnsi="Arial"/>
                <w:sz w:val="11"/>
                <w:szCs w:val="11"/>
                <w:color w:val="auto"/>
              </w:rPr>
              <w:t>297</w:t>
            </w:r>
          </w:p>
        </w:tc>
        <w:tc>
          <w:tcPr>
            <w:tcW w:w="940" w:type="dxa"/>
            <w:vAlign w:val="bottom"/>
            <w:gridSpan w:val="2"/>
          </w:tcPr>
          <w:p>
            <w:pPr>
              <w:jc w:val="right"/>
              <w:spacing w:after="0" w:line="125" w:lineRule="exact"/>
              <w:rPr>
                <w:sz w:val="20"/>
                <w:szCs w:val="20"/>
                <w:color w:val="auto"/>
              </w:rPr>
            </w:pPr>
            <w:r>
              <w:rPr>
                <w:rFonts w:ascii="Arial" w:cs="Arial" w:eastAsia="Arial" w:hAnsi="Arial"/>
                <w:sz w:val="11"/>
                <w:szCs w:val="11"/>
                <w:color w:val="auto"/>
              </w:rPr>
              <w:t>295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3160" w:type="dxa"/>
            <w:vAlign w:val="bottom"/>
          </w:tcPr>
          <w:p>
            <w:pPr>
              <w:ind w:left="20"/>
              <w:spacing w:after="0" w:line="115" w:lineRule="exact"/>
              <w:rPr>
                <w:sz w:val="20"/>
                <w:szCs w:val="20"/>
                <w:color w:val="auto"/>
              </w:rPr>
            </w:pPr>
            <w:r>
              <w:rPr>
                <w:rFonts w:ascii="Arial" w:cs="Arial" w:eastAsia="Arial" w:hAnsi="Arial"/>
                <w:sz w:val="11"/>
                <w:szCs w:val="11"/>
                <w:color w:val="auto"/>
              </w:rPr>
              <w:t>Apex Service Partners, LLC Term Loan C</w:t>
            </w:r>
          </w:p>
        </w:tc>
        <w:tc>
          <w:tcPr>
            <w:tcW w:w="740" w:type="dxa"/>
            <w:vAlign w:val="bottom"/>
            <w:gridSpan w:val="2"/>
          </w:tcPr>
          <w:p>
            <w:pPr>
              <w:jc w:val="center"/>
              <w:ind w:left="86"/>
              <w:spacing w:after="0" w:line="115" w:lineRule="exact"/>
              <w:rPr>
                <w:sz w:val="20"/>
                <w:szCs w:val="20"/>
                <w:color w:val="auto"/>
              </w:rPr>
            </w:pPr>
            <w:r>
              <w:rPr>
                <w:rFonts w:ascii="Arial" w:cs="Arial" w:eastAsia="Arial" w:hAnsi="Arial"/>
                <w:sz w:val="11"/>
                <w:szCs w:val="11"/>
                <w:color w:val="auto"/>
                <w:w w:val="87"/>
              </w:rPr>
              <w:t>07/31/2025</w:t>
            </w:r>
          </w:p>
        </w:tc>
        <w:tc>
          <w:tcPr>
            <w:tcW w:w="140" w:type="dxa"/>
            <w:vAlign w:val="bottom"/>
          </w:tcPr>
          <w:p>
            <w:pPr>
              <w:spacing w:after="0"/>
              <w:rPr>
                <w:sz w:val="9"/>
                <w:szCs w:val="9"/>
                <w:color w:val="auto"/>
              </w:rPr>
            </w:pPr>
          </w:p>
        </w:tc>
        <w:tc>
          <w:tcPr>
            <w:tcW w:w="2240" w:type="dxa"/>
            <w:vAlign w:val="bottom"/>
          </w:tcPr>
          <w:p>
            <w:pPr>
              <w:jc w:val="center"/>
              <w:spacing w:after="0" w:line="115" w:lineRule="exact"/>
              <w:rPr>
                <w:sz w:val="20"/>
                <w:szCs w:val="20"/>
                <w:color w:val="auto"/>
              </w:rPr>
            </w:pPr>
            <w:r>
              <w:rPr>
                <w:rFonts w:ascii="Arial" w:cs="Arial" w:eastAsia="Arial" w:hAnsi="Arial"/>
                <w:sz w:val="11"/>
                <w:szCs w:val="11"/>
                <w:color w:val="auto"/>
                <w:w w:val="89"/>
              </w:rPr>
              <w:t>Diversified Consumer Services</w:t>
            </w:r>
          </w:p>
        </w:tc>
        <w:tc>
          <w:tcPr>
            <w:tcW w:w="960" w:type="dxa"/>
            <w:vAlign w:val="bottom"/>
            <w:gridSpan w:val="3"/>
          </w:tcPr>
          <w:p>
            <w:pPr>
              <w:jc w:val="right"/>
              <w:ind w:right="20"/>
              <w:spacing w:after="0" w:line="115" w:lineRule="exact"/>
              <w:rPr>
                <w:sz w:val="20"/>
                <w:szCs w:val="20"/>
                <w:color w:val="auto"/>
              </w:rPr>
            </w:pPr>
            <w:r>
              <w:rPr>
                <w:rFonts w:ascii="Arial" w:cs="Arial" w:eastAsia="Arial" w:hAnsi="Arial"/>
                <w:sz w:val="11"/>
                <w:szCs w:val="11"/>
                <w:color w:val="auto"/>
              </w:rPr>
              <w:t>6.80 %</w:t>
            </w:r>
          </w:p>
        </w:tc>
        <w:tc>
          <w:tcPr>
            <w:tcW w:w="120" w:type="dxa"/>
            <w:vAlign w:val="bottom"/>
          </w:tcPr>
          <w:p>
            <w:pPr>
              <w:spacing w:after="0"/>
              <w:rPr>
                <w:sz w:val="9"/>
                <w:szCs w:val="9"/>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1"/>
                <w:szCs w:val="11"/>
                <w:color w:val="auto"/>
              </w:rPr>
              <w:t>1M</w:t>
            </w:r>
          </w:p>
        </w:tc>
        <w:tc>
          <w:tcPr>
            <w:tcW w:w="300" w:type="dxa"/>
            <w:vAlign w:val="bottom"/>
          </w:tcPr>
          <w:p>
            <w:pPr>
              <w:jc w:val="right"/>
              <w:spacing w:after="0" w:line="115" w:lineRule="exact"/>
              <w:rPr>
                <w:sz w:val="20"/>
                <w:szCs w:val="20"/>
                <w:color w:val="auto"/>
              </w:rPr>
            </w:pPr>
            <w:r>
              <w:rPr>
                <w:rFonts w:ascii="Arial" w:cs="Arial" w:eastAsia="Arial" w:hAnsi="Arial"/>
                <w:sz w:val="11"/>
                <w:szCs w:val="11"/>
                <w:color w:val="auto"/>
                <w:w w:val="84"/>
              </w:rPr>
              <w:t>L+525</w:t>
            </w:r>
          </w:p>
        </w:tc>
        <w:tc>
          <w:tcPr>
            <w:tcW w:w="9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12,938</w:t>
            </w:r>
          </w:p>
        </w:tc>
        <w:tc>
          <w:tcPr>
            <w:tcW w:w="94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12,832</w:t>
            </w:r>
          </w:p>
        </w:tc>
        <w:tc>
          <w:tcPr>
            <w:tcW w:w="94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12,874</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16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Apex Service Partners, LLC (Revolver) </w:t>
            </w:r>
            <w:r>
              <w:rPr>
                <w:rFonts w:ascii="Arial" w:cs="Arial" w:eastAsia="Arial" w:hAnsi="Arial"/>
                <w:sz w:val="14"/>
                <w:szCs w:val="14"/>
                <w:color w:val="auto"/>
                <w:vertAlign w:val="superscript"/>
              </w:rPr>
              <w:t>(7)</w:t>
            </w:r>
          </w:p>
        </w:tc>
        <w:tc>
          <w:tcPr>
            <w:tcW w:w="74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07/31/2025</w:t>
            </w:r>
          </w:p>
        </w:tc>
        <w:tc>
          <w:tcPr>
            <w:tcW w:w="140" w:type="dxa"/>
            <w:vAlign w:val="bottom"/>
          </w:tcPr>
          <w:p>
            <w:pPr>
              <w:spacing w:after="0"/>
              <w:rPr>
                <w:sz w:val="11"/>
                <w:szCs w:val="11"/>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89"/>
              </w:rPr>
              <w:t>Diversified Consumer Services</w:t>
            </w:r>
          </w:p>
        </w:tc>
        <w:tc>
          <w:tcPr>
            <w:tcW w:w="960" w:type="dxa"/>
            <w:vAlign w:val="bottom"/>
            <w:gridSpan w:val="3"/>
          </w:tcPr>
          <w:p>
            <w:pPr>
              <w:jc w:val="right"/>
              <w:ind w:right="20"/>
              <w:spacing w:after="0"/>
              <w:rPr>
                <w:sz w:val="20"/>
                <w:szCs w:val="20"/>
                <w:color w:val="auto"/>
              </w:rPr>
            </w:pPr>
            <w:r>
              <w:rPr>
                <w:rFonts w:ascii="Arial" w:cs="Arial" w:eastAsia="Arial" w:hAnsi="Arial"/>
                <w:sz w:val="11"/>
                <w:szCs w:val="11"/>
                <w:color w:val="auto"/>
              </w:rPr>
              <w:t>6.72 %</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1M</w:t>
            </w:r>
          </w:p>
        </w:tc>
        <w:tc>
          <w:tcPr>
            <w:tcW w:w="300" w:type="dxa"/>
            <w:vAlign w:val="bottom"/>
          </w:tcPr>
          <w:p>
            <w:pPr>
              <w:jc w:val="right"/>
              <w:spacing w:after="0"/>
              <w:rPr>
                <w:sz w:val="20"/>
                <w:szCs w:val="20"/>
                <w:color w:val="auto"/>
              </w:rPr>
            </w:pPr>
            <w:r>
              <w:rPr>
                <w:rFonts w:ascii="Arial" w:cs="Arial" w:eastAsia="Arial" w:hAnsi="Arial"/>
                <w:sz w:val="11"/>
                <w:szCs w:val="11"/>
                <w:color w:val="auto"/>
                <w:w w:val="84"/>
              </w:rPr>
              <w:t>L+525</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369</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369</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367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16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Apex Service Partners, LLC (Revolver) </w:t>
            </w:r>
            <w:r>
              <w:rPr>
                <w:rFonts w:ascii="Arial" w:cs="Arial" w:eastAsia="Arial" w:hAnsi="Arial"/>
                <w:sz w:val="14"/>
                <w:szCs w:val="14"/>
                <w:color w:val="auto"/>
                <w:vertAlign w:val="superscript"/>
              </w:rPr>
              <w:t>(7), (9)</w:t>
            </w:r>
          </w:p>
        </w:tc>
        <w:tc>
          <w:tcPr>
            <w:tcW w:w="74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07/31/2025</w:t>
            </w:r>
          </w:p>
        </w:tc>
        <w:tc>
          <w:tcPr>
            <w:tcW w:w="140" w:type="dxa"/>
            <w:vAlign w:val="bottom"/>
          </w:tcPr>
          <w:p>
            <w:pPr>
              <w:spacing w:after="0"/>
              <w:rPr>
                <w:sz w:val="13"/>
                <w:szCs w:val="13"/>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89"/>
              </w:rPr>
              <w:t>Diversified Consumer Services</w:t>
            </w:r>
          </w:p>
        </w:tc>
        <w:tc>
          <w:tcPr>
            <w:tcW w:w="14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1,476</w:t>
            </w:r>
          </w:p>
        </w:tc>
        <w:tc>
          <w:tcPr>
            <w:tcW w:w="2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1040" w:type="dxa"/>
            <w:vAlign w:val="bottom"/>
            <w:gridSpan w:val="3"/>
          </w:tcPr>
          <w:p>
            <w:pPr>
              <w:jc w:val="right"/>
              <w:ind w:right="60"/>
              <w:spacing w:after="0"/>
              <w:rPr>
                <w:sz w:val="20"/>
                <w:szCs w:val="20"/>
                <w:color w:val="auto"/>
              </w:rPr>
            </w:pPr>
            <w:r>
              <w:rPr>
                <w:rFonts w:ascii="Arial" w:cs="Arial" w:eastAsia="Arial" w:hAnsi="Arial"/>
                <w:sz w:val="11"/>
                <w:szCs w:val="11"/>
                <w:color w:val="auto"/>
              </w:rPr>
              <w:t>(7 )</w:t>
            </w:r>
          </w:p>
        </w:tc>
        <w:tc>
          <w:tcPr>
            <w:tcW w:w="0" w:type="dxa"/>
            <w:vAlign w:val="bottom"/>
          </w:tcPr>
          <w:p>
            <w:pPr>
              <w:spacing w:after="0"/>
              <w:rPr>
                <w:sz w:val="1"/>
                <w:szCs w:val="1"/>
                <w:color w:val="auto"/>
              </w:rPr>
            </w:pPr>
          </w:p>
        </w:tc>
      </w:tr>
      <w:tr>
        <w:trPr>
          <w:trHeight w:val="108"/>
        </w:trPr>
        <w:tc>
          <w:tcPr>
            <w:tcW w:w="3160" w:type="dxa"/>
            <w:vAlign w:val="bottom"/>
          </w:tcPr>
          <w:p>
            <w:pPr>
              <w:ind w:left="20"/>
              <w:spacing w:after="0" w:line="108" w:lineRule="exact"/>
              <w:rPr>
                <w:sz w:val="20"/>
                <w:szCs w:val="20"/>
                <w:color w:val="auto"/>
              </w:rPr>
            </w:pPr>
            <w:r>
              <w:rPr>
                <w:rFonts w:ascii="Arial" w:cs="Arial" w:eastAsia="Arial" w:hAnsi="Arial"/>
                <w:sz w:val="11"/>
                <w:szCs w:val="11"/>
                <w:color w:val="auto"/>
              </w:rPr>
              <w:t>API Holding III Corp.</w:t>
            </w:r>
          </w:p>
        </w:tc>
        <w:tc>
          <w:tcPr>
            <w:tcW w:w="740" w:type="dxa"/>
            <w:vAlign w:val="bottom"/>
            <w:gridSpan w:val="2"/>
          </w:tcPr>
          <w:p>
            <w:pPr>
              <w:jc w:val="center"/>
              <w:ind w:left="86"/>
              <w:spacing w:after="0" w:line="108" w:lineRule="exact"/>
              <w:rPr>
                <w:sz w:val="20"/>
                <w:szCs w:val="20"/>
                <w:color w:val="auto"/>
              </w:rPr>
            </w:pPr>
            <w:r>
              <w:rPr>
                <w:rFonts w:ascii="Arial" w:cs="Arial" w:eastAsia="Arial" w:hAnsi="Arial"/>
                <w:sz w:val="11"/>
                <w:szCs w:val="11"/>
                <w:color w:val="auto"/>
                <w:w w:val="87"/>
              </w:rPr>
              <w:t>05/11/2026</w:t>
            </w:r>
          </w:p>
        </w:tc>
        <w:tc>
          <w:tcPr>
            <w:tcW w:w="140" w:type="dxa"/>
            <w:vAlign w:val="bottom"/>
          </w:tcPr>
          <w:p>
            <w:pPr>
              <w:spacing w:after="0"/>
              <w:rPr>
                <w:sz w:val="9"/>
                <w:szCs w:val="9"/>
                <w:color w:val="auto"/>
              </w:rPr>
            </w:pPr>
          </w:p>
        </w:tc>
        <w:tc>
          <w:tcPr>
            <w:tcW w:w="2240" w:type="dxa"/>
            <w:vAlign w:val="bottom"/>
          </w:tcPr>
          <w:p>
            <w:pPr>
              <w:jc w:val="center"/>
              <w:spacing w:after="0" w:line="108" w:lineRule="exact"/>
              <w:rPr>
                <w:sz w:val="20"/>
                <w:szCs w:val="20"/>
                <w:color w:val="auto"/>
              </w:rPr>
            </w:pPr>
            <w:r>
              <w:rPr>
                <w:rFonts w:ascii="Arial" w:cs="Arial" w:eastAsia="Arial" w:hAnsi="Arial"/>
                <w:sz w:val="11"/>
                <w:szCs w:val="11"/>
                <w:color w:val="auto"/>
                <w:w w:val="89"/>
              </w:rPr>
              <w:t>Electronic Equipment, Instruments, and</w:t>
            </w:r>
          </w:p>
        </w:tc>
        <w:tc>
          <w:tcPr>
            <w:tcW w:w="960" w:type="dxa"/>
            <w:vAlign w:val="bottom"/>
            <w:gridSpan w:val="3"/>
          </w:tcPr>
          <w:p>
            <w:pPr>
              <w:jc w:val="right"/>
              <w:ind w:right="20"/>
              <w:spacing w:after="0" w:line="108" w:lineRule="exact"/>
              <w:rPr>
                <w:sz w:val="20"/>
                <w:szCs w:val="20"/>
                <w:color w:val="auto"/>
              </w:rPr>
            </w:pPr>
            <w:r>
              <w:rPr>
                <w:rFonts w:ascii="Arial" w:cs="Arial" w:eastAsia="Arial" w:hAnsi="Arial"/>
                <w:sz w:val="11"/>
                <w:szCs w:val="11"/>
                <w:color w:val="auto"/>
              </w:rPr>
              <w:t>5.92 %</w:t>
            </w:r>
          </w:p>
        </w:tc>
        <w:tc>
          <w:tcPr>
            <w:tcW w:w="120" w:type="dxa"/>
            <w:vAlign w:val="bottom"/>
          </w:tcPr>
          <w:p>
            <w:pPr>
              <w:spacing w:after="0"/>
              <w:rPr>
                <w:sz w:val="9"/>
                <w:szCs w:val="9"/>
                <w:color w:val="auto"/>
              </w:rPr>
            </w:pPr>
          </w:p>
        </w:tc>
        <w:tc>
          <w:tcPr>
            <w:tcW w:w="680" w:type="dxa"/>
            <w:vAlign w:val="bottom"/>
          </w:tcPr>
          <w:p>
            <w:pPr>
              <w:jc w:val="right"/>
              <w:spacing w:after="0" w:line="108" w:lineRule="exact"/>
              <w:rPr>
                <w:sz w:val="20"/>
                <w:szCs w:val="20"/>
                <w:color w:val="auto"/>
              </w:rPr>
            </w:pPr>
            <w:r>
              <w:rPr>
                <w:rFonts w:ascii="Arial" w:cs="Arial" w:eastAsia="Arial" w:hAnsi="Arial"/>
                <w:sz w:val="11"/>
                <w:szCs w:val="11"/>
                <w:color w:val="auto"/>
              </w:rPr>
              <w:t>1M</w:t>
            </w:r>
          </w:p>
        </w:tc>
        <w:tc>
          <w:tcPr>
            <w:tcW w:w="300" w:type="dxa"/>
            <w:vAlign w:val="bottom"/>
          </w:tcPr>
          <w:p>
            <w:pPr>
              <w:jc w:val="right"/>
              <w:spacing w:after="0" w:line="108" w:lineRule="exact"/>
              <w:rPr>
                <w:sz w:val="20"/>
                <w:szCs w:val="20"/>
                <w:color w:val="auto"/>
              </w:rPr>
            </w:pPr>
            <w:r>
              <w:rPr>
                <w:rFonts w:ascii="Arial" w:cs="Arial" w:eastAsia="Arial" w:hAnsi="Arial"/>
                <w:sz w:val="11"/>
                <w:szCs w:val="11"/>
                <w:color w:val="auto"/>
                <w:w w:val="84"/>
              </w:rPr>
              <w:t>L+425</w:t>
            </w:r>
          </w:p>
        </w:tc>
        <w:tc>
          <w:tcPr>
            <w:tcW w:w="920" w:type="dxa"/>
            <w:vAlign w:val="bottom"/>
            <w:gridSpan w:val="2"/>
          </w:tcPr>
          <w:p>
            <w:pPr>
              <w:jc w:val="right"/>
              <w:spacing w:after="0" w:line="108" w:lineRule="exact"/>
              <w:rPr>
                <w:sz w:val="20"/>
                <w:szCs w:val="20"/>
                <w:color w:val="auto"/>
              </w:rPr>
            </w:pPr>
            <w:r>
              <w:rPr>
                <w:rFonts w:ascii="Arial" w:cs="Arial" w:eastAsia="Arial" w:hAnsi="Arial"/>
                <w:sz w:val="11"/>
                <w:szCs w:val="11"/>
                <w:color w:val="auto"/>
              </w:rPr>
              <w:t>5,820</w:t>
            </w:r>
          </w:p>
        </w:tc>
        <w:tc>
          <w:tcPr>
            <w:tcW w:w="940" w:type="dxa"/>
            <w:vAlign w:val="bottom"/>
            <w:gridSpan w:val="2"/>
          </w:tcPr>
          <w:p>
            <w:pPr>
              <w:jc w:val="right"/>
              <w:spacing w:after="0" w:line="108" w:lineRule="exact"/>
              <w:rPr>
                <w:sz w:val="20"/>
                <w:szCs w:val="20"/>
                <w:color w:val="auto"/>
              </w:rPr>
            </w:pPr>
            <w:r>
              <w:rPr>
                <w:rFonts w:ascii="Arial" w:cs="Arial" w:eastAsia="Arial" w:hAnsi="Arial"/>
                <w:sz w:val="11"/>
                <w:szCs w:val="11"/>
                <w:color w:val="auto"/>
              </w:rPr>
              <w:t>5,799</w:t>
            </w:r>
          </w:p>
        </w:tc>
        <w:tc>
          <w:tcPr>
            <w:tcW w:w="940" w:type="dxa"/>
            <w:vAlign w:val="bottom"/>
            <w:gridSpan w:val="2"/>
          </w:tcPr>
          <w:p>
            <w:pPr>
              <w:jc w:val="right"/>
              <w:spacing w:after="0" w:line="108" w:lineRule="exact"/>
              <w:rPr>
                <w:sz w:val="20"/>
                <w:szCs w:val="20"/>
                <w:color w:val="auto"/>
              </w:rPr>
            </w:pPr>
            <w:r>
              <w:rPr>
                <w:rFonts w:ascii="Arial" w:cs="Arial" w:eastAsia="Arial" w:hAnsi="Arial"/>
                <w:sz w:val="11"/>
                <w:szCs w:val="11"/>
                <w:color w:val="auto"/>
              </w:rPr>
              <w:t>5,165</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86"/>
              </w:rPr>
              <w:t>Components</w:t>
            </w: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3160" w:type="dxa"/>
            <w:vAlign w:val="bottom"/>
          </w:tcPr>
          <w:p>
            <w:pPr>
              <w:ind w:left="20"/>
              <w:spacing w:after="0" w:line="115" w:lineRule="exact"/>
              <w:rPr>
                <w:sz w:val="20"/>
                <w:szCs w:val="20"/>
                <w:color w:val="auto"/>
              </w:rPr>
            </w:pPr>
            <w:r>
              <w:rPr>
                <w:rFonts w:ascii="Arial" w:cs="Arial" w:eastAsia="Arial" w:hAnsi="Arial"/>
                <w:sz w:val="11"/>
                <w:szCs w:val="11"/>
                <w:color w:val="auto"/>
              </w:rPr>
              <w:t>Applied Technical Services, LLC</w:t>
            </w:r>
          </w:p>
        </w:tc>
        <w:tc>
          <w:tcPr>
            <w:tcW w:w="740" w:type="dxa"/>
            <w:vAlign w:val="bottom"/>
            <w:gridSpan w:val="2"/>
          </w:tcPr>
          <w:p>
            <w:pPr>
              <w:jc w:val="center"/>
              <w:ind w:left="86"/>
              <w:spacing w:after="0" w:line="115" w:lineRule="exact"/>
              <w:rPr>
                <w:sz w:val="20"/>
                <w:szCs w:val="20"/>
                <w:color w:val="auto"/>
              </w:rPr>
            </w:pPr>
            <w:r>
              <w:rPr>
                <w:rFonts w:ascii="Arial" w:cs="Arial" w:eastAsia="Arial" w:hAnsi="Arial"/>
                <w:sz w:val="11"/>
                <w:szCs w:val="11"/>
                <w:color w:val="auto"/>
                <w:w w:val="87"/>
              </w:rPr>
              <w:t>12/29/2026</w:t>
            </w:r>
          </w:p>
        </w:tc>
        <w:tc>
          <w:tcPr>
            <w:tcW w:w="140" w:type="dxa"/>
            <w:vAlign w:val="bottom"/>
          </w:tcPr>
          <w:p>
            <w:pPr>
              <w:spacing w:after="0"/>
              <w:rPr>
                <w:sz w:val="9"/>
                <w:szCs w:val="9"/>
                <w:color w:val="auto"/>
              </w:rPr>
            </w:pPr>
          </w:p>
        </w:tc>
        <w:tc>
          <w:tcPr>
            <w:tcW w:w="2240" w:type="dxa"/>
            <w:vAlign w:val="bottom"/>
          </w:tcPr>
          <w:p>
            <w:pPr>
              <w:jc w:val="center"/>
              <w:spacing w:after="0" w:line="115" w:lineRule="exact"/>
              <w:rPr>
                <w:sz w:val="20"/>
                <w:szCs w:val="20"/>
                <w:color w:val="auto"/>
              </w:rPr>
            </w:pPr>
            <w:r>
              <w:rPr>
                <w:rFonts w:ascii="Arial" w:cs="Arial" w:eastAsia="Arial" w:hAnsi="Arial"/>
                <w:sz w:val="11"/>
                <w:szCs w:val="11"/>
                <w:color w:val="auto"/>
                <w:w w:val="90"/>
              </w:rPr>
              <w:t>Commercial Services &amp; Supplies</w:t>
            </w:r>
          </w:p>
        </w:tc>
        <w:tc>
          <w:tcPr>
            <w:tcW w:w="960" w:type="dxa"/>
            <w:vAlign w:val="bottom"/>
            <w:gridSpan w:val="3"/>
          </w:tcPr>
          <w:p>
            <w:pPr>
              <w:jc w:val="right"/>
              <w:ind w:right="20"/>
              <w:spacing w:after="0" w:line="115" w:lineRule="exact"/>
              <w:rPr>
                <w:sz w:val="20"/>
                <w:szCs w:val="20"/>
                <w:color w:val="auto"/>
              </w:rPr>
            </w:pPr>
            <w:r>
              <w:rPr>
                <w:rFonts w:ascii="Arial" w:cs="Arial" w:eastAsia="Arial" w:hAnsi="Arial"/>
                <w:sz w:val="11"/>
                <w:szCs w:val="11"/>
                <w:color w:val="auto"/>
              </w:rPr>
              <w:t>8.00 %</w:t>
            </w:r>
          </w:p>
        </w:tc>
        <w:tc>
          <w:tcPr>
            <w:tcW w:w="120" w:type="dxa"/>
            <w:vAlign w:val="bottom"/>
          </w:tcPr>
          <w:p>
            <w:pPr>
              <w:spacing w:after="0"/>
              <w:rPr>
                <w:sz w:val="9"/>
                <w:szCs w:val="9"/>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1"/>
                <w:szCs w:val="11"/>
                <w:color w:val="auto"/>
              </w:rPr>
              <w:t>3M</w:t>
            </w:r>
          </w:p>
        </w:tc>
        <w:tc>
          <w:tcPr>
            <w:tcW w:w="300" w:type="dxa"/>
            <w:vAlign w:val="bottom"/>
          </w:tcPr>
          <w:p>
            <w:pPr>
              <w:jc w:val="right"/>
              <w:spacing w:after="0" w:line="115" w:lineRule="exact"/>
              <w:rPr>
                <w:sz w:val="20"/>
                <w:szCs w:val="20"/>
                <w:color w:val="auto"/>
              </w:rPr>
            </w:pPr>
            <w:r>
              <w:rPr>
                <w:rFonts w:ascii="Arial" w:cs="Arial" w:eastAsia="Arial" w:hAnsi="Arial"/>
                <w:sz w:val="11"/>
                <w:szCs w:val="11"/>
                <w:color w:val="auto"/>
                <w:w w:val="84"/>
              </w:rPr>
              <w:t>L+575</w:t>
            </w:r>
          </w:p>
        </w:tc>
        <w:tc>
          <w:tcPr>
            <w:tcW w:w="9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6,680</w:t>
            </w:r>
          </w:p>
        </w:tc>
        <w:tc>
          <w:tcPr>
            <w:tcW w:w="94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6,574</w:t>
            </w:r>
          </w:p>
        </w:tc>
        <w:tc>
          <w:tcPr>
            <w:tcW w:w="94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6,596</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16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Applied Technical Services, LLC </w:t>
            </w:r>
            <w:r>
              <w:rPr>
                <w:rFonts w:ascii="Arial" w:cs="Arial" w:eastAsia="Arial" w:hAnsi="Arial"/>
                <w:sz w:val="14"/>
                <w:szCs w:val="14"/>
                <w:color w:val="auto"/>
                <w:vertAlign w:val="superscript"/>
              </w:rPr>
              <w:t>(7), (9)</w:t>
            </w:r>
          </w:p>
        </w:tc>
        <w:tc>
          <w:tcPr>
            <w:tcW w:w="740" w:type="dxa"/>
            <w:vAlign w:val="bottom"/>
            <w:gridSpan w:val="2"/>
          </w:tcPr>
          <w:p>
            <w:pPr>
              <w:jc w:val="center"/>
              <w:ind w:left="86"/>
              <w:spacing w:after="0"/>
              <w:rPr>
                <w:sz w:val="20"/>
                <w:szCs w:val="20"/>
                <w:color w:val="auto"/>
              </w:rPr>
            </w:pPr>
            <w:r>
              <w:rPr>
                <w:rFonts w:ascii="Arial" w:cs="Arial" w:eastAsia="Arial" w:hAnsi="Arial"/>
                <w:sz w:val="11"/>
                <w:szCs w:val="11"/>
                <w:color w:val="auto"/>
                <w:w w:val="89"/>
              </w:rPr>
              <w:t>8/23/2022</w:t>
            </w:r>
          </w:p>
        </w:tc>
        <w:tc>
          <w:tcPr>
            <w:tcW w:w="140" w:type="dxa"/>
            <w:vAlign w:val="bottom"/>
          </w:tcPr>
          <w:p>
            <w:pPr>
              <w:spacing w:after="0"/>
              <w:rPr>
                <w:sz w:val="11"/>
                <w:szCs w:val="11"/>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90"/>
              </w:rPr>
              <w:t>Commercial Services &amp; Supplies</w:t>
            </w:r>
          </w:p>
        </w:tc>
        <w:tc>
          <w:tcPr>
            <w:tcW w:w="14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2,819</w:t>
            </w:r>
          </w:p>
        </w:tc>
        <w:tc>
          <w:tcPr>
            <w:tcW w:w="2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1040" w:type="dxa"/>
            <w:vAlign w:val="bottom"/>
            <w:gridSpan w:val="3"/>
          </w:tcPr>
          <w:p>
            <w:pPr>
              <w:jc w:val="right"/>
              <w:ind w:right="60"/>
              <w:spacing w:after="0"/>
              <w:rPr>
                <w:sz w:val="20"/>
                <w:szCs w:val="20"/>
                <w:color w:val="auto"/>
              </w:rPr>
            </w:pPr>
            <w:r>
              <w:rPr>
                <w:rFonts w:ascii="Arial" w:cs="Arial" w:eastAsia="Arial" w:hAnsi="Arial"/>
                <w:sz w:val="11"/>
                <w:szCs w:val="11"/>
                <w:color w:val="auto"/>
              </w:rPr>
              <w:t>(4 )</w:t>
            </w:r>
          </w:p>
        </w:tc>
        <w:tc>
          <w:tcPr>
            <w:tcW w:w="0" w:type="dxa"/>
            <w:vAlign w:val="bottom"/>
          </w:tcPr>
          <w:p>
            <w:pPr>
              <w:spacing w:after="0"/>
              <w:rPr>
                <w:sz w:val="1"/>
                <w:szCs w:val="1"/>
                <w:color w:val="auto"/>
              </w:rPr>
            </w:pPr>
          </w:p>
        </w:tc>
      </w:tr>
      <w:tr>
        <w:trPr>
          <w:trHeight w:val="135"/>
        </w:trPr>
        <w:tc>
          <w:tcPr>
            <w:tcW w:w="316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Applied Technical Services, LLC (Revolver) </w:t>
            </w:r>
            <w:r>
              <w:rPr>
                <w:rFonts w:ascii="Arial" w:cs="Arial" w:eastAsia="Arial" w:hAnsi="Arial"/>
                <w:sz w:val="14"/>
                <w:szCs w:val="14"/>
                <w:color w:val="auto"/>
                <w:vertAlign w:val="superscript"/>
              </w:rPr>
              <w:t>(7)</w:t>
            </w:r>
          </w:p>
        </w:tc>
        <w:tc>
          <w:tcPr>
            <w:tcW w:w="74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12/29/2026</w:t>
            </w:r>
          </w:p>
        </w:tc>
        <w:tc>
          <w:tcPr>
            <w:tcW w:w="140" w:type="dxa"/>
            <w:vAlign w:val="bottom"/>
          </w:tcPr>
          <w:p>
            <w:pPr>
              <w:spacing w:after="0"/>
              <w:rPr>
                <w:sz w:val="11"/>
                <w:szCs w:val="11"/>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90"/>
              </w:rPr>
              <w:t>Commercial Services &amp; Supplies</w:t>
            </w:r>
          </w:p>
        </w:tc>
        <w:tc>
          <w:tcPr>
            <w:tcW w:w="960" w:type="dxa"/>
            <w:vAlign w:val="bottom"/>
            <w:gridSpan w:val="3"/>
          </w:tcPr>
          <w:p>
            <w:pPr>
              <w:jc w:val="right"/>
              <w:ind w:right="20"/>
              <w:spacing w:after="0"/>
              <w:rPr>
                <w:sz w:val="20"/>
                <w:szCs w:val="20"/>
                <w:color w:val="auto"/>
              </w:rPr>
            </w:pPr>
            <w:r>
              <w:rPr>
                <w:rFonts w:ascii="Arial" w:cs="Arial" w:eastAsia="Arial" w:hAnsi="Arial"/>
                <w:sz w:val="11"/>
                <w:szCs w:val="11"/>
                <w:color w:val="auto"/>
              </w:rPr>
              <w:t>9.50 %</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3M</w:t>
            </w:r>
          </w:p>
        </w:tc>
        <w:tc>
          <w:tcPr>
            <w:tcW w:w="300" w:type="dxa"/>
            <w:vAlign w:val="bottom"/>
          </w:tcPr>
          <w:p>
            <w:pPr>
              <w:jc w:val="right"/>
              <w:spacing w:after="0"/>
              <w:rPr>
                <w:sz w:val="20"/>
                <w:szCs w:val="20"/>
                <w:color w:val="auto"/>
              </w:rPr>
            </w:pPr>
            <w:r>
              <w:rPr>
                <w:rFonts w:ascii="Arial" w:cs="Arial" w:eastAsia="Arial" w:hAnsi="Arial"/>
                <w:sz w:val="11"/>
                <w:szCs w:val="11"/>
                <w:color w:val="auto"/>
                <w:w w:val="84"/>
              </w:rPr>
              <w:t>L+475</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509</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509</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503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6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Applied Technical Services, LLC (Revolver) </w:t>
            </w:r>
            <w:r>
              <w:rPr>
                <w:rFonts w:ascii="Arial" w:cs="Arial" w:eastAsia="Arial" w:hAnsi="Arial"/>
                <w:sz w:val="14"/>
                <w:szCs w:val="14"/>
                <w:color w:val="auto"/>
                <w:vertAlign w:val="superscript"/>
              </w:rPr>
              <w:t>(7), (9)</w:t>
            </w:r>
          </w:p>
        </w:tc>
        <w:tc>
          <w:tcPr>
            <w:tcW w:w="74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12/29/2026</w:t>
            </w:r>
          </w:p>
        </w:tc>
        <w:tc>
          <w:tcPr>
            <w:tcW w:w="140" w:type="dxa"/>
            <w:vAlign w:val="bottom"/>
          </w:tcPr>
          <w:p>
            <w:pPr>
              <w:spacing w:after="0"/>
              <w:rPr>
                <w:sz w:val="11"/>
                <w:szCs w:val="11"/>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90"/>
              </w:rPr>
              <w:t>Commercial Services &amp; Supplies</w:t>
            </w:r>
          </w:p>
        </w:tc>
        <w:tc>
          <w:tcPr>
            <w:tcW w:w="14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764</w:t>
            </w:r>
          </w:p>
        </w:tc>
        <w:tc>
          <w:tcPr>
            <w:tcW w:w="2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1040" w:type="dxa"/>
            <w:vAlign w:val="bottom"/>
            <w:gridSpan w:val="3"/>
          </w:tcPr>
          <w:p>
            <w:pPr>
              <w:jc w:val="right"/>
              <w:ind w:right="60"/>
              <w:spacing w:after="0"/>
              <w:rPr>
                <w:sz w:val="20"/>
                <w:szCs w:val="20"/>
                <w:color w:val="auto"/>
              </w:rPr>
            </w:pPr>
            <w:r>
              <w:rPr>
                <w:rFonts w:ascii="Arial" w:cs="Arial" w:eastAsia="Arial" w:hAnsi="Arial"/>
                <w:sz w:val="11"/>
                <w:szCs w:val="11"/>
                <w:color w:val="auto"/>
              </w:rPr>
              <w:t>(10 )</w:t>
            </w:r>
          </w:p>
        </w:tc>
        <w:tc>
          <w:tcPr>
            <w:tcW w:w="0" w:type="dxa"/>
            <w:vAlign w:val="bottom"/>
          </w:tcPr>
          <w:p>
            <w:pPr>
              <w:spacing w:after="0"/>
              <w:rPr>
                <w:sz w:val="1"/>
                <w:szCs w:val="1"/>
                <w:color w:val="auto"/>
              </w:rPr>
            </w:pPr>
          </w:p>
        </w:tc>
      </w:tr>
      <w:tr>
        <w:trPr>
          <w:trHeight w:val="155"/>
        </w:trPr>
        <w:tc>
          <w:tcPr>
            <w:tcW w:w="316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Arcfield Acquisition Corp. (Revolver) </w:t>
            </w:r>
            <w:r>
              <w:rPr>
                <w:rFonts w:ascii="Arial" w:cs="Arial" w:eastAsia="Arial" w:hAnsi="Arial"/>
                <w:sz w:val="14"/>
                <w:szCs w:val="14"/>
                <w:color w:val="auto"/>
                <w:vertAlign w:val="superscript"/>
              </w:rPr>
              <w:t>(9)</w:t>
            </w:r>
          </w:p>
        </w:tc>
        <w:tc>
          <w:tcPr>
            <w:tcW w:w="74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03/07/2028</w:t>
            </w:r>
          </w:p>
        </w:tc>
        <w:tc>
          <w:tcPr>
            <w:tcW w:w="140" w:type="dxa"/>
            <w:vAlign w:val="bottom"/>
          </w:tcPr>
          <w:p>
            <w:pPr>
              <w:spacing w:after="0"/>
              <w:rPr>
                <w:sz w:val="13"/>
                <w:szCs w:val="13"/>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86"/>
              </w:rPr>
              <w:t>Aerospace and Defense</w:t>
            </w:r>
          </w:p>
        </w:tc>
        <w:tc>
          <w:tcPr>
            <w:tcW w:w="14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887</w:t>
            </w:r>
          </w:p>
        </w:tc>
        <w:tc>
          <w:tcPr>
            <w:tcW w:w="2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1040" w:type="dxa"/>
            <w:vAlign w:val="bottom"/>
            <w:gridSpan w:val="3"/>
          </w:tcPr>
          <w:p>
            <w:pPr>
              <w:jc w:val="right"/>
              <w:ind w:right="60"/>
              <w:spacing w:after="0"/>
              <w:rPr>
                <w:sz w:val="20"/>
                <w:szCs w:val="20"/>
                <w:color w:val="auto"/>
              </w:rPr>
            </w:pPr>
            <w:r>
              <w:rPr>
                <w:rFonts w:ascii="Arial" w:cs="Arial" w:eastAsia="Arial" w:hAnsi="Arial"/>
                <w:sz w:val="11"/>
                <w:szCs w:val="11"/>
                <w:color w:val="auto"/>
              </w:rPr>
              <w:t>(22 )</w:t>
            </w:r>
          </w:p>
        </w:tc>
        <w:tc>
          <w:tcPr>
            <w:tcW w:w="0" w:type="dxa"/>
            <w:vAlign w:val="bottom"/>
          </w:tcPr>
          <w:p>
            <w:pPr>
              <w:spacing w:after="0"/>
              <w:rPr>
                <w:sz w:val="1"/>
                <w:szCs w:val="1"/>
                <w:color w:val="auto"/>
              </w:rPr>
            </w:pPr>
          </w:p>
        </w:tc>
      </w:tr>
      <w:tr>
        <w:trPr>
          <w:trHeight w:val="115"/>
        </w:trPr>
        <w:tc>
          <w:tcPr>
            <w:tcW w:w="3160" w:type="dxa"/>
            <w:vAlign w:val="bottom"/>
          </w:tcPr>
          <w:p>
            <w:pPr>
              <w:ind w:left="20"/>
              <w:spacing w:after="0" w:line="115" w:lineRule="exact"/>
              <w:rPr>
                <w:sz w:val="20"/>
                <w:szCs w:val="20"/>
                <w:color w:val="auto"/>
              </w:rPr>
            </w:pPr>
            <w:r>
              <w:rPr>
                <w:rFonts w:ascii="Arial" w:cs="Arial" w:eastAsia="Arial" w:hAnsi="Arial"/>
                <w:sz w:val="11"/>
                <w:szCs w:val="11"/>
                <w:color w:val="auto"/>
              </w:rPr>
              <w:t>Beta Plus Technologies, Inc.</w:t>
            </w:r>
          </w:p>
        </w:tc>
        <w:tc>
          <w:tcPr>
            <w:tcW w:w="740" w:type="dxa"/>
            <w:vAlign w:val="bottom"/>
            <w:gridSpan w:val="2"/>
          </w:tcPr>
          <w:p>
            <w:pPr>
              <w:jc w:val="center"/>
              <w:ind w:left="86"/>
              <w:spacing w:after="0" w:line="115" w:lineRule="exact"/>
              <w:rPr>
                <w:sz w:val="20"/>
                <w:szCs w:val="20"/>
                <w:color w:val="auto"/>
              </w:rPr>
            </w:pPr>
            <w:r>
              <w:rPr>
                <w:rFonts w:ascii="Arial" w:cs="Arial" w:eastAsia="Arial" w:hAnsi="Arial"/>
                <w:sz w:val="11"/>
                <w:szCs w:val="11"/>
                <w:color w:val="auto"/>
                <w:w w:val="87"/>
              </w:rPr>
              <w:t>07/01/2029</w:t>
            </w:r>
          </w:p>
        </w:tc>
        <w:tc>
          <w:tcPr>
            <w:tcW w:w="140" w:type="dxa"/>
            <w:vAlign w:val="bottom"/>
          </w:tcPr>
          <w:p>
            <w:pPr>
              <w:spacing w:after="0"/>
              <w:rPr>
                <w:sz w:val="9"/>
                <w:szCs w:val="9"/>
                <w:color w:val="auto"/>
              </w:rPr>
            </w:pPr>
          </w:p>
        </w:tc>
        <w:tc>
          <w:tcPr>
            <w:tcW w:w="2240" w:type="dxa"/>
            <w:vAlign w:val="bottom"/>
          </w:tcPr>
          <w:p>
            <w:pPr>
              <w:jc w:val="center"/>
              <w:spacing w:after="0" w:line="115" w:lineRule="exact"/>
              <w:rPr>
                <w:sz w:val="20"/>
                <w:szCs w:val="20"/>
                <w:color w:val="auto"/>
              </w:rPr>
            </w:pPr>
            <w:r>
              <w:rPr>
                <w:rFonts w:ascii="Arial" w:cs="Arial" w:eastAsia="Arial" w:hAnsi="Arial"/>
                <w:sz w:val="11"/>
                <w:szCs w:val="11"/>
                <w:color w:val="auto"/>
                <w:w w:val="87"/>
              </w:rPr>
              <w:t>Internet Software and Services</w:t>
            </w:r>
          </w:p>
        </w:tc>
        <w:tc>
          <w:tcPr>
            <w:tcW w:w="960" w:type="dxa"/>
            <w:vAlign w:val="bottom"/>
            <w:gridSpan w:val="3"/>
          </w:tcPr>
          <w:p>
            <w:pPr>
              <w:jc w:val="right"/>
              <w:ind w:right="20"/>
              <w:spacing w:after="0" w:line="115" w:lineRule="exact"/>
              <w:rPr>
                <w:sz w:val="20"/>
                <w:szCs w:val="20"/>
                <w:color w:val="auto"/>
              </w:rPr>
            </w:pPr>
            <w:r>
              <w:rPr>
                <w:rFonts w:ascii="Arial" w:cs="Arial" w:eastAsia="Arial" w:hAnsi="Arial"/>
                <w:sz w:val="11"/>
                <w:szCs w:val="11"/>
                <w:color w:val="auto"/>
              </w:rPr>
              <w:t>6.85 %</w:t>
            </w:r>
          </w:p>
        </w:tc>
        <w:tc>
          <w:tcPr>
            <w:tcW w:w="120" w:type="dxa"/>
            <w:vAlign w:val="bottom"/>
          </w:tcPr>
          <w:p>
            <w:pPr>
              <w:spacing w:after="0"/>
              <w:rPr>
                <w:sz w:val="9"/>
                <w:szCs w:val="9"/>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1"/>
                <w:szCs w:val="11"/>
                <w:color w:val="auto"/>
              </w:rPr>
              <w:t>1M</w:t>
            </w:r>
          </w:p>
        </w:tc>
        <w:tc>
          <w:tcPr>
            <w:tcW w:w="300" w:type="dxa"/>
            <w:vAlign w:val="bottom"/>
          </w:tcPr>
          <w:p>
            <w:pPr>
              <w:jc w:val="right"/>
              <w:spacing w:after="0" w:line="115" w:lineRule="exact"/>
              <w:rPr>
                <w:sz w:val="20"/>
                <w:szCs w:val="20"/>
                <w:color w:val="auto"/>
              </w:rPr>
            </w:pPr>
            <w:r>
              <w:rPr>
                <w:rFonts w:ascii="Arial" w:cs="Arial" w:eastAsia="Arial" w:hAnsi="Arial"/>
                <w:sz w:val="11"/>
                <w:szCs w:val="11"/>
                <w:color w:val="auto"/>
                <w:w w:val="84"/>
              </w:rPr>
              <w:t>L+525</w:t>
            </w:r>
          </w:p>
        </w:tc>
        <w:tc>
          <w:tcPr>
            <w:tcW w:w="9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10,000</w:t>
            </w:r>
          </w:p>
        </w:tc>
        <w:tc>
          <w:tcPr>
            <w:tcW w:w="94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9,800</w:t>
            </w:r>
          </w:p>
        </w:tc>
        <w:tc>
          <w:tcPr>
            <w:tcW w:w="94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9,800</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16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Blackhawk Industrial Distribution, Inc. </w:t>
            </w:r>
            <w:r>
              <w:rPr>
                <w:rFonts w:ascii="Arial" w:cs="Arial" w:eastAsia="Arial" w:hAnsi="Arial"/>
                <w:sz w:val="14"/>
                <w:szCs w:val="14"/>
                <w:color w:val="auto"/>
                <w:vertAlign w:val="superscript"/>
              </w:rPr>
              <w:t>(7),(9)</w:t>
            </w:r>
          </w:p>
        </w:tc>
        <w:tc>
          <w:tcPr>
            <w:tcW w:w="74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09/17/2024</w:t>
            </w:r>
          </w:p>
        </w:tc>
        <w:tc>
          <w:tcPr>
            <w:tcW w:w="140" w:type="dxa"/>
            <w:vAlign w:val="bottom"/>
          </w:tcPr>
          <w:p>
            <w:pPr>
              <w:spacing w:after="0"/>
              <w:rPr>
                <w:sz w:val="11"/>
                <w:szCs w:val="11"/>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93"/>
              </w:rPr>
              <w:t>Distributors</w:t>
            </w:r>
          </w:p>
        </w:tc>
        <w:tc>
          <w:tcPr>
            <w:tcW w:w="14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3,258</w:t>
            </w:r>
          </w:p>
        </w:tc>
        <w:tc>
          <w:tcPr>
            <w:tcW w:w="2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1040" w:type="dxa"/>
            <w:vAlign w:val="bottom"/>
            <w:gridSpan w:val="3"/>
          </w:tcPr>
          <w:p>
            <w:pPr>
              <w:jc w:val="right"/>
              <w:ind w:right="60"/>
              <w:spacing w:after="0"/>
              <w:rPr>
                <w:sz w:val="20"/>
                <w:szCs w:val="20"/>
                <w:color w:val="auto"/>
              </w:rPr>
            </w:pPr>
            <w:r>
              <w:rPr>
                <w:rFonts w:ascii="Arial" w:cs="Arial" w:eastAsia="Arial" w:hAnsi="Arial"/>
                <w:sz w:val="11"/>
                <w:szCs w:val="11"/>
                <w:color w:val="auto"/>
              </w:rPr>
              <w:t>(16 )</w:t>
            </w:r>
          </w:p>
        </w:tc>
        <w:tc>
          <w:tcPr>
            <w:tcW w:w="0" w:type="dxa"/>
            <w:vAlign w:val="bottom"/>
          </w:tcPr>
          <w:p>
            <w:pPr>
              <w:spacing w:after="0"/>
              <w:rPr>
                <w:sz w:val="1"/>
                <w:szCs w:val="1"/>
                <w:color w:val="auto"/>
              </w:rPr>
            </w:pPr>
          </w:p>
        </w:tc>
      </w:tr>
      <w:tr>
        <w:trPr>
          <w:trHeight w:val="135"/>
        </w:trPr>
        <w:tc>
          <w:tcPr>
            <w:tcW w:w="316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Blackhawk Industrial Distribution, Inc. (Revolver) </w:t>
            </w:r>
            <w:r>
              <w:rPr>
                <w:rFonts w:ascii="Arial" w:cs="Arial" w:eastAsia="Arial" w:hAnsi="Arial"/>
                <w:sz w:val="14"/>
                <w:szCs w:val="14"/>
                <w:color w:val="auto"/>
                <w:vertAlign w:val="superscript"/>
              </w:rPr>
              <w:t>(7)</w:t>
            </w:r>
          </w:p>
        </w:tc>
        <w:tc>
          <w:tcPr>
            <w:tcW w:w="74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09/17/2024</w:t>
            </w:r>
          </w:p>
        </w:tc>
        <w:tc>
          <w:tcPr>
            <w:tcW w:w="140" w:type="dxa"/>
            <w:vAlign w:val="bottom"/>
          </w:tcPr>
          <w:p>
            <w:pPr>
              <w:spacing w:after="0"/>
              <w:rPr>
                <w:sz w:val="11"/>
                <w:szCs w:val="11"/>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93"/>
              </w:rPr>
              <w:t>Distributors</w:t>
            </w:r>
          </w:p>
        </w:tc>
        <w:tc>
          <w:tcPr>
            <w:tcW w:w="960" w:type="dxa"/>
            <w:vAlign w:val="bottom"/>
            <w:gridSpan w:val="3"/>
          </w:tcPr>
          <w:p>
            <w:pPr>
              <w:jc w:val="right"/>
              <w:ind w:right="20"/>
              <w:spacing w:after="0"/>
              <w:rPr>
                <w:sz w:val="20"/>
                <w:szCs w:val="20"/>
                <w:color w:val="auto"/>
              </w:rPr>
            </w:pPr>
            <w:r>
              <w:rPr>
                <w:rFonts w:ascii="Arial" w:cs="Arial" w:eastAsia="Arial" w:hAnsi="Arial"/>
                <w:sz w:val="11"/>
                <w:szCs w:val="11"/>
                <w:color w:val="auto"/>
              </w:rPr>
              <w:t>7.20 %</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3M</w:t>
            </w:r>
          </w:p>
        </w:tc>
        <w:tc>
          <w:tcPr>
            <w:tcW w:w="300" w:type="dxa"/>
            <w:vAlign w:val="bottom"/>
          </w:tcPr>
          <w:p>
            <w:pPr>
              <w:jc w:val="right"/>
              <w:spacing w:after="0"/>
              <w:rPr>
                <w:sz w:val="20"/>
                <w:szCs w:val="20"/>
                <w:color w:val="auto"/>
              </w:rPr>
            </w:pPr>
            <w:r>
              <w:rPr>
                <w:rFonts w:ascii="Arial" w:cs="Arial" w:eastAsia="Arial" w:hAnsi="Arial"/>
                <w:sz w:val="11"/>
                <w:szCs w:val="11"/>
                <w:color w:val="auto"/>
                <w:w w:val="84"/>
              </w:rPr>
              <w:t>L+500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274</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274</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272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16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Blackhawk Industrial Distribution, Inc. </w:t>
            </w:r>
            <w:r>
              <w:rPr>
                <w:rFonts w:ascii="Arial" w:cs="Arial" w:eastAsia="Arial" w:hAnsi="Arial"/>
                <w:sz w:val="14"/>
                <w:szCs w:val="14"/>
                <w:color w:val="auto"/>
                <w:vertAlign w:val="superscript"/>
              </w:rPr>
              <w:t>(9)</w:t>
            </w:r>
          </w:p>
        </w:tc>
        <w:tc>
          <w:tcPr>
            <w:tcW w:w="74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09/17/2024</w:t>
            </w:r>
          </w:p>
        </w:tc>
        <w:tc>
          <w:tcPr>
            <w:tcW w:w="140" w:type="dxa"/>
            <w:vAlign w:val="bottom"/>
          </w:tcPr>
          <w:p>
            <w:pPr>
              <w:spacing w:after="0"/>
              <w:rPr>
                <w:sz w:val="13"/>
                <w:szCs w:val="13"/>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93"/>
              </w:rPr>
              <w:t>Distributors</w:t>
            </w:r>
          </w:p>
        </w:tc>
        <w:tc>
          <w:tcPr>
            <w:tcW w:w="14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2,469</w:t>
            </w:r>
          </w:p>
        </w:tc>
        <w:tc>
          <w:tcPr>
            <w:tcW w:w="2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1040" w:type="dxa"/>
            <w:vAlign w:val="bottom"/>
            <w:gridSpan w:val="3"/>
          </w:tcPr>
          <w:p>
            <w:pPr>
              <w:jc w:val="right"/>
              <w:ind w:right="60"/>
              <w:spacing w:after="0"/>
              <w:rPr>
                <w:sz w:val="20"/>
                <w:szCs w:val="20"/>
                <w:color w:val="auto"/>
              </w:rPr>
            </w:pPr>
            <w:r>
              <w:rPr>
                <w:rFonts w:ascii="Arial" w:cs="Arial" w:eastAsia="Arial" w:hAnsi="Arial"/>
                <w:sz w:val="11"/>
                <w:szCs w:val="11"/>
                <w:color w:val="auto"/>
              </w:rPr>
              <w:t>(25 )</w:t>
            </w:r>
          </w:p>
        </w:tc>
        <w:tc>
          <w:tcPr>
            <w:tcW w:w="0" w:type="dxa"/>
            <w:vAlign w:val="bottom"/>
          </w:tcPr>
          <w:p>
            <w:pPr>
              <w:spacing w:after="0"/>
              <w:rPr>
                <w:sz w:val="1"/>
                <w:szCs w:val="1"/>
                <w:color w:val="auto"/>
              </w:rPr>
            </w:pPr>
          </w:p>
        </w:tc>
      </w:tr>
      <w:tr>
        <w:trPr>
          <w:trHeight w:val="140"/>
        </w:trPr>
        <w:tc>
          <w:tcPr>
            <w:tcW w:w="3160" w:type="dxa"/>
            <w:vAlign w:val="bottom"/>
          </w:tcPr>
          <w:p>
            <w:pPr>
              <w:ind w:left="20"/>
              <w:spacing w:after="0"/>
              <w:rPr>
                <w:sz w:val="20"/>
                <w:szCs w:val="20"/>
                <w:color w:val="auto"/>
              </w:rPr>
            </w:pPr>
            <w:r>
              <w:rPr>
                <w:rFonts w:ascii="Arial" w:cs="Arial" w:eastAsia="Arial" w:hAnsi="Arial"/>
                <w:sz w:val="11"/>
                <w:szCs w:val="11"/>
                <w:color w:val="auto"/>
              </w:rPr>
              <w:t>Broder Bros., Co.</w:t>
            </w:r>
          </w:p>
        </w:tc>
        <w:tc>
          <w:tcPr>
            <w:tcW w:w="74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12/02/2022</w:t>
            </w:r>
          </w:p>
        </w:tc>
        <w:tc>
          <w:tcPr>
            <w:tcW w:w="140" w:type="dxa"/>
            <w:vAlign w:val="bottom"/>
          </w:tcPr>
          <w:p>
            <w:pPr>
              <w:spacing w:after="0"/>
              <w:rPr>
                <w:sz w:val="12"/>
                <w:szCs w:val="12"/>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90"/>
              </w:rPr>
              <w:t>Textiles, Apparel and Luxury Goods</w:t>
            </w:r>
          </w:p>
        </w:tc>
        <w:tc>
          <w:tcPr>
            <w:tcW w:w="960" w:type="dxa"/>
            <w:vAlign w:val="bottom"/>
            <w:gridSpan w:val="3"/>
          </w:tcPr>
          <w:p>
            <w:pPr>
              <w:jc w:val="right"/>
              <w:ind w:right="20"/>
              <w:spacing w:after="0"/>
              <w:rPr>
                <w:sz w:val="20"/>
                <w:szCs w:val="20"/>
                <w:color w:val="auto"/>
              </w:rPr>
            </w:pPr>
            <w:r>
              <w:rPr>
                <w:rFonts w:ascii="Arial" w:cs="Arial" w:eastAsia="Arial" w:hAnsi="Arial"/>
                <w:sz w:val="11"/>
                <w:szCs w:val="11"/>
                <w:color w:val="auto"/>
              </w:rPr>
              <w:t>7.39 %</w:t>
            </w: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3M</w:t>
            </w:r>
          </w:p>
        </w:tc>
        <w:tc>
          <w:tcPr>
            <w:tcW w:w="300" w:type="dxa"/>
            <w:vAlign w:val="bottom"/>
          </w:tcPr>
          <w:p>
            <w:pPr>
              <w:jc w:val="right"/>
              <w:spacing w:after="0"/>
              <w:rPr>
                <w:sz w:val="20"/>
                <w:szCs w:val="20"/>
                <w:color w:val="auto"/>
              </w:rPr>
            </w:pPr>
            <w:r>
              <w:rPr>
                <w:rFonts w:ascii="Arial" w:cs="Arial" w:eastAsia="Arial" w:hAnsi="Arial"/>
                <w:sz w:val="11"/>
                <w:szCs w:val="11"/>
                <w:color w:val="auto"/>
                <w:w w:val="84"/>
              </w:rPr>
              <w:t>L+600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3,427</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3,427</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3,427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160" w:type="dxa"/>
            <w:vAlign w:val="bottom"/>
            <w:shd w:val="clear" w:color="auto" w:fill="CCECFF"/>
          </w:tcPr>
          <w:p>
            <w:pPr>
              <w:ind w:left="20"/>
              <w:spacing w:after="0"/>
              <w:rPr>
                <w:sz w:val="20"/>
                <w:szCs w:val="20"/>
                <w:color w:val="auto"/>
              </w:rPr>
            </w:pPr>
            <w:r>
              <w:rPr>
                <w:rFonts w:ascii="Arial" w:cs="Arial" w:eastAsia="Arial" w:hAnsi="Arial"/>
                <w:sz w:val="11"/>
                <w:szCs w:val="11"/>
                <w:color w:val="auto"/>
              </w:rPr>
              <w:t>By Light Professional IT Services, LLC</w:t>
            </w:r>
          </w:p>
        </w:tc>
        <w:tc>
          <w:tcPr>
            <w:tcW w:w="74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7"/>
              </w:rPr>
              <w:t>05/16/2024</w:t>
            </w:r>
          </w:p>
        </w:tc>
        <w:tc>
          <w:tcPr>
            <w:tcW w:w="140" w:type="dxa"/>
            <w:vAlign w:val="bottom"/>
            <w:shd w:val="clear" w:color="auto" w:fill="CCECFF"/>
          </w:tcPr>
          <w:p>
            <w:pPr>
              <w:spacing w:after="0"/>
              <w:rPr>
                <w:sz w:val="12"/>
                <w:szCs w:val="12"/>
                <w:color w:val="auto"/>
              </w:rPr>
            </w:pPr>
          </w:p>
        </w:tc>
        <w:tc>
          <w:tcPr>
            <w:tcW w:w="22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High Tech Industries</w:t>
            </w:r>
          </w:p>
        </w:tc>
        <w:tc>
          <w:tcPr>
            <w:tcW w:w="960" w:type="dxa"/>
            <w:vAlign w:val="bottom"/>
            <w:gridSpan w:val="3"/>
            <w:shd w:val="clear" w:color="auto" w:fill="CCECFF"/>
          </w:tcPr>
          <w:p>
            <w:pPr>
              <w:jc w:val="right"/>
              <w:ind w:right="20"/>
              <w:spacing w:after="0"/>
              <w:rPr>
                <w:sz w:val="20"/>
                <w:szCs w:val="20"/>
                <w:color w:val="auto"/>
              </w:rPr>
            </w:pPr>
            <w:r>
              <w:rPr>
                <w:rFonts w:ascii="Arial" w:cs="Arial" w:eastAsia="Arial" w:hAnsi="Arial"/>
                <w:sz w:val="11"/>
                <w:szCs w:val="11"/>
                <w:color w:val="auto"/>
              </w:rPr>
              <w:t>7.25 %</w:t>
            </w: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w:t>
            </w:r>
          </w:p>
        </w:tc>
        <w:tc>
          <w:tcPr>
            <w:tcW w:w="300" w:type="dxa"/>
            <w:vAlign w:val="bottom"/>
            <w:shd w:val="clear" w:color="auto" w:fill="CCECFF"/>
          </w:tcPr>
          <w:p>
            <w:pPr>
              <w:jc w:val="right"/>
              <w:spacing w:after="0"/>
              <w:rPr>
                <w:sz w:val="20"/>
                <w:szCs w:val="20"/>
                <w:color w:val="auto"/>
              </w:rPr>
            </w:pPr>
            <w:r>
              <w:rPr>
                <w:rFonts w:ascii="Arial" w:cs="Arial" w:eastAsia="Arial" w:hAnsi="Arial"/>
                <w:sz w:val="11"/>
                <w:szCs w:val="11"/>
                <w:color w:val="auto"/>
                <w:w w:val="84"/>
              </w:rPr>
              <w:t>L+625</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43,570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43,097</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43,135</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3160" w:type="dxa"/>
            <w:vAlign w:val="bottom"/>
          </w:tcPr>
          <w:p>
            <w:pPr>
              <w:ind w:left="20"/>
              <w:spacing w:after="0" w:line="105" w:lineRule="exact"/>
              <w:rPr>
                <w:sz w:val="20"/>
                <w:szCs w:val="20"/>
                <w:color w:val="auto"/>
              </w:rPr>
            </w:pPr>
            <w:r>
              <w:rPr>
                <w:rFonts w:ascii="Arial" w:cs="Arial" w:eastAsia="Arial" w:hAnsi="Arial"/>
                <w:sz w:val="11"/>
                <w:szCs w:val="11"/>
                <w:color w:val="auto"/>
              </w:rPr>
              <w:t>By Light Professional IT Services, LLC (Revolver)</w:t>
            </w:r>
          </w:p>
        </w:tc>
        <w:tc>
          <w:tcPr>
            <w:tcW w:w="740" w:type="dxa"/>
            <w:vAlign w:val="bottom"/>
            <w:gridSpan w:val="2"/>
          </w:tcPr>
          <w:p>
            <w:pPr>
              <w:jc w:val="center"/>
              <w:ind w:left="86"/>
              <w:spacing w:after="0" w:line="105" w:lineRule="exact"/>
              <w:rPr>
                <w:sz w:val="20"/>
                <w:szCs w:val="20"/>
                <w:color w:val="auto"/>
              </w:rPr>
            </w:pPr>
            <w:r>
              <w:rPr>
                <w:rFonts w:ascii="Arial" w:cs="Arial" w:eastAsia="Arial" w:hAnsi="Arial"/>
                <w:sz w:val="11"/>
                <w:szCs w:val="11"/>
                <w:color w:val="auto"/>
                <w:w w:val="87"/>
              </w:rPr>
              <w:t>05/16/2024</w:t>
            </w:r>
          </w:p>
        </w:tc>
        <w:tc>
          <w:tcPr>
            <w:tcW w:w="140" w:type="dxa"/>
            <w:vAlign w:val="bottom"/>
          </w:tcPr>
          <w:p>
            <w:pPr>
              <w:spacing w:after="0"/>
              <w:rPr>
                <w:sz w:val="9"/>
                <w:szCs w:val="9"/>
                <w:color w:val="auto"/>
              </w:rPr>
            </w:pPr>
          </w:p>
        </w:tc>
        <w:tc>
          <w:tcPr>
            <w:tcW w:w="2240" w:type="dxa"/>
            <w:vAlign w:val="bottom"/>
          </w:tcPr>
          <w:p>
            <w:pPr>
              <w:jc w:val="center"/>
              <w:spacing w:after="0" w:line="105" w:lineRule="exact"/>
              <w:rPr>
                <w:sz w:val="20"/>
                <w:szCs w:val="20"/>
                <w:color w:val="auto"/>
              </w:rPr>
            </w:pPr>
            <w:r>
              <w:rPr>
                <w:rFonts w:ascii="Arial" w:cs="Arial" w:eastAsia="Arial" w:hAnsi="Arial"/>
                <w:sz w:val="11"/>
                <w:szCs w:val="11"/>
                <w:color w:val="auto"/>
                <w:w w:val="89"/>
              </w:rPr>
              <w:t>High Tech Industries</w:t>
            </w:r>
          </w:p>
        </w:tc>
        <w:tc>
          <w:tcPr>
            <w:tcW w:w="960" w:type="dxa"/>
            <w:vAlign w:val="bottom"/>
            <w:gridSpan w:val="3"/>
          </w:tcPr>
          <w:p>
            <w:pPr>
              <w:jc w:val="right"/>
              <w:ind w:right="20"/>
              <w:spacing w:after="0" w:line="105" w:lineRule="exact"/>
              <w:rPr>
                <w:sz w:val="20"/>
                <w:szCs w:val="20"/>
                <w:color w:val="auto"/>
              </w:rPr>
            </w:pPr>
            <w:r>
              <w:rPr>
                <w:rFonts w:ascii="Arial" w:cs="Arial" w:eastAsia="Arial" w:hAnsi="Arial"/>
                <w:sz w:val="11"/>
                <w:szCs w:val="11"/>
                <w:color w:val="auto"/>
              </w:rPr>
              <w:t>7.91 %</w:t>
            </w:r>
          </w:p>
        </w:tc>
        <w:tc>
          <w:tcPr>
            <w:tcW w:w="120" w:type="dxa"/>
            <w:vAlign w:val="bottom"/>
          </w:tcPr>
          <w:p>
            <w:pPr>
              <w:spacing w:after="0"/>
              <w:rPr>
                <w:sz w:val="9"/>
                <w:szCs w:val="9"/>
                <w:color w:val="auto"/>
              </w:rPr>
            </w:pPr>
          </w:p>
        </w:tc>
        <w:tc>
          <w:tcPr>
            <w:tcW w:w="680" w:type="dxa"/>
            <w:vAlign w:val="bottom"/>
          </w:tcPr>
          <w:p>
            <w:pPr>
              <w:jc w:val="right"/>
              <w:spacing w:after="0" w:line="105" w:lineRule="exact"/>
              <w:rPr>
                <w:sz w:val="20"/>
                <w:szCs w:val="20"/>
                <w:color w:val="auto"/>
              </w:rPr>
            </w:pPr>
            <w:r>
              <w:rPr>
                <w:rFonts w:ascii="Arial" w:cs="Arial" w:eastAsia="Arial" w:hAnsi="Arial"/>
                <w:sz w:val="11"/>
                <w:szCs w:val="11"/>
                <w:color w:val="auto"/>
              </w:rPr>
              <w:t>3M</w:t>
            </w:r>
          </w:p>
        </w:tc>
        <w:tc>
          <w:tcPr>
            <w:tcW w:w="300" w:type="dxa"/>
            <w:vAlign w:val="bottom"/>
          </w:tcPr>
          <w:p>
            <w:pPr>
              <w:jc w:val="right"/>
              <w:spacing w:after="0" w:line="105" w:lineRule="exact"/>
              <w:rPr>
                <w:sz w:val="20"/>
                <w:szCs w:val="20"/>
                <w:color w:val="auto"/>
              </w:rPr>
            </w:pPr>
            <w:r>
              <w:rPr>
                <w:rFonts w:ascii="Arial" w:cs="Arial" w:eastAsia="Arial" w:hAnsi="Arial"/>
                <w:sz w:val="11"/>
                <w:szCs w:val="11"/>
                <w:color w:val="auto"/>
                <w:w w:val="84"/>
              </w:rPr>
              <w:t>L+625</w:t>
            </w:r>
          </w:p>
        </w:tc>
        <w:tc>
          <w:tcPr>
            <w:tcW w:w="920" w:type="dxa"/>
            <w:vAlign w:val="bottom"/>
            <w:gridSpan w:val="2"/>
          </w:tcPr>
          <w:p>
            <w:pPr>
              <w:jc w:val="right"/>
              <w:spacing w:after="0" w:line="105" w:lineRule="exact"/>
              <w:rPr>
                <w:sz w:val="20"/>
                <w:szCs w:val="20"/>
                <w:color w:val="auto"/>
              </w:rPr>
            </w:pPr>
            <w:r>
              <w:rPr>
                <w:rFonts w:ascii="Arial" w:cs="Arial" w:eastAsia="Arial" w:hAnsi="Arial"/>
                <w:sz w:val="11"/>
                <w:szCs w:val="11"/>
                <w:color w:val="auto"/>
              </w:rPr>
              <w:t>877</w:t>
            </w:r>
          </w:p>
        </w:tc>
        <w:tc>
          <w:tcPr>
            <w:tcW w:w="940" w:type="dxa"/>
            <w:vAlign w:val="bottom"/>
            <w:gridSpan w:val="2"/>
          </w:tcPr>
          <w:p>
            <w:pPr>
              <w:jc w:val="right"/>
              <w:spacing w:after="0" w:line="105" w:lineRule="exact"/>
              <w:rPr>
                <w:sz w:val="20"/>
                <w:szCs w:val="20"/>
                <w:color w:val="auto"/>
              </w:rPr>
            </w:pPr>
            <w:r>
              <w:rPr>
                <w:rFonts w:ascii="Arial" w:cs="Arial" w:eastAsia="Arial" w:hAnsi="Arial"/>
                <w:sz w:val="11"/>
                <w:szCs w:val="11"/>
                <w:color w:val="auto"/>
              </w:rPr>
              <w:t>877</w:t>
            </w:r>
          </w:p>
        </w:tc>
        <w:tc>
          <w:tcPr>
            <w:tcW w:w="940" w:type="dxa"/>
            <w:vAlign w:val="bottom"/>
            <w:gridSpan w:val="2"/>
          </w:tcPr>
          <w:p>
            <w:pPr>
              <w:jc w:val="right"/>
              <w:spacing w:after="0" w:line="105" w:lineRule="exact"/>
              <w:rPr>
                <w:sz w:val="20"/>
                <w:szCs w:val="20"/>
                <w:color w:val="auto"/>
              </w:rPr>
            </w:pPr>
            <w:r>
              <w:rPr>
                <w:rFonts w:ascii="Arial" w:cs="Arial" w:eastAsia="Arial" w:hAnsi="Arial"/>
                <w:sz w:val="11"/>
                <w:szCs w:val="11"/>
                <w:color w:val="auto"/>
              </w:rPr>
              <w:t>868</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16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By Light Professional IT Services, LLC (Revolver) </w:t>
            </w:r>
            <w:r>
              <w:rPr>
                <w:rFonts w:ascii="Arial" w:cs="Arial" w:eastAsia="Arial" w:hAnsi="Arial"/>
                <w:sz w:val="14"/>
                <w:szCs w:val="14"/>
                <w:color w:val="auto"/>
                <w:vertAlign w:val="superscript"/>
              </w:rPr>
              <w:t>(9)</w:t>
            </w:r>
          </w:p>
        </w:tc>
        <w:tc>
          <w:tcPr>
            <w:tcW w:w="74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05/16/2024</w:t>
            </w:r>
          </w:p>
        </w:tc>
        <w:tc>
          <w:tcPr>
            <w:tcW w:w="140" w:type="dxa"/>
            <w:vAlign w:val="bottom"/>
          </w:tcPr>
          <w:p>
            <w:pPr>
              <w:spacing w:after="0"/>
              <w:rPr>
                <w:sz w:val="11"/>
                <w:szCs w:val="11"/>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89"/>
              </w:rPr>
              <w:t>High Tech Industries</w:t>
            </w:r>
          </w:p>
        </w:tc>
        <w:tc>
          <w:tcPr>
            <w:tcW w:w="14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3,189</w:t>
            </w:r>
          </w:p>
        </w:tc>
        <w:tc>
          <w:tcPr>
            <w:tcW w:w="2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1040" w:type="dxa"/>
            <w:vAlign w:val="bottom"/>
            <w:gridSpan w:val="3"/>
          </w:tcPr>
          <w:p>
            <w:pPr>
              <w:jc w:val="right"/>
              <w:ind w:right="60"/>
              <w:spacing w:after="0"/>
              <w:rPr>
                <w:sz w:val="20"/>
                <w:szCs w:val="20"/>
                <w:color w:val="auto"/>
              </w:rPr>
            </w:pPr>
            <w:r>
              <w:rPr>
                <w:rFonts w:ascii="Arial" w:cs="Arial" w:eastAsia="Arial" w:hAnsi="Arial"/>
                <w:sz w:val="11"/>
                <w:szCs w:val="11"/>
                <w:color w:val="auto"/>
              </w:rPr>
              <w:t>(32 )</w:t>
            </w:r>
          </w:p>
        </w:tc>
        <w:tc>
          <w:tcPr>
            <w:tcW w:w="0" w:type="dxa"/>
            <w:vAlign w:val="bottom"/>
          </w:tcPr>
          <w:p>
            <w:pPr>
              <w:spacing w:after="0"/>
              <w:rPr>
                <w:sz w:val="1"/>
                <w:szCs w:val="1"/>
                <w:color w:val="auto"/>
              </w:rPr>
            </w:pPr>
          </w:p>
        </w:tc>
      </w:tr>
      <w:tr>
        <w:trPr>
          <w:trHeight w:val="155"/>
        </w:trPr>
        <w:tc>
          <w:tcPr>
            <w:tcW w:w="316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Cadence Aerospace, LLC </w:t>
            </w:r>
            <w:r>
              <w:rPr>
                <w:rFonts w:ascii="Arial" w:cs="Arial" w:eastAsia="Arial" w:hAnsi="Arial"/>
                <w:sz w:val="14"/>
                <w:szCs w:val="14"/>
                <w:color w:val="auto"/>
                <w:vertAlign w:val="superscript"/>
              </w:rPr>
              <w:t>(7)</w:t>
            </w:r>
          </w:p>
        </w:tc>
        <w:tc>
          <w:tcPr>
            <w:tcW w:w="74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11/14/2023</w:t>
            </w:r>
          </w:p>
        </w:tc>
        <w:tc>
          <w:tcPr>
            <w:tcW w:w="140" w:type="dxa"/>
            <w:vAlign w:val="bottom"/>
          </w:tcPr>
          <w:p>
            <w:pPr>
              <w:spacing w:after="0"/>
              <w:rPr>
                <w:sz w:val="13"/>
                <w:szCs w:val="13"/>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86"/>
              </w:rPr>
              <w:t>Aerospace and Defense</w:t>
            </w:r>
          </w:p>
        </w:tc>
        <w:tc>
          <w:tcPr>
            <w:tcW w:w="960" w:type="dxa"/>
            <w:vAlign w:val="bottom"/>
            <w:gridSpan w:val="3"/>
          </w:tcPr>
          <w:p>
            <w:pPr>
              <w:jc w:val="right"/>
              <w:ind w:right="20"/>
              <w:spacing w:after="0"/>
              <w:rPr>
                <w:sz w:val="20"/>
                <w:szCs w:val="20"/>
                <w:color w:val="auto"/>
              </w:rPr>
            </w:pPr>
            <w:r>
              <w:rPr>
                <w:rFonts w:ascii="Arial" w:cs="Arial" w:eastAsia="Arial" w:hAnsi="Arial"/>
                <w:sz w:val="11"/>
                <w:szCs w:val="11"/>
                <w:color w:val="auto"/>
              </w:rPr>
              <w:t>9.74 %</w:t>
            </w: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3M</w:t>
            </w:r>
          </w:p>
        </w:tc>
        <w:tc>
          <w:tcPr>
            <w:tcW w:w="300" w:type="dxa"/>
            <w:vAlign w:val="bottom"/>
          </w:tcPr>
          <w:p>
            <w:pPr>
              <w:jc w:val="right"/>
              <w:spacing w:after="0"/>
              <w:rPr>
                <w:sz w:val="20"/>
                <w:szCs w:val="20"/>
                <w:color w:val="auto"/>
              </w:rPr>
            </w:pPr>
            <w:r>
              <w:rPr>
                <w:rFonts w:ascii="Arial" w:cs="Arial" w:eastAsia="Arial" w:hAnsi="Arial"/>
                <w:sz w:val="11"/>
                <w:szCs w:val="11"/>
                <w:color w:val="auto"/>
                <w:w w:val="84"/>
              </w:rPr>
              <w:t>L+850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3,025</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3,014</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3,001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(PIK 9.50%)</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3160" w:type="dxa"/>
            <w:vAlign w:val="bottom"/>
          </w:tcPr>
          <w:p>
            <w:pPr>
              <w:ind w:left="20"/>
              <w:spacing w:after="0" w:line="115" w:lineRule="exact"/>
              <w:rPr>
                <w:sz w:val="20"/>
                <w:szCs w:val="20"/>
                <w:color w:val="auto"/>
              </w:rPr>
            </w:pPr>
            <w:r>
              <w:rPr>
                <w:rFonts w:ascii="Arial" w:cs="Arial" w:eastAsia="Arial" w:hAnsi="Arial"/>
                <w:sz w:val="11"/>
                <w:szCs w:val="11"/>
                <w:color w:val="auto"/>
              </w:rPr>
              <w:t>Cartessa Aesthetics, LLC</w:t>
            </w:r>
          </w:p>
        </w:tc>
        <w:tc>
          <w:tcPr>
            <w:tcW w:w="740" w:type="dxa"/>
            <w:vAlign w:val="bottom"/>
            <w:gridSpan w:val="2"/>
          </w:tcPr>
          <w:p>
            <w:pPr>
              <w:jc w:val="center"/>
              <w:ind w:left="86"/>
              <w:spacing w:after="0" w:line="115" w:lineRule="exact"/>
              <w:rPr>
                <w:sz w:val="20"/>
                <w:szCs w:val="20"/>
                <w:color w:val="auto"/>
              </w:rPr>
            </w:pPr>
            <w:r>
              <w:rPr>
                <w:rFonts w:ascii="Arial" w:cs="Arial" w:eastAsia="Arial" w:hAnsi="Arial"/>
                <w:sz w:val="11"/>
                <w:szCs w:val="11"/>
                <w:color w:val="auto"/>
                <w:w w:val="87"/>
              </w:rPr>
              <w:t>05/13/2028</w:t>
            </w:r>
          </w:p>
        </w:tc>
        <w:tc>
          <w:tcPr>
            <w:tcW w:w="140" w:type="dxa"/>
            <w:vAlign w:val="bottom"/>
          </w:tcPr>
          <w:p>
            <w:pPr>
              <w:spacing w:after="0"/>
              <w:rPr>
                <w:sz w:val="9"/>
                <w:szCs w:val="9"/>
                <w:color w:val="auto"/>
              </w:rPr>
            </w:pPr>
          </w:p>
        </w:tc>
        <w:tc>
          <w:tcPr>
            <w:tcW w:w="2240" w:type="dxa"/>
            <w:vAlign w:val="bottom"/>
          </w:tcPr>
          <w:p>
            <w:pPr>
              <w:jc w:val="center"/>
              <w:spacing w:after="0" w:line="115" w:lineRule="exact"/>
              <w:rPr>
                <w:sz w:val="20"/>
                <w:szCs w:val="20"/>
                <w:color w:val="auto"/>
              </w:rPr>
            </w:pPr>
            <w:r>
              <w:rPr>
                <w:rFonts w:ascii="Arial" w:cs="Arial" w:eastAsia="Arial" w:hAnsi="Arial"/>
                <w:sz w:val="11"/>
                <w:szCs w:val="11"/>
                <w:color w:val="auto"/>
                <w:w w:val="93"/>
              </w:rPr>
              <w:t>Distributors</w:t>
            </w:r>
          </w:p>
        </w:tc>
        <w:tc>
          <w:tcPr>
            <w:tcW w:w="960" w:type="dxa"/>
            <w:vAlign w:val="bottom"/>
            <w:gridSpan w:val="3"/>
          </w:tcPr>
          <w:p>
            <w:pPr>
              <w:jc w:val="right"/>
              <w:ind w:right="20"/>
              <w:spacing w:after="0" w:line="115" w:lineRule="exact"/>
              <w:rPr>
                <w:sz w:val="20"/>
                <w:szCs w:val="20"/>
                <w:color w:val="auto"/>
              </w:rPr>
            </w:pPr>
            <w:r>
              <w:rPr>
                <w:rFonts w:ascii="Arial" w:cs="Arial" w:eastAsia="Arial" w:hAnsi="Arial"/>
                <w:sz w:val="11"/>
                <w:szCs w:val="11"/>
                <w:color w:val="auto"/>
              </w:rPr>
              <w:t>8.05 %</w:t>
            </w:r>
          </w:p>
        </w:tc>
        <w:tc>
          <w:tcPr>
            <w:tcW w:w="120" w:type="dxa"/>
            <w:vAlign w:val="bottom"/>
          </w:tcPr>
          <w:p>
            <w:pPr>
              <w:spacing w:after="0"/>
              <w:rPr>
                <w:sz w:val="9"/>
                <w:szCs w:val="9"/>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1"/>
                <w:szCs w:val="11"/>
                <w:color w:val="auto"/>
              </w:rPr>
              <w:t>1M</w:t>
            </w:r>
          </w:p>
        </w:tc>
        <w:tc>
          <w:tcPr>
            <w:tcW w:w="300" w:type="dxa"/>
            <w:vAlign w:val="bottom"/>
          </w:tcPr>
          <w:p>
            <w:pPr>
              <w:jc w:val="right"/>
              <w:spacing w:after="0" w:line="115" w:lineRule="exact"/>
              <w:rPr>
                <w:sz w:val="20"/>
                <w:szCs w:val="20"/>
                <w:color w:val="auto"/>
              </w:rPr>
            </w:pPr>
            <w:r>
              <w:rPr>
                <w:rFonts w:ascii="Arial" w:cs="Arial" w:eastAsia="Arial" w:hAnsi="Arial"/>
                <w:sz w:val="11"/>
                <w:szCs w:val="11"/>
                <w:color w:val="auto"/>
                <w:w w:val="84"/>
              </w:rPr>
              <w:t>L+600</w:t>
            </w:r>
          </w:p>
        </w:tc>
        <w:tc>
          <w:tcPr>
            <w:tcW w:w="9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23,000</w:t>
            </w:r>
          </w:p>
        </w:tc>
        <w:tc>
          <w:tcPr>
            <w:tcW w:w="94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22,542</w:t>
            </w:r>
          </w:p>
        </w:tc>
        <w:tc>
          <w:tcPr>
            <w:tcW w:w="94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22,540</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16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Cartessa Aesthetics, LLC (Revolver) </w:t>
            </w:r>
            <w:r>
              <w:rPr>
                <w:rFonts w:ascii="Arial" w:cs="Arial" w:eastAsia="Arial" w:hAnsi="Arial"/>
                <w:sz w:val="14"/>
                <w:szCs w:val="14"/>
                <w:color w:val="auto"/>
                <w:vertAlign w:val="superscript"/>
              </w:rPr>
              <w:t>(7)</w:t>
            </w:r>
          </w:p>
        </w:tc>
        <w:tc>
          <w:tcPr>
            <w:tcW w:w="74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05/13/2028</w:t>
            </w:r>
          </w:p>
        </w:tc>
        <w:tc>
          <w:tcPr>
            <w:tcW w:w="140" w:type="dxa"/>
            <w:vAlign w:val="bottom"/>
          </w:tcPr>
          <w:p>
            <w:pPr>
              <w:spacing w:after="0"/>
              <w:rPr>
                <w:sz w:val="11"/>
                <w:szCs w:val="11"/>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93"/>
              </w:rPr>
              <w:t>Distributors</w:t>
            </w:r>
          </w:p>
        </w:tc>
        <w:tc>
          <w:tcPr>
            <w:tcW w:w="960" w:type="dxa"/>
            <w:vAlign w:val="bottom"/>
            <w:gridSpan w:val="3"/>
          </w:tcPr>
          <w:p>
            <w:pPr>
              <w:jc w:val="right"/>
              <w:ind w:right="20"/>
              <w:spacing w:after="0"/>
              <w:rPr>
                <w:sz w:val="20"/>
                <w:szCs w:val="20"/>
                <w:color w:val="auto"/>
              </w:rPr>
            </w:pPr>
            <w:r>
              <w:rPr>
                <w:rFonts w:ascii="Arial" w:cs="Arial" w:eastAsia="Arial" w:hAnsi="Arial"/>
                <w:sz w:val="11"/>
                <w:szCs w:val="11"/>
                <w:color w:val="auto"/>
              </w:rPr>
              <w:t>8.05 %</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1M</w:t>
            </w:r>
          </w:p>
        </w:tc>
        <w:tc>
          <w:tcPr>
            <w:tcW w:w="300" w:type="dxa"/>
            <w:vAlign w:val="bottom"/>
          </w:tcPr>
          <w:p>
            <w:pPr>
              <w:jc w:val="right"/>
              <w:spacing w:after="0"/>
              <w:rPr>
                <w:sz w:val="20"/>
                <w:szCs w:val="20"/>
                <w:color w:val="auto"/>
              </w:rPr>
            </w:pPr>
            <w:r>
              <w:rPr>
                <w:rFonts w:ascii="Arial" w:cs="Arial" w:eastAsia="Arial" w:hAnsi="Arial"/>
                <w:sz w:val="11"/>
                <w:szCs w:val="11"/>
                <w:color w:val="auto"/>
                <w:w w:val="84"/>
              </w:rPr>
              <w:t>L+600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511</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511</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511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16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Cartessa Aesthetics, LLC (Revolver) </w:t>
            </w:r>
            <w:r>
              <w:rPr>
                <w:rFonts w:ascii="Arial" w:cs="Arial" w:eastAsia="Arial" w:hAnsi="Arial"/>
                <w:sz w:val="14"/>
                <w:szCs w:val="14"/>
                <w:color w:val="auto"/>
                <w:vertAlign w:val="superscript"/>
              </w:rPr>
              <w:t>(7)(9)</w:t>
            </w:r>
          </w:p>
        </w:tc>
        <w:tc>
          <w:tcPr>
            <w:tcW w:w="74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05/13/2028</w:t>
            </w:r>
          </w:p>
        </w:tc>
        <w:tc>
          <w:tcPr>
            <w:tcW w:w="140" w:type="dxa"/>
            <w:vAlign w:val="bottom"/>
          </w:tcPr>
          <w:p>
            <w:pPr>
              <w:spacing w:after="0"/>
              <w:rPr>
                <w:sz w:val="13"/>
                <w:szCs w:val="13"/>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93"/>
              </w:rPr>
              <w:t>Distributors</w:t>
            </w:r>
          </w:p>
        </w:tc>
        <w:tc>
          <w:tcPr>
            <w:tcW w:w="14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927</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3160" w:type="dxa"/>
            <w:vAlign w:val="bottom"/>
          </w:tcPr>
          <w:p>
            <w:pPr>
              <w:ind w:left="20"/>
              <w:spacing w:after="0" w:line="115" w:lineRule="exact"/>
              <w:rPr>
                <w:sz w:val="20"/>
                <w:szCs w:val="20"/>
                <w:color w:val="auto"/>
              </w:rPr>
            </w:pPr>
            <w:r>
              <w:rPr>
                <w:rFonts w:ascii="Arial" w:cs="Arial" w:eastAsia="Arial" w:hAnsi="Arial"/>
                <w:sz w:val="11"/>
                <w:szCs w:val="11"/>
                <w:color w:val="auto"/>
              </w:rPr>
              <w:t>CF512, Inc.</w:t>
            </w:r>
          </w:p>
        </w:tc>
        <w:tc>
          <w:tcPr>
            <w:tcW w:w="740" w:type="dxa"/>
            <w:vAlign w:val="bottom"/>
            <w:gridSpan w:val="2"/>
          </w:tcPr>
          <w:p>
            <w:pPr>
              <w:jc w:val="center"/>
              <w:ind w:left="86"/>
              <w:spacing w:after="0" w:line="115" w:lineRule="exact"/>
              <w:rPr>
                <w:sz w:val="20"/>
                <w:szCs w:val="20"/>
                <w:color w:val="auto"/>
              </w:rPr>
            </w:pPr>
            <w:r>
              <w:rPr>
                <w:rFonts w:ascii="Arial" w:cs="Arial" w:eastAsia="Arial" w:hAnsi="Arial"/>
                <w:sz w:val="11"/>
                <w:szCs w:val="11"/>
                <w:color w:val="auto"/>
                <w:w w:val="87"/>
              </w:rPr>
              <w:t>08/20/2026</w:t>
            </w:r>
          </w:p>
        </w:tc>
        <w:tc>
          <w:tcPr>
            <w:tcW w:w="140" w:type="dxa"/>
            <w:vAlign w:val="bottom"/>
          </w:tcPr>
          <w:p>
            <w:pPr>
              <w:spacing w:after="0"/>
              <w:rPr>
                <w:sz w:val="9"/>
                <w:szCs w:val="9"/>
                <w:color w:val="auto"/>
              </w:rPr>
            </w:pPr>
          </w:p>
        </w:tc>
        <w:tc>
          <w:tcPr>
            <w:tcW w:w="2240" w:type="dxa"/>
            <w:vAlign w:val="bottom"/>
          </w:tcPr>
          <w:p>
            <w:pPr>
              <w:jc w:val="center"/>
              <w:spacing w:after="0" w:line="115" w:lineRule="exact"/>
              <w:rPr>
                <w:sz w:val="20"/>
                <w:szCs w:val="20"/>
                <w:color w:val="auto"/>
              </w:rPr>
            </w:pPr>
            <w:r>
              <w:rPr>
                <w:rFonts w:ascii="Arial" w:cs="Arial" w:eastAsia="Arial" w:hAnsi="Arial"/>
                <w:sz w:val="11"/>
                <w:szCs w:val="11"/>
                <w:color w:val="auto"/>
                <w:w w:val="93"/>
              </w:rPr>
              <w:t>Media</w:t>
            </w:r>
          </w:p>
        </w:tc>
        <w:tc>
          <w:tcPr>
            <w:tcW w:w="960" w:type="dxa"/>
            <w:vAlign w:val="bottom"/>
            <w:gridSpan w:val="3"/>
          </w:tcPr>
          <w:p>
            <w:pPr>
              <w:jc w:val="right"/>
              <w:ind w:right="20"/>
              <w:spacing w:after="0" w:line="115" w:lineRule="exact"/>
              <w:rPr>
                <w:sz w:val="20"/>
                <w:szCs w:val="20"/>
                <w:color w:val="auto"/>
              </w:rPr>
            </w:pPr>
            <w:r>
              <w:rPr>
                <w:rFonts w:ascii="Arial" w:cs="Arial" w:eastAsia="Arial" w:hAnsi="Arial"/>
                <w:sz w:val="11"/>
                <w:szCs w:val="11"/>
                <w:color w:val="auto"/>
              </w:rPr>
              <w:t>7.39 %</w:t>
            </w:r>
          </w:p>
        </w:tc>
        <w:tc>
          <w:tcPr>
            <w:tcW w:w="120" w:type="dxa"/>
            <w:vAlign w:val="bottom"/>
          </w:tcPr>
          <w:p>
            <w:pPr>
              <w:spacing w:after="0"/>
              <w:rPr>
                <w:sz w:val="9"/>
                <w:szCs w:val="9"/>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1"/>
                <w:szCs w:val="11"/>
                <w:color w:val="auto"/>
              </w:rPr>
              <w:t>3M</w:t>
            </w:r>
          </w:p>
        </w:tc>
        <w:tc>
          <w:tcPr>
            <w:tcW w:w="300" w:type="dxa"/>
            <w:vAlign w:val="bottom"/>
          </w:tcPr>
          <w:p>
            <w:pPr>
              <w:jc w:val="right"/>
              <w:spacing w:after="0" w:line="115" w:lineRule="exact"/>
              <w:rPr>
                <w:sz w:val="20"/>
                <w:szCs w:val="20"/>
                <w:color w:val="auto"/>
              </w:rPr>
            </w:pPr>
            <w:r>
              <w:rPr>
                <w:rFonts w:ascii="Arial" w:cs="Arial" w:eastAsia="Arial" w:hAnsi="Arial"/>
                <w:sz w:val="11"/>
                <w:szCs w:val="11"/>
                <w:color w:val="auto"/>
                <w:w w:val="84"/>
              </w:rPr>
              <w:t>L+600</w:t>
            </w:r>
          </w:p>
        </w:tc>
        <w:tc>
          <w:tcPr>
            <w:tcW w:w="9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8,125</w:t>
            </w:r>
          </w:p>
        </w:tc>
        <w:tc>
          <w:tcPr>
            <w:tcW w:w="94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8,008</w:t>
            </w:r>
          </w:p>
        </w:tc>
        <w:tc>
          <w:tcPr>
            <w:tcW w:w="94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8,003</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16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CF512, Inc. </w:t>
            </w:r>
            <w:r>
              <w:rPr>
                <w:rFonts w:ascii="Arial" w:cs="Arial" w:eastAsia="Arial" w:hAnsi="Arial"/>
                <w:sz w:val="14"/>
                <w:szCs w:val="14"/>
                <w:color w:val="auto"/>
                <w:vertAlign w:val="superscript"/>
              </w:rPr>
              <w:t>(7), (9)</w:t>
            </w:r>
          </w:p>
        </w:tc>
        <w:tc>
          <w:tcPr>
            <w:tcW w:w="74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08/20/2026</w:t>
            </w:r>
          </w:p>
        </w:tc>
        <w:tc>
          <w:tcPr>
            <w:tcW w:w="140" w:type="dxa"/>
            <w:vAlign w:val="bottom"/>
          </w:tcPr>
          <w:p>
            <w:pPr>
              <w:spacing w:after="0"/>
              <w:rPr>
                <w:sz w:val="11"/>
                <w:szCs w:val="11"/>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14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191</w:t>
            </w:r>
          </w:p>
        </w:tc>
        <w:tc>
          <w:tcPr>
            <w:tcW w:w="2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1040" w:type="dxa"/>
            <w:vAlign w:val="bottom"/>
            <w:gridSpan w:val="3"/>
          </w:tcPr>
          <w:p>
            <w:pPr>
              <w:jc w:val="right"/>
              <w:ind w:right="60"/>
              <w:spacing w:after="0"/>
              <w:rPr>
                <w:sz w:val="20"/>
                <w:szCs w:val="20"/>
                <w:color w:val="auto"/>
              </w:rPr>
            </w:pPr>
            <w:r>
              <w:rPr>
                <w:rFonts w:ascii="Arial" w:cs="Arial" w:eastAsia="Arial" w:hAnsi="Arial"/>
                <w:sz w:val="11"/>
                <w:szCs w:val="11"/>
                <w:color w:val="auto"/>
              </w:rPr>
              <w:t>(1 )</w:t>
            </w:r>
          </w:p>
        </w:tc>
        <w:tc>
          <w:tcPr>
            <w:tcW w:w="0" w:type="dxa"/>
            <w:vAlign w:val="bottom"/>
          </w:tcPr>
          <w:p>
            <w:pPr>
              <w:spacing w:after="0"/>
              <w:rPr>
                <w:sz w:val="1"/>
                <w:szCs w:val="1"/>
                <w:color w:val="auto"/>
              </w:rPr>
            </w:pPr>
          </w:p>
        </w:tc>
      </w:tr>
      <w:tr>
        <w:trPr>
          <w:trHeight w:val="155"/>
        </w:trPr>
        <w:tc>
          <w:tcPr>
            <w:tcW w:w="316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CF512, Inc. (Revolver) </w:t>
            </w:r>
            <w:r>
              <w:rPr>
                <w:rFonts w:ascii="Arial" w:cs="Arial" w:eastAsia="Arial" w:hAnsi="Arial"/>
                <w:sz w:val="14"/>
                <w:szCs w:val="14"/>
                <w:color w:val="auto"/>
                <w:vertAlign w:val="superscript"/>
              </w:rPr>
              <w:t>(7), (9)</w:t>
            </w:r>
          </w:p>
        </w:tc>
        <w:tc>
          <w:tcPr>
            <w:tcW w:w="74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08/20/2026</w:t>
            </w:r>
          </w:p>
        </w:tc>
        <w:tc>
          <w:tcPr>
            <w:tcW w:w="140" w:type="dxa"/>
            <w:vAlign w:val="bottom"/>
          </w:tcPr>
          <w:p>
            <w:pPr>
              <w:spacing w:after="0"/>
              <w:rPr>
                <w:sz w:val="13"/>
                <w:szCs w:val="13"/>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14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955</w:t>
            </w:r>
          </w:p>
        </w:tc>
        <w:tc>
          <w:tcPr>
            <w:tcW w:w="2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1040" w:type="dxa"/>
            <w:vAlign w:val="bottom"/>
            <w:gridSpan w:val="3"/>
          </w:tcPr>
          <w:p>
            <w:pPr>
              <w:jc w:val="right"/>
              <w:ind w:right="60"/>
              <w:spacing w:after="0"/>
              <w:rPr>
                <w:sz w:val="20"/>
                <w:szCs w:val="20"/>
                <w:color w:val="auto"/>
              </w:rPr>
            </w:pPr>
            <w:r>
              <w:rPr>
                <w:rFonts w:ascii="Arial" w:cs="Arial" w:eastAsia="Arial" w:hAnsi="Arial"/>
                <w:sz w:val="11"/>
                <w:szCs w:val="11"/>
                <w:color w:val="auto"/>
              </w:rPr>
              <w:t>(14 )</w:t>
            </w:r>
          </w:p>
        </w:tc>
        <w:tc>
          <w:tcPr>
            <w:tcW w:w="0" w:type="dxa"/>
            <w:vAlign w:val="bottom"/>
          </w:tcPr>
          <w:p>
            <w:pPr>
              <w:spacing w:after="0"/>
              <w:rPr>
                <w:sz w:val="1"/>
                <w:szCs w:val="1"/>
                <w:color w:val="auto"/>
              </w:rPr>
            </w:pPr>
          </w:p>
        </w:tc>
      </w:tr>
      <w:tr>
        <w:trPr>
          <w:trHeight w:val="115"/>
        </w:trPr>
        <w:tc>
          <w:tcPr>
            <w:tcW w:w="3160" w:type="dxa"/>
            <w:vAlign w:val="bottom"/>
          </w:tcPr>
          <w:p>
            <w:pPr>
              <w:ind w:left="20"/>
              <w:spacing w:after="0" w:line="115" w:lineRule="exact"/>
              <w:rPr>
                <w:sz w:val="20"/>
                <w:szCs w:val="20"/>
                <w:color w:val="auto"/>
              </w:rPr>
            </w:pPr>
            <w:r>
              <w:rPr>
                <w:rFonts w:ascii="Arial" w:cs="Arial" w:eastAsia="Arial" w:hAnsi="Arial"/>
                <w:sz w:val="11"/>
                <w:szCs w:val="11"/>
                <w:color w:val="auto"/>
              </w:rPr>
              <w:t>CHA Holdings, Inc.</w:t>
            </w:r>
          </w:p>
        </w:tc>
        <w:tc>
          <w:tcPr>
            <w:tcW w:w="740" w:type="dxa"/>
            <w:vAlign w:val="bottom"/>
            <w:gridSpan w:val="2"/>
          </w:tcPr>
          <w:p>
            <w:pPr>
              <w:jc w:val="center"/>
              <w:ind w:left="86"/>
              <w:spacing w:after="0" w:line="115" w:lineRule="exact"/>
              <w:rPr>
                <w:sz w:val="20"/>
                <w:szCs w:val="20"/>
                <w:color w:val="auto"/>
              </w:rPr>
            </w:pPr>
            <w:r>
              <w:rPr>
                <w:rFonts w:ascii="Arial" w:cs="Arial" w:eastAsia="Arial" w:hAnsi="Arial"/>
                <w:sz w:val="11"/>
                <w:szCs w:val="11"/>
                <w:color w:val="auto"/>
                <w:w w:val="87"/>
              </w:rPr>
              <w:t>04/10/2025</w:t>
            </w:r>
          </w:p>
        </w:tc>
        <w:tc>
          <w:tcPr>
            <w:tcW w:w="140" w:type="dxa"/>
            <w:vAlign w:val="bottom"/>
          </w:tcPr>
          <w:p>
            <w:pPr>
              <w:spacing w:after="0"/>
              <w:rPr>
                <w:sz w:val="9"/>
                <w:szCs w:val="9"/>
                <w:color w:val="auto"/>
              </w:rPr>
            </w:pPr>
          </w:p>
        </w:tc>
        <w:tc>
          <w:tcPr>
            <w:tcW w:w="2240" w:type="dxa"/>
            <w:vAlign w:val="bottom"/>
          </w:tcPr>
          <w:p>
            <w:pPr>
              <w:jc w:val="center"/>
              <w:spacing w:after="0" w:line="115" w:lineRule="exact"/>
              <w:rPr>
                <w:sz w:val="20"/>
                <w:szCs w:val="20"/>
                <w:color w:val="auto"/>
              </w:rPr>
            </w:pPr>
            <w:r>
              <w:rPr>
                <w:rFonts w:ascii="Arial" w:cs="Arial" w:eastAsia="Arial" w:hAnsi="Arial"/>
                <w:sz w:val="11"/>
                <w:szCs w:val="11"/>
                <w:color w:val="auto"/>
                <w:w w:val="90"/>
              </w:rPr>
              <w:t>Environmental Industries</w:t>
            </w:r>
          </w:p>
        </w:tc>
        <w:tc>
          <w:tcPr>
            <w:tcW w:w="960" w:type="dxa"/>
            <w:vAlign w:val="bottom"/>
            <w:gridSpan w:val="3"/>
          </w:tcPr>
          <w:p>
            <w:pPr>
              <w:jc w:val="right"/>
              <w:ind w:right="20"/>
              <w:spacing w:after="0" w:line="115" w:lineRule="exact"/>
              <w:rPr>
                <w:sz w:val="20"/>
                <w:szCs w:val="20"/>
                <w:color w:val="auto"/>
              </w:rPr>
            </w:pPr>
            <w:r>
              <w:rPr>
                <w:rFonts w:ascii="Arial" w:cs="Arial" w:eastAsia="Arial" w:hAnsi="Arial"/>
                <w:sz w:val="11"/>
                <w:szCs w:val="11"/>
                <w:color w:val="auto"/>
              </w:rPr>
              <w:t>6.75 %</w:t>
            </w:r>
          </w:p>
        </w:tc>
        <w:tc>
          <w:tcPr>
            <w:tcW w:w="120" w:type="dxa"/>
            <w:vAlign w:val="bottom"/>
          </w:tcPr>
          <w:p>
            <w:pPr>
              <w:spacing w:after="0"/>
              <w:rPr>
                <w:sz w:val="9"/>
                <w:szCs w:val="9"/>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1"/>
                <w:szCs w:val="11"/>
                <w:color w:val="auto"/>
              </w:rPr>
              <w:t>3M</w:t>
            </w:r>
          </w:p>
        </w:tc>
        <w:tc>
          <w:tcPr>
            <w:tcW w:w="300" w:type="dxa"/>
            <w:vAlign w:val="bottom"/>
          </w:tcPr>
          <w:p>
            <w:pPr>
              <w:jc w:val="right"/>
              <w:spacing w:after="0" w:line="115" w:lineRule="exact"/>
              <w:rPr>
                <w:sz w:val="20"/>
                <w:szCs w:val="20"/>
                <w:color w:val="auto"/>
              </w:rPr>
            </w:pPr>
            <w:r>
              <w:rPr>
                <w:rFonts w:ascii="Arial" w:cs="Arial" w:eastAsia="Arial" w:hAnsi="Arial"/>
                <w:sz w:val="11"/>
                <w:szCs w:val="11"/>
                <w:color w:val="auto"/>
                <w:w w:val="84"/>
              </w:rPr>
              <w:t>L+450</w:t>
            </w:r>
          </w:p>
        </w:tc>
        <w:tc>
          <w:tcPr>
            <w:tcW w:w="9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1,585</w:t>
            </w:r>
          </w:p>
        </w:tc>
        <w:tc>
          <w:tcPr>
            <w:tcW w:w="94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1,581</w:t>
            </w:r>
          </w:p>
        </w:tc>
        <w:tc>
          <w:tcPr>
            <w:tcW w:w="94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1,585</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16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Challenger Performance Optimization, Inc. (Revolver) </w:t>
            </w:r>
            <w:r>
              <w:rPr>
                <w:rFonts w:ascii="Arial" w:cs="Arial" w:eastAsia="Arial" w:hAnsi="Arial"/>
                <w:sz w:val="14"/>
                <w:szCs w:val="14"/>
                <w:color w:val="auto"/>
                <w:vertAlign w:val="superscript"/>
              </w:rPr>
              <w:t>(7), (9)</w:t>
            </w:r>
          </w:p>
        </w:tc>
        <w:tc>
          <w:tcPr>
            <w:tcW w:w="74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08/31/2023</w:t>
            </w:r>
          </w:p>
        </w:tc>
        <w:tc>
          <w:tcPr>
            <w:tcW w:w="140" w:type="dxa"/>
            <w:vAlign w:val="bottom"/>
          </w:tcPr>
          <w:p>
            <w:pPr>
              <w:spacing w:after="0"/>
              <w:rPr>
                <w:sz w:val="11"/>
                <w:szCs w:val="11"/>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86"/>
              </w:rPr>
              <w:t>Business Services</w:t>
            </w:r>
          </w:p>
        </w:tc>
        <w:tc>
          <w:tcPr>
            <w:tcW w:w="960" w:type="dxa"/>
            <w:vAlign w:val="bottom"/>
            <w:gridSpan w:val="3"/>
          </w:tcPr>
          <w:p>
            <w:pPr>
              <w:jc w:val="right"/>
              <w:ind w:right="20"/>
              <w:spacing w:after="0"/>
              <w:rPr>
                <w:sz w:val="20"/>
                <w:szCs w:val="20"/>
                <w:color w:val="auto"/>
              </w:rPr>
            </w:pPr>
            <w:r>
              <w:rPr>
                <w:rFonts w:ascii="Arial" w:cs="Arial" w:eastAsia="Arial" w:hAnsi="Arial"/>
                <w:sz w:val="11"/>
                <w:szCs w:val="11"/>
                <w:color w:val="auto"/>
              </w:rPr>
              <w:t>8.00 %</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1M</w:t>
            </w:r>
          </w:p>
        </w:tc>
        <w:tc>
          <w:tcPr>
            <w:tcW w:w="300" w:type="dxa"/>
            <w:vAlign w:val="bottom"/>
          </w:tcPr>
          <w:p>
            <w:pPr>
              <w:jc w:val="right"/>
              <w:spacing w:after="0"/>
              <w:rPr>
                <w:sz w:val="20"/>
                <w:szCs w:val="20"/>
                <w:color w:val="auto"/>
              </w:rPr>
            </w:pPr>
            <w:r>
              <w:rPr>
                <w:rFonts w:ascii="Arial" w:cs="Arial" w:eastAsia="Arial" w:hAnsi="Arial"/>
                <w:sz w:val="11"/>
                <w:szCs w:val="11"/>
                <w:color w:val="auto"/>
                <w:w w:val="84"/>
              </w:rPr>
              <w:t>L+675</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320</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320</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309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16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Challenger Performance Optimization, Inc. (Revolver) </w:t>
            </w:r>
            <w:r>
              <w:rPr>
                <w:rFonts w:ascii="Arial" w:cs="Arial" w:eastAsia="Arial" w:hAnsi="Arial"/>
                <w:sz w:val="14"/>
                <w:szCs w:val="14"/>
                <w:color w:val="auto"/>
                <w:vertAlign w:val="superscript"/>
              </w:rPr>
              <w:t>(7), (9)</w:t>
            </w:r>
          </w:p>
        </w:tc>
        <w:tc>
          <w:tcPr>
            <w:tcW w:w="74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08/31/2023</w:t>
            </w:r>
          </w:p>
        </w:tc>
        <w:tc>
          <w:tcPr>
            <w:tcW w:w="140" w:type="dxa"/>
            <w:vAlign w:val="bottom"/>
          </w:tcPr>
          <w:p>
            <w:pPr>
              <w:spacing w:after="0"/>
              <w:rPr>
                <w:sz w:val="13"/>
                <w:szCs w:val="13"/>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86"/>
              </w:rPr>
              <w:t>Business Services</w:t>
            </w:r>
          </w:p>
        </w:tc>
        <w:tc>
          <w:tcPr>
            <w:tcW w:w="14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391</w:t>
            </w:r>
          </w:p>
        </w:tc>
        <w:tc>
          <w:tcPr>
            <w:tcW w:w="2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1040" w:type="dxa"/>
            <w:vAlign w:val="bottom"/>
            <w:gridSpan w:val="3"/>
          </w:tcPr>
          <w:p>
            <w:pPr>
              <w:jc w:val="right"/>
              <w:ind w:right="60"/>
              <w:spacing w:after="0"/>
              <w:rPr>
                <w:sz w:val="20"/>
                <w:szCs w:val="20"/>
                <w:color w:val="auto"/>
              </w:rPr>
            </w:pPr>
            <w:r>
              <w:rPr>
                <w:rFonts w:ascii="Arial" w:cs="Arial" w:eastAsia="Arial" w:hAnsi="Arial"/>
                <w:sz w:val="11"/>
                <w:szCs w:val="11"/>
                <w:color w:val="auto"/>
              </w:rPr>
              <w:t>(14 )</w:t>
            </w:r>
          </w:p>
        </w:tc>
        <w:tc>
          <w:tcPr>
            <w:tcW w:w="0" w:type="dxa"/>
            <w:vAlign w:val="bottom"/>
          </w:tcPr>
          <w:p>
            <w:pPr>
              <w:spacing w:after="0"/>
              <w:rPr>
                <w:sz w:val="1"/>
                <w:szCs w:val="1"/>
                <w:color w:val="auto"/>
              </w:rPr>
            </w:pPr>
          </w:p>
        </w:tc>
      </w:tr>
      <w:tr>
        <w:trPr>
          <w:trHeight w:val="115"/>
        </w:trPr>
        <w:tc>
          <w:tcPr>
            <w:tcW w:w="3160" w:type="dxa"/>
            <w:vAlign w:val="bottom"/>
          </w:tcPr>
          <w:p>
            <w:pPr>
              <w:ind w:left="20"/>
              <w:spacing w:after="0" w:line="115" w:lineRule="exact"/>
              <w:rPr>
                <w:sz w:val="20"/>
                <w:szCs w:val="20"/>
                <w:color w:val="auto"/>
              </w:rPr>
            </w:pPr>
            <w:r>
              <w:rPr>
                <w:rFonts w:ascii="Arial" w:cs="Arial" w:eastAsia="Arial" w:hAnsi="Arial"/>
                <w:sz w:val="11"/>
                <w:szCs w:val="11"/>
                <w:color w:val="auto"/>
              </w:rPr>
              <w:t>Compex Legal Services, Inc.</w:t>
            </w:r>
          </w:p>
        </w:tc>
        <w:tc>
          <w:tcPr>
            <w:tcW w:w="740" w:type="dxa"/>
            <w:vAlign w:val="bottom"/>
            <w:gridSpan w:val="2"/>
          </w:tcPr>
          <w:p>
            <w:pPr>
              <w:jc w:val="center"/>
              <w:ind w:left="86"/>
              <w:spacing w:after="0" w:line="115" w:lineRule="exact"/>
              <w:rPr>
                <w:sz w:val="20"/>
                <w:szCs w:val="20"/>
                <w:color w:val="auto"/>
              </w:rPr>
            </w:pPr>
            <w:r>
              <w:rPr>
                <w:rFonts w:ascii="Arial" w:cs="Arial" w:eastAsia="Arial" w:hAnsi="Arial"/>
                <w:sz w:val="11"/>
                <w:szCs w:val="11"/>
                <w:color w:val="auto"/>
                <w:w w:val="87"/>
              </w:rPr>
              <w:t>02/09/2026</w:t>
            </w:r>
          </w:p>
        </w:tc>
        <w:tc>
          <w:tcPr>
            <w:tcW w:w="140" w:type="dxa"/>
            <w:vAlign w:val="bottom"/>
          </w:tcPr>
          <w:p>
            <w:pPr>
              <w:spacing w:after="0"/>
              <w:rPr>
                <w:sz w:val="9"/>
                <w:szCs w:val="9"/>
                <w:color w:val="auto"/>
              </w:rPr>
            </w:pPr>
          </w:p>
        </w:tc>
        <w:tc>
          <w:tcPr>
            <w:tcW w:w="2240" w:type="dxa"/>
            <w:vAlign w:val="bottom"/>
          </w:tcPr>
          <w:p>
            <w:pPr>
              <w:jc w:val="center"/>
              <w:spacing w:after="0" w:line="115" w:lineRule="exact"/>
              <w:rPr>
                <w:sz w:val="20"/>
                <w:szCs w:val="20"/>
                <w:color w:val="auto"/>
              </w:rPr>
            </w:pPr>
            <w:r>
              <w:rPr>
                <w:rFonts w:ascii="Arial" w:cs="Arial" w:eastAsia="Arial" w:hAnsi="Arial"/>
                <w:sz w:val="11"/>
                <w:szCs w:val="11"/>
                <w:color w:val="auto"/>
                <w:w w:val="86"/>
              </w:rPr>
              <w:t>Professional Services</w:t>
            </w:r>
          </w:p>
        </w:tc>
        <w:tc>
          <w:tcPr>
            <w:tcW w:w="960" w:type="dxa"/>
            <w:vAlign w:val="bottom"/>
            <w:gridSpan w:val="3"/>
          </w:tcPr>
          <w:p>
            <w:pPr>
              <w:jc w:val="right"/>
              <w:ind w:right="20"/>
              <w:spacing w:after="0" w:line="115" w:lineRule="exact"/>
              <w:rPr>
                <w:sz w:val="20"/>
                <w:szCs w:val="20"/>
                <w:color w:val="auto"/>
              </w:rPr>
            </w:pPr>
            <w:r>
              <w:rPr>
                <w:rFonts w:ascii="Arial" w:cs="Arial" w:eastAsia="Arial" w:hAnsi="Arial"/>
                <w:sz w:val="11"/>
                <w:szCs w:val="11"/>
                <w:color w:val="auto"/>
              </w:rPr>
              <w:t>7.48 %</w:t>
            </w:r>
          </w:p>
        </w:tc>
        <w:tc>
          <w:tcPr>
            <w:tcW w:w="120" w:type="dxa"/>
            <w:vAlign w:val="bottom"/>
          </w:tcPr>
          <w:p>
            <w:pPr>
              <w:spacing w:after="0"/>
              <w:rPr>
                <w:sz w:val="9"/>
                <w:szCs w:val="9"/>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1"/>
                <w:szCs w:val="11"/>
                <w:color w:val="auto"/>
              </w:rPr>
              <w:t>3M</w:t>
            </w:r>
          </w:p>
        </w:tc>
        <w:tc>
          <w:tcPr>
            <w:tcW w:w="300" w:type="dxa"/>
            <w:vAlign w:val="bottom"/>
          </w:tcPr>
          <w:p>
            <w:pPr>
              <w:jc w:val="right"/>
              <w:spacing w:after="0" w:line="115" w:lineRule="exact"/>
              <w:rPr>
                <w:sz w:val="20"/>
                <w:szCs w:val="20"/>
                <w:color w:val="auto"/>
              </w:rPr>
            </w:pPr>
            <w:r>
              <w:rPr>
                <w:rFonts w:ascii="Arial" w:cs="Arial" w:eastAsia="Arial" w:hAnsi="Arial"/>
                <w:sz w:val="11"/>
                <w:szCs w:val="11"/>
                <w:color w:val="auto"/>
                <w:w w:val="84"/>
              </w:rPr>
              <w:t>L+525</w:t>
            </w:r>
          </w:p>
        </w:tc>
        <w:tc>
          <w:tcPr>
            <w:tcW w:w="9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8,058</w:t>
            </w:r>
          </w:p>
        </w:tc>
        <w:tc>
          <w:tcPr>
            <w:tcW w:w="94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8,029</w:t>
            </w:r>
          </w:p>
        </w:tc>
        <w:tc>
          <w:tcPr>
            <w:tcW w:w="94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8,026</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16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Compex Legal Services, Inc. (Revolver) </w:t>
            </w:r>
            <w:r>
              <w:rPr>
                <w:rFonts w:ascii="Arial" w:cs="Arial" w:eastAsia="Arial" w:hAnsi="Arial"/>
                <w:sz w:val="14"/>
                <w:szCs w:val="14"/>
                <w:color w:val="auto"/>
                <w:vertAlign w:val="superscript"/>
              </w:rPr>
              <w:t>(7)</w:t>
            </w:r>
          </w:p>
        </w:tc>
        <w:tc>
          <w:tcPr>
            <w:tcW w:w="74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02/07/2025</w:t>
            </w:r>
          </w:p>
        </w:tc>
        <w:tc>
          <w:tcPr>
            <w:tcW w:w="140" w:type="dxa"/>
            <w:vAlign w:val="bottom"/>
          </w:tcPr>
          <w:p>
            <w:pPr>
              <w:spacing w:after="0"/>
              <w:rPr>
                <w:sz w:val="11"/>
                <w:szCs w:val="11"/>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86"/>
              </w:rPr>
              <w:t>Professional Services</w:t>
            </w:r>
          </w:p>
        </w:tc>
        <w:tc>
          <w:tcPr>
            <w:tcW w:w="960" w:type="dxa"/>
            <w:vAlign w:val="bottom"/>
            <w:gridSpan w:val="3"/>
          </w:tcPr>
          <w:p>
            <w:pPr>
              <w:jc w:val="right"/>
              <w:ind w:right="20"/>
              <w:spacing w:after="0"/>
              <w:rPr>
                <w:sz w:val="20"/>
                <w:szCs w:val="20"/>
                <w:color w:val="auto"/>
              </w:rPr>
            </w:pPr>
            <w:r>
              <w:rPr>
                <w:rFonts w:ascii="Arial" w:cs="Arial" w:eastAsia="Arial" w:hAnsi="Arial"/>
                <w:sz w:val="11"/>
                <w:szCs w:val="11"/>
                <w:color w:val="auto"/>
              </w:rPr>
              <w:t>7.50 %</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3M</w:t>
            </w:r>
          </w:p>
        </w:tc>
        <w:tc>
          <w:tcPr>
            <w:tcW w:w="300" w:type="dxa"/>
            <w:vAlign w:val="bottom"/>
          </w:tcPr>
          <w:p>
            <w:pPr>
              <w:jc w:val="right"/>
              <w:spacing w:after="0"/>
              <w:rPr>
                <w:sz w:val="20"/>
                <w:szCs w:val="20"/>
                <w:color w:val="auto"/>
              </w:rPr>
            </w:pPr>
            <w:r>
              <w:rPr>
                <w:rFonts w:ascii="Arial" w:cs="Arial" w:eastAsia="Arial" w:hAnsi="Arial"/>
                <w:sz w:val="11"/>
                <w:szCs w:val="11"/>
                <w:color w:val="auto"/>
                <w:w w:val="84"/>
              </w:rPr>
              <w:t>L+525</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843</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843</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840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16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Compex Legal Services, Inc. (Revolver) </w:t>
            </w:r>
            <w:r>
              <w:rPr>
                <w:rFonts w:ascii="Arial" w:cs="Arial" w:eastAsia="Arial" w:hAnsi="Arial"/>
                <w:sz w:val="14"/>
                <w:szCs w:val="14"/>
                <w:color w:val="auto"/>
                <w:vertAlign w:val="superscript"/>
              </w:rPr>
              <w:t>(7), (9)</w:t>
            </w:r>
          </w:p>
        </w:tc>
        <w:tc>
          <w:tcPr>
            <w:tcW w:w="74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02/07/2025</w:t>
            </w:r>
          </w:p>
        </w:tc>
        <w:tc>
          <w:tcPr>
            <w:tcW w:w="140" w:type="dxa"/>
            <w:vAlign w:val="bottom"/>
          </w:tcPr>
          <w:p>
            <w:pPr>
              <w:spacing w:after="0"/>
              <w:rPr>
                <w:sz w:val="13"/>
                <w:szCs w:val="13"/>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86"/>
              </w:rPr>
              <w:t>Professional Services</w:t>
            </w:r>
          </w:p>
        </w:tc>
        <w:tc>
          <w:tcPr>
            <w:tcW w:w="14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562</w:t>
            </w:r>
          </w:p>
        </w:tc>
        <w:tc>
          <w:tcPr>
            <w:tcW w:w="2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1040" w:type="dxa"/>
            <w:vAlign w:val="bottom"/>
            <w:gridSpan w:val="3"/>
          </w:tcPr>
          <w:p>
            <w:pPr>
              <w:jc w:val="right"/>
              <w:ind w:right="60"/>
              <w:spacing w:after="0"/>
              <w:rPr>
                <w:sz w:val="20"/>
                <w:szCs w:val="20"/>
                <w:color w:val="auto"/>
              </w:rPr>
            </w:pPr>
            <w:r>
              <w:rPr>
                <w:rFonts w:ascii="Arial" w:cs="Arial" w:eastAsia="Arial" w:hAnsi="Arial"/>
                <w:sz w:val="11"/>
                <w:szCs w:val="11"/>
                <w:color w:val="auto"/>
              </w:rPr>
              <w:t>(2 )</w:t>
            </w:r>
          </w:p>
        </w:tc>
        <w:tc>
          <w:tcPr>
            <w:tcW w:w="0" w:type="dxa"/>
            <w:vAlign w:val="bottom"/>
          </w:tcPr>
          <w:p>
            <w:pPr>
              <w:spacing w:after="0"/>
              <w:rPr>
                <w:sz w:val="1"/>
                <w:szCs w:val="1"/>
                <w:color w:val="auto"/>
              </w:rPr>
            </w:pPr>
          </w:p>
        </w:tc>
      </w:tr>
      <w:tr>
        <w:trPr>
          <w:trHeight w:val="115"/>
        </w:trPr>
        <w:tc>
          <w:tcPr>
            <w:tcW w:w="3160" w:type="dxa"/>
            <w:vAlign w:val="bottom"/>
          </w:tcPr>
          <w:p>
            <w:pPr>
              <w:ind w:left="20"/>
              <w:spacing w:after="0" w:line="115" w:lineRule="exact"/>
              <w:rPr>
                <w:sz w:val="20"/>
                <w:szCs w:val="20"/>
                <w:color w:val="auto"/>
              </w:rPr>
            </w:pPr>
            <w:r>
              <w:rPr>
                <w:rFonts w:ascii="Arial" w:cs="Arial" w:eastAsia="Arial" w:hAnsi="Arial"/>
                <w:sz w:val="11"/>
                <w:szCs w:val="11"/>
                <w:color w:val="auto"/>
              </w:rPr>
              <w:t>Connatix Buyer, Inc.</w:t>
            </w:r>
          </w:p>
        </w:tc>
        <w:tc>
          <w:tcPr>
            <w:tcW w:w="740" w:type="dxa"/>
            <w:vAlign w:val="bottom"/>
            <w:gridSpan w:val="2"/>
          </w:tcPr>
          <w:p>
            <w:pPr>
              <w:jc w:val="center"/>
              <w:ind w:left="86"/>
              <w:spacing w:after="0" w:line="115" w:lineRule="exact"/>
              <w:rPr>
                <w:sz w:val="20"/>
                <w:szCs w:val="20"/>
                <w:color w:val="auto"/>
              </w:rPr>
            </w:pPr>
            <w:r>
              <w:rPr>
                <w:rFonts w:ascii="Arial" w:cs="Arial" w:eastAsia="Arial" w:hAnsi="Arial"/>
                <w:sz w:val="11"/>
                <w:szCs w:val="11"/>
                <w:color w:val="auto"/>
                <w:w w:val="87"/>
              </w:rPr>
              <w:t>07/13/2027</w:t>
            </w:r>
          </w:p>
        </w:tc>
        <w:tc>
          <w:tcPr>
            <w:tcW w:w="140" w:type="dxa"/>
            <w:vAlign w:val="bottom"/>
          </w:tcPr>
          <w:p>
            <w:pPr>
              <w:spacing w:after="0"/>
              <w:rPr>
                <w:sz w:val="9"/>
                <w:szCs w:val="9"/>
                <w:color w:val="auto"/>
              </w:rPr>
            </w:pPr>
          </w:p>
        </w:tc>
        <w:tc>
          <w:tcPr>
            <w:tcW w:w="2240" w:type="dxa"/>
            <w:vAlign w:val="bottom"/>
          </w:tcPr>
          <w:p>
            <w:pPr>
              <w:jc w:val="center"/>
              <w:spacing w:after="0" w:line="115" w:lineRule="exact"/>
              <w:rPr>
                <w:sz w:val="20"/>
                <w:szCs w:val="20"/>
                <w:color w:val="auto"/>
              </w:rPr>
            </w:pPr>
            <w:r>
              <w:rPr>
                <w:rFonts w:ascii="Arial" w:cs="Arial" w:eastAsia="Arial" w:hAnsi="Arial"/>
                <w:sz w:val="11"/>
                <w:szCs w:val="11"/>
                <w:color w:val="auto"/>
                <w:w w:val="93"/>
              </w:rPr>
              <w:t>Media</w:t>
            </w:r>
          </w:p>
        </w:tc>
        <w:tc>
          <w:tcPr>
            <w:tcW w:w="960" w:type="dxa"/>
            <w:vAlign w:val="bottom"/>
            <w:gridSpan w:val="3"/>
          </w:tcPr>
          <w:p>
            <w:pPr>
              <w:jc w:val="right"/>
              <w:ind w:right="20"/>
              <w:spacing w:after="0" w:line="115" w:lineRule="exact"/>
              <w:rPr>
                <w:sz w:val="20"/>
                <w:szCs w:val="20"/>
                <w:color w:val="auto"/>
              </w:rPr>
            </w:pPr>
            <w:r>
              <w:rPr>
                <w:rFonts w:ascii="Arial" w:cs="Arial" w:eastAsia="Arial" w:hAnsi="Arial"/>
                <w:sz w:val="11"/>
                <w:szCs w:val="11"/>
                <w:color w:val="auto"/>
              </w:rPr>
              <w:t>6.91 %</w:t>
            </w:r>
          </w:p>
        </w:tc>
        <w:tc>
          <w:tcPr>
            <w:tcW w:w="120" w:type="dxa"/>
            <w:vAlign w:val="bottom"/>
          </w:tcPr>
          <w:p>
            <w:pPr>
              <w:spacing w:after="0"/>
              <w:rPr>
                <w:sz w:val="9"/>
                <w:szCs w:val="9"/>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1"/>
                <w:szCs w:val="11"/>
                <w:color w:val="auto"/>
              </w:rPr>
              <w:t>3M</w:t>
            </w:r>
          </w:p>
        </w:tc>
        <w:tc>
          <w:tcPr>
            <w:tcW w:w="300" w:type="dxa"/>
            <w:vAlign w:val="bottom"/>
          </w:tcPr>
          <w:p>
            <w:pPr>
              <w:jc w:val="right"/>
              <w:spacing w:after="0" w:line="115" w:lineRule="exact"/>
              <w:rPr>
                <w:sz w:val="20"/>
                <w:szCs w:val="20"/>
                <w:color w:val="auto"/>
              </w:rPr>
            </w:pPr>
            <w:r>
              <w:rPr>
                <w:rFonts w:ascii="Arial" w:cs="Arial" w:eastAsia="Arial" w:hAnsi="Arial"/>
                <w:sz w:val="11"/>
                <w:szCs w:val="11"/>
                <w:color w:val="auto"/>
                <w:w w:val="84"/>
              </w:rPr>
              <w:t>L+550</w:t>
            </w:r>
          </w:p>
        </w:tc>
        <w:tc>
          <w:tcPr>
            <w:tcW w:w="9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3,970</w:t>
            </w:r>
          </w:p>
        </w:tc>
        <w:tc>
          <w:tcPr>
            <w:tcW w:w="94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3,900</w:t>
            </w:r>
          </w:p>
        </w:tc>
        <w:tc>
          <w:tcPr>
            <w:tcW w:w="94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3,901</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16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Connatix Buyer, Inc. </w:t>
            </w:r>
            <w:r>
              <w:rPr>
                <w:rFonts w:ascii="Arial" w:cs="Arial" w:eastAsia="Arial" w:hAnsi="Arial"/>
                <w:sz w:val="14"/>
                <w:szCs w:val="14"/>
                <w:color w:val="auto"/>
                <w:vertAlign w:val="superscript"/>
              </w:rPr>
              <w:t>(7), (9)</w:t>
            </w:r>
          </w:p>
        </w:tc>
        <w:tc>
          <w:tcPr>
            <w:tcW w:w="74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01/13/2023</w:t>
            </w:r>
          </w:p>
        </w:tc>
        <w:tc>
          <w:tcPr>
            <w:tcW w:w="140" w:type="dxa"/>
            <w:vAlign w:val="bottom"/>
          </w:tcPr>
          <w:p>
            <w:pPr>
              <w:spacing w:after="0"/>
              <w:rPr>
                <w:sz w:val="11"/>
                <w:szCs w:val="11"/>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14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2,105</w:t>
            </w:r>
          </w:p>
        </w:tc>
        <w:tc>
          <w:tcPr>
            <w:tcW w:w="2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1040" w:type="dxa"/>
            <w:vAlign w:val="bottom"/>
            <w:gridSpan w:val="3"/>
          </w:tcPr>
          <w:p>
            <w:pPr>
              <w:jc w:val="right"/>
              <w:ind w:right="60"/>
              <w:spacing w:after="0"/>
              <w:rPr>
                <w:sz w:val="20"/>
                <w:szCs w:val="20"/>
                <w:color w:val="auto"/>
              </w:rPr>
            </w:pPr>
            <w:r>
              <w:rPr>
                <w:rFonts w:ascii="Arial" w:cs="Arial" w:eastAsia="Arial" w:hAnsi="Arial"/>
                <w:sz w:val="11"/>
                <w:szCs w:val="11"/>
                <w:color w:val="auto"/>
              </w:rPr>
              <w:t>(16 )</w:t>
            </w:r>
          </w:p>
        </w:tc>
        <w:tc>
          <w:tcPr>
            <w:tcW w:w="0" w:type="dxa"/>
            <w:vAlign w:val="bottom"/>
          </w:tcPr>
          <w:p>
            <w:pPr>
              <w:spacing w:after="0"/>
              <w:rPr>
                <w:sz w:val="1"/>
                <w:szCs w:val="1"/>
                <w:color w:val="auto"/>
              </w:rPr>
            </w:pPr>
          </w:p>
        </w:tc>
      </w:tr>
      <w:tr>
        <w:trPr>
          <w:trHeight w:val="135"/>
        </w:trPr>
        <w:tc>
          <w:tcPr>
            <w:tcW w:w="316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Connatix Buyer, Inc. </w:t>
            </w:r>
            <w:r>
              <w:rPr>
                <w:rFonts w:ascii="Arial" w:cs="Arial" w:eastAsia="Arial" w:hAnsi="Arial"/>
                <w:sz w:val="14"/>
                <w:szCs w:val="14"/>
                <w:color w:val="auto"/>
                <w:vertAlign w:val="superscript"/>
              </w:rPr>
              <w:t>(7), (9)</w:t>
            </w:r>
          </w:p>
        </w:tc>
        <w:tc>
          <w:tcPr>
            <w:tcW w:w="74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07/13/2027</w:t>
            </w:r>
          </w:p>
        </w:tc>
        <w:tc>
          <w:tcPr>
            <w:tcW w:w="140" w:type="dxa"/>
            <w:vAlign w:val="bottom"/>
          </w:tcPr>
          <w:p>
            <w:pPr>
              <w:spacing w:after="0"/>
              <w:rPr>
                <w:sz w:val="11"/>
                <w:szCs w:val="11"/>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14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1,234</w:t>
            </w:r>
          </w:p>
        </w:tc>
        <w:tc>
          <w:tcPr>
            <w:tcW w:w="2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1040" w:type="dxa"/>
            <w:vAlign w:val="bottom"/>
            <w:gridSpan w:val="3"/>
          </w:tcPr>
          <w:p>
            <w:pPr>
              <w:jc w:val="right"/>
              <w:ind w:right="60"/>
              <w:spacing w:after="0"/>
              <w:rPr>
                <w:sz w:val="20"/>
                <w:szCs w:val="20"/>
                <w:color w:val="auto"/>
              </w:rPr>
            </w:pPr>
            <w:r>
              <w:rPr>
                <w:rFonts w:ascii="Arial" w:cs="Arial" w:eastAsia="Arial" w:hAnsi="Arial"/>
                <w:sz w:val="11"/>
                <w:szCs w:val="11"/>
                <w:color w:val="auto"/>
              </w:rPr>
              <w:t>(22 )</w:t>
            </w:r>
          </w:p>
        </w:tc>
        <w:tc>
          <w:tcPr>
            <w:tcW w:w="0" w:type="dxa"/>
            <w:vAlign w:val="bottom"/>
          </w:tcPr>
          <w:p>
            <w:pPr>
              <w:spacing w:after="0"/>
              <w:rPr>
                <w:sz w:val="1"/>
                <w:szCs w:val="1"/>
                <w:color w:val="auto"/>
              </w:rPr>
            </w:pPr>
          </w:p>
        </w:tc>
      </w:tr>
      <w:tr>
        <w:trPr>
          <w:trHeight w:val="135"/>
        </w:trPr>
        <w:tc>
          <w:tcPr>
            <w:tcW w:w="316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Crane 1 Services, Inc. </w:t>
            </w:r>
            <w:r>
              <w:rPr>
                <w:rFonts w:ascii="Arial" w:cs="Arial" w:eastAsia="Arial" w:hAnsi="Arial"/>
                <w:sz w:val="14"/>
                <w:szCs w:val="14"/>
                <w:color w:val="auto"/>
                <w:vertAlign w:val="superscript"/>
              </w:rPr>
              <w:t>(7)</w:t>
            </w:r>
          </w:p>
        </w:tc>
        <w:tc>
          <w:tcPr>
            <w:tcW w:w="74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08/16/2027</w:t>
            </w:r>
          </w:p>
        </w:tc>
        <w:tc>
          <w:tcPr>
            <w:tcW w:w="140" w:type="dxa"/>
            <w:vAlign w:val="bottom"/>
          </w:tcPr>
          <w:p>
            <w:pPr>
              <w:spacing w:after="0"/>
              <w:rPr>
                <w:sz w:val="11"/>
                <w:szCs w:val="11"/>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90"/>
              </w:rPr>
              <w:t>Commercial Services &amp; Supplies</w:t>
            </w:r>
          </w:p>
        </w:tc>
        <w:tc>
          <w:tcPr>
            <w:tcW w:w="960" w:type="dxa"/>
            <w:vAlign w:val="bottom"/>
            <w:gridSpan w:val="3"/>
          </w:tcPr>
          <w:p>
            <w:pPr>
              <w:jc w:val="right"/>
              <w:ind w:right="20"/>
              <w:spacing w:after="0"/>
              <w:rPr>
                <w:sz w:val="20"/>
                <w:szCs w:val="20"/>
                <w:color w:val="auto"/>
              </w:rPr>
            </w:pPr>
            <w:r>
              <w:rPr>
                <w:rFonts w:ascii="Arial" w:cs="Arial" w:eastAsia="Arial" w:hAnsi="Arial"/>
                <w:sz w:val="11"/>
                <w:szCs w:val="11"/>
                <w:color w:val="auto"/>
              </w:rPr>
              <w:t>7.98 %</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3M</w:t>
            </w:r>
          </w:p>
        </w:tc>
        <w:tc>
          <w:tcPr>
            <w:tcW w:w="300" w:type="dxa"/>
            <w:vAlign w:val="bottom"/>
          </w:tcPr>
          <w:p>
            <w:pPr>
              <w:jc w:val="right"/>
              <w:spacing w:after="0"/>
              <w:rPr>
                <w:sz w:val="20"/>
                <w:szCs w:val="20"/>
                <w:color w:val="auto"/>
              </w:rPr>
            </w:pPr>
            <w:r>
              <w:rPr>
                <w:rFonts w:ascii="Arial" w:cs="Arial" w:eastAsia="Arial" w:hAnsi="Arial"/>
                <w:sz w:val="11"/>
                <w:szCs w:val="11"/>
                <w:color w:val="auto"/>
                <w:w w:val="84"/>
              </w:rPr>
              <w:t>L+575</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893</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887</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880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6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Crane 1 Services, Inc. (Revolver) </w:t>
            </w:r>
            <w:r>
              <w:rPr>
                <w:rFonts w:ascii="Arial" w:cs="Arial" w:eastAsia="Arial" w:hAnsi="Arial"/>
                <w:sz w:val="14"/>
                <w:szCs w:val="14"/>
                <w:color w:val="auto"/>
                <w:vertAlign w:val="superscript"/>
              </w:rPr>
              <w:t>(7)</w:t>
            </w:r>
          </w:p>
        </w:tc>
        <w:tc>
          <w:tcPr>
            <w:tcW w:w="74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08/16/2027</w:t>
            </w:r>
          </w:p>
        </w:tc>
        <w:tc>
          <w:tcPr>
            <w:tcW w:w="140" w:type="dxa"/>
            <w:vAlign w:val="bottom"/>
          </w:tcPr>
          <w:p>
            <w:pPr>
              <w:spacing w:after="0"/>
              <w:rPr>
                <w:sz w:val="11"/>
                <w:szCs w:val="11"/>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90"/>
              </w:rPr>
              <w:t>Commercial Services &amp; Supplies</w:t>
            </w:r>
          </w:p>
        </w:tc>
        <w:tc>
          <w:tcPr>
            <w:tcW w:w="960" w:type="dxa"/>
            <w:vAlign w:val="bottom"/>
            <w:gridSpan w:val="3"/>
          </w:tcPr>
          <w:p>
            <w:pPr>
              <w:jc w:val="right"/>
              <w:ind w:right="20"/>
              <w:spacing w:after="0"/>
              <w:rPr>
                <w:sz w:val="20"/>
                <w:szCs w:val="20"/>
                <w:color w:val="auto"/>
              </w:rPr>
            </w:pPr>
            <w:r>
              <w:rPr>
                <w:rFonts w:ascii="Arial" w:cs="Arial" w:eastAsia="Arial" w:hAnsi="Arial"/>
                <w:sz w:val="11"/>
                <w:szCs w:val="11"/>
                <w:color w:val="auto"/>
              </w:rPr>
              <w:t>7.98 %</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3M</w:t>
            </w:r>
          </w:p>
        </w:tc>
        <w:tc>
          <w:tcPr>
            <w:tcW w:w="300" w:type="dxa"/>
            <w:vAlign w:val="bottom"/>
          </w:tcPr>
          <w:p>
            <w:pPr>
              <w:jc w:val="right"/>
              <w:spacing w:after="0"/>
              <w:rPr>
                <w:sz w:val="20"/>
                <w:szCs w:val="20"/>
                <w:color w:val="auto"/>
              </w:rPr>
            </w:pPr>
            <w:r>
              <w:rPr>
                <w:rFonts w:ascii="Arial" w:cs="Arial" w:eastAsia="Arial" w:hAnsi="Arial"/>
                <w:sz w:val="11"/>
                <w:szCs w:val="11"/>
                <w:color w:val="auto"/>
                <w:w w:val="84"/>
              </w:rPr>
              <w:t>L+575</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67</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67</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66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3160" w:type="dxa"/>
            <w:vAlign w:val="bottom"/>
          </w:tcPr>
          <w:p>
            <w:pPr>
              <w:ind w:left="20"/>
              <w:spacing w:after="0"/>
              <w:rPr>
                <w:sz w:val="20"/>
                <w:szCs w:val="20"/>
                <w:color w:val="auto"/>
              </w:rPr>
            </w:pPr>
            <w:r>
              <w:rPr>
                <w:rFonts w:ascii="Arial" w:cs="Arial" w:eastAsia="Arial" w:hAnsi="Arial"/>
                <w:sz w:val="11"/>
                <w:szCs w:val="11"/>
                <w:color w:val="auto"/>
              </w:rPr>
              <w:t xml:space="preserve">Crane 1 Services, Inc. (Revolver) </w:t>
            </w:r>
            <w:r>
              <w:rPr>
                <w:rFonts w:ascii="Arial" w:cs="Arial" w:eastAsia="Arial" w:hAnsi="Arial"/>
                <w:sz w:val="14"/>
                <w:szCs w:val="14"/>
                <w:color w:val="auto"/>
                <w:vertAlign w:val="superscript"/>
              </w:rPr>
              <w:t>(7)</w:t>
            </w:r>
          </w:p>
        </w:tc>
        <w:tc>
          <w:tcPr>
            <w:tcW w:w="74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08/16/2027</w:t>
            </w:r>
          </w:p>
        </w:tc>
        <w:tc>
          <w:tcPr>
            <w:tcW w:w="140" w:type="dxa"/>
            <w:vAlign w:val="bottom"/>
          </w:tcPr>
          <w:p>
            <w:pPr>
              <w:spacing w:after="0"/>
              <w:rPr>
                <w:sz w:val="14"/>
                <w:szCs w:val="14"/>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90"/>
              </w:rPr>
              <w:t>Commercial Services &amp; Supplies</w:t>
            </w:r>
          </w:p>
        </w:tc>
        <w:tc>
          <w:tcPr>
            <w:tcW w:w="14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269</w:t>
            </w:r>
          </w:p>
        </w:tc>
        <w:tc>
          <w:tcPr>
            <w:tcW w:w="2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1040" w:type="dxa"/>
            <w:vAlign w:val="bottom"/>
            <w:gridSpan w:val="3"/>
          </w:tcPr>
          <w:p>
            <w:pPr>
              <w:jc w:val="right"/>
              <w:ind w:right="60"/>
              <w:spacing w:after="0"/>
              <w:rPr>
                <w:sz w:val="20"/>
                <w:szCs w:val="20"/>
                <w:color w:val="auto"/>
              </w:rPr>
            </w:pPr>
            <w:r>
              <w:rPr>
                <w:rFonts w:ascii="Arial" w:cs="Arial" w:eastAsia="Arial" w:hAnsi="Arial"/>
                <w:sz w:val="11"/>
                <w:szCs w:val="11"/>
                <w:color w:val="auto"/>
              </w:rPr>
              <w:t>(4 )</w:t>
            </w:r>
          </w:p>
        </w:tc>
        <w:tc>
          <w:tcPr>
            <w:tcW w:w="0" w:type="dxa"/>
            <w:vAlign w:val="bottom"/>
          </w:tcPr>
          <w:p>
            <w:pPr>
              <w:spacing w:after="0"/>
              <w:rPr>
                <w:sz w:val="1"/>
                <w:szCs w:val="1"/>
                <w:color w:val="auto"/>
              </w:rPr>
            </w:pPr>
          </w:p>
        </w:tc>
      </w:tr>
      <w:tr>
        <w:trPr>
          <w:trHeight w:val="135"/>
        </w:trPr>
        <w:tc>
          <w:tcPr>
            <w:tcW w:w="3160" w:type="dxa"/>
            <w:vAlign w:val="bottom"/>
            <w:shd w:val="clear" w:color="auto" w:fill="CCECFF"/>
          </w:tcPr>
          <w:p>
            <w:pPr>
              <w:ind w:left="20"/>
              <w:spacing w:after="0"/>
              <w:rPr>
                <w:sz w:val="20"/>
                <w:szCs w:val="20"/>
                <w:color w:val="auto"/>
              </w:rPr>
            </w:pPr>
            <w:r>
              <w:rPr>
                <w:rFonts w:ascii="Arial" w:cs="Arial" w:eastAsia="Arial" w:hAnsi="Arial"/>
                <w:sz w:val="11"/>
                <w:szCs w:val="11"/>
                <w:color w:val="auto"/>
              </w:rPr>
              <w:t>Crash Champions, LLC</w:t>
            </w:r>
          </w:p>
        </w:tc>
        <w:tc>
          <w:tcPr>
            <w:tcW w:w="74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7"/>
              </w:rPr>
              <w:t>08/05/2025</w:t>
            </w:r>
          </w:p>
        </w:tc>
        <w:tc>
          <w:tcPr>
            <w:tcW w:w="140" w:type="dxa"/>
            <w:vAlign w:val="bottom"/>
            <w:shd w:val="clear" w:color="auto" w:fill="CCECFF"/>
          </w:tcPr>
          <w:p>
            <w:pPr>
              <w:spacing w:after="0"/>
              <w:rPr>
                <w:sz w:val="11"/>
                <w:szCs w:val="11"/>
                <w:color w:val="auto"/>
              </w:rPr>
            </w:pPr>
          </w:p>
        </w:tc>
        <w:tc>
          <w:tcPr>
            <w:tcW w:w="22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2"/>
              </w:rPr>
              <w:t>Automobiles</w:t>
            </w:r>
          </w:p>
        </w:tc>
        <w:tc>
          <w:tcPr>
            <w:tcW w:w="960" w:type="dxa"/>
            <w:vAlign w:val="bottom"/>
            <w:gridSpan w:val="3"/>
            <w:shd w:val="clear" w:color="auto" w:fill="CCECFF"/>
          </w:tcPr>
          <w:p>
            <w:pPr>
              <w:jc w:val="right"/>
              <w:ind w:right="20"/>
              <w:spacing w:after="0"/>
              <w:rPr>
                <w:sz w:val="20"/>
                <w:szCs w:val="20"/>
                <w:color w:val="auto"/>
              </w:rPr>
            </w:pPr>
            <w:r>
              <w:rPr>
                <w:rFonts w:ascii="Arial" w:cs="Arial" w:eastAsia="Arial" w:hAnsi="Arial"/>
                <w:sz w:val="11"/>
                <w:szCs w:val="11"/>
                <w:color w:val="auto"/>
              </w:rPr>
              <w:t>7.20 %</w:t>
            </w: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w:t>
            </w:r>
          </w:p>
        </w:tc>
        <w:tc>
          <w:tcPr>
            <w:tcW w:w="300" w:type="dxa"/>
            <w:vAlign w:val="bottom"/>
            <w:shd w:val="clear" w:color="auto" w:fill="CCECFF"/>
          </w:tcPr>
          <w:p>
            <w:pPr>
              <w:jc w:val="right"/>
              <w:spacing w:after="0"/>
              <w:rPr>
                <w:sz w:val="20"/>
                <w:szCs w:val="20"/>
                <w:color w:val="auto"/>
              </w:rPr>
            </w:pPr>
            <w:r>
              <w:rPr>
                <w:rFonts w:ascii="Arial" w:cs="Arial" w:eastAsia="Arial" w:hAnsi="Arial"/>
                <w:sz w:val="11"/>
                <w:szCs w:val="11"/>
                <w:color w:val="auto"/>
                <w:w w:val="84"/>
              </w:rPr>
              <w:t>L+525</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19,871</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19,655</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19,772</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3160" w:type="dxa"/>
            <w:vAlign w:val="bottom"/>
          </w:tcPr>
          <w:p>
            <w:pPr>
              <w:ind w:left="20"/>
              <w:spacing w:after="0" w:line="125" w:lineRule="exact"/>
              <w:rPr>
                <w:sz w:val="20"/>
                <w:szCs w:val="20"/>
                <w:color w:val="auto"/>
              </w:rPr>
            </w:pPr>
            <w:r>
              <w:rPr>
                <w:rFonts w:ascii="Arial" w:cs="Arial" w:eastAsia="Arial" w:hAnsi="Arial"/>
                <w:sz w:val="11"/>
                <w:szCs w:val="11"/>
                <w:color w:val="auto"/>
              </w:rPr>
              <w:t>Douglas Products and Packaging Company LLC</w:t>
            </w:r>
          </w:p>
        </w:tc>
        <w:tc>
          <w:tcPr>
            <w:tcW w:w="740" w:type="dxa"/>
            <w:vAlign w:val="bottom"/>
            <w:gridSpan w:val="2"/>
          </w:tcPr>
          <w:p>
            <w:pPr>
              <w:jc w:val="center"/>
              <w:ind w:left="86"/>
              <w:spacing w:after="0" w:line="125" w:lineRule="exact"/>
              <w:rPr>
                <w:sz w:val="20"/>
                <w:szCs w:val="20"/>
                <w:color w:val="auto"/>
              </w:rPr>
            </w:pPr>
            <w:r>
              <w:rPr>
                <w:rFonts w:ascii="Arial" w:cs="Arial" w:eastAsia="Arial" w:hAnsi="Arial"/>
                <w:sz w:val="11"/>
                <w:szCs w:val="11"/>
                <w:color w:val="auto"/>
                <w:w w:val="87"/>
              </w:rPr>
              <w:t>10/19/2022</w:t>
            </w:r>
          </w:p>
        </w:tc>
        <w:tc>
          <w:tcPr>
            <w:tcW w:w="140" w:type="dxa"/>
            <w:vAlign w:val="bottom"/>
          </w:tcPr>
          <w:p>
            <w:pPr>
              <w:spacing w:after="0"/>
              <w:rPr>
                <w:sz w:val="10"/>
                <w:szCs w:val="10"/>
                <w:color w:val="auto"/>
              </w:rPr>
            </w:pPr>
          </w:p>
        </w:tc>
        <w:tc>
          <w:tcPr>
            <w:tcW w:w="2240" w:type="dxa"/>
            <w:vAlign w:val="bottom"/>
          </w:tcPr>
          <w:p>
            <w:pPr>
              <w:jc w:val="center"/>
              <w:spacing w:after="0" w:line="125" w:lineRule="exact"/>
              <w:rPr>
                <w:sz w:val="20"/>
                <w:szCs w:val="20"/>
                <w:color w:val="auto"/>
              </w:rPr>
            </w:pPr>
            <w:r>
              <w:rPr>
                <w:rFonts w:ascii="Arial" w:cs="Arial" w:eastAsia="Arial" w:hAnsi="Arial"/>
                <w:sz w:val="11"/>
                <w:szCs w:val="11"/>
                <w:color w:val="auto"/>
                <w:w w:val="87"/>
              </w:rPr>
              <w:t>Chemicals, Plastics and Rubber</w:t>
            </w:r>
          </w:p>
        </w:tc>
        <w:tc>
          <w:tcPr>
            <w:tcW w:w="960" w:type="dxa"/>
            <w:vAlign w:val="bottom"/>
            <w:gridSpan w:val="3"/>
          </w:tcPr>
          <w:p>
            <w:pPr>
              <w:jc w:val="right"/>
              <w:ind w:right="20"/>
              <w:spacing w:after="0" w:line="125" w:lineRule="exact"/>
              <w:rPr>
                <w:sz w:val="20"/>
                <w:szCs w:val="20"/>
                <w:color w:val="auto"/>
              </w:rPr>
            </w:pPr>
            <w:r>
              <w:rPr>
                <w:rFonts w:ascii="Arial" w:cs="Arial" w:eastAsia="Arial" w:hAnsi="Arial"/>
                <w:sz w:val="11"/>
                <w:szCs w:val="11"/>
                <w:color w:val="auto"/>
              </w:rPr>
              <w:t>8.00 %</w:t>
            </w:r>
          </w:p>
        </w:tc>
        <w:tc>
          <w:tcPr>
            <w:tcW w:w="120" w:type="dxa"/>
            <w:vAlign w:val="bottom"/>
          </w:tcPr>
          <w:p>
            <w:pPr>
              <w:spacing w:after="0"/>
              <w:rPr>
                <w:sz w:val="10"/>
                <w:szCs w:val="10"/>
                <w:color w:val="auto"/>
              </w:rPr>
            </w:pPr>
          </w:p>
        </w:tc>
        <w:tc>
          <w:tcPr>
            <w:tcW w:w="680" w:type="dxa"/>
            <w:vAlign w:val="bottom"/>
          </w:tcPr>
          <w:p>
            <w:pPr>
              <w:jc w:val="right"/>
              <w:spacing w:after="0" w:line="125" w:lineRule="exact"/>
              <w:rPr>
                <w:sz w:val="20"/>
                <w:szCs w:val="20"/>
                <w:color w:val="auto"/>
              </w:rPr>
            </w:pPr>
            <w:r>
              <w:rPr>
                <w:rFonts w:ascii="Arial" w:cs="Arial" w:eastAsia="Arial" w:hAnsi="Arial"/>
                <w:sz w:val="11"/>
                <w:szCs w:val="11"/>
                <w:color w:val="auto"/>
              </w:rPr>
              <w:t>3M</w:t>
            </w:r>
          </w:p>
        </w:tc>
        <w:tc>
          <w:tcPr>
            <w:tcW w:w="300" w:type="dxa"/>
            <w:vAlign w:val="bottom"/>
          </w:tcPr>
          <w:p>
            <w:pPr>
              <w:jc w:val="right"/>
              <w:spacing w:after="0" w:line="125" w:lineRule="exact"/>
              <w:rPr>
                <w:sz w:val="20"/>
                <w:szCs w:val="20"/>
                <w:color w:val="auto"/>
              </w:rPr>
            </w:pPr>
            <w:r>
              <w:rPr>
                <w:rFonts w:ascii="Arial" w:cs="Arial" w:eastAsia="Arial" w:hAnsi="Arial"/>
                <w:sz w:val="11"/>
                <w:szCs w:val="11"/>
                <w:color w:val="auto"/>
                <w:w w:val="84"/>
              </w:rPr>
              <w:t>L+575</w:t>
            </w:r>
          </w:p>
        </w:tc>
        <w:tc>
          <w:tcPr>
            <w:tcW w:w="920" w:type="dxa"/>
            <w:vAlign w:val="bottom"/>
            <w:gridSpan w:val="2"/>
          </w:tcPr>
          <w:p>
            <w:pPr>
              <w:jc w:val="right"/>
              <w:spacing w:after="0" w:line="125" w:lineRule="exact"/>
              <w:rPr>
                <w:sz w:val="20"/>
                <w:szCs w:val="20"/>
                <w:color w:val="auto"/>
              </w:rPr>
            </w:pPr>
            <w:r>
              <w:rPr>
                <w:rFonts w:ascii="Arial" w:cs="Arial" w:eastAsia="Arial" w:hAnsi="Arial"/>
                <w:sz w:val="11"/>
                <w:szCs w:val="11"/>
                <w:color w:val="auto"/>
              </w:rPr>
              <w:t>6,494</w:t>
            </w:r>
          </w:p>
        </w:tc>
        <w:tc>
          <w:tcPr>
            <w:tcW w:w="940" w:type="dxa"/>
            <w:vAlign w:val="bottom"/>
            <w:gridSpan w:val="2"/>
          </w:tcPr>
          <w:p>
            <w:pPr>
              <w:jc w:val="right"/>
              <w:spacing w:after="0" w:line="125" w:lineRule="exact"/>
              <w:rPr>
                <w:sz w:val="20"/>
                <w:szCs w:val="20"/>
                <w:color w:val="auto"/>
              </w:rPr>
            </w:pPr>
            <w:r>
              <w:rPr>
                <w:rFonts w:ascii="Arial" w:cs="Arial" w:eastAsia="Arial" w:hAnsi="Arial"/>
                <w:sz w:val="11"/>
                <w:szCs w:val="11"/>
                <w:color w:val="auto"/>
              </w:rPr>
              <w:t>6,486</w:t>
            </w:r>
          </w:p>
        </w:tc>
        <w:tc>
          <w:tcPr>
            <w:tcW w:w="940" w:type="dxa"/>
            <w:vAlign w:val="bottom"/>
            <w:gridSpan w:val="2"/>
          </w:tcPr>
          <w:p>
            <w:pPr>
              <w:jc w:val="right"/>
              <w:spacing w:after="0" w:line="125" w:lineRule="exact"/>
              <w:rPr>
                <w:sz w:val="20"/>
                <w:szCs w:val="20"/>
                <w:color w:val="auto"/>
              </w:rPr>
            </w:pPr>
            <w:r>
              <w:rPr>
                <w:rFonts w:ascii="Arial" w:cs="Arial" w:eastAsia="Arial" w:hAnsi="Arial"/>
                <w:sz w:val="11"/>
                <w:szCs w:val="11"/>
                <w:color w:val="auto"/>
              </w:rPr>
              <w:t>6,494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3160" w:type="dxa"/>
            <w:vAlign w:val="bottom"/>
          </w:tcPr>
          <w:p>
            <w:pPr>
              <w:ind w:left="20"/>
              <w:spacing w:after="0" w:line="115" w:lineRule="exact"/>
              <w:rPr>
                <w:sz w:val="20"/>
                <w:szCs w:val="20"/>
                <w:color w:val="auto"/>
              </w:rPr>
            </w:pPr>
            <w:r>
              <w:rPr>
                <w:rFonts w:ascii="Arial" w:cs="Arial" w:eastAsia="Arial" w:hAnsi="Arial"/>
                <w:sz w:val="11"/>
                <w:szCs w:val="11"/>
                <w:color w:val="auto"/>
              </w:rPr>
              <w:t>Douglas Products and Packaging Company LLC (Revolver)</w:t>
            </w:r>
          </w:p>
        </w:tc>
        <w:tc>
          <w:tcPr>
            <w:tcW w:w="740" w:type="dxa"/>
            <w:vAlign w:val="bottom"/>
            <w:gridSpan w:val="2"/>
          </w:tcPr>
          <w:p>
            <w:pPr>
              <w:jc w:val="center"/>
              <w:ind w:left="86"/>
              <w:spacing w:after="0" w:line="115" w:lineRule="exact"/>
              <w:rPr>
                <w:sz w:val="20"/>
                <w:szCs w:val="20"/>
                <w:color w:val="auto"/>
              </w:rPr>
            </w:pPr>
            <w:r>
              <w:rPr>
                <w:rFonts w:ascii="Arial" w:cs="Arial" w:eastAsia="Arial" w:hAnsi="Arial"/>
                <w:sz w:val="11"/>
                <w:szCs w:val="11"/>
                <w:color w:val="auto"/>
                <w:w w:val="87"/>
              </w:rPr>
              <w:t>10/19/2022</w:t>
            </w:r>
          </w:p>
        </w:tc>
        <w:tc>
          <w:tcPr>
            <w:tcW w:w="140" w:type="dxa"/>
            <w:vAlign w:val="bottom"/>
          </w:tcPr>
          <w:p>
            <w:pPr>
              <w:spacing w:after="0"/>
              <w:rPr>
                <w:sz w:val="9"/>
                <w:szCs w:val="9"/>
                <w:color w:val="auto"/>
              </w:rPr>
            </w:pPr>
          </w:p>
        </w:tc>
        <w:tc>
          <w:tcPr>
            <w:tcW w:w="2240" w:type="dxa"/>
            <w:vAlign w:val="bottom"/>
          </w:tcPr>
          <w:p>
            <w:pPr>
              <w:jc w:val="center"/>
              <w:spacing w:after="0" w:line="115" w:lineRule="exact"/>
              <w:rPr>
                <w:sz w:val="20"/>
                <w:szCs w:val="20"/>
                <w:color w:val="auto"/>
              </w:rPr>
            </w:pPr>
            <w:r>
              <w:rPr>
                <w:rFonts w:ascii="Arial" w:cs="Arial" w:eastAsia="Arial" w:hAnsi="Arial"/>
                <w:sz w:val="11"/>
                <w:szCs w:val="11"/>
                <w:color w:val="auto"/>
                <w:w w:val="87"/>
              </w:rPr>
              <w:t>Chemicals, Plastics and Rubber</w:t>
            </w:r>
          </w:p>
        </w:tc>
        <w:tc>
          <w:tcPr>
            <w:tcW w:w="960" w:type="dxa"/>
            <w:vAlign w:val="bottom"/>
            <w:gridSpan w:val="3"/>
          </w:tcPr>
          <w:p>
            <w:pPr>
              <w:jc w:val="right"/>
              <w:ind w:right="20"/>
              <w:spacing w:after="0" w:line="115" w:lineRule="exact"/>
              <w:rPr>
                <w:sz w:val="20"/>
                <w:szCs w:val="20"/>
                <w:color w:val="auto"/>
              </w:rPr>
            </w:pPr>
            <w:r>
              <w:rPr>
                <w:rFonts w:ascii="Arial" w:cs="Arial" w:eastAsia="Arial" w:hAnsi="Arial"/>
                <w:sz w:val="11"/>
                <w:szCs w:val="11"/>
                <w:color w:val="auto"/>
              </w:rPr>
              <w:t>9.46 %</w:t>
            </w: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300" w:type="dxa"/>
            <w:vAlign w:val="bottom"/>
          </w:tcPr>
          <w:p>
            <w:pPr>
              <w:jc w:val="right"/>
              <w:spacing w:after="0" w:line="115" w:lineRule="exact"/>
              <w:rPr>
                <w:sz w:val="20"/>
                <w:szCs w:val="20"/>
                <w:color w:val="auto"/>
              </w:rPr>
            </w:pPr>
            <w:r>
              <w:rPr>
                <w:rFonts w:ascii="Arial" w:cs="Arial" w:eastAsia="Arial" w:hAnsi="Arial"/>
                <w:sz w:val="11"/>
                <w:szCs w:val="11"/>
                <w:color w:val="auto"/>
                <w:w w:val="80"/>
              </w:rPr>
              <w:t>P+475</w:t>
            </w:r>
          </w:p>
        </w:tc>
        <w:tc>
          <w:tcPr>
            <w:tcW w:w="9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3,006</w:t>
            </w:r>
          </w:p>
        </w:tc>
        <w:tc>
          <w:tcPr>
            <w:tcW w:w="94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3,006</w:t>
            </w:r>
          </w:p>
        </w:tc>
        <w:tc>
          <w:tcPr>
            <w:tcW w:w="94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3,006</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3160" w:type="dxa"/>
            <w:vAlign w:val="bottom"/>
          </w:tcPr>
          <w:p>
            <w:pPr>
              <w:ind w:left="20"/>
              <w:spacing w:after="0"/>
              <w:rPr>
                <w:sz w:val="20"/>
                <w:szCs w:val="20"/>
                <w:color w:val="auto"/>
              </w:rPr>
            </w:pPr>
            <w:r>
              <w:rPr>
                <w:rFonts w:ascii="Arial" w:cs="Arial" w:eastAsia="Arial" w:hAnsi="Arial"/>
                <w:sz w:val="11"/>
                <w:szCs w:val="11"/>
                <w:color w:val="auto"/>
              </w:rPr>
              <w:t xml:space="preserve">Douglas Products and Packaging Company LLC (Revolver) </w:t>
            </w:r>
            <w:r>
              <w:rPr>
                <w:rFonts w:ascii="Arial" w:cs="Arial" w:eastAsia="Arial" w:hAnsi="Arial"/>
                <w:sz w:val="14"/>
                <w:szCs w:val="14"/>
                <w:color w:val="auto"/>
                <w:vertAlign w:val="superscript"/>
              </w:rPr>
              <w:t>(9)</w:t>
            </w:r>
          </w:p>
        </w:tc>
        <w:tc>
          <w:tcPr>
            <w:tcW w:w="74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10/19/2022</w:t>
            </w:r>
          </w:p>
        </w:tc>
        <w:tc>
          <w:tcPr>
            <w:tcW w:w="140" w:type="dxa"/>
            <w:vAlign w:val="bottom"/>
          </w:tcPr>
          <w:p>
            <w:pPr>
              <w:spacing w:after="0"/>
              <w:rPr>
                <w:sz w:val="14"/>
                <w:szCs w:val="14"/>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87"/>
              </w:rPr>
              <w:t>Chemicals, Plastics and Rubber</w:t>
            </w:r>
          </w:p>
        </w:tc>
        <w:tc>
          <w:tcPr>
            <w:tcW w:w="14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3,046</w:t>
            </w:r>
          </w:p>
        </w:tc>
        <w:tc>
          <w:tcPr>
            <w:tcW w:w="2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3160" w:type="dxa"/>
            <w:vAlign w:val="bottom"/>
            <w:shd w:val="clear" w:color="auto" w:fill="CCECFF"/>
          </w:tcPr>
          <w:p>
            <w:pPr>
              <w:ind w:left="20"/>
              <w:spacing w:after="0"/>
              <w:rPr>
                <w:sz w:val="20"/>
                <w:szCs w:val="20"/>
                <w:color w:val="auto"/>
              </w:rPr>
            </w:pPr>
            <w:r>
              <w:rPr>
                <w:rFonts w:ascii="Arial" w:cs="Arial" w:eastAsia="Arial" w:hAnsi="Arial"/>
                <w:sz w:val="11"/>
                <w:szCs w:val="11"/>
                <w:color w:val="auto"/>
              </w:rPr>
              <w:t>Douglas Sewer Intermediate, LLC</w:t>
            </w:r>
          </w:p>
        </w:tc>
        <w:tc>
          <w:tcPr>
            <w:tcW w:w="74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7"/>
              </w:rPr>
              <w:t>10/19/2022</w:t>
            </w:r>
          </w:p>
        </w:tc>
        <w:tc>
          <w:tcPr>
            <w:tcW w:w="140" w:type="dxa"/>
            <w:vAlign w:val="bottom"/>
            <w:shd w:val="clear" w:color="auto" w:fill="CCECFF"/>
          </w:tcPr>
          <w:p>
            <w:pPr>
              <w:spacing w:after="0"/>
              <w:rPr>
                <w:sz w:val="11"/>
                <w:szCs w:val="11"/>
                <w:color w:val="auto"/>
              </w:rPr>
            </w:pPr>
          </w:p>
        </w:tc>
        <w:tc>
          <w:tcPr>
            <w:tcW w:w="22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Chemicals, Plastics and Rubber</w:t>
            </w:r>
          </w:p>
        </w:tc>
        <w:tc>
          <w:tcPr>
            <w:tcW w:w="960" w:type="dxa"/>
            <w:vAlign w:val="bottom"/>
            <w:gridSpan w:val="3"/>
            <w:shd w:val="clear" w:color="auto" w:fill="CCECFF"/>
          </w:tcPr>
          <w:p>
            <w:pPr>
              <w:jc w:val="right"/>
              <w:ind w:right="20"/>
              <w:spacing w:after="0"/>
              <w:rPr>
                <w:sz w:val="20"/>
                <w:szCs w:val="20"/>
                <w:color w:val="auto"/>
              </w:rPr>
            </w:pPr>
            <w:r>
              <w:rPr>
                <w:rFonts w:ascii="Arial" w:cs="Arial" w:eastAsia="Arial" w:hAnsi="Arial"/>
                <w:sz w:val="11"/>
                <w:szCs w:val="11"/>
                <w:color w:val="auto"/>
              </w:rPr>
              <w:t>8.00 %</w:t>
            </w: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w:t>
            </w:r>
          </w:p>
        </w:tc>
        <w:tc>
          <w:tcPr>
            <w:tcW w:w="300" w:type="dxa"/>
            <w:vAlign w:val="bottom"/>
            <w:shd w:val="clear" w:color="auto" w:fill="CCECFF"/>
          </w:tcPr>
          <w:p>
            <w:pPr>
              <w:jc w:val="right"/>
              <w:spacing w:after="0"/>
              <w:rPr>
                <w:sz w:val="20"/>
                <w:szCs w:val="20"/>
                <w:color w:val="auto"/>
              </w:rPr>
            </w:pPr>
            <w:r>
              <w:rPr>
                <w:rFonts w:ascii="Arial" w:cs="Arial" w:eastAsia="Arial" w:hAnsi="Arial"/>
                <w:sz w:val="11"/>
                <w:szCs w:val="11"/>
                <w:color w:val="auto"/>
                <w:w w:val="84"/>
              </w:rPr>
              <w:t>L+575</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3,931</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3,925</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3,931</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3160" w:type="dxa"/>
            <w:vAlign w:val="bottom"/>
          </w:tcPr>
          <w:p>
            <w:pPr>
              <w:ind w:left="20"/>
              <w:spacing w:after="0" w:line="105" w:lineRule="exact"/>
              <w:rPr>
                <w:sz w:val="20"/>
                <w:szCs w:val="20"/>
                <w:color w:val="auto"/>
              </w:rPr>
            </w:pPr>
            <w:r>
              <w:rPr>
                <w:rFonts w:ascii="Arial" w:cs="Arial" w:eastAsia="Arial" w:hAnsi="Arial"/>
                <w:sz w:val="11"/>
                <w:szCs w:val="11"/>
                <w:color w:val="auto"/>
              </w:rPr>
              <w:t>Dr. Squatch, LLC</w:t>
            </w:r>
          </w:p>
        </w:tc>
        <w:tc>
          <w:tcPr>
            <w:tcW w:w="740" w:type="dxa"/>
            <w:vAlign w:val="bottom"/>
            <w:gridSpan w:val="2"/>
          </w:tcPr>
          <w:p>
            <w:pPr>
              <w:jc w:val="center"/>
              <w:ind w:left="86"/>
              <w:spacing w:after="0" w:line="105" w:lineRule="exact"/>
              <w:rPr>
                <w:sz w:val="20"/>
                <w:szCs w:val="20"/>
                <w:color w:val="auto"/>
              </w:rPr>
            </w:pPr>
            <w:r>
              <w:rPr>
                <w:rFonts w:ascii="Arial" w:cs="Arial" w:eastAsia="Arial" w:hAnsi="Arial"/>
                <w:sz w:val="11"/>
                <w:szCs w:val="11"/>
                <w:color w:val="auto"/>
                <w:w w:val="87"/>
              </w:rPr>
              <w:t>08/31/2027</w:t>
            </w:r>
          </w:p>
        </w:tc>
        <w:tc>
          <w:tcPr>
            <w:tcW w:w="140" w:type="dxa"/>
            <w:vAlign w:val="bottom"/>
          </w:tcPr>
          <w:p>
            <w:pPr>
              <w:spacing w:after="0"/>
              <w:rPr>
                <w:sz w:val="9"/>
                <w:szCs w:val="9"/>
                <w:color w:val="auto"/>
              </w:rPr>
            </w:pPr>
          </w:p>
        </w:tc>
        <w:tc>
          <w:tcPr>
            <w:tcW w:w="2240" w:type="dxa"/>
            <w:vAlign w:val="bottom"/>
          </w:tcPr>
          <w:p>
            <w:pPr>
              <w:jc w:val="center"/>
              <w:spacing w:after="0" w:line="105" w:lineRule="exact"/>
              <w:rPr>
                <w:sz w:val="20"/>
                <w:szCs w:val="20"/>
                <w:color w:val="auto"/>
              </w:rPr>
            </w:pPr>
            <w:r>
              <w:rPr>
                <w:rFonts w:ascii="Arial" w:cs="Arial" w:eastAsia="Arial" w:hAnsi="Arial"/>
                <w:sz w:val="11"/>
                <w:szCs w:val="11"/>
                <w:color w:val="auto"/>
                <w:w w:val="86"/>
              </w:rPr>
              <w:t>Personal Products</w:t>
            </w:r>
          </w:p>
        </w:tc>
        <w:tc>
          <w:tcPr>
            <w:tcW w:w="960" w:type="dxa"/>
            <w:vAlign w:val="bottom"/>
            <w:gridSpan w:val="3"/>
          </w:tcPr>
          <w:p>
            <w:pPr>
              <w:jc w:val="right"/>
              <w:ind w:right="20"/>
              <w:spacing w:after="0" w:line="105" w:lineRule="exact"/>
              <w:rPr>
                <w:sz w:val="20"/>
                <w:szCs w:val="20"/>
                <w:color w:val="auto"/>
              </w:rPr>
            </w:pPr>
            <w:r>
              <w:rPr>
                <w:rFonts w:ascii="Arial" w:cs="Arial" w:eastAsia="Arial" w:hAnsi="Arial"/>
                <w:sz w:val="11"/>
                <w:szCs w:val="11"/>
                <w:color w:val="auto"/>
              </w:rPr>
              <w:t>8.00 %</w:t>
            </w:r>
          </w:p>
        </w:tc>
        <w:tc>
          <w:tcPr>
            <w:tcW w:w="120" w:type="dxa"/>
            <w:vAlign w:val="bottom"/>
          </w:tcPr>
          <w:p>
            <w:pPr>
              <w:spacing w:after="0"/>
              <w:rPr>
                <w:sz w:val="9"/>
                <w:szCs w:val="9"/>
                <w:color w:val="auto"/>
              </w:rPr>
            </w:pPr>
          </w:p>
        </w:tc>
        <w:tc>
          <w:tcPr>
            <w:tcW w:w="680" w:type="dxa"/>
            <w:vAlign w:val="bottom"/>
          </w:tcPr>
          <w:p>
            <w:pPr>
              <w:jc w:val="right"/>
              <w:spacing w:after="0" w:line="105" w:lineRule="exact"/>
              <w:rPr>
                <w:sz w:val="20"/>
                <w:szCs w:val="20"/>
                <w:color w:val="auto"/>
              </w:rPr>
            </w:pPr>
            <w:r>
              <w:rPr>
                <w:rFonts w:ascii="Arial" w:cs="Arial" w:eastAsia="Arial" w:hAnsi="Arial"/>
                <w:sz w:val="11"/>
                <w:szCs w:val="11"/>
                <w:color w:val="auto"/>
              </w:rPr>
              <w:t>3M</w:t>
            </w:r>
          </w:p>
        </w:tc>
        <w:tc>
          <w:tcPr>
            <w:tcW w:w="300" w:type="dxa"/>
            <w:vAlign w:val="bottom"/>
          </w:tcPr>
          <w:p>
            <w:pPr>
              <w:jc w:val="right"/>
              <w:spacing w:after="0" w:line="105" w:lineRule="exact"/>
              <w:rPr>
                <w:sz w:val="20"/>
                <w:szCs w:val="20"/>
                <w:color w:val="auto"/>
              </w:rPr>
            </w:pPr>
            <w:r>
              <w:rPr>
                <w:rFonts w:ascii="Arial" w:cs="Arial" w:eastAsia="Arial" w:hAnsi="Arial"/>
                <w:sz w:val="11"/>
                <w:szCs w:val="11"/>
                <w:color w:val="auto"/>
                <w:w w:val="84"/>
              </w:rPr>
              <w:t>L+600</w:t>
            </w:r>
          </w:p>
        </w:tc>
        <w:tc>
          <w:tcPr>
            <w:tcW w:w="920" w:type="dxa"/>
            <w:vAlign w:val="bottom"/>
            <w:gridSpan w:val="2"/>
          </w:tcPr>
          <w:p>
            <w:pPr>
              <w:jc w:val="right"/>
              <w:spacing w:after="0" w:line="105" w:lineRule="exact"/>
              <w:rPr>
                <w:sz w:val="20"/>
                <w:szCs w:val="20"/>
                <w:color w:val="auto"/>
              </w:rPr>
            </w:pPr>
            <w:r>
              <w:rPr>
                <w:rFonts w:ascii="Arial" w:cs="Arial" w:eastAsia="Arial" w:hAnsi="Arial"/>
                <w:sz w:val="11"/>
                <w:szCs w:val="11"/>
                <w:color w:val="auto"/>
              </w:rPr>
              <w:t>4,439</w:t>
            </w:r>
          </w:p>
        </w:tc>
        <w:tc>
          <w:tcPr>
            <w:tcW w:w="940" w:type="dxa"/>
            <w:vAlign w:val="bottom"/>
            <w:gridSpan w:val="2"/>
          </w:tcPr>
          <w:p>
            <w:pPr>
              <w:jc w:val="right"/>
              <w:spacing w:after="0" w:line="105" w:lineRule="exact"/>
              <w:rPr>
                <w:sz w:val="20"/>
                <w:szCs w:val="20"/>
                <w:color w:val="auto"/>
              </w:rPr>
            </w:pPr>
            <w:r>
              <w:rPr>
                <w:rFonts w:ascii="Arial" w:cs="Arial" w:eastAsia="Arial" w:hAnsi="Arial"/>
                <w:sz w:val="11"/>
                <w:szCs w:val="11"/>
                <w:color w:val="auto"/>
              </w:rPr>
              <w:t>4,363</w:t>
            </w:r>
          </w:p>
        </w:tc>
        <w:tc>
          <w:tcPr>
            <w:tcW w:w="940" w:type="dxa"/>
            <w:vAlign w:val="bottom"/>
            <w:gridSpan w:val="2"/>
          </w:tcPr>
          <w:p>
            <w:pPr>
              <w:jc w:val="right"/>
              <w:spacing w:after="0" w:line="105" w:lineRule="exact"/>
              <w:rPr>
                <w:sz w:val="20"/>
                <w:szCs w:val="20"/>
                <w:color w:val="auto"/>
              </w:rPr>
            </w:pPr>
            <w:r>
              <w:rPr>
                <w:rFonts w:ascii="Arial" w:cs="Arial" w:eastAsia="Arial" w:hAnsi="Arial"/>
                <w:sz w:val="11"/>
                <w:szCs w:val="11"/>
                <w:color w:val="auto"/>
              </w:rPr>
              <w:t>4,439</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16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Dr. Squatch, LLC (Revolver) </w:t>
            </w:r>
            <w:r>
              <w:rPr>
                <w:rFonts w:ascii="Arial" w:cs="Arial" w:eastAsia="Arial" w:hAnsi="Arial"/>
                <w:sz w:val="14"/>
                <w:szCs w:val="14"/>
                <w:color w:val="auto"/>
                <w:vertAlign w:val="superscript"/>
              </w:rPr>
              <w:t>(7)</w:t>
            </w:r>
          </w:p>
        </w:tc>
        <w:tc>
          <w:tcPr>
            <w:tcW w:w="74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08/31/2027</w:t>
            </w:r>
          </w:p>
        </w:tc>
        <w:tc>
          <w:tcPr>
            <w:tcW w:w="140" w:type="dxa"/>
            <w:vAlign w:val="bottom"/>
          </w:tcPr>
          <w:p>
            <w:pPr>
              <w:spacing w:after="0"/>
              <w:rPr>
                <w:sz w:val="11"/>
                <w:szCs w:val="11"/>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86"/>
              </w:rPr>
              <w:t>Personal Products</w:t>
            </w:r>
          </w:p>
        </w:tc>
        <w:tc>
          <w:tcPr>
            <w:tcW w:w="960" w:type="dxa"/>
            <w:vAlign w:val="bottom"/>
            <w:gridSpan w:val="3"/>
          </w:tcPr>
          <w:p>
            <w:pPr>
              <w:jc w:val="right"/>
              <w:ind w:right="20"/>
              <w:spacing w:after="0"/>
              <w:rPr>
                <w:sz w:val="20"/>
                <w:szCs w:val="20"/>
                <w:color w:val="auto"/>
              </w:rPr>
            </w:pPr>
            <w:r>
              <w:rPr>
                <w:rFonts w:ascii="Arial" w:cs="Arial" w:eastAsia="Arial" w:hAnsi="Arial"/>
                <w:sz w:val="11"/>
                <w:szCs w:val="11"/>
                <w:color w:val="auto"/>
              </w:rPr>
              <w:t>7.50 %</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3M</w:t>
            </w:r>
          </w:p>
        </w:tc>
        <w:tc>
          <w:tcPr>
            <w:tcW w:w="300" w:type="dxa"/>
            <w:vAlign w:val="bottom"/>
          </w:tcPr>
          <w:p>
            <w:pPr>
              <w:jc w:val="right"/>
              <w:spacing w:after="0"/>
              <w:rPr>
                <w:sz w:val="20"/>
                <w:szCs w:val="20"/>
                <w:color w:val="auto"/>
              </w:rPr>
            </w:pPr>
            <w:r>
              <w:rPr>
                <w:rFonts w:ascii="Arial" w:cs="Arial" w:eastAsia="Arial" w:hAnsi="Arial"/>
                <w:sz w:val="11"/>
                <w:szCs w:val="11"/>
                <w:color w:val="auto"/>
                <w:w w:val="84"/>
              </w:rPr>
              <w:t>L+600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671</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671</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671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16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Dr. Squatch, LLC (Revolver) </w:t>
            </w:r>
            <w:r>
              <w:rPr>
                <w:rFonts w:ascii="Arial" w:cs="Arial" w:eastAsia="Arial" w:hAnsi="Arial"/>
                <w:sz w:val="14"/>
                <w:szCs w:val="14"/>
                <w:color w:val="auto"/>
                <w:vertAlign w:val="superscript"/>
              </w:rPr>
              <w:t>(7), (9)</w:t>
            </w:r>
          </w:p>
        </w:tc>
        <w:tc>
          <w:tcPr>
            <w:tcW w:w="74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08/31/2027</w:t>
            </w:r>
          </w:p>
        </w:tc>
        <w:tc>
          <w:tcPr>
            <w:tcW w:w="140" w:type="dxa"/>
            <w:vAlign w:val="bottom"/>
          </w:tcPr>
          <w:p>
            <w:pPr>
              <w:spacing w:after="0"/>
              <w:rPr>
                <w:sz w:val="13"/>
                <w:szCs w:val="13"/>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86"/>
              </w:rPr>
              <w:t>Personal Products</w:t>
            </w:r>
          </w:p>
        </w:tc>
        <w:tc>
          <w:tcPr>
            <w:tcW w:w="14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2,683</w:t>
            </w:r>
          </w:p>
        </w:tc>
        <w:tc>
          <w:tcPr>
            <w:tcW w:w="2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5"/>
        </w:trPr>
        <w:tc>
          <w:tcPr>
            <w:tcW w:w="3160" w:type="dxa"/>
            <w:vAlign w:val="bottom"/>
          </w:tcPr>
          <w:p>
            <w:pPr>
              <w:ind w:left="20"/>
              <w:spacing w:after="0" w:line="115" w:lineRule="exact"/>
              <w:rPr>
                <w:sz w:val="20"/>
                <w:szCs w:val="20"/>
                <w:color w:val="auto"/>
              </w:rPr>
            </w:pPr>
            <w:r>
              <w:rPr>
                <w:rFonts w:ascii="Arial" w:cs="Arial" w:eastAsia="Arial" w:hAnsi="Arial"/>
                <w:sz w:val="11"/>
                <w:szCs w:val="11"/>
                <w:color w:val="auto"/>
              </w:rPr>
              <w:t>DRS Holdings III, Inc.</w:t>
            </w:r>
          </w:p>
        </w:tc>
        <w:tc>
          <w:tcPr>
            <w:tcW w:w="740" w:type="dxa"/>
            <w:vAlign w:val="bottom"/>
            <w:gridSpan w:val="2"/>
          </w:tcPr>
          <w:p>
            <w:pPr>
              <w:jc w:val="center"/>
              <w:ind w:left="86"/>
              <w:spacing w:after="0" w:line="115" w:lineRule="exact"/>
              <w:rPr>
                <w:sz w:val="20"/>
                <w:szCs w:val="20"/>
                <w:color w:val="auto"/>
              </w:rPr>
            </w:pPr>
            <w:r>
              <w:rPr>
                <w:rFonts w:ascii="Arial" w:cs="Arial" w:eastAsia="Arial" w:hAnsi="Arial"/>
                <w:sz w:val="11"/>
                <w:szCs w:val="11"/>
                <w:color w:val="auto"/>
                <w:w w:val="87"/>
              </w:rPr>
              <w:t>11/03/2025</w:t>
            </w:r>
          </w:p>
        </w:tc>
        <w:tc>
          <w:tcPr>
            <w:tcW w:w="140" w:type="dxa"/>
            <w:vAlign w:val="bottom"/>
          </w:tcPr>
          <w:p>
            <w:pPr>
              <w:spacing w:after="0"/>
              <w:rPr>
                <w:sz w:val="9"/>
                <w:szCs w:val="9"/>
                <w:color w:val="auto"/>
              </w:rPr>
            </w:pPr>
          </w:p>
        </w:tc>
        <w:tc>
          <w:tcPr>
            <w:tcW w:w="2240" w:type="dxa"/>
            <w:vAlign w:val="bottom"/>
          </w:tcPr>
          <w:p>
            <w:pPr>
              <w:jc w:val="center"/>
              <w:spacing w:after="0" w:line="115" w:lineRule="exact"/>
              <w:rPr>
                <w:sz w:val="20"/>
                <w:szCs w:val="20"/>
                <w:color w:val="auto"/>
              </w:rPr>
            </w:pPr>
            <w:r>
              <w:rPr>
                <w:rFonts w:ascii="Arial" w:cs="Arial" w:eastAsia="Arial" w:hAnsi="Arial"/>
                <w:sz w:val="11"/>
                <w:szCs w:val="11"/>
                <w:color w:val="auto"/>
                <w:w w:val="86"/>
              </w:rPr>
              <w:t>Personal Products</w:t>
            </w:r>
          </w:p>
        </w:tc>
        <w:tc>
          <w:tcPr>
            <w:tcW w:w="960" w:type="dxa"/>
            <w:vAlign w:val="bottom"/>
            <w:gridSpan w:val="3"/>
          </w:tcPr>
          <w:p>
            <w:pPr>
              <w:jc w:val="right"/>
              <w:ind w:right="20"/>
              <w:spacing w:after="0" w:line="115" w:lineRule="exact"/>
              <w:rPr>
                <w:sz w:val="20"/>
                <w:szCs w:val="20"/>
                <w:color w:val="auto"/>
              </w:rPr>
            </w:pPr>
            <w:r>
              <w:rPr>
                <w:rFonts w:ascii="Arial" w:cs="Arial" w:eastAsia="Arial" w:hAnsi="Arial"/>
                <w:sz w:val="11"/>
                <w:szCs w:val="11"/>
                <w:color w:val="auto"/>
              </w:rPr>
              <w:t>7.42 %</w:t>
            </w:r>
          </w:p>
        </w:tc>
        <w:tc>
          <w:tcPr>
            <w:tcW w:w="120" w:type="dxa"/>
            <w:vAlign w:val="bottom"/>
          </w:tcPr>
          <w:p>
            <w:pPr>
              <w:spacing w:after="0"/>
              <w:rPr>
                <w:sz w:val="9"/>
                <w:szCs w:val="9"/>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1"/>
                <w:szCs w:val="11"/>
                <w:color w:val="auto"/>
              </w:rPr>
              <w:t>3M</w:t>
            </w:r>
          </w:p>
        </w:tc>
        <w:tc>
          <w:tcPr>
            <w:tcW w:w="300" w:type="dxa"/>
            <w:vAlign w:val="bottom"/>
          </w:tcPr>
          <w:p>
            <w:pPr>
              <w:jc w:val="right"/>
              <w:spacing w:after="0" w:line="115" w:lineRule="exact"/>
              <w:rPr>
                <w:sz w:val="20"/>
                <w:szCs w:val="20"/>
                <w:color w:val="auto"/>
              </w:rPr>
            </w:pPr>
            <w:r>
              <w:rPr>
                <w:rFonts w:ascii="Arial" w:cs="Arial" w:eastAsia="Arial" w:hAnsi="Arial"/>
                <w:sz w:val="11"/>
                <w:szCs w:val="11"/>
                <w:color w:val="auto"/>
                <w:w w:val="84"/>
              </w:rPr>
              <w:t>L+575</w:t>
            </w:r>
          </w:p>
        </w:tc>
        <w:tc>
          <w:tcPr>
            <w:tcW w:w="9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17,156</w:t>
            </w:r>
          </w:p>
        </w:tc>
        <w:tc>
          <w:tcPr>
            <w:tcW w:w="94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17,029</w:t>
            </w:r>
          </w:p>
        </w:tc>
        <w:tc>
          <w:tcPr>
            <w:tcW w:w="94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16,658</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3160" w:type="dxa"/>
            <w:vAlign w:val="bottom"/>
          </w:tcPr>
          <w:p>
            <w:pPr>
              <w:ind w:left="20"/>
              <w:spacing w:after="0"/>
              <w:rPr>
                <w:sz w:val="20"/>
                <w:szCs w:val="20"/>
                <w:color w:val="auto"/>
              </w:rPr>
            </w:pPr>
            <w:r>
              <w:rPr>
                <w:rFonts w:ascii="Arial" w:cs="Arial" w:eastAsia="Arial" w:hAnsi="Arial"/>
                <w:sz w:val="11"/>
                <w:szCs w:val="11"/>
                <w:color w:val="auto"/>
              </w:rPr>
              <w:t xml:space="preserve">DRS Holdings III, Inc. (Revolver) </w:t>
            </w:r>
            <w:r>
              <w:rPr>
                <w:rFonts w:ascii="Arial" w:cs="Arial" w:eastAsia="Arial" w:hAnsi="Arial"/>
                <w:sz w:val="14"/>
                <w:szCs w:val="14"/>
                <w:color w:val="auto"/>
                <w:vertAlign w:val="superscript"/>
              </w:rPr>
              <w:t>(7), (9)</w:t>
            </w:r>
          </w:p>
        </w:tc>
        <w:tc>
          <w:tcPr>
            <w:tcW w:w="74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11/03/2025</w:t>
            </w:r>
          </w:p>
        </w:tc>
        <w:tc>
          <w:tcPr>
            <w:tcW w:w="140" w:type="dxa"/>
            <w:vAlign w:val="bottom"/>
          </w:tcPr>
          <w:p>
            <w:pPr>
              <w:spacing w:after="0"/>
              <w:rPr>
                <w:sz w:val="14"/>
                <w:szCs w:val="14"/>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86"/>
              </w:rPr>
              <w:t>Personal Products</w:t>
            </w:r>
          </w:p>
        </w:tc>
        <w:tc>
          <w:tcPr>
            <w:tcW w:w="14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1,426</w:t>
            </w:r>
          </w:p>
        </w:tc>
        <w:tc>
          <w:tcPr>
            <w:tcW w:w="2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1040" w:type="dxa"/>
            <w:vAlign w:val="bottom"/>
            <w:gridSpan w:val="3"/>
          </w:tcPr>
          <w:p>
            <w:pPr>
              <w:jc w:val="right"/>
              <w:ind w:right="60"/>
              <w:spacing w:after="0"/>
              <w:rPr>
                <w:sz w:val="20"/>
                <w:szCs w:val="20"/>
                <w:color w:val="auto"/>
              </w:rPr>
            </w:pPr>
            <w:r>
              <w:rPr>
                <w:rFonts w:ascii="Arial" w:cs="Arial" w:eastAsia="Arial" w:hAnsi="Arial"/>
                <w:sz w:val="11"/>
                <w:szCs w:val="11"/>
                <w:color w:val="auto"/>
              </w:rPr>
              <w:t>(41 )</w:t>
            </w:r>
          </w:p>
        </w:tc>
        <w:tc>
          <w:tcPr>
            <w:tcW w:w="0" w:type="dxa"/>
            <w:vAlign w:val="bottom"/>
          </w:tcPr>
          <w:p>
            <w:pPr>
              <w:spacing w:after="0"/>
              <w:rPr>
                <w:sz w:val="1"/>
                <w:szCs w:val="1"/>
                <w:color w:val="auto"/>
              </w:rPr>
            </w:pPr>
          </w:p>
        </w:tc>
      </w:tr>
      <w:tr>
        <w:trPr>
          <w:trHeight w:val="135"/>
        </w:trPr>
        <w:tc>
          <w:tcPr>
            <w:tcW w:w="3160" w:type="dxa"/>
            <w:vAlign w:val="bottom"/>
            <w:shd w:val="clear" w:color="auto" w:fill="CCECFF"/>
          </w:tcPr>
          <w:p>
            <w:pPr>
              <w:ind w:left="20"/>
              <w:spacing w:after="0"/>
              <w:rPr>
                <w:sz w:val="20"/>
                <w:szCs w:val="20"/>
                <w:color w:val="auto"/>
              </w:rPr>
            </w:pPr>
            <w:r>
              <w:rPr>
                <w:rFonts w:ascii="Arial" w:cs="Arial" w:eastAsia="Arial" w:hAnsi="Arial"/>
                <w:sz w:val="11"/>
                <w:szCs w:val="11"/>
                <w:color w:val="auto"/>
              </w:rPr>
              <w:t>Duraco Specialty Tapes LLC</w:t>
            </w:r>
          </w:p>
        </w:tc>
        <w:tc>
          <w:tcPr>
            <w:tcW w:w="74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7"/>
              </w:rPr>
              <w:t>06/30/2024</w:t>
            </w:r>
          </w:p>
        </w:tc>
        <w:tc>
          <w:tcPr>
            <w:tcW w:w="140" w:type="dxa"/>
            <w:vAlign w:val="bottom"/>
            <w:shd w:val="clear" w:color="auto" w:fill="CCECFF"/>
          </w:tcPr>
          <w:p>
            <w:pPr>
              <w:spacing w:after="0"/>
              <w:rPr>
                <w:sz w:val="11"/>
                <w:szCs w:val="11"/>
                <w:color w:val="auto"/>
              </w:rPr>
            </w:pPr>
          </w:p>
        </w:tc>
        <w:tc>
          <w:tcPr>
            <w:tcW w:w="22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Containers and Packaging</w:t>
            </w:r>
          </w:p>
        </w:tc>
        <w:tc>
          <w:tcPr>
            <w:tcW w:w="960" w:type="dxa"/>
            <w:vAlign w:val="bottom"/>
            <w:gridSpan w:val="3"/>
            <w:shd w:val="clear" w:color="auto" w:fill="CCECFF"/>
          </w:tcPr>
          <w:p>
            <w:pPr>
              <w:jc w:val="right"/>
              <w:ind w:right="20"/>
              <w:spacing w:after="0"/>
              <w:rPr>
                <w:sz w:val="20"/>
                <w:szCs w:val="20"/>
                <w:color w:val="auto"/>
              </w:rPr>
            </w:pPr>
            <w:r>
              <w:rPr>
                <w:rFonts w:ascii="Arial" w:cs="Arial" w:eastAsia="Arial" w:hAnsi="Arial"/>
                <w:sz w:val="11"/>
                <w:szCs w:val="11"/>
                <w:color w:val="auto"/>
              </w:rPr>
              <w:t>7.15 %</w:t>
            </w: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w:t>
            </w:r>
          </w:p>
        </w:tc>
        <w:tc>
          <w:tcPr>
            <w:tcW w:w="300" w:type="dxa"/>
            <w:vAlign w:val="bottom"/>
            <w:shd w:val="clear" w:color="auto" w:fill="CCECFF"/>
          </w:tcPr>
          <w:p>
            <w:pPr>
              <w:jc w:val="right"/>
              <w:spacing w:after="0"/>
              <w:rPr>
                <w:sz w:val="20"/>
                <w:szCs w:val="20"/>
                <w:color w:val="auto"/>
              </w:rPr>
            </w:pPr>
            <w:r>
              <w:rPr>
                <w:rFonts w:ascii="Arial" w:cs="Arial" w:eastAsia="Arial" w:hAnsi="Arial"/>
                <w:sz w:val="11"/>
                <w:szCs w:val="11"/>
                <w:color w:val="auto"/>
                <w:w w:val="84"/>
              </w:rPr>
              <w:t>L+550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3,259</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3,215</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3,191</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3160" w:type="dxa"/>
            <w:vAlign w:val="bottom"/>
          </w:tcPr>
          <w:p>
            <w:pPr>
              <w:ind w:left="20"/>
              <w:spacing w:after="0" w:line="125" w:lineRule="exact"/>
              <w:rPr>
                <w:sz w:val="20"/>
                <w:szCs w:val="20"/>
                <w:color w:val="auto"/>
              </w:rPr>
            </w:pPr>
            <w:r>
              <w:rPr>
                <w:rFonts w:ascii="Arial" w:cs="Arial" w:eastAsia="Arial" w:hAnsi="Arial"/>
                <w:sz w:val="11"/>
                <w:szCs w:val="11"/>
                <w:color w:val="auto"/>
              </w:rPr>
              <w:t>ECL Entertainment, LLC</w:t>
            </w:r>
          </w:p>
        </w:tc>
        <w:tc>
          <w:tcPr>
            <w:tcW w:w="740" w:type="dxa"/>
            <w:vAlign w:val="bottom"/>
            <w:gridSpan w:val="2"/>
          </w:tcPr>
          <w:p>
            <w:pPr>
              <w:jc w:val="center"/>
              <w:ind w:left="86"/>
              <w:spacing w:after="0" w:line="125" w:lineRule="exact"/>
              <w:rPr>
                <w:sz w:val="20"/>
                <w:szCs w:val="20"/>
                <w:color w:val="auto"/>
              </w:rPr>
            </w:pPr>
            <w:r>
              <w:rPr>
                <w:rFonts w:ascii="Arial" w:cs="Arial" w:eastAsia="Arial" w:hAnsi="Arial"/>
                <w:sz w:val="11"/>
                <w:szCs w:val="11"/>
                <w:color w:val="auto"/>
                <w:w w:val="87"/>
              </w:rPr>
              <w:t>05/01/2028</w:t>
            </w:r>
          </w:p>
        </w:tc>
        <w:tc>
          <w:tcPr>
            <w:tcW w:w="140" w:type="dxa"/>
            <w:vAlign w:val="bottom"/>
          </w:tcPr>
          <w:p>
            <w:pPr>
              <w:spacing w:after="0"/>
              <w:rPr>
                <w:sz w:val="10"/>
                <w:szCs w:val="10"/>
                <w:color w:val="auto"/>
              </w:rPr>
            </w:pPr>
          </w:p>
        </w:tc>
        <w:tc>
          <w:tcPr>
            <w:tcW w:w="2240" w:type="dxa"/>
            <w:vAlign w:val="bottom"/>
          </w:tcPr>
          <w:p>
            <w:pPr>
              <w:jc w:val="center"/>
              <w:spacing w:after="0" w:line="125" w:lineRule="exact"/>
              <w:rPr>
                <w:sz w:val="20"/>
                <w:szCs w:val="20"/>
                <w:color w:val="auto"/>
              </w:rPr>
            </w:pPr>
            <w:r>
              <w:rPr>
                <w:rFonts w:ascii="Arial" w:cs="Arial" w:eastAsia="Arial" w:hAnsi="Arial"/>
                <w:sz w:val="11"/>
                <w:szCs w:val="11"/>
                <w:color w:val="auto"/>
                <w:w w:val="87"/>
              </w:rPr>
              <w:t>Hotels, Restaurants and Leisure</w:t>
            </w:r>
          </w:p>
        </w:tc>
        <w:tc>
          <w:tcPr>
            <w:tcW w:w="960" w:type="dxa"/>
            <w:vAlign w:val="bottom"/>
            <w:gridSpan w:val="3"/>
          </w:tcPr>
          <w:p>
            <w:pPr>
              <w:jc w:val="right"/>
              <w:ind w:right="20"/>
              <w:spacing w:after="0" w:line="125" w:lineRule="exact"/>
              <w:rPr>
                <w:sz w:val="20"/>
                <w:szCs w:val="20"/>
                <w:color w:val="auto"/>
              </w:rPr>
            </w:pPr>
            <w:r>
              <w:rPr>
                <w:rFonts w:ascii="Arial" w:cs="Arial" w:eastAsia="Arial" w:hAnsi="Arial"/>
                <w:sz w:val="11"/>
                <w:szCs w:val="11"/>
                <w:color w:val="auto"/>
              </w:rPr>
              <w:t>9.75 %</w:t>
            </w:r>
          </w:p>
        </w:tc>
        <w:tc>
          <w:tcPr>
            <w:tcW w:w="120" w:type="dxa"/>
            <w:vAlign w:val="bottom"/>
          </w:tcPr>
          <w:p>
            <w:pPr>
              <w:spacing w:after="0"/>
              <w:rPr>
                <w:sz w:val="10"/>
                <w:szCs w:val="10"/>
                <w:color w:val="auto"/>
              </w:rPr>
            </w:pPr>
          </w:p>
        </w:tc>
        <w:tc>
          <w:tcPr>
            <w:tcW w:w="680" w:type="dxa"/>
            <w:vAlign w:val="bottom"/>
          </w:tcPr>
          <w:p>
            <w:pPr>
              <w:jc w:val="right"/>
              <w:spacing w:after="0" w:line="125" w:lineRule="exact"/>
              <w:rPr>
                <w:sz w:val="20"/>
                <w:szCs w:val="20"/>
                <w:color w:val="auto"/>
              </w:rPr>
            </w:pPr>
            <w:r>
              <w:rPr>
                <w:rFonts w:ascii="Arial" w:cs="Arial" w:eastAsia="Arial" w:hAnsi="Arial"/>
                <w:sz w:val="11"/>
                <w:szCs w:val="11"/>
                <w:color w:val="auto"/>
              </w:rPr>
              <w:t>1M</w:t>
            </w:r>
          </w:p>
        </w:tc>
        <w:tc>
          <w:tcPr>
            <w:tcW w:w="300" w:type="dxa"/>
            <w:vAlign w:val="bottom"/>
          </w:tcPr>
          <w:p>
            <w:pPr>
              <w:jc w:val="right"/>
              <w:spacing w:after="0" w:line="125" w:lineRule="exact"/>
              <w:rPr>
                <w:sz w:val="20"/>
                <w:szCs w:val="20"/>
                <w:color w:val="auto"/>
              </w:rPr>
            </w:pPr>
            <w:r>
              <w:rPr>
                <w:rFonts w:ascii="Arial" w:cs="Arial" w:eastAsia="Arial" w:hAnsi="Arial"/>
                <w:sz w:val="11"/>
                <w:szCs w:val="11"/>
                <w:color w:val="auto"/>
                <w:w w:val="84"/>
              </w:rPr>
              <w:t>L+750</w:t>
            </w:r>
          </w:p>
        </w:tc>
        <w:tc>
          <w:tcPr>
            <w:tcW w:w="920" w:type="dxa"/>
            <w:vAlign w:val="bottom"/>
            <w:gridSpan w:val="2"/>
          </w:tcPr>
          <w:p>
            <w:pPr>
              <w:jc w:val="right"/>
              <w:spacing w:after="0" w:line="125" w:lineRule="exact"/>
              <w:rPr>
                <w:sz w:val="20"/>
                <w:szCs w:val="20"/>
                <w:color w:val="auto"/>
              </w:rPr>
            </w:pPr>
            <w:r>
              <w:rPr>
                <w:rFonts w:ascii="Arial" w:cs="Arial" w:eastAsia="Arial" w:hAnsi="Arial"/>
                <w:sz w:val="11"/>
                <w:szCs w:val="11"/>
                <w:color w:val="auto"/>
              </w:rPr>
              <w:t>5,217</w:t>
            </w:r>
          </w:p>
        </w:tc>
        <w:tc>
          <w:tcPr>
            <w:tcW w:w="940" w:type="dxa"/>
            <w:vAlign w:val="bottom"/>
            <w:gridSpan w:val="2"/>
          </w:tcPr>
          <w:p>
            <w:pPr>
              <w:jc w:val="right"/>
              <w:spacing w:after="0" w:line="125" w:lineRule="exact"/>
              <w:rPr>
                <w:sz w:val="20"/>
                <w:szCs w:val="20"/>
                <w:color w:val="auto"/>
              </w:rPr>
            </w:pPr>
            <w:r>
              <w:rPr>
                <w:rFonts w:ascii="Arial" w:cs="Arial" w:eastAsia="Arial" w:hAnsi="Arial"/>
                <w:sz w:val="11"/>
                <w:szCs w:val="11"/>
                <w:color w:val="auto"/>
              </w:rPr>
              <w:t>5,169</w:t>
            </w:r>
          </w:p>
        </w:tc>
        <w:tc>
          <w:tcPr>
            <w:tcW w:w="940" w:type="dxa"/>
            <w:vAlign w:val="bottom"/>
            <w:gridSpan w:val="2"/>
          </w:tcPr>
          <w:p>
            <w:pPr>
              <w:jc w:val="right"/>
              <w:spacing w:after="0" w:line="125" w:lineRule="exact"/>
              <w:rPr>
                <w:sz w:val="20"/>
                <w:szCs w:val="20"/>
                <w:color w:val="auto"/>
              </w:rPr>
            </w:pPr>
            <w:r>
              <w:rPr>
                <w:rFonts w:ascii="Arial" w:cs="Arial" w:eastAsia="Arial" w:hAnsi="Arial"/>
                <w:sz w:val="11"/>
                <w:szCs w:val="11"/>
                <w:color w:val="auto"/>
              </w:rPr>
              <w:t>5,083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160" w:type="dxa"/>
            <w:vAlign w:val="bottom"/>
          </w:tcPr>
          <w:p>
            <w:pPr>
              <w:ind w:left="20"/>
              <w:spacing w:after="0" w:line="108" w:lineRule="exact"/>
              <w:rPr>
                <w:sz w:val="20"/>
                <w:szCs w:val="20"/>
                <w:color w:val="auto"/>
              </w:rPr>
            </w:pPr>
            <w:r>
              <w:rPr>
                <w:rFonts w:ascii="Arial" w:cs="Arial" w:eastAsia="Arial" w:hAnsi="Arial"/>
                <w:sz w:val="11"/>
                <w:szCs w:val="11"/>
                <w:color w:val="auto"/>
              </w:rPr>
              <w:t>ECM Industries, LLC (Revolver)</w:t>
            </w:r>
          </w:p>
        </w:tc>
        <w:tc>
          <w:tcPr>
            <w:tcW w:w="740" w:type="dxa"/>
            <w:vAlign w:val="bottom"/>
            <w:gridSpan w:val="2"/>
          </w:tcPr>
          <w:p>
            <w:pPr>
              <w:jc w:val="center"/>
              <w:ind w:left="86"/>
              <w:spacing w:after="0" w:line="108" w:lineRule="exact"/>
              <w:rPr>
                <w:sz w:val="20"/>
                <w:szCs w:val="20"/>
                <w:color w:val="auto"/>
              </w:rPr>
            </w:pPr>
            <w:r>
              <w:rPr>
                <w:rFonts w:ascii="Arial" w:cs="Arial" w:eastAsia="Arial" w:hAnsi="Arial"/>
                <w:sz w:val="11"/>
                <w:szCs w:val="11"/>
                <w:color w:val="auto"/>
                <w:w w:val="87"/>
              </w:rPr>
              <w:t>12/23/2025</w:t>
            </w:r>
          </w:p>
        </w:tc>
        <w:tc>
          <w:tcPr>
            <w:tcW w:w="140" w:type="dxa"/>
            <w:vAlign w:val="bottom"/>
          </w:tcPr>
          <w:p>
            <w:pPr>
              <w:spacing w:after="0"/>
              <w:rPr>
                <w:sz w:val="9"/>
                <w:szCs w:val="9"/>
                <w:color w:val="auto"/>
              </w:rPr>
            </w:pPr>
          </w:p>
        </w:tc>
        <w:tc>
          <w:tcPr>
            <w:tcW w:w="2240" w:type="dxa"/>
            <w:vAlign w:val="bottom"/>
          </w:tcPr>
          <w:p>
            <w:pPr>
              <w:jc w:val="center"/>
              <w:spacing w:after="0" w:line="108" w:lineRule="exact"/>
              <w:rPr>
                <w:sz w:val="20"/>
                <w:szCs w:val="20"/>
                <w:color w:val="auto"/>
              </w:rPr>
            </w:pPr>
            <w:r>
              <w:rPr>
                <w:rFonts w:ascii="Arial" w:cs="Arial" w:eastAsia="Arial" w:hAnsi="Arial"/>
                <w:sz w:val="11"/>
                <w:szCs w:val="11"/>
                <w:color w:val="auto"/>
                <w:w w:val="89"/>
              </w:rPr>
              <w:t>Electronic Equipment, Instruments, and</w:t>
            </w:r>
          </w:p>
        </w:tc>
        <w:tc>
          <w:tcPr>
            <w:tcW w:w="960" w:type="dxa"/>
            <w:vAlign w:val="bottom"/>
            <w:gridSpan w:val="3"/>
            <w:vMerge w:val="restart"/>
          </w:tcPr>
          <w:p>
            <w:pPr>
              <w:jc w:val="right"/>
              <w:ind w:right="20"/>
              <w:spacing w:after="0"/>
              <w:rPr>
                <w:sz w:val="20"/>
                <w:szCs w:val="20"/>
                <w:color w:val="auto"/>
              </w:rPr>
            </w:pPr>
            <w:r>
              <w:rPr>
                <w:rFonts w:ascii="Arial" w:cs="Arial" w:eastAsia="Arial" w:hAnsi="Arial"/>
                <w:sz w:val="11"/>
                <w:szCs w:val="11"/>
                <w:color w:val="auto"/>
              </w:rPr>
              <w:t>6.44 %</w:t>
            </w:r>
          </w:p>
        </w:tc>
        <w:tc>
          <w:tcPr>
            <w:tcW w:w="120" w:type="dxa"/>
            <w:vAlign w:val="bottom"/>
          </w:tcPr>
          <w:p>
            <w:pPr>
              <w:spacing w:after="0"/>
              <w:rPr>
                <w:sz w:val="9"/>
                <w:szCs w:val="9"/>
                <w:color w:val="auto"/>
              </w:rPr>
            </w:pPr>
          </w:p>
        </w:tc>
        <w:tc>
          <w:tcPr>
            <w:tcW w:w="680" w:type="dxa"/>
            <w:vAlign w:val="bottom"/>
          </w:tcPr>
          <w:p>
            <w:pPr>
              <w:jc w:val="right"/>
              <w:spacing w:after="0" w:line="108" w:lineRule="exact"/>
              <w:rPr>
                <w:sz w:val="20"/>
                <w:szCs w:val="20"/>
                <w:color w:val="auto"/>
              </w:rPr>
            </w:pPr>
            <w:r>
              <w:rPr>
                <w:rFonts w:ascii="Arial" w:cs="Arial" w:eastAsia="Arial" w:hAnsi="Arial"/>
                <w:sz w:val="11"/>
                <w:szCs w:val="11"/>
                <w:color w:val="auto"/>
              </w:rPr>
              <w:t>1M</w:t>
            </w:r>
          </w:p>
        </w:tc>
        <w:tc>
          <w:tcPr>
            <w:tcW w:w="300" w:type="dxa"/>
            <w:vAlign w:val="bottom"/>
          </w:tcPr>
          <w:p>
            <w:pPr>
              <w:jc w:val="right"/>
              <w:spacing w:after="0" w:line="108" w:lineRule="exact"/>
              <w:rPr>
                <w:sz w:val="20"/>
                <w:szCs w:val="20"/>
                <w:color w:val="auto"/>
              </w:rPr>
            </w:pPr>
            <w:r>
              <w:rPr>
                <w:rFonts w:ascii="Arial" w:cs="Arial" w:eastAsia="Arial" w:hAnsi="Arial"/>
                <w:sz w:val="11"/>
                <w:szCs w:val="11"/>
                <w:color w:val="auto"/>
                <w:w w:val="84"/>
              </w:rPr>
              <w:t>L+475</w:t>
            </w:r>
          </w:p>
        </w:tc>
        <w:tc>
          <w:tcPr>
            <w:tcW w:w="920" w:type="dxa"/>
            <w:vAlign w:val="bottom"/>
            <w:gridSpan w:val="2"/>
            <w:vMerge w:val="restart"/>
          </w:tcPr>
          <w:p>
            <w:pPr>
              <w:jc w:val="right"/>
              <w:spacing w:after="0"/>
              <w:rPr>
                <w:sz w:val="20"/>
                <w:szCs w:val="20"/>
                <w:color w:val="auto"/>
              </w:rPr>
            </w:pPr>
            <w:r>
              <w:rPr>
                <w:rFonts w:ascii="Arial" w:cs="Arial" w:eastAsia="Arial" w:hAnsi="Arial"/>
                <w:sz w:val="11"/>
                <w:szCs w:val="11"/>
                <w:color w:val="auto"/>
              </w:rPr>
              <w:t>686</w:t>
            </w:r>
          </w:p>
        </w:tc>
        <w:tc>
          <w:tcPr>
            <w:tcW w:w="940" w:type="dxa"/>
            <w:vAlign w:val="bottom"/>
            <w:gridSpan w:val="2"/>
            <w:vMerge w:val="restart"/>
          </w:tcPr>
          <w:p>
            <w:pPr>
              <w:jc w:val="right"/>
              <w:spacing w:after="0"/>
              <w:rPr>
                <w:sz w:val="20"/>
                <w:szCs w:val="20"/>
                <w:color w:val="auto"/>
              </w:rPr>
            </w:pPr>
            <w:r>
              <w:rPr>
                <w:rFonts w:ascii="Arial" w:cs="Arial" w:eastAsia="Arial" w:hAnsi="Arial"/>
                <w:sz w:val="11"/>
                <w:szCs w:val="11"/>
                <w:color w:val="auto"/>
              </w:rPr>
              <w:t>686</w:t>
            </w:r>
          </w:p>
        </w:tc>
        <w:tc>
          <w:tcPr>
            <w:tcW w:w="940" w:type="dxa"/>
            <w:vAlign w:val="bottom"/>
            <w:gridSpan w:val="2"/>
            <w:vMerge w:val="restart"/>
          </w:tcPr>
          <w:p>
            <w:pPr>
              <w:jc w:val="right"/>
              <w:spacing w:after="0"/>
              <w:rPr>
                <w:sz w:val="20"/>
                <w:szCs w:val="20"/>
                <w:color w:val="auto"/>
              </w:rPr>
            </w:pPr>
            <w:r>
              <w:rPr>
                <w:rFonts w:ascii="Arial" w:cs="Arial" w:eastAsia="Arial" w:hAnsi="Arial"/>
                <w:sz w:val="11"/>
                <w:szCs w:val="11"/>
                <w:color w:val="auto"/>
              </w:rPr>
              <w:t>672</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160" w:type="dxa"/>
            <w:vAlign w:val="bottom"/>
            <w:vMerge w:val="restart"/>
          </w:tcPr>
          <w:p>
            <w:pPr>
              <w:ind w:left="20"/>
              <w:spacing w:after="0"/>
              <w:rPr>
                <w:sz w:val="20"/>
                <w:szCs w:val="20"/>
                <w:color w:val="auto"/>
              </w:rPr>
            </w:pPr>
            <w:r>
              <w:rPr>
                <w:rFonts w:ascii="Arial" w:cs="Arial" w:eastAsia="Arial" w:hAnsi="Arial"/>
                <w:sz w:val="11"/>
                <w:szCs w:val="11"/>
                <w:color w:val="auto"/>
              </w:rPr>
              <w:t xml:space="preserve">ECM Industries, LLC (Revolver) </w:t>
            </w:r>
            <w:r>
              <w:rPr>
                <w:rFonts w:ascii="Arial" w:cs="Arial" w:eastAsia="Arial" w:hAnsi="Arial"/>
                <w:sz w:val="14"/>
                <w:szCs w:val="14"/>
                <w:color w:val="auto"/>
                <w:vertAlign w:val="superscript"/>
              </w:rPr>
              <w:t>(9)</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86"/>
              </w:rPr>
              <w:t>Components</w:t>
            </w:r>
          </w:p>
        </w:tc>
        <w:tc>
          <w:tcPr>
            <w:tcW w:w="96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160" w:type="dxa"/>
            <w:vAlign w:val="bottom"/>
            <w:vMerge w:val="continue"/>
          </w:tcPr>
          <w:p>
            <w:pPr>
              <w:spacing w:after="0"/>
              <w:rPr>
                <w:sz w:val="9"/>
                <w:szCs w:val="9"/>
                <w:color w:val="auto"/>
              </w:rPr>
            </w:pPr>
          </w:p>
        </w:tc>
        <w:tc>
          <w:tcPr>
            <w:tcW w:w="740" w:type="dxa"/>
            <w:vAlign w:val="bottom"/>
            <w:gridSpan w:val="2"/>
          </w:tcPr>
          <w:p>
            <w:pPr>
              <w:jc w:val="center"/>
              <w:ind w:left="86"/>
              <w:spacing w:after="0" w:line="108" w:lineRule="exact"/>
              <w:rPr>
                <w:sz w:val="20"/>
                <w:szCs w:val="20"/>
                <w:color w:val="auto"/>
              </w:rPr>
            </w:pPr>
            <w:r>
              <w:rPr>
                <w:rFonts w:ascii="Arial" w:cs="Arial" w:eastAsia="Arial" w:hAnsi="Arial"/>
                <w:sz w:val="11"/>
                <w:szCs w:val="11"/>
                <w:color w:val="auto"/>
                <w:w w:val="87"/>
              </w:rPr>
              <w:t>12/23/2025</w:t>
            </w:r>
          </w:p>
        </w:tc>
        <w:tc>
          <w:tcPr>
            <w:tcW w:w="140" w:type="dxa"/>
            <w:vAlign w:val="bottom"/>
          </w:tcPr>
          <w:p>
            <w:pPr>
              <w:spacing w:after="0"/>
              <w:rPr>
                <w:sz w:val="9"/>
                <w:szCs w:val="9"/>
                <w:color w:val="auto"/>
              </w:rPr>
            </w:pPr>
          </w:p>
        </w:tc>
        <w:tc>
          <w:tcPr>
            <w:tcW w:w="2240" w:type="dxa"/>
            <w:vAlign w:val="bottom"/>
          </w:tcPr>
          <w:p>
            <w:pPr>
              <w:jc w:val="center"/>
              <w:spacing w:after="0" w:line="108" w:lineRule="exact"/>
              <w:rPr>
                <w:sz w:val="20"/>
                <w:szCs w:val="20"/>
                <w:color w:val="auto"/>
              </w:rPr>
            </w:pPr>
            <w:r>
              <w:rPr>
                <w:rFonts w:ascii="Arial" w:cs="Arial" w:eastAsia="Arial" w:hAnsi="Arial"/>
                <w:sz w:val="11"/>
                <w:szCs w:val="11"/>
                <w:color w:val="auto"/>
                <w:w w:val="89"/>
              </w:rPr>
              <w:t>Electronic Equipment, Instruments, and</w:t>
            </w:r>
          </w:p>
        </w:tc>
        <w:tc>
          <w:tcPr>
            <w:tcW w:w="140" w:type="dxa"/>
            <w:vAlign w:val="bottom"/>
          </w:tcPr>
          <w:p>
            <w:pPr>
              <w:spacing w:after="0"/>
              <w:rPr>
                <w:sz w:val="9"/>
                <w:szCs w:val="9"/>
                <w:color w:val="auto"/>
              </w:rPr>
            </w:pPr>
          </w:p>
        </w:tc>
        <w:tc>
          <w:tcPr>
            <w:tcW w:w="820" w:type="dxa"/>
            <w:vAlign w:val="bottom"/>
            <w:gridSpan w:val="2"/>
          </w:tcPr>
          <w:p>
            <w:pPr>
              <w:jc w:val="right"/>
              <w:ind w:right="140"/>
              <w:spacing w:after="0" w:line="108"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300" w:type="dxa"/>
            <w:vAlign w:val="bottom"/>
          </w:tcPr>
          <w:p>
            <w:pPr>
              <w:jc w:val="right"/>
              <w:spacing w:after="0" w:line="108" w:lineRule="exact"/>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line="108" w:lineRule="exact"/>
              <w:rPr>
                <w:sz w:val="20"/>
                <w:szCs w:val="20"/>
                <w:color w:val="auto"/>
              </w:rPr>
            </w:pPr>
            <w:r>
              <w:rPr>
                <w:rFonts w:ascii="Arial" w:cs="Arial" w:eastAsia="Arial" w:hAnsi="Arial"/>
                <w:sz w:val="11"/>
                <w:szCs w:val="11"/>
                <w:color w:val="auto"/>
              </w:rPr>
              <w:t>229</w:t>
            </w:r>
          </w:p>
        </w:tc>
        <w:tc>
          <w:tcPr>
            <w:tcW w:w="240" w:type="dxa"/>
            <w:vAlign w:val="bottom"/>
          </w:tcPr>
          <w:p>
            <w:pPr>
              <w:spacing w:after="0"/>
              <w:rPr>
                <w:sz w:val="9"/>
                <w:szCs w:val="9"/>
                <w:color w:val="auto"/>
              </w:rPr>
            </w:pPr>
          </w:p>
        </w:tc>
        <w:tc>
          <w:tcPr>
            <w:tcW w:w="700" w:type="dxa"/>
            <w:vAlign w:val="bottom"/>
          </w:tcPr>
          <w:p>
            <w:pPr>
              <w:jc w:val="right"/>
              <w:spacing w:after="0" w:line="108" w:lineRule="exact"/>
              <w:rPr>
                <w:sz w:val="20"/>
                <w:szCs w:val="20"/>
                <w:color w:val="auto"/>
              </w:rPr>
            </w:pPr>
            <w:r>
              <w:rPr>
                <w:rFonts w:ascii="Arial" w:cs="Arial" w:eastAsia="Arial" w:hAnsi="Arial"/>
                <w:sz w:val="11"/>
                <w:szCs w:val="11"/>
                <w:color w:val="auto"/>
              </w:rPr>
              <w:t>—</w:t>
            </w:r>
          </w:p>
        </w:tc>
        <w:tc>
          <w:tcPr>
            <w:tcW w:w="1040" w:type="dxa"/>
            <w:vAlign w:val="bottom"/>
            <w:gridSpan w:val="3"/>
          </w:tcPr>
          <w:p>
            <w:pPr>
              <w:jc w:val="right"/>
              <w:ind w:right="60"/>
              <w:spacing w:after="0" w:line="108" w:lineRule="exact"/>
              <w:rPr>
                <w:sz w:val="20"/>
                <w:szCs w:val="20"/>
                <w:color w:val="auto"/>
              </w:rPr>
            </w:pPr>
            <w:r>
              <w:rPr>
                <w:rFonts w:ascii="Arial" w:cs="Arial" w:eastAsia="Arial" w:hAnsi="Arial"/>
                <w:sz w:val="11"/>
                <w:szCs w:val="11"/>
                <w:color w:val="auto"/>
              </w:rPr>
              <w:t>(5 )</w:t>
            </w:r>
          </w:p>
        </w:tc>
        <w:tc>
          <w:tcPr>
            <w:tcW w:w="0" w:type="dxa"/>
            <w:vAlign w:val="bottom"/>
          </w:tcPr>
          <w:p>
            <w:pPr>
              <w:spacing w:after="0"/>
              <w:rPr>
                <w:sz w:val="1"/>
                <w:szCs w:val="1"/>
                <w:color w:val="auto"/>
              </w:rPr>
            </w:pPr>
          </w:p>
        </w:tc>
      </w:tr>
      <w:tr>
        <w:trPr>
          <w:trHeight w:val="135"/>
        </w:trPr>
        <w:tc>
          <w:tcPr>
            <w:tcW w:w="3160" w:type="dxa"/>
            <w:vAlign w:val="bottom"/>
            <w:vMerge w:val="restart"/>
          </w:tcPr>
          <w:p>
            <w:pPr>
              <w:ind w:left="20"/>
              <w:spacing w:after="0"/>
              <w:rPr>
                <w:sz w:val="20"/>
                <w:szCs w:val="20"/>
                <w:color w:val="auto"/>
              </w:rPr>
            </w:pPr>
            <w:r>
              <w:rPr>
                <w:rFonts w:ascii="Arial" w:cs="Arial" w:eastAsia="Arial" w:hAnsi="Arial"/>
                <w:sz w:val="11"/>
                <w:szCs w:val="11"/>
                <w:color w:val="auto"/>
              </w:rPr>
              <w:t xml:space="preserve">eCommission Financial Services, Inc. </w:t>
            </w:r>
            <w:r>
              <w:rPr>
                <w:rFonts w:ascii="Arial" w:cs="Arial" w:eastAsia="Arial" w:hAnsi="Arial"/>
                <w:sz w:val="14"/>
                <w:szCs w:val="14"/>
                <w:color w:val="auto"/>
                <w:vertAlign w:val="superscript"/>
              </w:rPr>
              <w:t>(10)</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86"/>
              </w:rPr>
              <w:t>Components</w:t>
            </w: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3160" w:type="dxa"/>
            <w:vAlign w:val="bottom"/>
            <w:vMerge w:val="continue"/>
          </w:tcPr>
          <w:p>
            <w:pPr>
              <w:spacing w:after="0"/>
              <w:rPr>
                <w:sz w:val="9"/>
                <w:szCs w:val="9"/>
                <w:color w:val="auto"/>
              </w:rPr>
            </w:pPr>
          </w:p>
        </w:tc>
        <w:tc>
          <w:tcPr>
            <w:tcW w:w="740" w:type="dxa"/>
            <w:vAlign w:val="bottom"/>
            <w:gridSpan w:val="2"/>
          </w:tcPr>
          <w:p>
            <w:pPr>
              <w:jc w:val="center"/>
              <w:ind w:left="86"/>
              <w:spacing w:after="0" w:line="115" w:lineRule="exact"/>
              <w:rPr>
                <w:sz w:val="20"/>
                <w:szCs w:val="20"/>
                <w:color w:val="auto"/>
              </w:rPr>
            </w:pPr>
            <w:r>
              <w:rPr>
                <w:rFonts w:ascii="Arial" w:cs="Arial" w:eastAsia="Arial" w:hAnsi="Arial"/>
                <w:sz w:val="11"/>
                <w:szCs w:val="11"/>
                <w:color w:val="auto"/>
                <w:w w:val="87"/>
              </w:rPr>
              <w:t>10/05/2023</w:t>
            </w:r>
          </w:p>
        </w:tc>
        <w:tc>
          <w:tcPr>
            <w:tcW w:w="140" w:type="dxa"/>
            <w:vAlign w:val="bottom"/>
          </w:tcPr>
          <w:p>
            <w:pPr>
              <w:spacing w:after="0"/>
              <w:rPr>
                <w:sz w:val="9"/>
                <w:szCs w:val="9"/>
                <w:color w:val="auto"/>
              </w:rPr>
            </w:pPr>
          </w:p>
        </w:tc>
        <w:tc>
          <w:tcPr>
            <w:tcW w:w="2240" w:type="dxa"/>
            <w:vAlign w:val="bottom"/>
          </w:tcPr>
          <w:p>
            <w:pPr>
              <w:jc w:val="center"/>
              <w:spacing w:after="0" w:line="115" w:lineRule="exact"/>
              <w:rPr>
                <w:sz w:val="20"/>
                <w:szCs w:val="20"/>
                <w:color w:val="auto"/>
              </w:rPr>
            </w:pPr>
            <w:r>
              <w:rPr>
                <w:rFonts w:ascii="Arial" w:cs="Arial" w:eastAsia="Arial" w:hAnsi="Arial"/>
                <w:sz w:val="11"/>
                <w:szCs w:val="11"/>
                <w:color w:val="auto"/>
                <w:w w:val="88"/>
              </w:rPr>
              <w:t>Banking, Finance, Insurance &amp; Real Estate</w:t>
            </w:r>
          </w:p>
        </w:tc>
        <w:tc>
          <w:tcPr>
            <w:tcW w:w="960" w:type="dxa"/>
            <w:vAlign w:val="bottom"/>
            <w:gridSpan w:val="3"/>
          </w:tcPr>
          <w:p>
            <w:pPr>
              <w:jc w:val="right"/>
              <w:ind w:right="20"/>
              <w:spacing w:after="0" w:line="115" w:lineRule="exact"/>
              <w:rPr>
                <w:sz w:val="20"/>
                <w:szCs w:val="20"/>
                <w:color w:val="auto"/>
              </w:rPr>
            </w:pPr>
            <w:r>
              <w:rPr>
                <w:rFonts w:ascii="Arial" w:cs="Arial" w:eastAsia="Arial" w:hAnsi="Arial"/>
                <w:sz w:val="11"/>
                <w:szCs w:val="11"/>
                <w:color w:val="auto"/>
              </w:rPr>
              <w:t>6.00 %</w:t>
            </w:r>
          </w:p>
        </w:tc>
        <w:tc>
          <w:tcPr>
            <w:tcW w:w="120" w:type="dxa"/>
            <w:vAlign w:val="bottom"/>
          </w:tcPr>
          <w:p>
            <w:pPr>
              <w:spacing w:after="0"/>
              <w:rPr>
                <w:sz w:val="9"/>
                <w:szCs w:val="9"/>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1"/>
                <w:szCs w:val="11"/>
                <w:color w:val="auto"/>
              </w:rPr>
              <w:t>1M</w:t>
            </w:r>
          </w:p>
        </w:tc>
        <w:tc>
          <w:tcPr>
            <w:tcW w:w="300" w:type="dxa"/>
            <w:vAlign w:val="bottom"/>
          </w:tcPr>
          <w:p>
            <w:pPr>
              <w:jc w:val="right"/>
              <w:spacing w:after="0" w:line="115" w:lineRule="exact"/>
              <w:rPr>
                <w:sz w:val="20"/>
                <w:szCs w:val="20"/>
                <w:color w:val="auto"/>
              </w:rPr>
            </w:pPr>
            <w:r>
              <w:rPr>
                <w:rFonts w:ascii="Arial" w:cs="Arial" w:eastAsia="Arial" w:hAnsi="Arial"/>
                <w:sz w:val="11"/>
                <w:szCs w:val="11"/>
                <w:color w:val="auto"/>
                <w:w w:val="84"/>
              </w:rPr>
              <w:t>L+500</w:t>
            </w:r>
          </w:p>
        </w:tc>
        <w:tc>
          <w:tcPr>
            <w:tcW w:w="9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6,146</w:t>
            </w:r>
          </w:p>
        </w:tc>
        <w:tc>
          <w:tcPr>
            <w:tcW w:w="94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6,146</w:t>
            </w:r>
          </w:p>
        </w:tc>
        <w:tc>
          <w:tcPr>
            <w:tcW w:w="94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6,146</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16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eCommission Financial Services, Inc. (Revolver) </w:t>
            </w:r>
            <w:r>
              <w:rPr>
                <w:rFonts w:ascii="Arial" w:cs="Arial" w:eastAsia="Arial" w:hAnsi="Arial"/>
                <w:sz w:val="14"/>
                <w:szCs w:val="14"/>
                <w:color w:val="auto"/>
                <w:vertAlign w:val="superscript"/>
              </w:rPr>
              <w:t>(7), (10)</w:t>
            </w:r>
          </w:p>
        </w:tc>
        <w:tc>
          <w:tcPr>
            <w:tcW w:w="74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10/05/2023</w:t>
            </w:r>
          </w:p>
        </w:tc>
        <w:tc>
          <w:tcPr>
            <w:tcW w:w="140" w:type="dxa"/>
            <w:vAlign w:val="bottom"/>
          </w:tcPr>
          <w:p>
            <w:pPr>
              <w:spacing w:after="0"/>
              <w:rPr>
                <w:sz w:val="11"/>
                <w:szCs w:val="11"/>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88"/>
              </w:rPr>
              <w:t>Banking, Finance, Insurance &amp; Real Estate</w:t>
            </w:r>
          </w:p>
        </w:tc>
        <w:tc>
          <w:tcPr>
            <w:tcW w:w="960" w:type="dxa"/>
            <w:vAlign w:val="bottom"/>
            <w:gridSpan w:val="3"/>
          </w:tcPr>
          <w:p>
            <w:pPr>
              <w:jc w:val="right"/>
              <w:ind w:right="20"/>
              <w:spacing w:after="0"/>
              <w:rPr>
                <w:sz w:val="20"/>
                <w:szCs w:val="20"/>
                <w:color w:val="auto"/>
              </w:rPr>
            </w:pPr>
            <w:r>
              <w:rPr>
                <w:rFonts w:ascii="Arial" w:cs="Arial" w:eastAsia="Arial" w:hAnsi="Arial"/>
                <w:sz w:val="11"/>
                <w:szCs w:val="11"/>
                <w:color w:val="auto"/>
              </w:rPr>
              <w:t>6.12 %</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1M</w:t>
            </w:r>
          </w:p>
        </w:tc>
        <w:tc>
          <w:tcPr>
            <w:tcW w:w="300" w:type="dxa"/>
            <w:vAlign w:val="bottom"/>
          </w:tcPr>
          <w:p>
            <w:pPr>
              <w:jc w:val="right"/>
              <w:spacing w:after="0"/>
              <w:rPr>
                <w:sz w:val="20"/>
                <w:szCs w:val="20"/>
                <w:color w:val="auto"/>
              </w:rPr>
            </w:pPr>
            <w:r>
              <w:rPr>
                <w:rFonts w:ascii="Arial" w:cs="Arial" w:eastAsia="Arial" w:hAnsi="Arial"/>
                <w:sz w:val="11"/>
                <w:szCs w:val="11"/>
                <w:color w:val="auto"/>
                <w:w w:val="84"/>
              </w:rPr>
              <w:t>L+500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2,500</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2,500</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2,500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16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eCommission Financial Services, Inc. (Revolver) </w:t>
            </w:r>
            <w:r>
              <w:rPr>
                <w:rFonts w:ascii="Arial" w:cs="Arial" w:eastAsia="Arial" w:hAnsi="Arial"/>
                <w:sz w:val="14"/>
                <w:szCs w:val="14"/>
                <w:color w:val="auto"/>
                <w:vertAlign w:val="superscript"/>
              </w:rPr>
              <w:t>(7), (9), (10)</w:t>
            </w:r>
          </w:p>
        </w:tc>
        <w:tc>
          <w:tcPr>
            <w:tcW w:w="74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10/05/2023</w:t>
            </w:r>
          </w:p>
        </w:tc>
        <w:tc>
          <w:tcPr>
            <w:tcW w:w="140" w:type="dxa"/>
            <w:vAlign w:val="bottom"/>
          </w:tcPr>
          <w:p>
            <w:pPr>
              <w:spacing w:after="0"/>
              <w:rPr>
                <w:sz w:val="13"/>
                <w:szCs w:val="13"/>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88"/>
              </w:rPr>
              <w:t>Banking, Finance, Insurance &amp; Real Estate</w:t>
            </w:r>
          </w:p>
        </w:tc>
        <w:tc>
          <w:tcPr>
            <w:tcW w:w="14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2,500</w:t>
            </w:r>
          </w:p>
        </w:tc>
        <w:tc>
          <w:tcPr>
            <w:tcW w:w="2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5"/>
        </w:trPr>
        <w:tc>
          <w:tcPr>
            <w:tcW w:w="3160" w:type="dxa"/>
            <w:vAlign w:val="bottom"/>
          </w:tcPr>
          <w:p>
            <w:pPr>
              <w:ind w:left="20"/>
              <w:spacing w:after="0" w:line="115" w:lineRule="exact"/>
              <w:rPr>
                <w:sz w:val="20"/>
                <w:szCs w:val="20"/>
                <w:color w:val="auto"/>
              </w:rPr>
            </w:pPr>
            <w:r>
              <w:rPr>
                <w:rFonts w:ascii="Arial" w:cs="Arial" w:eastAsia="Arial" w:hAnsi="Arial"/>
                <w:sz w:val="11"/>
                <w:szCs w:val="11"/>
                <w:color w:val="auto"/>
              </w:rPr>
              <w:t>Efficient Collaborative Retail Marketing Company, LLC</w:t>
            </w:r>
          </w:p>
        </w:tc>
        <w:tc>
          <w:tcPr>
            <w:tcW w:w="740" w:type="dxa"/>
            <w:vAlign w:val="bottom"/>
            <w:gridSpan w:val="2"/>
          </w:tcPr>
          <w:p>
            <w:pPr>
              <w:jc w:val="center"/>
              <w:ind w:left="86"/>
              <w:spacing w:after="0" w:line="115" w:lineRule="exact"/>
              <w:rPr>
                <w:sz w:val="20"/>
                <w:szCs w:val="20"/>
                <w:color w:val="auto"/>
              </w:rPr>
            </w:pPr>
            <w:r>
              <w:rPr>
                <w:rFonts w:ascii="Arial" w:cs="Arial" w:eastAsia="Arial" w:hAnsi="Arial"/>
                <w:sz w:val="11"/>
                <w:szCs w:val="11"/>
                <w:color w:val="auto"/>
                <w:w w:val="87"/>
              </w:rPr>
              <w:t>06/15/2024</w:t>
            </w:r>
          </w:p>
        </w:tc>
        <w:tc>
          <w:tcPr>
            <w:tcW w:w="140" w:type="dxa"/>
            <w:vAlign w:val="bottom"/>
          </w:tcPr>
          <w:p>
            <w:pPr>
              <w:spacing w:after="0"/>
              <w:rPr>
                <w:sz w:val="9"/>
                <w:szCs w:val="9"/>
                <w:color w:val="auto"/>
              </w:rPr>
            </w:pPr>
          </w:p>
        </w:tc>
        <w:tc>
          <w:tcPr>
            <w:tcW w:w="2240" w:type="dxa"/>
            <w:vAlign w:val="bottom"/>
          </w:tcPr>
          <w:p>
            <w:pPr>
              <w:jc w:val="center"/>
              <w:spacing w:after="0" w:line="115" w:lineRule="exact"/>
              <w:rPr>
                <w:sz w:val="20"/>
                <w:szCs w:val="20"/>
                <w:color w:val="auto"/>
              </w:rPr>
            </w:pPr>
            <w:r>
              <w:rPr>
                <w:rFonts w:ascii="Arial" w:cs="Arial" w:eastAsia="Arial" w:hAnsi="Arial"/>
                <w:sz w:val="11"/>
                <w:szCs w:val="11"/>
                <w:color w:val="auto"/>
                <w:w w:val="91"/>
              </w:rPr>
              <w:t>Media: Diversified and Production</w:t>
            </w:r>
          </w:p>
        </w:tc>
        <w:tc>
          <w:tcPr>
            <w:tcW w:w="960" w:type="dxa"/>
            <w:vAlign w:val="bottom"/>
            <w:gridSpan w:val="3"/>
          </w:tcPr>
          <w:p>
            <w:pPr>
              <w:jc w:val="right"/>
              <w:ind w:right="20"/>
              <w:spacing w:after="0" w:line="115" w:lineRule="exact"/>
              <w:rPr>
                <w:sz w:val="20"/>
                <w:szCs w:val="20"/>
                <w:color w:val="auto"/>
              </w:rPr>
            </w:pPr>
            <w:r>
              <w:rPr>
                <w:rFonts w:ascii="Arial" w:cs="Arial" w:eastAsia="Arial" w:hAnsi="Arial"/>
                <w:sz w:val="11"/>
                <w:szCs w:val="11"/>
                <w:color w:val="auto"/>
              </w:rPr>
              <w:t>9.00 %</w:t>
            </w:r>
          </w:p>
        </w:tc>
        <w:tc>
          <w:tcPr>
            <w:tcW w:w="120" w:type="dxa"/>
            <w:vAlign w:val="bottom"/>
          </w:tcPr>
          <w:p>
            <w:pPr>
              <w:spacing w:after="0"/>
              <w:rPr>
                <w:sz w:val="9"/>
                <w:szCs w:val="9"/>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1"/>
                <w:szCs w:val="11"/>
                <w:color w:val="auto"/>
              </w:rPr>
              <w:t>3M</w:t>
            </w:r>
          </w:p>
        </w:tc>
        <w:tc>
          <w:tcPr>
            <w:tcW w:w="300" w:type="dxa"/>
            <w:vAlign w:val="bottom"/>
          </w:tcPr>
          <w:p>
            <w:pPr>
              <w:jc w:val="right"/>
              <w:spacing w:after="0" w:line="115" w:lineRule="exact"/>
              <w:rPr>
                <w:sz w:val="20"/>
                <w:szCs w:val="20"/>
                <w:color w:val="auto"/>
              </w:rPr>
            </w:pPr>
            <w:r>
              <w:rPr>
                <w:rFonts w:ascii="Arial" w:cs="Arial" w:eastAsia="Arial" w:hAnsi="Arial"/>
                <w:sz w:val="11"/>
                <w:szCs w:val="11"/>
                <w:color w:val="auto"/>
                <w:w w:val="84"/>
              </w:rPr>
              <w:t>L+675</w:t>
            </w:r>
          </w:p>
        </w:tc>
        <w:tc>
          <w:tcPr>
            <w:tcW w:w="9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7,170</w:t>
            </w:r>
          </w:p>
        </w:tc>
        <w:tc>
          <w:tcPr>
            <w:tcW w:w="94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7,134</w:t>
            </w:r>
          </w:p>
        </w:tc>
        <w:tc>
          <w:tcPr>
            <w:tcW w:w="94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6,991</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316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Exigo Intermediate II, LLC </w:t>
            </w:r>
            <w:r>
              <w:rPr>
                <w:rFonts w:ascii="Arial" w:cs="Arial" w:eastAsia="Arial" w:hAnsi="Arial"/>
                <w:sz w:val="14"/>
                <w:szCs w:val="14"/>
                <w:color w:val="auto"/>
                <w:vertAlign w:val="superscript"/>
              </w:rPr>
              <w:t>(9)</w:t>
            </w:r>
          </w:p>
        </w:tc>
        <w:tc>
          <w:tcPr>
            <w:tcW w:w="74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03/15/2024</w:t>
            </w:r>
          </w:p>
        </w:tc>
        <w:tc>
          <w:tcPr>
            <w:tcW w:w="140" w:type="dxa"/>
            <w:vAlign w:val="bottom"/>
          </w:tcPr>
          <w:p>
            <w:pPr>
              <w:spacing w:after="0"/>
              <w:rPr>
                <w:sz w:val="13"/>
                <w:szCs w:val="13"/>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87"/>
              </w:rPr>
              <w:t>Software</w:t>
            </w:r>
          </w:p>
        </w:tc>
        <w:tc>
          <w:tcPr>
            <w:tcW w:w="14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2,758</w:t>
            </w:r>
          </w:p>
        </w:tc>
        <w:tc>
          <w:tcPr>
            <w:tcW w:w="2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1040" w:type="dxa"/>
            <w:vAlign w:val="bottom"/>
            <w:gridSpan w:val="3"/>
          </w:tcPr>
          <w:p>
            <w:pPr>
              <w:jc w:val="right"/>
              <w:ind w:right="60"/>
              <w:spacing w:after="0"/>
              <w:rPr>
                <w:sz w:val="20"/>
                <w:szCs w:val="20"/>
                <w:color w:val="auto"/>
              </w:rPr>
            </w:pPr>
            <w:r>
              <w:rPr>
                <w:rFonts w:ascii="Arial" w:cs="Arial" w:eastAsia="Arial" w:hAnsi="Arial"/>
                <w:sz w:val="11"/>
                <w:szCs w:val="11"/>
                <w:color w:val="auto"/>
              </w:rPr>
              <w:t>(21 )</w:t>
            </w:r>
          </w:p>
        </w:tc>
        <w:tc>
          <w:tcPr>
            <w:tcW w:w="0" w:type="dxa"/>
            <w:vAlign w:val="bottom"/>
          </w:tcPr>
          <w:p>
            <w:pPr>
              <w:spacing w:after="0"/>
              <w:rPr>
                <w:sz w:val="1"/>
                <w:szCs w:val="1"/>
                <w:color w:val="auto"/>
              </w:rPr>
            </w:pPr>
          </w:p>
        </w:tc>
      </w:tr>
      <w:tr>
        <w:trPr>
          <w:trHeight w:val="115"/>
        </w:trPr>
        <w:tc>
          <w:tcPr>
            <w:tcW w:w="3160" w:type="dxa"/>
            <w:vAlign w:val="bottom"/>
          </w:tcPr>
          <w:p>
            <w:pPr>
              <w:ind w:left="20"/>
              <w:spacing w:after="0" w:line="115" w:lineRule="exact"/>
              <w:rPr>
                <w:sz w:val="20"/>
                <w:szCs w:val="20"/>
                <w:color w:val="auto"/>
              </w:rPr>
            </w:pPr>
            <w:r>
              <w:rPr>
                <w:rFonts w:ascii="Arial" w:cs="Arial" w:eastAsia="Arial" w:hAnsi="Arial"/>
                <w:sz w:val="11"/>
                <w:szCs w:val="11"/>
                <w:color w:val="auto"/>
              </w:rPr>
              <w:t>Exigo Intermediate II, LLC (Revolver)</w:t>
            </w:r>
          </w:p>
        </w:tc>
        <w:tc>
          <w:tcPr>
            <w:tcW w:w="740" w:type="dxa"/>
            <w:vAlign w:val="bottom"/>
            <w:gridSpan w:val="2"/>
          </w:tcPr>
          <w:p>
            <w:pPr>
              <w:jc w:val="center"/>
              <w:ind w:left="86"/>
              <w:spacing w:after="0" w:line="115" w:lineRule="exact"/>
              <w:rPr>
                <w:sz w:val="20"/>
                <w:szCs w:val="20"/>
                <w:color w:val="auto"/>
              </w:rPr>
            </w:pPr>
            <w:r>
              <w:rPr>
                <w:rFonts w:ascii="Arial" w:cs="Arial" w:eastAsia="Arial" w:hAnsi="Arial"/>
                <w:sz w:val="11"/>
                <w:szCs w:val="11"/>
                <w:color w:val="auto"/>
                <w:w w:val="87"/>
              </w:rPr>
              <w:t>03/15/2027</w:t>
            </w:r>
          </w:p>
        </w:tc>
        <w:tc>
          <w:tcPr>
            <w:tcW w:w="140" w:type="dxa"/>
            <w:vAlign w:val="bottom"/>
          </w:tcPr>
          <w:p>
            <w:pPr>
              <w:spacing w:after="0"/>
              <w:rPr>
                <w:sz w:val="9"/>
                <w:szCs w:val="9"/>
                <w:color w:val="auto"/>
              </w:rPr>
            </w:pPr>
          </w:p>
        </w:tc>
        <w:tc>
          <w:tcPr>
            <w:tcW w:w="2240" w:type="dxa"/>
            <w:vAlign w:val="bottom"/>
          </w:tcPr>
          <w:p>
            <w:pPr>
              <w:jc w:val="center"/>
              <w:spacing w:after="0" w:line="115" w:lineRule="exact"/>
              <w:rPr>
                <w:sz w:val="20"/>
                <w:szCs w:val="20"/>
                <w:color w:val="auto"/>
              </w:rPr>
            </w:pPr>
            <w:r>
              <w:rPr>
                <w:rFonts w:ascii="Arial" w:cs="Arial" w:eastAsia="Arial" w:hAnsi="Arial"/>
                <w:sz w:val="11"/>
                <w:szCs w:val="11"/>
                <w:color w:val="auto"/>
                <w:w w:val="87"/>
              </w:rPr>
              <w:t>Software</w:t>
            </w:r>
          </w:p>
        </w:tc>
        <w:tc>
          <w:tcPr>
            <w:tcW w:w="960" w:type="dxa"/>
            <w:vAlign w:val="bottom"/>
            <w:gridSpan w:val="3"/>
          </w:tcPr>
          <w:p>
            <w:pPr>
              <w:jc w:val="right"/>
              <w:ind w:right="20"/>
              <w:spacing w:after="0" w:line="115" w:lineRule="exact"/>
              <w:rPr>
                <w:sz w:val="20"/>
                <w:szCs w:val="20"/>
                <w:color w:val="auto"/>
              </w:rPr>
            </w:pPr>
            <w:r>
              <w:rPr>
                <w:rFonts w:ascii="Arial" w:cs="Arial" w:eastAsia="Arial" w:hAnsi="Arial"/>
                <w:sz w:val="11"/>
                <w:szCs w:val="11"/>
                <w:color w:val="auto"/>
              </w:rPr>
              <w:t>7.42 %</w:t>
            </w:r>
          </w:p>
        </w:tc>
        <w:tc>
          <w:tcPr>
            <w:tcW w:w="120" w:type="dxa"/>
            <w:vAlign w:val="bottom"/>
          </w:tcPr>
          <w:p>
            <w:pPr>
              <w:spacing w:after="0"/>
              <w:rPr>
                <w:sz w:val="9"/>
                <w:szCs w:val="9"/>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1"/>
                <w:szCs w:val="11"/>
                <w:color w:val="auto"/>
              </w:rPr>
              <w:t>3M</w:t>
            </w:r>
          </w:p>
        </w:tc>
        <w:tc>
          <w:tcPr>
            <w:tcW w:w="300" w:type="dxa"/>
            <w:vAlign w:val="bottom"/>
          </w:tcPr>
          <w:p>
            <w:pPr>
              <w:jc w:val="right"/>
              <w:spacing w:after="0" w:line="115" w:lineRule="exact"/>
              <w:rPr>
                <w:sz w:val="20"/>
                <w:szCs w:val="20"/>
                <w:color w:val="auto"/>
              </w:rPr>
            </w:pPr>
            <w:r>
              <w:rPr>
                <w:rFonts w:ascii="Arial" w:cs="Arial" w:eastAsia="Arial" w:hAnsi="Arial"/>
                <w:sz w:val="11"/>
                <w:szCs w:val="11"/>
                <w:color w:val="auto"/>
                <w:w w:val="84"/>
              </w:rPr>
              <w:t>L+575</w:t>
            </w:r>
          </w:p>
        </w:tc>
        <w:tc>
          <w:tcPr>
            <w:tcW w:w="9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138</w:t>
            </w:r>
          </w:p>
        </w:tc>
        <w:tc>
          <w:tcPr>
            <w:tcW w:w="94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138</w:t>
            </w:r>
          </w:p>
        </w:tc>
        <w:tc>
          <w:tcPr>
            <w:tcW w:w="94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136</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16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Exigo Intermediate II, LLC (Revolver) </w:t>
            </w:r>
            <w:r>
              <w:rPr>
                <w:rFonts w:ascii="Arial" w:cs="Arial" w:eastAsia="Arial" w:hAnsi="Arial"/>
                <w:sz w:val="14"/>
                <w:szCs w:val="14"/>
                <w:color w:val="auto"/>
                <w:vertAlign w:val="superscript"/>
              </w:rPr>
              <w:t>(9)</w:t>
            </w:r>
          </w:p>
        </w:tc>
        <w:tc>
          <w:tcPr>
            <w:tcW w:w="74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03/15/2027</w:t>
            </w:r>
          </w:p>
        </w:tc>
        <w:tc>
          <w:tcPr>
            <w:tcW w:w="140" w:type="dxa"/>
            <w:vAlign w:val="bottom"/>
          </w:tcPr>
          <w:p>
            <w:pPr>
              <w:spacing w:after="0"/>
              <w:rPr>
                <w:sz w:val="11"/>
                <w:szCs w:val="11"/>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87"/>
              </w:rPr>
              <w:t>Software</w:t>
            </w:r>
          </w:p>
        </w:tc>
        <w:tc>
          <w:tcPr>
            <w:tcW w:w="14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552</w:t>
            </w:r>
          </w:p>
        </w:tc>
        <w:tc>
          <w:tcPr>
            <w:tcW w:w="2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1040" w:type="dxa"/>
            <w:vAlign w:val="bottom"/>
            <w:gridSpan w:val="3"/>
          </w:tcPr>
          <w:p>
            <w:pPr>
              <w:jc w:val="right"/>
              <w:ind w:right="60"/>
              <w:spacing w:after="0"/>
              <w:rPr>
                <w:sz w:val="20"/>
                <w:szCs w:val="20"/>
                <w:color w:val="auto"/>
              </w:rPr>
            </w:pPr>
            <w:r>
              <w:rPr>
                <w:rFonts w:ascii="Arial" w:cs="Arial" w:eastAsia="Arial" w:hAnsi="Arial"/>
                <w:sz w:val="11"/>
                <w:szCs w:val="11"/>
                <w:color w:val="auto"/>
              </w:rPr>
              <w:t>(8 )</w:t>
            </w:r>
          </w:p>
        </w:tc>
        <w:tc>
          <w:tcPr>
            <w:tcW w:w="0" w:type="dxa"/>
            <w:vAlign w:val="bottom"/>
          </w:tcPr>
          <w:p>
            <w:pPr>
              <w:spacing w:after="0"/>
              <w:rPr>
                <w:sz w:val="1"/>
                <w:szCs w:val="1"/>
                <w:color w:val="auto"/>
              </w:rPr>
            </w:pPr>
          </w:p>
        </w:tc>
      </w:tr>
      <w:tr>
        <w:trPr>
          <w:trHeight w:val="155"/>
        </w:trPr>
        <w:tc>
          <w:tcPr>
            <w:tcW w:w="316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Findex Group Limited </w:t>
            </w:r>
            <w:r>
              <w:rPr>
                <w:rFonts w:ascii="Arial" w:cs="Arial" w:eastAsia="Arial" w:hAnsi="Arial"/>
                <w:sz w:val="14"/>
                <w:szCs w:val="14"/>
                <w:color w:val="auto"/>
                <w:vertAlign w:val="superscript"/>
              </w:rPr>
              <w:t>(5)(10)(11)</w:t>
            </w:r>
          </w:p>
        </w:tc>
        <w:tc>
          <w:tcPr>
            <w:tcW w:w="74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05/31/2024</w:t>
            </w:r>
          </w:p>
        </w:tc>
        <w:tc>
          <w:tcPr>
            <w:tcW w:w="140" w:type="dxa"/>
            <w:vAlign w:val="bottom"/>
          </w:tcPr>
          <w:p>
            <w:pPr>
              <w:spacing w:after="0"/>
              <w:rPr>
                <w:sz w:val="13"/>
                <w:szCs w:val="13"/>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90"/>
              </w:rPr>
              <w:t>Diversified Financial Services</w:t>
            </w:r>
          </w:p>
        </w:tc>
        <w:tc>
          <w:tcPr>
            <w:tcW w:w="960" w:type="dxa"/>
            <w:vAlign w:val="bottom"/>
            <w:gridSpan w:val="3"/>
          </w:tcPr>
          <w:p>
            <w:pPr>
              <w:jc w:val="right"/>
              <w:ind w:right="20"/>
              <w:spacing w:after="0"/>
              <w:rPr>
                <w:sz w:val="20"/>
                <w:szCs w:val="20"/>
                <w:color w:val="auto"/>
              </w:rPr>
            </w:pPr>
            <w:r>
              <w:rPr>
                <w:rFonts w:ascii="Arial" w:cs="Arial" w:eastAsia="Arial" w:hAnsi="Arial"/>
                <w:sz w:val="11"/>
                <w:szCs w:val="11"/>
                <w:color w:val="auto"/>
              </w:rPr>
              <w:t>6.19 %</w:t>
            </w: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3M</w:t>
            </w:r>
          </w:p>
        </w:tc>
        <w:tc>
          <w:tcPr>
            <w:tcW w:w="300" w:type="dxa"/>
            <w:vAlign w:val="bottom"/>
          </w:tcPr>
          <w:p>
            <w:pPr>
              <w:jc w:val="right"/>
              <w:spacing w:after="0"/>
              <w:rPr>
                <w:sz w:val="20"/>
                <w:szCs w:val="20"/>
                <w:color w:val="auto"/>
              </w:rPr>
            </w:pPr>
            <w:r>
              <w:rPr>
                <w:rFonts w:ascii="Arial" w:cs="Arial" w:eastAsia="Arial" w:hAnsi="Arial"/>
                <w:sz w:val="11"/>
                <w:szCs w:val="11"/>
                <w:color w:val="auto"/>
                <w:w w:val="84"/>
              </w:rPr>
              <w:t>L+450</w:t>
            </w: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AUD 10,000</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7,377</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6,877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3160" w:type="dxa"/>
            <w:vAlign w:val="bottom"/>
          </w:tcPr>
          <w:p>
            <w:pPr>
              <w:ind w:left="20"/>
              <w:spacing w:after="0" w:line="115" w:lineRule="exact"/>
              <w:rPr>
                <w:sz w:val="20"/>
                <w:szCs w:val="20"/>
                <w:color w:val="auto"/>
              </w:rPr>
            </w:pPr>
            <w:r>
              <w:rPr>
                <w:rFonts w:ascii="Arial" w:cs="Arial" w:eastAsia="Arial" w:hAnsi="Arial"/>
                <w:sz w:val="11"/>
                <w:szCs w:val="11"/>
                <w:color w:val="auto"/>
              </w:rPr>
              <w:t>Gantech Acquisition Corp.</w:t>
            </w:r>
          </w:p>
        </w:tc>
        <w:tc>
          <w:tcPr>
            <w:tcW w:w="740" w:type="dxa"/>
            <w:vAlign w:val="bottom"/>
            <w:gridSpan w:val="2"/>
          </w:tcPr>
          <w:p>
            <w:pPr>
              <w:jc w:val="center"/>
              <w:ind w:left="86"/>
              <w:spacing w:after="0" w:line="115" w:lineRule="exact"/>
              <w:rPr>
                <w:sz w:val="20"/>
                <w:szCs w:val="20"/>
                <w:color w:val="auto"/>
              </w:rPr>
            </w:pPr>
            <w:r>
              <w:rPr>
                <w:rFonts w:ascii="Arial" w:cs="Arial" w:eastAsia="Arial" w:hAnsi="Arial"/>
                <w:sz w:val="11"/>
                <w:szCs w:val="11"/>
                <w:color w:val="auto"/>
                <w:w w:val="87"/>
              </w:rPr>
              <w:t>05/14/2026</w:t>
            </w:r>
          </w:p>
        </w:tc>
        <w:tc>
          <w:tcPr>
            <w:tcW w:w="140" w:type="dxa"/>
            <w:vAlign w:val="bottom"/>
          </w:tcPr>
          <w:p>
            <w:pPr>
              <w:spacing w:after="0"/>
              <w:rPr>
                <w:sz w:val="9"/>
                <w:szCs w:val="9"/>
                <w:color w:val="auto"/>
              </w:rPr>
            </w:pPr>
          </w:p>
        </w:tc>
        <w:tc>
          <w:tcPr>
            <w:tcW w:w="2240" w:type="dxa"/>
            <w:vAlign w:val="bottom"/>
          </w:tcPr>
          <w:p>
            <w:pPr>
              <w:jc w:val="center"/>
              <w:spacing w:after="0" w:line="115" w:lineRule="exact"/>
              <w:rPr>
                <w:sz w:val="20"/>
                <w:szCs w:val="20"/>
                <w:color w:val="auto"/>
              </w:rPr>
            </w:pPr>
            <w:r>
              <w:rPr>
                <w:rFonts w:ascii="Arial" w:cs="Arial" w:eastAsia="Arial" w:hAnsi="Arial"/>
                <w:sz w:val="11"/>
                <w:szCs w:val="11"/>
                <w:color w:val="auto"/>
                <w:w w:val="90"/>
              </w:rPr>
              <w:t>IT Services</w:t>
            </w:r>
          </w:p>
        </w:tc>
        <w:tc>
          <w:tcPr>
            <w:tcW w:w="960" w:type="dxa"/>
            <w:vAlign w:val="bottom"/>
            <w:gridSpan w:val="3"/>
          </w:tcPr>
          <w:p>
            <w:pPr>
              <w:jc w:val="right"/>
              <w:ind w:right="20"/>
              <w:spacing w:after="0" w:line="115" w:lineRule="exact"/>
              <w:rPr>
                <w:sz w:val="20"/>
                <w:szCs w:val="20"/>
                <w:color w:val="auto"/>
              </w:rPr>
            </w:pPr>
            <w:r>
              <w:rPr>
                <w:rFonts w:ascii="Arial" w:cs="Arial" w:eastAsia="Arial" w:hAnsi="Arial"/>
                <w:sz w:val="11"/>
                <w:szCs w:val="11"/>
                <w:color w:val="auto"/>
              </w:rPr>
              <w:t>7.92 %</w:t>
            </w:r>
          </w:p>
        </w:tc>
        <w:tc>
          <w:tcPr>
            <w:tcW w:w="120" w:type="dxa"/>
            <w:vAlign w:val="bottom"/>
          </w:tcPr>
          <w:p>
            <w:pPr>
              <w:spacing w:after="0"/>
              <w:rPr>
                <w:sz w:val="9"/>
                <w:szCs w:val="9"/>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1"/>
                <w:szCs w:val="11"/>
                <w:color w:val="auto"/>
              </w:rPr>
              <w:t>1M</w:t>
            </w:r>
          </w:p>
        </w:tc>
        <w:tc>
          <w:tcPr>
            <w:tcW w:w="300" w:type="dxa"/>
            <w:vAlign w:val="bottom"/>
          </w:tcPr>
          <w:p>
            <w:pPr>
              <w:jc w:val="right"/>
              <w:spacing w:after="0" w:line="115" w:lineRule="exact"/>
              <w:rPr>
                <w:sz w:val="20"/>
                <w:szCs w:val="20"/>
                <w:color w:val="auto"/>
              </w:rPr>
            </w:pPr>
            <w:r>
              <w:rPr>
                <w:rFonts w:ascii="Arial" w:cs="Arial" w:eastAsia="Arial" w:hAnsi="Arial"/>
                <w:sz w:val="11"/>
                <w:szCs w:val="11"/>
                <w:color w:val="auto"/>
                <w:w w:val="84"/>
              </w:rPr>
              <w:t>L+625</w:t>
            </w:r>
          </w:p>
        </w:tc>
        <w:tc>
          <w:tcPr>
            <w:tcW w:w="9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22,094</w:t>
            </w:r>
          </w:p>
        </w:tc>
        <w:tc>
          <w:tcPr>
            <w:tcW w:w="94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21,723</w:t>
            </w:r>
          </w:p>
        </w:tc>
        <w:tc>
          <w:tcPr>
            <w:tcW w:w="94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21,653</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316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Gantech Acquisition Corp. (Revolver) </w:t>
            </w:r>
            <w:r>
              <w:rPr>
                <w:rFonts w:ascii="Arial" w:cs="Arial" w:eastAsia="Arial" w:hAnsi="Arial"/>
                <w:sz w:val="14"/>
                <w:szCs w:val="14"/>
                <w:color w:val="auto"/>
                <w:vertAlign w:val="superscript"/>
              </w:rPr>
              <w:t>(7), (9)</w:t>
            </w:r>
          </w:p>
        </w:tc>
        <w:tc>
          <w:tcPr>
            <w:tcW w:w="74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05/14/2026</w:t>
            </w:r>
          </w:p>
        </w:tc>
        <w:tc>
          <w:tcPr>
            <w:tcW w:w="140" w:type="dxa"/>
            <w:vAlign w:val="bottom"/>
          </w:tcPr>
          <w:p>
            <w:pPr>
              <w:spacing w:after="0"/>
              <w:rPr>
                <w:sz w:val="13"/>
                <w:szCs w:val="13"/>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90"/>
              </w:rPr>
              <w:t>IT Services</w:t>
            </w:r>
          </w:p>
        </w:tc>
        <w:tc>
          <w:tcPr>
            <w:tcW w:w="14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3,733</w:t>
            </w:r>
          </w:p>
        </w:tc>
        <w:tc>
          <w:tcPr>
            <w:tcW w:w="2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1040" w:type="dxa"/>
            <w:vAlign w:val="bottom"/>
            <w:gridSpan w:val="3"/>
          </w:tcPr>
          <w:p>
            <w:pPr>
              <w:jc w:val="right"/>
              <w:ind w:right="60"/>
              <w:spacing w:after="0"/>
              <w:rPr>
                <w:sz w:val="20"/>
                <w:szCs w:val="20"/>
                <w:color w:val="auto"/>
              </w:rPr>
            </w:pPr>
            <w:r>
              <w:rPr>
                <w:rFonts w:ascii="Arial" w:cs="Arial" w:eastAsia="Arial" w:hAnsi="Arial"/>
                <w:sz w:val="11"/>
                <w:szCs w:val="11"/>
                <w:color w:val="auto"/>
              </w:rPr>
              <w:t>(75 )</w:t>
            </w:r>
          </w:p>
        </w:tc>
        <w:tc>
          <w:tcPr>
            <w:tcW w:w="0" w:type="dxa"/>
            <w:vAlign w:val="bottom"/>
          </w:tcPr>
          <w:p>
            <w:pPr>
              <w:spacing w:after="0"/>
              <w:rPr>
                <w:sz w:val="1"/>
                <w:szCs w:val="1"/>
                <w:color w:val="auto"/>
              </w:rPr>
            </w:pPr>
          </w:p>
        </w:tc>
      </w:tr>
      <w:tr>
        <w:trPr>
          <w:trHeight w:val="115"/>
        </w:trPr>
        <w:tc>
          <w:tcPr>
            <w:tcW w:w="3160" w:type="dxa"/>
            <w:vAlign w:val="bottom"/>
          </w:tcPr>
          <w:p>
            <w:pPr>
              <w:ind w:left="20"/>
              <w:spacing w:after="0" w:line="115" w:lineRule="exact"/>
              <w:rPr>
                <w:sz w:val="20"/>
                <w:szCs w:val="20"/>
                <w:color w:val="auto"/>
              </w:rPr>
            </w:pPr>
            <w:r>
              <w:rPr>
                <w:rFonts w:ascii="Arial" w:cs="Arial" w:eastAsia="Arial" w:hAnsi="Arial"/>
                <w:sz w:val="11"/>
                <w:szCs w:val="11"/>
                <w:color w:val="auto"/>
              </w:rPr>
              <w:t>Global Holdings InterCo LLC</w:t>
            </w:r>
          </w:p>
        </w:tc>
        <w:tc>
          <w:tcPr>
            <w:tcW w:w="740" w:type="dxa"/>
            <w:vAlign w:val="bottom"/>
            <w:gridSpan w:val="2"/>
          </w:tcPr>
          <w:p>
            <w:pPr>
              <w:jc w:val="center"/>
              <w:ind w:left="86"/>
              <w:spacing w:after="0" w:line="115" w:lineRule="exact"/>
              <w:rPr>
                <w:sz w:val="20"/>
                <w:szCs w:val="20"/>
                <w:color w:val="auto"/>
              </w:rPr>
            </w:pPr>
            <w:r>
              <w:rPr>
                <w:rFonts w:ascii="Arial" w:cs="Arial" w:eastAsia="Arial" w:hAnsi="Arial"/>
                <w:sz w:val="11"/>
                <w:szCs w:val="11"/>
                <w:color w:val="auto"/>
                <w:w w:val="87"/>
              </w:rPr>
              <w:t>03/16/2026</w:t>
            </w:r>
          </w:p>
        </w:tc>
        <w:tc>
          <w:tcPr>
            <w:tcW w:w="140" w:type="dxa"/>
            <w:vAlign w:val="bottom"/>
          </w:tcPr>
          <w:p>
            <w:pPr>
              <w:spacing w:after="0"/>
              <w:rPr>
                <w:sz w:val="9"/>
                <w:szCs w:val="9"/>
                <w:color w:val="auto"/>
              </w:rPr>
            </w:pPr>
          </w:p>
        </w:tc>
        <w:tc>
          <w:tcPr>
            <w:tcW w:w="2240" w:type="dxa"/>
            <w:vAlign w:val="bottom"/>
          </w:tcPr>
          <w:p>
            <w:pPr>
              <w:jc w:val="center"/>
              <w:spacing w:after="0" w:line="115" w:lineRule="exact"/>
              <w:rPr>
                <w:sz w:val="20"/>
                <w:szCs w:val="20"/>
                <w:color w:val="auto"/>
              </w:rPr>
            </w:pPr>
            <w:r>
              <w:rPr>
                <w:rFonts w:ascii="Arial" w:cs="Arial" w:eastAsia="Arial" w:hAnsi="Arial"/>
                <w:sz w:val="11"/>
                <w:szCs w:val="11"/>
                <w:color w:val="auto"/>
                <w:w w:val="90"/>
              </w:rPr>
              <w:t>Diversified Financial Services</w:t>
            </w:r>
          </w:p>
        </w:tc>
        <w:tc>
          <w:tcPr>
            <w:tcW w:w="960" w:type="dxa"/>
            <w:vAlign w:val="bottom"/>
            <w:gridSpan w:val="3"/>
          </w:tcPr>
          <w:p>
            <w:pPr>
              <w:jc w:val="right"/>
              <w:ind w:right="20"/>
              <w:spacing w:after="0" w:line="115" w:lineRule="exact"/>
              <w:rPr>
                <w:sz w:val="20"/>
                <w:szCs w:val="20"/>
                <w:color w:val="auto"/>
              </w:rPr>
            </w:pPr>
            <w:r>
              <w:rPr>
                <w:rFonts w:ascii="Arial" w:cs="Arial" w:eastAsia="Arial" w:hAnsi="Arial"/>
                <w:sz w:val="11"/>
                <w:szCs w:val="11"/>
                <w:color w:val="auto"/>
              </w:rPr>
              <w:t>7.51 %</w:t>
            </w:r>
          </w:p>
        </w:tc>
        <w:tc>
          <w:tcPr>
            <w:tcW w:w="120" w:type="dxa"/>
            <w:vAlign w:val="bottom"/>
          </w:tcPr>
          <w:p>
            <w:pPr>
              <w:spacing w:after="0"/>
              <w:rPr>
                <w:sz w:val="9"/>
                <w:szCs w:val="9"/>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1"/>
                <w:szCs w:val="11"/>
                <w:color w:val="auto"/>
              </w:rPr>
              <w:t>3M</w:t>
            </w:r>
          </w:p>
        </w:tc>
        <w:tc>
          <w:tcPr>
            <w:tcW w:w="300" w:type="dxa"/>
            <w:vAlign w:val="bottom"/>
          </w:tcPr>
          <w:p>
            <w:pPr>
              <w:jc w:val="right"/>
              <w:spacing w:after="0" w:line="115" w:lineRule="exact"/>
              <w:rPr>
                <w:sz w:val="20"/>
                <w:szCs w:val="20"/>
                <w:color w:val="auto"/>
              </w:rPr>
            </w:pPr>
            <w:r>
              <w:rPr>
                <w:rFonts w:ascii="Arial" w:cs="Arial" w:eastAsia="Arial" w:hAnsi="Arial"/>
                <w:sz w:val="11"/>
                <w:szCs w:val="11"/>
                <w:color w:val="auto"/>
                <w:w w:val="84"/>
              </w:rPr>
              <w:t>L+600</w:t>
            </w:r>
          </w:p>
        </w:tc>
        <w:tc>
          <w:tcPr>
            <w:tcW w:w="9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3,435</w:t>
            </w:r>
          </w:p>
        </w:tc>
        <w:tc>
          <w:tcPr>
            <w:tcW w:w="94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3,395</w:t>
            </w:r>
          </w:p>
        </w:tc>
        <w:tc>
          <w:tcPr>
            <w:tcW w:w="94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3,332</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16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Graffiti Buyer, Inc. </w:t>
            </w:r>
            <w:r>
              <w:rPr>
                <w:rFonts w:ascii="Arial" w:cs="Arial" w:eastAsia="Arial" w:hAnsi="Arial"/>
                <w:sz w:val="14"/>
                <w:szCs w:val="14"/>
                <w:color w:val="auto"/>
                <w:vertAlign w:val="superscript"/>
              </w:rPr>
              <w:t>(7), (9)</w:t>
            </w:r>
          </w:p>
        </w:tc>
        <w:tc>
          <w:tcPr>
            <w:tcW w:w="74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08/10/2023</w:t>
            </w:r>
          </w:p>
        </w:tc>
        <w:tc>
          <w:tcPr>
            <w:tcW w:w="140" w:type="dxa"/>
            <w:vAlign w:val="bottom"/>
          </w:tcPr>
          <w:p>
            <w:pPr>
              <w:spacing w:after="0"/>
              <w:rPr>
                <w:sz w:val="11"/>
                <w:szCs w:val="11"/>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90"/>
              </w:rPr>
              <w:t>Trading Companies &amp; Distributors</w:t>
            </w:r>
          </w:p>
        </w:tc>
        <w:tc>
          <w:tcPr>
            <w:tcW w:w="14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1,071</w:t>
            </w:r>
          </w:p>
        </w:tc>
        <w:tc>
          <w:tcPr>
            <w:tcW w:w="2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1040" w:type="dxa"/>
            <w:vAlign w:val="bottom"/>
            <w:gridSpan w:val="3"/>
          </w:tcPr>
          <w:p>
            <w:pPr>
              <w:jc w:val="right"/>
              <w:ind w:right="60"/>
              <w:spacing w:after="0"/>
              <w:rPr>
                <w:sz w:val="20"/>
                <w:szCs w:val="20"/>
                <w:color w:val="auto"/>
              </w:rPr>
            </w:pPr>
            <w:r>
              <w:rPr>
                <w:rFonts w:ascii="Arial" w:cs="Arial" w:eastAsia="Arial" w:hAnsi="Arial"/>
                <w:sz w:val="11"/>
                <w:szCs w:val="11"/>
                <w:color w:val="auto"/>
              </w:rPr>
              <w:t>(8 )</w:t>
            </w:r>
          </w:p>
        </w:tc>
        <w:tc>
          <w:tcPr>
            <w:tcW w:w="0" w:type="dxa"/>
            <w:vAlign w:val="bottom"/>
          </w:tcPr>
          <w:p>
            <w:pPr>
              <w:spacing w:after="0"/>
              <w:rPr>
                <w:sz w:val="1"/>
                <w:szCs w:val="1"/>
                <w:color w:val="auto"/>
              </w:rPr>
            </w:pPr>
          </w:p>
        </w:tc>
      </w:tr>
      <w:tr>
        <w:trPr>
          <w:trHeight w:val="135"/>
        </w:trPr>
        <w:tc>
          <w:tcPr>
            <w:tcW w:w="316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Graffiti Buyer, Inc. (Revolver) </w:t>
            </w:r>
            <w:r>
              <w:rPr>
                <w:rFonts w:ascii="Arial" w:cs="Arial" w:eastAsia="Arial" w:hAnsi="Arial"/>
                <w:sz w:val="14"/>
                <w:szCs w:val="14"/>
                <w:color w:val="auto"/>
                <w:vertAlign w:val="superscript"/>
              </w:rPr>
              <w:t>(7)</w:t>
            </w:r>
          </w:p>
        </w:tc>
        <w:tc>
          <w:tcPr>
            <w:tcW w:w="74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08/10/2027</w:t>
            </w:r>
          </w:p>
        </w:tc>
        <w:tc>
          <w:tcPr>
            <w:tcW w:w="140" w:type="dxa"/>
            <w:vAlign w:val="bottom"/>
          </w:tcPr>
          <w:p>
            <w:pPr>
              <w:spacing w:after="0"/>
              <w:rPr>
                <w:sz w:val="11"/>
                <w:szCs w:val="11"/>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90"/>
              </w:rPr>
              <w:t>Trading Companies &amp; Distributors</w:t>
            </w:r>
          </w:p>
        </w:tc>
        <w:tc>
          <w:tcPr>
            <w:tcW w:w="960" w:type="dxa"/>
            <w:vAlign w:val="bottom"/>
            <w:gridSpan w:val="3"/>
          </w:tcPr>
          <w:p>
            <w:pPr>
              <w:jc w:val="right"/>
              <w:ind w:right="20"/>
              <w:spacing w:after="0"/>
              <w:rPr>
                <w:sz w:val="20"/>
                <w:szCs w:val="20"/>
                <w:color w:val="auto"/>
              </w:rPr>
            </w:pPr>
            <w:r>
              <w:rPr>
                <w:rFonts w:ascii="Arial" w:cs="Arial" w:eastAsia="Arial" w:hAnsi="Arial"/>
                <w:sz w:val="11"/>
                <w:szCs w:val="11"/>
                <w:color w:val="auto"/>
              </w:rPr>
              <w:t>7.43 %</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3M</w:t>
            </w:r>
          </w:p>
        </w:tc>
        <w:tc>
          <w:tcPr>
            <w:tcW w:w="300" w:type="dxa"/>
            <w:vAlign w:val="bottom"/>
          </w:tcPr>
          <w:p>
            <w:pPr>
              <w:jc w:val="right"/>
              <w:spacing w:after="0"/>
              <w:rPr>
                <w:sz w:val="20"/>
                <w:szCs w:val="20"/>
                <w:color w:val="auto"/>
              </w:rPr>
            </w:pPr>
            <w:r>
              <w:rPr>
                <w:rFonts w:ascii="Arial" w:cs="Arial" w:eastAsia="Arial" w:hAnsi="Arial"/>
                <w:sz w:val="11"/>
                <w:szCs w:val="11"/>
                <w:color w:val="auto"/>
                <w:w w:val="84"/>
              </w:rPr>
              <w:t>L+575</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303</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303</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294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16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Graffiti Buyer, Inc. (Revolver) </w:t>
            </w:r>
            <w:r>
              <w:rPr>
                <w:rFonts w:ascii="Arial" w:cs="Arial" w:eastAsia="Arial" w:hAnsi="Arial"/>
                <w:sz w:val="14"/>
                <w:szCs w:val="14"/>
                <w:color w:val="auto"/>
                <w:vertAlign w:val="superscript"/>
              </w:rPr>
              <w:t>(7), (9)</w:t>
            </w:r>
          </w:p>
        </w:tc>
        <w:tc>
          <w:tcPr>
            <w:tcW w:w="74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08/10/2027</w:t>
            </w:r>
          </w:p>
        </w:tc>
        <w:tc>
          <w:tcPr>
            <w:tcW w:w="140" w:type="dxa"/>
            <w:vAlign w:val="bottom"/>
          </w:tcPr>
          <w:p>
            <w:pPr>
              <w:spacing w:after="0"/>
              <w:rPr>
                <w:sz w:val="13"/>
                <w:szCs w:val="13"/>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90"/>
              </w:rPr>
              <w:t>Trading Companies &amp; Distributors</w:t>
            </w:r>
          </w:p>
        </w:tc>
        <w:tc>
          <w:tcPr>
            <w:tcW w:w="14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562</w:t>
            </w:r>
          </w:p>
        </w:tc>
        <w:tc>
          <w:tcPr>
            <w:tcW w:w="2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1040" w:type="dxa"/>
            <w:vAlign w:val="bottom"/>
            <w:gridSpan w:val="3"/>
          </w:tcPr>
          <w:p>
            <w:pPr>
              <w:jc w:val="right"/>
              <w:ind w:right="60"/>
              <w:spacing w:after="0"/>
              <w:rPr>
                <w:sz w:val="20"/>
                <w:szCs w:val="20"/>
                <w:color w:val="auto"/>
              </w:rPr>
            </w:pPr>
            <w:r>
              <w:rPr>
                <w:rFonts w:ascii="Arial" w:cs="Arial" w:eastAsia="Arial" w:hAnsi="Arial"/>
                <w:sz w:val="11"/>
                <w:szCs w:val="11"/>
                <w:color w:val="auto"/>
              </w:rPr>
              <w:t>(15 )</w:t>
            </w:r>
          </w:p>
        </w:tc>
        <w:tc>
          <w:tcPr>
            <w:tcW w:w="0" w:type="dxa"/>
            <w:vAlign w:val="bottom"/>
          </w:tcPr>
          <w:p>
            <w:pPr>
              <w:spacing w:after="0"/>
              <w:rPr>
                <w:sz w:val="1"/>
                <w:szCs w:val="1"/>
                <w:color w:val="auto"/>
              </w:rPr>
            </w:pPr>
          </w:p>
        </w:tc>
      </w:tr>
      <w:tr>
        <w:trPr>
          <w:trHeight w:val="115"/>
        </w:trPr>
        <w:tc>
          <w:tcPr>
            <w:tcW w:w="3160" w:type="dxa"/>
            <w:vAlign w:val="bottom"/>
          </w:tcPr>
          <w:p>
            <w:pPr>
              <w:ind w:left="20"/>
              <w:spacing w:after="0" w:line="115" w:lineRule="exact"/>
              <w:rPr>
                <w:sz w:val="20"/>
                <w:szCs w:val="20"/>
                <w:color w:val="auto"/>
              </w:rPr>
            </w:pPr>
            <w:r>
              <w:rPr>
                <w:rFonts w:ascii="Arial" w:cs="Arial" w:eastAsia="Arial" w:hAnsi="Arial"/>
                <w:sz w:val="11"/>
                <w:szCs w:val="11"/>
                <w:color w:val="auto"/>
              </w:rPr>
              <w:t>Hancock Roofing and Construction L.L.C.</w:t>
            </w:r>
          </w:p>
        </w:tc>
        <w:tc>
          <w:tcPr>
            <w:tcW w:w="740" w:type="dxa"/>
            <w:vAlign w:val="bottom"/>
            <w:gridSpan w:val="2"/>
          </w:tcPr>
          <w:p>
            <w:pPr>
              <w:jc w:val="center"/>
              <w:ind w:left="86"/>
              <w:spacing w:after="0" w:line="115" w:lineRule="exact"/>
              <w:rPr>
                <w:sz w:val="20"/>
                <w:szCs w:val="20"/>
                <w:color w:val="auto"/>
              </w:rPr>
            </w:pPr>
            <w:r>
              <w:rPr>
                <w:rFonts w:ascii="Arial" w:cs="Arial" w:eastAsia="Arial" w:hAnsi="Arial"/>
                <w:sz w:val="11"/>
                <w:szCs w:val="11"/>
                <w:color w:val="auto"/>
                <w:w w:val="87"/>
              </w:rPr>
              <w:t>12/31/2026</w:t>
            </w:r>
          </w:p>
        </w:tc>
        <w:tc>
          <w:tcPr>
            <w:tcW w:w="140" w:type="dxa"/>
            <w:vAlign w:val="bottom"/>
          </w:tcPr>
          <w:p>
            <w:pPr>
              <w:spacing w:after="0"/>
              <w:rPr>
                <w:sz w:val="9"/>
                <w:szCs w:val="9"/>
                <w:color w:val="auto"/>
              </w:rPr>
            </w:pPr>
          </w:p>
        </w:tc>
        <w:tc>
          <w:tcPr>
            <w:tcW w:w="2240" w:type="dxa"/>
            <w:vAlign w:val="bottom"/>
          </w:tcPr>
          <w:p>
            <w:pPr>
              <w:jc w:val="center"/>
              <w:spacing w:after="0" w:line="115" w:lineRule="exact"/>
              <w:rPr>
                <w:sz w:val="20"/>
                <w:szCs w:val="20"/>
                <w:color w:val="auto"/>
              </w:rPr>
            </w:pPr>
            <w:r>
              <w:rPr>
                <w:rFonts w:ascii="Arial" w:cs="Arial" w:eastAsia="Arial" w:hAnsi="Arial"/>
                <w:sz w:val="11"/>
                <w:szCs w:val="11"/>
                <w:color w:val="auto"/>
                <w:w w:val="86"/>
              </w:rPr>
              <w:t>Insurance</w:t>
            </w:r>
          </w:p>
        </w:tc>
        <w:tc>
          <w:tcPr>
            <w:tcW w:w="960" w:type="dxa"/>
            <w:vAlign w:val="bottom"/>
            <w:gridSpan w:val="3"/>
          </w:tcPr>
          <w:p>
            <w:pPr>
              <w:jc w:val="right"/>
              <w:ind w:right="20"/>
              <w:spacing w:after="0" w:line="115" w:lineRule="exact"/>
              <w:rPr>
                <w:sz w:val="20"/>
                <w:szCs w:val="20"/>
                <w:color w:val="auto"/>
              </w:rPr>
            </w:pPr>
            <w:r>
              <w:rPr>
                <w:rFonts w:ascii="Arial" w:cs="Arial" w:eastAsia="Arial" w:hAnsi="Arial"/>
                <w:sz w:val="11"/>
                <w:szCs w:val="11"/>
                <w:color w:val="auto"/>
              </w:rPr>
              <w:t>7.25 %</w:t>
            </w:r>
          </w:p>
        </w:tc>
        <w:tc>
          <w:tcPr>
            <w:tcW w:w="120" w:type="dxa"/>
            <w:vAlign w:val="bottom"/>
          </w:tcPr>
          <w:p>
            <w:pPr>
              <w:spacing w:after="0"/>
              <w:rPr>
                <w:sz w:val="9"/>
                <w:szCs w:val="9"/>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1"/>
                <w:szCs w:val="11"/>
                <w:color w:val="auto"/>
              </w:rPr>
              <w:t>3M</w:t>
            </w:r>
          </w:p>
        </w:tc>
        <w:tc>
          <w:tcPr>
            <w:tcW w:w="300" w:type="dxa"/>
            <w:vAlign w:val="bottom"/>
          </w:tcPr>
          <w:p>
            <w:pPr>
              <w:jc w:val="right"/>
              <w:spacing w:after="0" w:line="115" w:lineRule="exact"/>
              <w:rPr>
                <w:sz w:val="20"/>
                <w:szCs w:val="20"/>
                <w:color w:val="auto"/>
              </w:rPr>
            </w:pPr>
            <w:r>
              <w:rPr>
                <w:rFonts w:ascii="Arial" w:cs="Arial" w:eastAsia="Arial" w:hAnsi="Arial"/>
                <w:sz w:val="11"/>
                <w:szCs w:val="11"/>
                <w:color w:val="auto"/>
                <w:w w:val="84"/>
              </w:rPr>
              <w:t>L+500</w:t>
            </w:r>
          </w:p>
        </w:tc>
        <w:tc>
          <w:tcPr>
            <w:tcW w:w="9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4,443</w:t>
            </w:r>
          </w:p>
        </w:tc>
        <w:tc>
          <w:tcPr>
            <w:tcW w:w="94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4,379</w:t>
            </w:r>
          </w:p>
        </w:tc>
        <w:tc>
          <w:tcPr>
            <w:tcW w:w="94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4,399</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16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Hancock Roofing and Construction L.L.C. </w:t>
            </w:r>
            <w:r>
              <w:rPr>
                <w:rFonts w:ascii="Arial" w:cs="Arial" w:eastAsia="Arial" w:hAnsi="Arial"/>
                <w:sz w:val="14"/>
                <w:szCs w:val="14"/>
                <w:color w:val="auto"/>
                <w:vertAlign w:val="superscript"/>
              </w:rPr>
              <w:t>(7), (9)</w:t>
            </w:r>
          </w:p>
        </w:tc>
        <w:tc>
          <w:tcPr>
            <w:tcW w:w="74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12/31/2022</w:t>
            </w:r>
          </w:p>
        </w:tc>
        <w:tc>
          <w:tcPr>
            <w:tcW w:w="140" w:type="dxa"/>
            <w:vAlign w:val="bottom"/>
          </w:tcPr>
          <w:p>
            <w:pPr>
              <w:spacing w:after="0"/>
              <w:rPr>
                <w:sz w:val="11"/>
                <w:szCs w:val="11"/>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86"/>
              </w:rPr>
              <w:t>Insurance</w:t>
            </w:r>
          </w:p>
        </w:tc>
        <w:tc>
          <w:tcPr>
            <w:tcW w:w="14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400</w:t>
            </w:r>
          </w:p>
        </w:tc>
        <w:tc>
          <w:tcPr>
            <w:tcW w:w="2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1040" w:type="dxa"/>
            <w:vAlign w:val="bottom"/>
            <w:gridSpan w:val="3"/>
          </w:tcPr>
          <w:p>
            <w:pPr>
              <w:jc w:val="right"/>
              <w:ind w:right="60"/>
              <w:spacing w:after="0"/>
              <w:rPr>
                <w:sz w:val="20"/>
                <w:szCs w:val="20"/>
                <w:color w:val="auto"/>
              </w:rPr>
            </w:pPr>
            <w:r>
              <w:rPr>
                <w:rFonts w:ascii="Arial" w:cs="Arial" w:eastAsia="Arial" w:hAnsi="Arial"/>
                <w:sz w:val="11"/>
                <w:szCs w:val="11"/>
                <w:color w:val="auto"/>
              </w:rPr>
              <w:t>(4 )</w:t>
            </w:r>
          </w:p>
        </w:tc>
        <w:tc>
          <w:tcPr>
            <w:tcW w:w="0" w:type="dxa"/>
            <w:vAlign w:val="bottom"/>
          </w:tcPr>
          <w:p>
            <w:pPr>
              <w:spacing w:after="0"/>
              <w:rPr>
                <w:sz w:val="1"/>
                <w:szCs w:val="1"/>
                <w:color w:val="auto"/>
              </w:rPr>
            </w:pPr>
          </w:p>
        </w:tc>
      </w:tr>
      <w:tr>
        <w:trPr>
          <w:trHeight w:val="165"/>
        </w:trPr>
        <w:tc>
          <w:tcPr>
            <w:tcW w:w="3160" w:type="dxa"/>
            <w:vAlign w:val="bottom"/>
          </w:tcPr>
          <w:p>
            <w:pPr>
              <w:ind w:left="20"/>
              <w:spacing w:after="0"/>
              <w:rPr>
                <w:sz w:val="20"/>
                <w:szCs w:val="20"/>
                <w:color w:val="auto"/>
              </w:rPr>
            </w:pPr>
            <w:r>
              <w:rPr>
                <w:rFonts w:ascii="Arial" w:cs="Arial" w:eastAsia="Arial" w:hAnsi="Arial"/>
                <w:sz w:val="11"/>
                <w:szCs w:val="11"/>
                <w:color w:val="auto"/>
              </w:rPr>
              <w:t xml:space="preserve">Hancock Roofing and Construction L.L.C. (Revolver) </w:t>
            </w:r>
            <w:r>
              <w:rPr>
                <w:rFonts w:ascii="Arial" w:cs="Arial" w:eastAsia="Arial" w:hAnsi="Arial"/>
                <w:sz w:val="14"/>
                <w:szCs w:val="14"/>
                <w:color w:val="auto"/>
                <w:vertAlign w:val="superscript"/>
              </w:rPr>
              <w:t>(7)</w:t>
            </w:r>
          </w:p>
        </w:tc>
        <w:tc>
          <w:tcPr>
            <w:tcW w:w="74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12/31/2026</w:t>
            </w:r>
          </w:p>
        </w:tc>
        <w:tc>
          <w:tcPr>
            <w:tcW w:w="140" w:type="dxa"/>
            <w:vAlign w:val="bottom"/>
          </w:tcPr>
          <w:p>
            <w:pPr>
              <w:spacing w:after="0"/>
              <w:rPr>
                <w:sz w:val="14"/>
                <w:szCs w:val="14"/>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86"/>
              </w:rPr>
              <w:t>Insurance</w:t>
            </w:r>
          </w:p>
        </w:tc>
        <w:tc>
          <w:tcPr>
            <w:tcW w:w="960" w:type="dxa"/>
            <w:vAlign w:val="bottom"/>
            <w:gridSpan w:val="3"/>
          </w:tcPr>
          <w:p>
            <w:pPr>
              <w:jc w:val="right"/>
              <w:ind w:right="20"/>
              <w:spacing w:after="0"/>
              <w:rPr>
                <w:sz w:val="20"/>
                <w:szCs w:val="20"/>
                <w:color w:val="auto"/>
              </w:rPr>
            </w:pPr>
            <w:r>
              <w:rPr>
                <w:rFonts w:ascii="Arial" w:cs="Arial" w:eastAsia="Arial" w:hAnsi="Arial"/>
                <w:sz w:val="11"/>
                <w:szCs w:val="11"/>
                <w:color w:val="auto"/>
              </w:rPr>
              <w:t>6.12 %</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3M</w:t>
            </w:r>
          </w:p>
        </w:tc>
        <w:tc>
          <w:tcPr>
            <w:tcW w:w="300" w:type="dxa"/>
            <w:vAlign w:val="bottom"/>
          </w:tcPr>
          <w:p>
            <w:pPr>
              <w:jc w:val="right"/>
              <w:spacing w:after="0"/>
              <w:rPr>
                <w:sz w:val="20"/>
                <w:szCs w:val="20"/>
                <w:color w:val="auto"/>
              </w:rPr>
            </w:pPr>
            <w:r>
              <w:rPr>
                <w:rFonts w:ascii="Arial" w:cs="Arial" w:eastAsia="Arial" w:hAnsi="Arial"/>
                <w:sz w:val="11"/>
                <w:szCs w:val="11"/>
                <w:color w:val="auto"/>
                <w:w w:val="84"/>
              </w:rPr>
              <w:t>L+500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280</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280</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277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-7414260</wp:posOffset>
            </wp:positionV>
            <wp:extent cx="7132320" cy="939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-7234555</wp:posOffset>
            </wp:positionV>
            <wp:extent cx="7132320" cy="8572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-7063105</wp:posOffset>
            </wp:positionV>
            <wp:extent cx="7132320" cy="8572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-6891655</wp:posOffset>
            </wp:positionV>
            <wp:extent cx="7132320" cy="8572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-6720205</wp:posOffset>
            </wp:positionV>
            <wp:extent cx="7132320" cy="8572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-6377305</wp:posOffset>
            </wp:positionV>
            <wp:extent cx="7132320" cy="8572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-6034405</wp:posOffset>
            </wp:positionV>
            <wp:extent cx="7132320" cy="8572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-5862955</wp:posOffset>
            </wp:positionV>
            <wp:extent cx="7132320" cy="8572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-5622925</wp:posOffset>
            </wp:positionV>
            <wp:extent cx="7132320" cy="8572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-5451475</wp:posOffset>
            </wp:positionV>
            <wp:extent cx="7132320" cy="8572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-5280025</wp:posOffset>
            </wp:positionV>
            <wp:extent cx="7132320" cy="8572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-5108575</wp:posOffset>
            </wp:positionV>
            <wp:extent cx="7132320" cy="8572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-4937125</wp:posOffset>
            </wp:positionV>
            <wp:extent cx="7132320" cy="8572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-4594225</wp:posOffset>
            </wp:positionV>
            <wp:extent cx="7132320" cy="8572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-4337050</wp:posOffset>
            </wp:positionV>
            <wp:extent cx="7132320" cy="8572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-4165600</wp:posOffset>
            </wp:positionV>
            <wp:extent cx="7132320" cy="8572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-3994150</wp:posOffset>
            </wp:positionV>
            <wp:extent cx="7132320" cy="8572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-3822700</wp:posOffset>
            </wp:positionV>
            <wp:extent cx="7132320" cy="8572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-3651250</wp:posOffset>
            </wp:positionV>
            <wp:extent cx="7132320" cy="8572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-3479800</wp:posOffset>
            </wp:positionV>
            <wp:extent cx="7132320" cy="8572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-3308350</wp:posOffset>
            </wp:positionV>
            <wp:extent cx="7132320" cy="8572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-3136900</wp:posOffset>
            </wp:positionV>
            <wp:extent cx="7132320" cy="8572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-2965450</wp:posOffset>
            </wp:positionV>
            <wp:extent cx="7132320" cy="8572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-2622550</wp:posOffset>
            </wp:positionV>
            <wp:extent cx="7132320" cy="8572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-2279650</wp:posOffset>
            </wp:positionV>
            <wp:extent cx="7132320" cy="8572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-2108200</wp:posOffset>
            </wp:positionV>
            <wp:extent cx="7132320" cy="8572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-1765300</wp:posOffset>
            </wp:positionV>
            <wp:extent cx="7132320" cy="1543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-1456690</wp:posOffset>
            </wp:positionV>
            <wp:extent cx="7132320" cy="8572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-1285240</wp:posOffset>
            </wp:positionV>
            <wp:extent cx="7132320" cy="8572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-1113790</wp:posOffset>
            </wp:positionV>
            <wp:extent cx="7132320" cy="8572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-942340</wp:posOffset>
            </wp:positionV>
            <wp:extent cx="7132320" cy="8572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-770890</wp:posOffset>
            </wp:positionV>
            <wp:extent cx="7132320" cy="8572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-599440</wp:posOffset>
            </wp:positionV>
            <wp:extent cx="7132320" cy="8572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-427990</wp:posOffset>
            </wp:positionV>
            <wp:extent cx="7132320" cy="8572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-256540</wp:posOffset>
            </wp:positionV>
            <wp:extent cx="7132320" cy="8572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8572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5725"/>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61"/>
        </w:trPr>
        <w:tc>
          <w:tcPr>
            <w:tcW w:w="2980" w:type="dxa"/>
            <w:vAlign w:val="bottom"/>
          </w:tcPr>
          <w:p>
            <w:pPr>
              <w:ind w:left="20"/>
              <w:spacing w:after="0"/>
              <w:rPr>
                <w:sz w:val="20"/>
                <w:szCs w:val="20"/>
                <w:color w:val="auto"/>
              </w:rPr>
            </w:pPr>
            <w:r>
              <w:rPr>
                <w:rFonts w:ascii="Arial" w:cs="Arial" w:eastAsia="Arial" w:hAnsi="Arial"/>
                <w:sz w:val="11"/>
                <w:szCs w:val="11"/>
                <w:color w:val="auto"/>
              </w:rPr>
              <w:t xml:space="preserve">Hancock Roofing and Construction L.L.C. (Revolver) </w:t>
            </w:r>
            <w:r>
              <w:rPr>
                <w:rFonts w:ascii="Arial" w:cs="Arial" w:eastAsia="Arial" w:hAnsi="Arial"/>
                <w:sz w:val="14"/>
                <w:szCs w:val="14"/>
                <w:color w:val="auto"/>
                <w:vertAlign w:val="superscript"/>
              </w:rPr>
              <w:t>(7), (9)</w:t>
            </w:r>
          </w:p>
        </w:tc>
        <w:tc>
          <w:tcPr>
            <w:tcW w:w="1280" w:type="dxa"/>
            <w:vAlign w:val="bottom"/>
          </w:tcPr>
          <w:p>
            <w:pPr>
              <w:jc w:val="right"/>
              <w:ind w:right="366"/>
              <w:spacing w:after="0"/>
              <w:rPr>
                <w:sz w:val="20"/>
                <w:szCs w:val="20"/>
                <w:color w:val="auto"/>
              </w:rPr>
            </w:pPr>
            <w:r>
              <w:rPr>
                <w:rFonts w:ascii="Arial" w:cs="Arial" w:eastAsia="Arial" w:hAnsi="Arial"/>
                <w:sz w:val="11"/>
                <w:szCs w:val="11"/>
                <w:color w:val="auto"/>
              </w:rPr>
              <w:t>12/31/2026</w:t>
            </w:r>
          </w:p>
        </w:tc>
        <w:tc>
          <w:tcPr>
            <w:tcW w:w="2040" w:type="dxa"/>
            <w:vAlign w:val="bottom"/>
          </w:tcPr>
          <w:p>
            <w:pPr>
              <w:jc w:val="center"/>
              <w:ind w:right="166"/>
              <w:spacing w:after="0"/>
              <w:rPr>
                <w:sz w:val="20"/>
                <w:szCs w:val="20"/>
                <w:color w:val="auto"/>
              </w:rPr>
            </w:pPr>
            <w:r>
              <w:rPr>
                <w:rFonts w:ascii="Arial" w:cs="Arial" w:eastAsia="Arial" w:hAnsi="Arial"/>
                <w:sz w:val="11"/>
                <w:szCs w:val="11"/>
                <w:color w:val="auto"/>
                <w:w w:val="86"/>
              </w:rPr>
              <w:t>Insurance</w:t>
            </w:r>
          </w:p>
        </w:tc>
        <w:tc>
          <w:tcPr>
            <w:tcW w:w="1240" w:type="dxa"/>
            <w:vAlign w:val="bottom"/>
          </w:tcPr>
          <w:p>
            <w:pPr>
              <w:jc w:val="right"/>
              <w:ind w:right="386"/>
              <w:spacing w:after="0"/>
              <w:rPr>
                <w:sz w:val="20"/>
                <w:szCs w:val="20"/>
                <w:color w:val="auto"/>
              </w:rPr>
            </w:pPr>
            <w:r>
              <w:rPr>
                <w:rFonts w:ascii="Arial" w:cs="Arial" w:eastAsia="Arial" w:hAnsi="Arial"/>
                <w:sz w:val="11"/>
                <w:szCs w:val="11"/>
                <w:color w:val="auto"/>
              </w:rPr>
              <w:t>—</w:t>
            </w:r>
          </w:p>
        </w:tc>
        <w:tc>
          <w:tcPr>
            <w:tcW w:w="1120" w:type="dxa"/>
            <w:vAlign w:val="bottom"/>
          </w:tcPr>
          <w:p>
            <w:pPr>
              <w:spacing w:after="0"/>
              <w:rPr>
                <w:sz w:val="14"/>
                <w:szCs w:val="14"/>
                <w:color w:val="auto"/>
              </w:rPr>
            </w:pPr>
          </w:p>
        </w:tc>
        <w:tc>
          <w:tcPr>
            <w:tcW w:w="940" w:type="dxa"/>
            <w:vAlign w:val="bottom"/>
          </w:tcPr>
          <w:p>
            <w:pPr>
              <w:jc w:val="right"/>
              <w:ind w:right="286"/>
              <w:spacing w:after="0"/>
              <w:rPr>
                <w:sz w:val="20"/>
                <w:szCs w:val="20"/>
                <w:color w:val="auto"/>
              </w:rPr>
            </w:pPr>
            <w:r>
              <w:rPr>
                <w:rFonts w:ascii="Arial" w:cs="Arial" w:eastAsia="Arial" w:hAnsi="Arial"/>
                <w:sz w:val="11"/>
                <w:szCs w:val="11"/>
                <w:color w:val="auto"/>
              </w:rPr>
              <w:t>470</w:t>
            </w:r>
          </w:p>
        </w:tc>
        <w:tc>
          <w:tcPr>
            <w:tcW w:w="940" w:type="dxa"/>
            <w:vAlign w:val="bottom"/>
          </w:tcPr>
          <w:p>
            <w:pPr>
              <w:jc w:val="right"/>
              <w:ind w:right="306"/>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(5 )</w:t>
            </w:r>
          </w:p>
        </w:tc>
      </w:tr>
      <w:tr>
        <w:trPr>
          <w:trHeight w:val="115"/>
        </w:trPr>
        <w:tc>
          <w:tcPr>
            <w:tcW w:w="2980" w:type="dxa"/>
            <w:vAlign w:val="bottom"/>
          </w:tcPr>
          <w:p>
            <w:pPr>
              <w:ind w:left="20"/>
              <w:spacing w:after="0" w:line="115" w:lineRule="exact"/>
              <w:rPr>
                <w:sz w:val="20"/>
                <w:szCs w:val="20"/>
                <w:color w:val="auto"/>
              </w:rPr>
            </w:pPr>
            <w:r>
              <w:rPr>
                <w:rFonts w:ascii="Arial" w:cs="Arial" w:eastAsia="Arial" w:hAnsi="Arial"/>
                <w:sz w:val="11"/>
                <w:szCs w:val="11"/>
                <w:color w:val="auto"/>
              </w:rPr>
              <w:t>Holdco Sands Intermediate, LLC</w:t>
            </w:r>
          </w:p>
        </w:tc>
        <w:tc>
          <w:tcPr>
            <w:tcW w:w="1280" w:type="dxa"/>
            <w:vAlign w:val="bottom"/>
          </w:tcPr>
          <w:p>
            <w:pPr>
              <w:jc w:val="right"/>
              <w:ind w:right="366"/>
              <w:spacing w:after="0" w:line="115" w:lineRule="exact"/>
              <w:rPr>
                <w:sz w:val="20"/>
                <w:szCs w:val="20"/>
                <w:color w:val="auto"/>
              </w:rPr>
            </w:pPr>
            <w:r>
              <w:rPr>
                <w:rFonts w:ascii="Arial" w:cs="Arial" w:eastAsia="Arial" w:hAnsi="Arial"/>
                <w:sz w:val="11"/>
                <w:szCs w:val="11"/>
                <w:color w:val="auto"/>
              </w:rPr>
              <w:t>11/23/2028</w:t>
            </w:r>
          </w:p>
        </w:tc>
        <w:tc>
          <w:tcPr>
            <w:tcW w:w="2040" w:type="dxa"/>
            <w:vAlign w:val="bottom"/>
          </w:tcPr>
          <w:p>
            <w:pPr>
              <w:jc w:val="center"/>
              <w:ind w:right="166"/>
              <w:spacing w:after="0" w:line="115" w:lineRule="exact"/>
              <w:rPr>
                <w:sz w:val="20"/>
                <w:szCs w:val="20"/>
                <w:color w:val="auto"/>
              </w:rPr>
            </w:pPr>
            <w:r>
              <w:rPr>
                <w:rFonts w:ascii="Arial" w:cs="Arial" w:eastAsia="Arial" w:hAnsi="Arial"/>
                <w:sz w:val="11"/>
                <w:szCs w:val="11"/>
                <w:color w:val="auto"/>
                <w:w w:val="86"/>
              </w:rPr>
              <w:t>Aerospace and Defense</w:t>
            </w:r>
          </w:p>
        </w:tc>
        <w:tc>
          <w:tcPr>
            <w:tcW w:w="1240" w:type="dxa"/>
            <w:vAlign w:val="bottom"/>
          </w:tcPr>
          <w:p>
            <w:pPr>
              <w:jc w:val="right"/>
              <w:ind w:right="266"/>
              <w:spacing w:after="0" w:line="115" w:lineRule="exact"/>
              <w:rPr>
                <w:sz w:val="20"/>
                <w:szCs w:val="20"/>
                <w:color w:val="auto"/>
              </w:rPr>
            </w:pPr>
            <w:r>
              <w:rPr>
                <w:rFonts w:ascii="Arial" w:cs="Arial" w:eastAsia="Arial" w:hAnsi="Arial"/>
                <w:sz w:val="11"/>
                <w:szCs w:val="11"/>
                <w:color w:val="auto"/>
              </w:rPr>
              <w:t>8.25 %</w:t>
            </w:r>
          </w:p>
        </w:tc>
        <w:tc>
          <w:tcPr>
            <w:tcW w:w="1120" w:type="dxa"/>
            <w:vAlign w:val="bottom"/>
          </w:tcPr>
          <w:p>
            <w:pPr>
              <w:jc w:val="right"/>
              <w:ind w:right="286"/>
              <w:spacing w:after="0" w:line="115" w:lineRule="exact"/>
              <w:rPr>
                <w:sz w:val="20"/>
                <w:szCs w:val="20"/>
                <w:color w:val="auto"/>
              </w:rPr>
            </w:pPr>
            <w:r>
              <w:rPr>
                <w:rFonts w:ascii="Arial" w:cs="Arial" w:eastAsia="Arial" w:hAnsi="Arial"/>
                <w:sz w:val="11"/>
                <w:szCs w:val="11"/>
                <w:color w:val="auto"/>
              </w:rPr>
              <w:t>3M L+600</w:t>
            </w:r>
          </w:p>
        </w:tc>
        <w:tc>
          <w:tcPr>
            <w:tcW w:w="940" w:type="dxa"/>
            <w:vAlign w:val="bottom"/>
          </w:tcPr>
          <w:p>
            <w:pPr>
              <w:jc w:val="right"/>
              <w:ind w:right="286"/>
              <w:spacing w:after="0" w:line="115" w:lineRule="exact"/>
              <w:rPr>
                <w:sz w:val="20"/>
                <w:szCs w:val="20"/>
                <w:color w:val="auto"/>
              </w:rPr>
            </w:pPr>
            <w:r>
              <w:rPr>
                <w:rFonts w:ascii="Arial" w:cs="Arial" w:eastAsia="Arial" w:hAnsi="Arial"/>
                <w:sz w:val="11"/>
                <w:szCs w:val="11"/>
                <w:color w:val="auto"/>
              </w:rPr>
              <w:t>4,975</w:t>
            </w:r>
          </w:p>
        </w:tc>
        <w:tc>
          <w:tcPr>
            <w:tcW w:w="940" w:type="dxa"/>
            <w:vAlign w:val="bottom"/>
          </w:tcPr>
          <w:p>
            <w:pPr>
              <w:jc w:val="right"/>
              <w:ind w:right="306"/>
              <w:spacing w:after="0" w:line="115" w:lineRule="exact"/>
              <w:rPr>
                <w:sz w:val="20"/>
                <w:szCs w:val="20"/>
                <w:color w:val="auto"/>
              </w:rPr>
            </w:pPr>
            <w:r>
              <w:rPr>
                <w:rFonts w:ascii="Arial" w:cs="Arial" w:eastAsia="Arial" w:hAnsi="Arial"/>
                <w:sz w:val="11"/>
                <w:szCs w:val="11"/>
                <w:color w:val="auto"/>
              </w:rPr>
              <w:t>4,882</w:t>
            </w:r>
          </w:p>
        </w:tc>
        <w:tc>
          <w:tcPr>
            <w:tcW w:w="700" w:type="dxa"/>
            <w:vAlign w:val="bottom"/>
          </w:tcPr>
          <w:p>
            <w:pPr>
              <w:jc w:val="right"/>
              <w:ind w:right="66"/>
              <w:spacing w:after="0" w:line="115" w:lineRule="exact"/>
              <w:rPr>
                <w:sz w:val="20"/>
                <w:szCs w:val="20"/>
                <w:color w:val="auto"/>
              </w:rPr>
            </w:pPr>
            <w:r>
              <w:rPr>
                <w:rFonts w:ascii="Arial" w:cs="Arial" w:eastAsia="Arial" w:hAnsi="Arial"/>
                <w:sz w:val="11"/>
                <w:szCs w:val="11"/>
                <w:color w:val="auto"/>
              </w:rPr>
              <w:t>4,876</w:t>
            </w:r>
          </w:p>
        </w:tc>
      </w:tr>
      <w:tr>
        <w:trPr>
          <w:trHeight w:val="155"/>
        </w:trPr>
        <w:tc>
          <w:tcPr>
            <w:tcW w:w="298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Holdco Sands Intermediate, LLC (Revolver) </w:t>
            </w:r>
            <w:r>
              <w:rPr>
                <w:rFonts w:ascii="Arial" w:cs="Arial" w:eastAsia="Arial" w:hAnsi="Arial"/>
                <w:sz w:val="14"/>
                <w:szCs w:val="14"/>
                <w:color w:val="auto"/>
                <w:vertAlign w:val="superscript"/>
              </w:rPr>
              <w:t>(9)</w:t>
            </w:r>
          </w:p>
        </w:tc>
        <w:tc>
          <w:tcPr>
            <w:tcW w:w="1280" w:type="dxa"/>
            <w:vAlign w:val="bottom"/>
          </w:tcPr>
          <w:p>
            <w:pPr>
              <w:jc w:val="right"/>
              <w:ind w:right="366"/>
              <w:spacing w:after="0"/>
              <w:rPr>
                <w:sz w:val="20"/>
                <w:szCs w:val="20"/>
                <w:color w:val="auto"/>
              </w:rPr>
            </w:pPr>
            <w:r>
              <w:rPr>
                <w:rFonts w:ascii="Arial" w:cs="Arial" w:eastAsia="Arial" w:hAnsi="Arial"/>
                <w:sz w:val="11"/>
                <w:szCs w:val="11"/>
                <w:color w:val="auto"/>
              </w:rPr>
              <w:t>11/23/2027</w:t>
            </w:r>
          </w:p>
        </w:tc>
        <w:tc>
          <w:tcPr>
            <w:tcW w:w="2040" w:type="dxa"/>
            <w:vAlign w:val="bottom"/>
          </w:tcPr>
          <w:p>
            <w:pPr>
              <w:jc w:val="center"/>
              <w:ind w:right="166"/>
              <w:spacing w:after="0"/>
              <w:rPr>
                <w:sz w:val="20"/>
                <w:szCs w:val="20"/>
                <w:color w:val="auto"/>
              </w:rPr>
            </w:pPr>
            <w:r>
              <w:rPr>
                <w:rFonts w:ascii="Arial" w:cs="Arial" w:eastAsia="Arial" w:hAnsi="Arial"/>
                <w:sz w:val="11"/>
                <w:szCs w:val="11"/>
                <w:color w:val="auto"/>
                <w:w w:val="86"/>
              </w:rPr>
              <w:t>Aerospace and Defense</w:t>
            </w:r>
          </w:p>
        </w:tc>
        <w:tc>
          <w:tcPr>
            <w:tcW w:w="1240" w:type="dxa"/>
            <w:vAlign w:val="bottom"/>
          </w:tcPr>
          <w:p>
            <w:pPr>
              <w:jc w:val="right"/>
              <w:ind w:right="386"/>
              <w:spacing w:after="0"/>
              <w:rPr>
                <w:sz w:val="20"/>
                <w:szCs w:val="20"/>
                <w:color w:val="auto"/>
              </w:rPr>
            </w:pPr>
            <w:r>
              <w:rPr>
                <w:rFonts w:ascii="Arial" w:cs="Arial" w:eastAsia="Arial" w:hAnsi="Arial"/>
                <w:sz w:val="11"/>
                <w:szCs w:val="11"/>
                <w:color w:val="auto"/>
              </w:rPr>
              <w:t>—</w:t>
            </w:r>
          </w:p>
        </w:tc>
        <w:tc>
          <w:tcPr>
            <w:tcW w:w="1120" w:type="dxa"/>
            <w:vAlign w:val="bottom"/>
          </w:tcPr>
          <w:p>
            <w:pPr>
              <w:jc w:val="right"/>
              <w:ind w:right="286"/>
              <w:spacing w:after="0"/>
              <w:rPr>
                <w:sz w:val="20"/>
                <w:szCs w:val="20"/>
                <w:color w:val="auto"/>
              </w:rPr>
            </w:pPr>
            <w:r>
              <w:rPr>
                <w:rFonts w:ascii="Arial" w:cs="Arial" w:eastAsia="Arial" w:hAnsi="Arial"/>
                <w:sz w:val="11"/>
                <w:szCs w:val="11"/>
                <w:color w:val="auto"/>
              </w:rPr>
              <w:t>—</w:t>
            </w:r>
          </w:p>
        </w:tc>
        <w:tc>
          <w:tcPr>
            <w:tcW w:w="940" w:type="dxa"/>
            <w:vAlign w:val="bottom"/>
          </w:tcPr>
          <w:p>
            <w:pPr>
              <w:jc w:val="right"/>
              <w:ind w:right="286"/>
              <w:spacing w:after="0"/>
              <w:rPr>
                <w:sz w:val="20"/>
                <w:szCs w:val="20"/>
                <w:color w:val="auto"/>
              </w:rPr>
            </w:pPr>
            <w:r>
              <w:rPr>
                <w:rFonts w:ascii="Arial" w:cs="Arial" w:eastAsia="Arial" w:hAnsi="Arial"/>
                <w:sz w:val="11"/>
                <w:szCs w:val="11"/>
                <w:color w:val="auto"/>
              </w:rPr>
              <w:t>1,791</w:t>
            </w:r>
          </w:p>
        </w:tc>
        <w:tc>
          <w:tcPr>
            <w:tcW w:w="940" w:type="dxa"/>
            <w:vAlign w:val="bottom"/>
          </w:tcPr>
          <w:p>
            <w:pPr>
              <w:jc w:val="right"/>
              <w:ind w:right="306"/>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(36 )</w:t>
            </w:r>
          </w:p>
        </w:tc>
      </w:tr>
      <w:tr>
        <w:trPr>
          <w:trHeight w:val="115"/>
        </w:trPr>
        <w:tc>
          <w:tcPr>
            <w:tcW w:w="2980" w:type="dxa"/>
            <w:vAlign w:val="bottom"/>
          </w:tcPr>
          <w:p>
            <w:pPr>
              <w:ind w:left="20"/>
              <w:spacing w:after="0" w:line="115" w:lineRule="exact"/>
              <w:rPr>
                <w:sz w:val="20"/>
                <w:szCs w:val="20"/>
                <w:color w:val="auto"/>
              </w:rPr>
            </w:pPr>
            <w:r>
              <w:rPr>
                <w:rFonts w:ascii="Arial" w:cs="Arial" w:eastAsia="Arial" w:hAnsi="Arial"/>
                <w:sz w:val="11"/>
                <w:szCs w:val="11"/>
                <w:color w:val="auto"/>
              </w:rPr>
              <w:t>HW Holdco, LLC</w:t>
            </w:r>
          </w:p>
        </w:tc>
        <w:tc>
          <w:tcPr>
            <w:tcW w:w="1280" w:type="dxa"/>
            <w:vAlign w:val="bottom"/>
          </w:tcPr>
          <w:p>
            <w:pPr>
              <w:jc w:val="right"/>
              <w:ind w:right="366"/>
              <w:spacing w:after="0" w:line="115" w:lineRule="exact"/>
              <w:rPr>
                <w:sz w:val="20"/>
                <w:szCs w:val="20"/>
                <w:color w:val="auto"/>
              </w:rPr>
            </w:pPr>
            <w:r>
              <w:rPr>
                <w:rFonts w:ascii="Arial" w:cs="Arial" w:eastAsia="Arial" w:hAnsi="Arial"/>
                <w:sz w:val="11"/>
                <w:szCs w:val="11"/>
                <w:color w:val="auto"/>
              </w:rPr>
              <w:t>12/10/2024</w:t>
            </w:r>
          </w:p>
        </w:tc>
        <w:tc>
          <w:tcPr>
            <w:tcW w:w="2040" w:type="dxa"/>
            <w:vAlign w:val="bottom"/>
          </w:tcPr>
          <w:p>
            <w:pPr>
              <w:jc w:val="center"/>
              <w:ind w:right="186"/>
              <w:spacing w:after="0" w:line="115" w:lineRule="exact"/>
              <w:rPr>
                <w:sz w:val="20"/>
                <w:szCs w:val="20"/>
                <w:color w:val="auto"/>
              </w:rPr>
            </w:pPr>
            <w:r>
              <w:rPr>
                <w:rFonts w:ascii="Arial" w:cs="Arial" w:eastAsia="Arial" w:hAnsi="Arial"/>
                <w:sz w:val="11"/>
                <w:szCs w:val="11"/>
                <w:color w:val="auto"/>
                <w:w w:val="93"/>
              </w:rPr>
              <w:t>Media</w:t>
            </w:r>
          </w:p>
        </w:tc>
        <w:tc>
          <w:tcPr>
            <w:tcW w:w="1240" w:type="dxa"/>
            <w:vAlign w:val="bottom"/>
          </w:tcPr>
          <w:p>
            <w:pPr>
              <w:jc w:val="right"/>
              <w:ind w:right="266"/>
              <w:spacing w:after="0" w:line="115" w:lineRule="exact"/>
              <w:rPr>
                <w:sz w:val="20"/>
                <w:szCs w:val="20"/>
                <w:color w:val="auto"/>
              </w:rPr>
            </w:pPr>
            <w:r>
              <w:rPr>
                <w:rFonts w:ascii="Arial" w:cs="Arial" w:eastAsia="Arial" w:hAnsi="Arial"/>
                <w:sz w:val="11"/>
                <w:szCs w:val="11"/>
                <w:color w:val="auto"/>
              </w:rPr>
              <w:t>6.00 %</w:t>
            </w:r>
          </w:p>
        </w:tc>
        <w:tc>
          <w:tcPr>
            <w:tcW w:w="1120" w:type="dxa"/>
            <w:vAlign w:val="bottom"/>
          </w:tcPr>
          <w:p>
            <w:pPr>
              <w:jc w:val="right"/>
              <w:ind w:right="286"/>
              <w:spacing w:after="0" w:line="115" w:lineRule="exact"/>
              <w:rPr>
                <w:sz w:val="20"/>
                <w:szCs w:val="20"/>
                <w:color w:val="auto"/>
              </w:rPr>
            </w:pPr>
            <w:r>
              <w:rPr>
                <w:rFonts w:ascii="Arial" w:cs="Arial" w:eastAsia="Arial" w:hAnsi="Arial"/>
                <w:sz w:val="11"/>
                <w:szCs w:val="11"/>
                <w:color w:val="auto"/>
              </w:rPr>
              <w:t>1M L+500</w:t>
            </w:r>
          </w:p>
        </w:tc>
        <w:tc>
          <w:tcPr>
            <w:tcW w:w="940" w:type="dxa"/>
            <w:vAlign w:val="bottom"/>
          </w:tcPr>
          <w:p>
            <w:pPr>
              <w:jc w:val="right"/>
              <w:ind w:right="286"/>
              <w:spacing w:after="0" w:line="115" w:lineRule="exact"/>
              <w:rPr>
                <w:sz w:val="20"/>
                <w:szCs w:val="20"/>
                <w:color w:val="auto"/>
              </w:rPr>
            </w:pPr>
            <w:r>
              <w:rPr>
                <w:rFonts w:ascii="Arial" w:cs="Arial" w:eastAsia="Arial" w:hAnsi="Arial"/>
                <w:sz w:val="11"/>
                <w:szCs w:val="11"/>
                <w:color w:val="auto"/>
              </w:rPr>
              <w:t>8,479</w:t>
            </w:r>
          </w:p>
        </w:tc>
        <w:tc>
          <w:tcPr>
            <w:tcW w:w="940" w:type="dxa"/>
            <w:vAlign w:val="bottom"/>
          </w:tcPr>
          <w:p>
            <w:pPr>
              <w:jc w:val="right"/>
              <w:ind w:right="306"/>
              <w:spacing w:after="0" w:line="115" w:lineRule="exact"/>
              <w:rPr>
                <w:sz w:val="20"/>
                <w:szCs w:val="20"/>
                <w:color w:val="auto"/>
              </w:rPr>
            </w:pPr>
            <w:r>
              <w:rPr>
                <w:rFonts w:ascii="Arial" w:cs="Arial" w:eastAsia="Arial" w:hAnsi="Arial"/>
                <w:sz w:val="11"/>
                <w:szCs w:val="11"/>
                <w:color w:val="auto"/>
              </w:rPr>
              <w:t>8,434</w:t>
            </w:r>
          </w:p>
        </w:tc>
        <w:tc>
          <w:tcPr>
            <w:tcW w:w="700" w:type="dxa"/>
            <w:vAlign w:val="bottom"/>
          </w:tcPr>
          <w:p>
            <w:pPr>
              <w:jc w:val="right"/>
              <w:ind w:right="66"/>
              <w:spacing w:after="0" w:line="115" w:lineRule="exact"/>
              <w:rPr>
                <w:sz w:val="20"/>
                <w:szCs w:val="20"/>
                <w:color w:val="auto"/>
              </w:rPr>
            </w:pPr>
            <w:r>
              <w:rPr>
                <w:rFonts w:ascii="Arial" w:cs="Arial" w:eastAsia="Arial" w:hAnsi="Arial"/>
                <w:sz w:val="11"/>
                <w:szCs w:val="11"/>
                <w:color w:val="auto"/>
              </w:rPr>
              <w:t>8,310</w:t>
            </w:r>
          </w:p>
        </w:tc>
      </w:tr>
      <w:tr>
        <w:trPr>
          <w:trHeight w:val="135"/>
        </w:trPr>
        <w:tc>
          <w:tcPr>
            <w:tcW w:w="298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HW Holdco, LLC </w:t>
            </w:r>
            <w:r>
              <w:rPr>
                <w:rFonts w:ascii="Arial" w:cs="Arial" w:eastAsia="Arial" w:hAnsi="Arial"/>
                <w:sz w:val="14"/>
                <w:szCs w:val="14"/>
                <w:color w:val="auto"/>
                <w:vertAlign w:val="superscript"/>
              </w:rPr>
              <w:t>(9)</w:t>
            </w:r>
          </w:p>
        </w:tc>
        <w:tc>
          <w:tcPr>
            <w:tcW w:w="1280" w:type="dxa"/>
            <w:vAlign w:val="bottom"/>
          </w:tcPr>
          <w:p>
            <w:pPr>
              <w:jc w:val="right"/>
              <w:ind w:right="366"/>
              <w:spacing w:after="0"/>
              <w:rPr>
                <w:sz w:val="20"/>
                <w:szCs w:val="20"/>
                <w:color w:val="auto"/>
              </w:rPr>
            </w:pPr>
            <w:r>
              <w:rPr>
                <w:rFonts w:ascii="Arial" w:cs="Arial" w:eastAsia="Arial" w:hAnsi="Arial"/>
                <w:sz w:val="11"/>
                <w:szCs w:val="11"/>
                <w:color w:val="auto"/>
              </w:rPr>
              <w:t>12/10/2024</w:t>
            </w:r>
          </w:p>
        </w:tc>
        <w:tc>
          <w:tcPr>
            <w:tcW w:w="2040" w:type="dxa"/>
            <w:vAlign w:val="bottom"/>
          </w:tcPr>
          <w:p>
            <w:pPr>
              <w:jc w:val="center"/>
              <w:ind w:right="186"/>
              <w:spacing w:after="0"/>
              <w:rPr>
                <w:sz w:val="20"/>
                <w:szCs w:val="20"/>
                <w:color w:val="auto"/>
              </w:rPr>
            </w:pPr>
            <w:r>
              <w:rPr>
                <w:rFonts w:ascii="Arial" w:cs="Arial" w:eastAsia="Arial" w:hAnsi="Arial"/>
                <w:sz w:val="11"/>
                <w:szCs w:val="11"/>
                <w:color w:val="auto"/>
                <w:w w:val="93"/>
              </w:rPr>
              <w:t>Media</w:t>
            </w:r>
          </w:p>
        </w:tc>
        <w:tc>
          <w:tcPr>
            <w:tcW w:w="1240" w:type="dxa"/>
            <w:vAlign w:val="bottom"/>
          </w:tcPr>
          <w:p>
            <w:pPr>
              <w:jc w:val="right"/>
              <w:ind w:right="386"/>
              <w:spacing w:after="0"/>
              <w:rPr>
                <w:sz w:val="20"/>
                <w:szCs w:val="20"/>
                <w:color w:val="auto"/>
              </w:rPr>
            </w:pPr>
            <w:r>
              <w:rPr>
                <w:rFonts w:ascii="Arial" w:cs="Arial" w:eastAsia="Arial" w:hAnsi="Arial"/>
                <w:sz w:val="11"/>
                <w:szCs w:val="11"/>
                <w:color w:val="auto"/>
              </w:rPr>
              <w:t>—</w:t>
            </w:r>
          </w:p>
        </w:tc>
        <w:tc>
          <w:tcPr>
            <w:tcW w:w="1120" w:type="dxa"/>
            <w:vAlign w:val="bottom"/>
          </w:tcPr>
          <w:p>
            <w:pPr>
              <w:jc w:val="right"/>
              <w:ind w:right="286"/>
              <w:spacing w:after="0"/>
              <w:rPr>
                <w:sz w:val="20"/>
                <w:szCs w:val="20"/>
                <w:color w:val="auto"/>
              </w:rPr>
            </w:pPr>
            <w:r>
              <w:rPr>
                <w:rFonts w:ascii="Arial" w:cs="Arial" w:eastAsia="Arial" w:hAnsi="Arial"/>
                <w:sz w:val="11"/>
                <w:szCs w:val="11"/>
                <w:color w:val="auto"/>
              </w:rPr>
              <w:t>—</w:t>
            </w:r>
          </w:p>
        </w:tc>
        <w:tc>
          <w:tcPr>
            <w:tcW w:w="940" w:type="dxa"/>
            <w:vAlign w:val="bottom"/>
          </w:tcPr>
          <w:p>
            <w:pPr>
              <w:jc w:val="right"/>
              <w:ind w:right="286"/>
              <w:spacing w:after="0"/>
              <w:rPr>
                <w:sz w:val="20"/>
                <w:szCs w:val="20"/>
                <w:color w:val="auto"/>
              </w:rPr>
            </w:pPr>
            <w:r>
              <w:rPr>
                <w:rFonts w:ascii="Arial" w:cs="Arial" w:eastAsia="Arial" w:hAnsi="Arial"/>
                <w:sz w:val="11"/>
                <w:szCs w:val="11"/>
                <w:color w:val="auto"/>
              </w:rPr>
              <w:t>1,686</w:t>
            </w:r>
          </w:p>
        </w:tc>
        <w:tc>
          <w:tcPr>
            <w:tcW w:w="940" w:type="dxa"/>
            <w:vAlign w:val="bottom"/>
          </w:tcPr>
          <w:p>
            <w:pPr>
              <w:jc w:val="right"/>
              <w:ind w:right="306"/>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(17 )</w:t>
            </w:r>
          </w:p>
        </w:tc>
      </w:tr>
      <w:tr>
        <w:trPr>
          <w:trHeight w:val="165"/>
        </w:trPr>
        <w:tc>
          <w:tcPr>
            <w:tcW w:w="2980" w:type="dxa"/>
            <w:vAlign w:val="bottom"/>
          </w:tcPr>
          <w:p>
            <w:pPr>
              <w:ind w:left="20"/>
              <w:spacing w:after="0"/>
              <w:rPr>
                <w:sz w:val="20"/>
                <w:szCs w:val="20"/>
                <w:color w:val="auto"/>
              </w:rPr>
            </w:pPr>
            <w:r>
              <w:rPr>
                <w:rFonts w:ascii="Arial" w:cs="Arial" w:eastAsia="Arial" w:hAnsi="Arial"/>
                <w:sz w:val="11"/>
                <w:szCs w:val="11"/>
                <w:color w:val="auto"/>
              </w:rPr>
              <w:t xml:space="preserve">HW Holdco, LLC (Revolver) </w:t>
            </w:r>
            <w:r>
              <w:rPr>
                <w:rFonts w:ascii="Arial" w:cs="Arial" w:eastAsia="Arial" w:hAnsi="Arial"/>
                <w:sz w:val="14"/>
                <w:szCs w:val="14"/>
                <w:color w:val="auto"/>
                <w:vertAlign w:val="superscript"/>
              </w:rPr>
              <w:t>(7)</w:t>
            </w:r>
          </w:p>
        </w:tc>
        <w:tc>
          <w:tcPr>
            <w:tcW w:w="1280" w:type="dxa"/>
            <w:vAlign w:val="bottom"/>
          </w:tcPr>
          <w:p>
            <w:pPr>
              <w:jc w:val="right"/>
              <w:ind w:right="366"/>
              <w:spacing w:after="0"/>
              <w:rPr>
                <w:sz w:val="20"/>
                <w:szCs w:val="20"/>
                <w:color w:val="auto"/>
              </w:rPr>
            </w:pPr>
            <w:r>
              <w:rPr>
                <w:rFonts w:ascii="Arial" w:cs="Arial" w:eastAsia="Arial" w:hAnsi="Arial"/>
                <w:sz w:val="11"/>
                <w:szCs w:val="11"/>
                <w:color w:val="auto"/>
              </w:rPr>
              <w:t>12/10/2024</w:t>
            </w:r>
          </w:p>
        </w:tc>
        <w:tc>
          <w:tcPr>
            <w:tcW w:w="2040" w:type="dxa"/>
            <w:vAlign w:val="bottom"/>
          </w:tcPr>
          <w:p>
            <w:pPr>
              <w:jc w:val="center"/>
              <w:ind w:right="186"/>
              <w:spacing w:after="0"/>
              <w:rPr>
                <w:sz w:val="20"/>
                <w:szCs w:val="20"/>
                <w:color w:val="auto"/>
              </w:rPr>
            </w:pPr>
            <w:r>
              <w:rPr>
                <w:rFonts w:ascii="Arial" w:cs="Arial" w:eastAsia="Arial" w:hAnsi="Arial"/>
                <w:sz w:val="11"/>
                <w:szCs w:val="11"/>
                <w:color w:val="auto"/>
                <w:w w:val="93"/>
              </w:rPr>
              <w:t>Media</w:t>
            </w:r>
          </w:p>
        </w:tc>
        <w:tc>
          <w:tcPr>
            <w:tcW w:w="1240" w:type="dxa"/>
            <w:vAlign w:val="bottom"/>
          </w:tcPr>
          <w:p>
            <w:pPr>
              <w:jc w:val="right"/>
              <w:ind w:right="266"/>
              <w:spacing w:after="0"/>
              <w:rPr>
                <w:sz w:val="20"/>
                <w:szCs w:val="20"/>
                <w:color w:val="auto"/>
              </w:rPr>
            </w:pPr>
            <w:r>
              <w:rPr>
                <w:rFonts w:ascii="Arial" w:cs="Arial" w:eastAsia="Arial" w:hAnsi="Arial"/>
                <w:sz w:val="11"/>
                <w:szCs w:val="11"/>
                <w:color w:val="auto"/>
              </w:rPr>
              <w:t>6.67 %</w:t>
            </w:r>
          </w:p>
        </w:tc>
        <w:tc>
          <w:tcPr>
            <w:tcW w:w="1120" w:type="dxa"/>
            <w:vAlign w:val="bottom"/>
          </w:tcPr>
          <w:p>
            <w:pPr>
              <w:jc w:val="right"/>
              <w:ind w:right="286"/>
              <w:spacing w:after="0"/>
              <w:rPr>
                <w:sz w:val="20"/>
                <w:szCs w:val="20"/>
                <w:color w:val="auto"/>
              </w:rPr>
            </w:pPr>
            <w:r>
              <w:rPr>
                <w:rFonts w:ascii="Arial" w:cs="Arial" w:eastAsia="Arial" w:hAnsi="Arial"/>
                <w:sz w:val="11"/>
                <w:szCs w:val="11"/>
                <w:color w:val="auto"/>
              </w:rPr>
              <w:t>1M L+500</w:t>
            </w:r>
          </w:p>
        </w:tc>
        <w:tc>
          <w:tcPr>
            <w:tcW w:w="940" w:type="dxa"/>
            <w:vAlign w:val="bottom"/>
          </w:tcPr>
          <w:p>
            <w:pPr>
              <w:jc w:val="right"/>
              <w:ind w:right="286"/>
              <w:spacing w:after="0"/>
              <w:rPr>
                <w:sz w:val="20"/>
                <w:szCs w:val="20"/>
                <w:color w:val="auto"/>
              </w:rPr>
            </w:pPr>
            <w:r>
              <w:rPr>
                <w:rFonts w:ascii="Arial" w:cs="Arial" w:eastAsia="Arial" w:hAnsi="Arial"/>
                <w:sz w:val="11"/>
                <w:szCs w:val="11"/>
                <w:color w:val="auto"/>
              </w:rPr>
              <w:t>116</w:t>
            </w:r>
          </w:p>
        </w:tc>
        <w:tc>
          <w:tcPr>
            <w:tcW w:w="940" w:type="dxa"/>
            <w:vAlign w:val="bottom"/>
          </w:tcPr>
          <w:p>
            <w:pPr>
              <w:jc w:val="right"/>
              <w:ind w:right="306"/>
              <w:spacing w:after="0"/>
              <w:rPr>
                <w:sz w:val="20"/>
                <w:szCs w:val="20"/>
                <w:color w:val="auto"/>
              </w:rPr>
            </w:pPr>
            <w:r>
              <w:rPr>
                <w:rFonts w:ascii="Arial" w:cs="Arial" w:eastAsia="Arial" w:hAnsi="Arial"/>
                <w:sz w:val="11"/>
                <w:szCs w:val="11"/>
                <w:color w:val="auto"/>
              </w:rPr>
              <w:t>116</w:t>
            </w: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-427990</wp:posOffset>
            </wp:positionV>
            <wp:extent cx="7132320" cy="8572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-256540</wp:posOffset>
            </wp:positionV>
            <wp:extent cx="7132320" cy="8572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8572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5725"/>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6"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SCHEDULE OF INVESTMENTS—(Continued)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JUNE 30, 2022</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tcPr>
          <w:p>
            <w:pPr>
              <w:jc w:val="center"/>
              <w:spacing w:after="0"/>
              <w:rPr>
                <w:sz w:val="20"/>
                <w:szCs w:val="20"/>
                <w:color w:val="auto"/>
              </w:rPr>
            </w:pPr>
            <w:r>
              <w:rPr>
                <w:rFonts w:ascii="Arial" w:cs="Arial" w:eastAsia="Arial" w:hAnsi="Arial"/>
                <w:sz w:val="11"/>
                <w:szCs w:val="11"/>
                <w:b w:val="1"/>
                <w:bCs w:val="1"/>
                <w:color w:val="auto"/>
                <w:w w:val="86"/>
              </w:rPr>
              <w:t>Basis Point</w:t>
            </w: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gridSpan w:val="2"/>
            <w:vMerge w:val="restart"/>
          </w:tcPr>
          <w:p>
            <w:pPr>
              <w:jc w:val="right"/>
              <w:ind w:right="346"/>
              <w:spacing w:after="0"/>
              <w:rPr>
                <w:sz w:val="20"/>
                <w:szCs w:val="20"/>
                <w:color w:val="auto"/>
              </w:rPr>
            </w:pPr>
            <w:r>
              <w:rPr>
                <w:rFonts w:ascii="Arial" w:cs="Arial" w:eastAsia="Arial" w:hAnsi="Arial"/>
                <w:sz w:val="11"/>
                <w:szCs w:val="11"/>
                <w:b w:val="1"/>
                <w:bCs w:val="1"/>
                <w:color w:val="auto"/>
              </w:rPr>
              <w:t>Current</w:t>
            </w:r>
          </w:p>
        </w:tc>
        <w:tc>
          <w:tcPr>
            <w:tcW w:w="94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85"/>
              </w:rPr>
              <w:t>Spread</w:t>
            </w:r>
          </w:p>
        </w:tc>
        <w:tc>
          <w:tcPr>
            <w:tcW w:w="220" w:type="dxa"/>
            <w:vAlign w:val="bottom"/>
          </w:tcPr>
          <w:p>
            <w:pPr>
              <w:spacing w:after="0"/>
              <w:rPr>
                <w:sz w:val="9"/>
                <w:szCs w:val="9"/>
                <w:color w:val="auto"/>
              </w:rPr>
            </w:pPr>
          </w:p>
        </w:tc>
        <w:tc>
          <w:tcPr>
            <w:tcW w:w="720" w:type="dxa"/>
            <w:vAlign w:val="bottom"/>
            <w:vMerge w:val="restart"/>
          </w:tcPr>
          <w:p>
            <w:pPr>
              <w:jc w:val="right"/>
              <w:ind w:right="186"/>
              <w:spacing w:after="0"/>
              <w:rPr>
                <w:sz w:val="20"/>
                <w:szCs w:val="20"/>
                <w:color w:val="auto"/>
              </w:rPr>
            </w:pPr>
            <w:r>
              <w:rPr>
                <w:rFonts w:ascii="Arial" w:cs="Arial" w:eastAsia="Arial" w:hAnsi="Arial"/>
                <w:sz w:val="11"/>
                <w:szCs w:val="11"/>
                <w:b w:val="1"/>
                <w:bCs w:val="1"/>
                <w:color w:val="auto"/>
              </w:rPr>
              <w:t>Par /</w:t>
            </w: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1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Issuer Name</w:t>
            </w:r>
          </w:p>
        </w:tc>
        <w:tc>
          <w:tcPr>
            <w:tcW w:w="140" w:type="dxa"/>
            <w:vAlign w:val="bottom"/>
          </w:tcPr>
          <w:p>
            <w:pPr>
              <w:spacing w:after="0"/>
              <w:rPr>
                <w:sz w:val="9"/>
                <w:szCs w:val="9"/>
                <w:color w:val="auto"/>
              </w:rPr>
            </w:pPr>
          </w:p>
        </w:tc>
        <w:tc>
          <w:tcPr>
            <w:tcW w:w="62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8"/>
              </w:rPr>
              <w:t>Maturity</w:t>
            </w:r>
          </w:p>
        </w:tc>
        <w:tc>
          <w:tcPr>
            <w:tcW w:w="140" w:type="dxa"/>
            <w:vAlign w:val="bottom"/>
          </w:tcPr>
          <w:p>
            <w:pPr>
              <w:spacing w:after="0"/>
              <w:rPr>
                <w:sz w:val="9"/>
                <w:szCs w:val="9"/>
                <w:color w:val="auto"/>
              </w:rPr>
            </w:pPr>
          </w:p>
        </w:tc>
        <w:tc>
          <w:tcPr>
            <w:tcW w:w="224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2"/>
              </w:rPr>
              <w:t>Industry</w:t>
            </w:r>
          </w:p>
        </w:tc>
        <w:tc>
          <w:tcPr>
            <w:tcW w:w="12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94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89"/>
              </w:rPr>
              <w:t>Above</w:t>
            </w:r>
          </w:p>
        </w:tc>
        <w:tc>
          <w:tcPr>
            <w:tcW w:w="2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vMerge w:val="restart"/>
          </w:tcPr>
          <w:p>
            <w:pPr>
              <w:jc w:val="right"/>
              <w:ind w:right="206"/>
              <w:spacing w:after="0"/>
              <w:rPr>
                <w:sz w:val="20"/>
                <w:szCs w:val="20"/>
                <w:color w:val="auto"/>
              </w:rPr>
            </w:pPr>
            <w:r>
              <w:rPr>
                <w:rFonts w:ascii="Arial" w:cs="Arial" w:eastAsia="Arial" w:hAnsi="Arial"/>
                <w:sz w:val="11"/>
                <w:szCs w:val="11"/>
                <w:b w:val="1"/>
                <w:bCs w:val="1"/>
                <w:color w:val="auto"/>
              </w:rPr>
              <w:t>Cost</w:t>
            </w:r>
          </w:p>
        </w:tc>
        <w:tc>
          <w:tcPr>
            <w:tcW w:w="220" w:type="dxa"/>
            <w:vAlign w:val="bottom"/>
          </w:tcPr>
          <w:p>
            <w:pPr>
              <w:spacing w:after="0"/>
              <w:rPr>
                <w:sz w:val="9"/>
                <w:szCs w:val="9"/>
                <w:color w:val="auto"/>
              </w:rPr>
            </w:pPr>
          </w:p>
        </w:tc>
        <w:tc>
          <w:tcPr>
            <w:tcW w:w="800" w:type="dxa"/>
            <w:vAlign w:val="bottom"/>
            <w:gridSpan w:val="3"/>
            <w:vMerge w:val="restart"/>
          </w:tcPr>
          <w:p>
            <w:pPr>
              <w:jc w:val="right"/>
              <w:ind w:right="160"/>
              <w:spacing w:after="0"/>
              <w:rPr>
                <w:sz w:val="20"/>
                <w:szCs w:val="20"/>
                <w:color w:val="auto"/>
              </w:rPr>
            </w:pPr>
            <w:r>
              <w:rPr>
                <w:rFonts w:ascii="Arial" w:cs="Arial" w:eastAsia="Arial" w:hAnsi="Arial"/>
                <w:sz w:val="11"/>
                <w:szCs w:val="11"/>
                <w:b w:val="1"/>
                <w:bCs w:val="1"/>
                <w:color w:val="auto"/>
                <w:w w:val="92"/>
              </w:rPr>
              <w:t xml:space="preserve">Fair Value </w:t>
            </w:r>
            <w:r>
              <w:rPr>
                <w:rFonts w:ascii="Arial" w:cs="Arial" w:eastAsia="Arial" w:hAnsi="Arial"/>
                <w:sz w:val="14"/>
                <w:szCs w:val="14"/>
                <w:b w:val="1"/>
                <w:bCs w:val="1"/>
                <w:color w:val="auto"/>
                <w:w w:val="92"/>
                <w:vertAlign w:val="superscript"/>
              </w:rPr>
              <w:t>(2)</w:t>
            </w:r>
          </w:p>
        </w:tc>
        <w:tc>
          <w:tcPr>
            <w:tcW w:w="0" w:type="dxa"/>
            <w:vAlign w:val="bottom"/>
          </w:tcPr>
          <w:p>
            <w:pPr>
              <w:spacing w:after="0"/>
              <w:rPr>
                <w:sz w:val="1"/>
                <w:szCs w:val="1"/>
                <w:color w:val="auto"/>
              </w:rPr>
            </w:pPr>
          </w:p>
        </w:tc>
      </w:tr>
      <w:tr>
        <w:trPr>
          <w:trHeight w:val="148"/>
        </w:trPr>
        <w:tc>
          <w:tcPr>
            <w:tcW w:w="31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2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346"/>
              <w:spacing w:after="0"/>
              <w:rPr>
                <w:sz w:val="20"/>
                <w:szCs w:val="20"/>
                <w:color w:val="auto"/>
              </w:rPr>
            </w:pPr>
            <w:r>
              <w:rPr>
                <w:rFonts w:ascii="Arial" w:cs="Arial" w:eastAsia="Arial" w:hAnsi="Arial"/>
                <w:sz w:val="11"/>
                <w:szCs w:val="11"/>
                <w:b w:val="1"/>
                <w:bCs w:val="1"/>
                <w:color w:val="auto"/>
              </w:rPr>
              <w:t>Coupon</w:t>
            </w:r>
          </w:p>
        </w:tc>
        <w:tc>
          <w:tcPr>
            <w:tcW w:w="940" w:type="dxa"/>
            <w:vAlign w:val="bottom"/>
          </w:tcPr>
          <w:p>
            <w:pPr>
              <w:jc w:val="center"/>
              <w:spacing w:after="0" w:line="149" w:lineRule="exact"/>
              <w:rPr>
                <w:sz w:val="20"/>
                <w:szCs w:val="20"/>
                <w:color w:val="auto"/>
              </w:rPr>
            </w:pPr>
            <w:r>
              <w:rPr>
                <w:rFonts w:ascii="Arial" w:cs="Arial" w:eastAsia="Arial" w:hAnsi="Arial"/>
                <w:sz w:val="11"/>
                <w:szCs w:val="11"/>
                <w:b w:val="1"/>
                <w:bCs w:val="1"/>
                <w:color w:val="auto"/>
                <w:w w:val="83"/>
              </w:rPr>
              <w:t xml:space="preserve">Index </w:t>
            </w:r>
            <w:r>
              <w:rPr>
                <w:rFonts w:ascii="Arial" w:cs="Arial" w:eastAsia="Arial" w:hAnsi="Arial"/>
                <w:sz w:val="14"/>
                <w:szCs w:val="14"/>
                <w:b w:val="1"/>
                <w:bCs w:val="1"/>
                <w:color w:val="auto"/>
                <w:w w:val="83"/>
                <w:vertAlign w:val="superscript"/>
              </w:rPr>
              <w:t>(1)</w:t>
            </w:r>
          </w:p>
        </w:tc>
        <w:tc>
          <w:tcPr>
            <w:tcW w:w="220" w:type="dxa"/>
            <w:vAlign w:val="bottom"/>
          </w:tcPr>
          <w:p>
            <w:pPr>
              <w:spacing w:after="0"/>
              <w:rPr>
                <w:sz w:val="12"/>
                <w:szCs w:val="12"/>
                <w:color w:val="auto"/>
              </w:rPr>
            </w:pPr>
          </w:p>
        </w:tc>
        <w:tc>
          <w:tcPr>
            <w:tcW w:w="720" w:type="dxa"/>
            <w:vAlign w:val="bottom"/>
          </w:tcPr>
          <w:p>
            <w:pPr>
              <w:jc w:val="right"/>
              <w:ind w:right="126"/>
              <w:spacing w:after="0"/>
              <w:rPr>
                <w:sz w:val="20"/>
                <w:szCs w:val="20"/>
                <w:color w:val="auto"/>
              </w:rPr>
            </w:pPr>
            <w:r>
              <w:rPr>
                <w:rFonts w:ascii="Arial" w:cs="Arial" w:eastAsia="Arial" w:hAnsi="Arial"/>
                <w:sz w:val="11"/>
                <w:szCs w:val="11"/>
                <w:b w:val="1"/>
                <w:bCs w:val="1"/>
                <w:color w:val="auto"/>
              </w:rPr>
              <w:t>Shares</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3180" w:type="dxa"/>
            <w:vAlign w:val="bottom"/>
            <w:tcBorders>
              <w:top w:val="single" w:sz="8" w:color="auto"/>
            </w:tcBorders>
          </w:tcPr>
          <w:p>
            <w:pPr>
              <w:ind w:left="20"/>
              <w:spacing w:after="0" w:line="99" w:lineRule="exact"/>
              <w:rPr>
                <w:sz w:val="20"/>
                <w:szCs w:val="20"/>
                <w:color w:val="auto"/>
              </w:rPr>
            </w:pPr>
            <w:r>
              <w:rPr>
                <w:rFonts w:ascii="Arial" w:cs="Arial" w:eastAsia="Arial" w:hAnsi="Arial"/>
                <w:sz w:val="11"/>
                <w:szCs w:val="11"/>
                <w:color w:val="auto"/>
              </w:rPr>
              <w:t>IDC Infusion Services, Inc.</w:t>
            </w:r>
          </w:p>
        </w:tc>
        <w:tc>
          <w:tcPr>
            <w:tcW w:w="140" w:type="dxa"/>
            <w:vAlign w:val="bottom"/>
          </w:tcPr>
          <w:p>
            <w:pPr>
              <w:spacing w:after="0"/>
              <w:rPr>
                <w:sz w:val="8"/>
                <w:szCs w:val="8"/>
                <w:color w:val="auto"/>
              </w:rPr>
            </w:pPr>
          </w:p>
        </w:tc>
        <w:tc>
          <w:tcPr>
            <w:tcW w:w="620" w:type="dxa"/>
            <w:vAlign w:val="bottom"/>
            <w:tcBorders>
              <w:top w:val="single" w:sz="8" w:color="auto"/>
            </w:tcBorders>
          </w:tcPr>
          <w:p>
            <w:pPr>
              <w:jc w:val="center"/>
              <w:spacing w:after="0" w:line="99" w:lineRule="exact"/>
              <w:rPr>
                <w:sz w:val="20"/>
                <w:szCs w:val="20"/>
                <w:color w:val="auto"/>
              </w:rPr>
            </w:pPr>
            <w:r>
              <w:rPr>
                <w:rFonts w:ascii="Arial" w:cs="Arial" w:eastAsia="Arial" w:hAnsi="Arial"/>
                <w:sz w:val="11"/>
                <w:szCs w:val="11"/>
                <w:color w:val="auto"/>
                <w:w w:val="90"/>
              </w:rPr>
              <w:t>12/30/2026</w:t>
            </w:r>
          </w:p>
        </w:tc>
        <w:tc>
          <w:tcPr>
            <w:tcW w:w="140" w:type="dxa"/>
            <w:vAlign w:val="bottom"/>
          </w:tcPr>
          <w:p>
            <w:pPr>
              <w:spacing w:after="0"/>
              <w:rPr>
                <w:sz w:val="8"/>
                <w:szCs w:val="8"/>
                <w:color w:val="auto"/>
              </w:rPr>
            </w:pPr>
          </w:p>
        </w:tc>
        <w:tc>
          <w:tcPr>
            <w:tcW w:w="2240" w:type="dxa"/>
            <w:vAlign w:val="bottom"/>
            <w:tcBorders>
              <w:top w:val="single" w:sz="8" w:color="auto"/>
            </w:tcBorders>
          </w:tcPr>
          <w:p>
            <w:pPr>
              <w:jc w:val="center"/>
              <w:spacing w:after="0" w:line="99" w:lineRule="exact"/>
              <w:rPr>
                <w:sz w:val="20"/>
                <w:szCs w:val="20"/>
                <w:color w:val="auto"/>
              </w:rPr>
            </w:pPr>
            <w:r>
              <w:rPr>
                <w:rFonts w:ascii="Arial" w:cs="Arial" w:eastAsia="Arial" w:hAnsi="Arial"/>
                <w:sz w:val="11"/>
                <w:szCs w:val="11"/>
                <w:color w:val="auto"/>
                <w:w w:val="87"/>
              </w:rPr>
              <w:t>Healthcare Equipment and Supplies</w:t>
            </w:r>
          </w:p>
        </w:tc>
        <w:tc>
          <w:tcPr>
            <w:tcW w:w="120" w:type="dxa"/>
            <w:vAlign w:val="bottom"/>
          </w:tcPr>
          <w:p>
            <w:pPr>
              <w:spacing w:after="0"/>
              <w:rPr>
                <w:sz w:val="8"/>
                <w:szCs w:val="8"/>
                <w:color w:val="auto"/>
              </w:rPr>
            </w:pPr>
          </w:p>
        </w:tc>
        <w:tc>
          <w:tcPr>
            <w:tcW w:w="720" w:type="dxa"/>
            <w:vAlign w:val="bottom"/>
            <w:tcBorders>
              <w:top w:val="single" w:sz="8" w:color="auto"/>
            </w:tcBorders>
          </w:tcPr>
          <w:p>
            <w:pPr>
              <w:jc w:val="right"/>
              <w:spacing w:after="0" w:line="99" w:lineRule="exact"/>
              <w:rPr>
                <w:sz w:val="20"/>
                <w:szCs w:val="20"/>
                <w:color w:val="auto"/>
              </w:rPr>
            </w:pPr>
            <w:r>
              <w:rPr>
                <w:rFonts w:ascii="Arial" w:cs="Arial" w:eastAsia="Arial" w:hAnsi="Arial"/>
                <w:sz w:val="11"/>
                <w:szCs w:val="11"/>
                <w:color w:val="auto"/>
              </w:rPr>
              <w:t>7.21</w:t>
            </w:r>
          </w:p>
        </w:tc>
        <w:tc>
          <w:tcPr>
            <w:tcW w:w="240" w:type="dxa"/>
            <w:vAlign w:val="bottom"/>
          </w:tcPr>
          <w:p>
            <w:pPr>
              <w:jc w:val="right"/>
              <w:ind w:right="86"/>
              <w:spacing w:after="0" w:line="99" w:lineRule="exact"/>
              <w:rPr>
                <w:sz w:val="20"/>
                <w:szCs w:val="20"/>
                <w:color w:val="auto"/>
              </w:rPr>
            </w:pPr>
            <w:r>
              <w:rPr>
                <w:rFonts w:ascii="Arial" w:cs="Arial" w:eastAsia="Arial" w:hAnsi="Arial"/>
                <w:sz w:val="11"/>
                <w:szCs w:val="11"/>
                <w:color w:val="auto"/>
                <w:w w:val="81"/>
              </w:rPr>
              <w:t>%</w:t>
            </w:r>
          </w:p>
        </w:tc>
        <w:tc>
          <w:tcPr>
            <w:tcW w:w="940" w:type="dxa"/>
            <w:vAlign w:val="bottom"/>
            <w:tcBorders>
              <w:top w:val="single" w:sz="8" w:color="auto"/>
            </w:tcBorders>
          </w:tcPr>
          <w:p>
            <w:pPr>
              <w:jc w:val="right"/>
              <w:spacing w:after="0" w:line="99" w:lineRule="exact"/>
              <w:rPr>
                <w:sz w:val="20"/>
                <w:szCs w:val="20"/>
                <w:color w:val="auto"/>
              </w:rPr>
            </w:pPr>
            <w:r>
              <w:rPr>
                <w:rFonts w:ascii="Arial" w:cs="Arial" w:eastAsia="Arial" w:hAnsi="Arial"/>
                <w:sz w:val="11"/>
                <w:szCs w:val="11"/>
                <w:color w:val="auto"/>
              </w:rPr>
              <w:t>3M L+600</w:t>
            </w:r>
          </w:p>
        </w:tc>
        <w:tc>
          <w:tcPr>
            <w:tcW w:w="220" w:type="dxa"/>
            <w:vAlign w:val="bottom"/>
          </w:tcPr>
          <w:p>
            <w:pPr>
              <w:spacing w:after="0"/>
              <w:rPr>
                <w:sz w:val="8"/>
                <w:szCs w:val="8"/>
                <w:color w:val="auto"/>
              </w:rPr>
            </w:pPr>
          </w:p>
        </w:tc>
        <w:tc>
          <w:tcPr>
            <w:tcW w:w="720" w:type="dxa"/>
            <w:vAlign w:val="bottom"/>
            <w:tcBorders>
              <w:top w:val="single" w:sz="8" w:color="auto"/>
            </w:tcBorders>
          </w:tcPr>
          <w:p>
            <w:pPr>
              <w:jc w:val="right"/>
              <w:spacing w:after="0" w:line="99" w:lineRule="exact"/>
              <w:rPr>
                <w:sz w:val="20"/>
                <w:szCs w:val="20"/>
                <w:color w:val="auto"/>
              </w:rPr>
            </w:pPr>
            <w:r>
              <w:rPr>
                <w:rFonts w:ascii="Arial" w:cs="Arial" w:eastAsia="Arial" w:hAnsi="Arial"/>
                <w:sz w:val="11"/>
                <w:szCs w:val="11"/>
                <w:color w:val="auto"/>
              </w:rPr>
              <w:t>2,991</w:t>
            </w:r>
          </w:p>
        </w:tc>
        <w:tc>
          <w:tcPr>
            <w:tcW w:w="240" w:type="dxa"/>
            <w:vAlign w:val="bottom"/>
          </w:tcPr>
          <w:p>
            <w:pPr>
              <w:spacing w:after="0"/>
              <w:rPr>
                <w:sz w:val="8"/>
                <w:szCs w:val="8"/>
                <w:color w:val="auto"/>
              </w:rPr>
            </w:pPr>
          </w:p>
        </w:tc>
        <w:tc>
          <w:tcPr>
            <w:tcW w:w="140" w:type="dxa"/>
            <w:vAlign w:val="bottom"/>
            <w:tcBorders>
              <w:top w:val="single" w:sz="8" w:color="auto"/>
            </w:tcBorders>
          </w:tcPr>
          <w:p>
            <w:pPr>
              <w:jc w:val="right"/>
              <w:ind w:right="31"/>
              <w:spacing w:after="0" w:line="99" w:lineRule="exact"/>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tcPr>
          <w:p>
            <w:pPr>
              <w:jc w:val="right"/>
              <w:spacing w:after="0" w:line="99" w:lineRule="exact"/>
              <w:rPr>
                <w:sz w:val="20"/>
                <w:szCs w:val="20"/>
                <w:color w:val="auto"/>
              </w:rPr>
            </w:pPr>
            <w:r>
              <w:rPr>
                <w:rFonts w:ascii="Arial" w:cs="Arial" w:eastAsia="Arial" w:hAnsi="Arial"/>
                <w:sz w:val="11"/>
                <w:szCs w:val="11"/>
                <w:color w:val="auto"/>
              </w:rPr>
              <w:t>2,964</w:t>
            </w:r>
          </w:p>
        </w:tc>
        <w:tc>
          <w:tcPr>
            <w:tcW w:w="220" w:type="dxa"/>
            <w:vAlign w:val="bottom"/>
          </w:tcPr>
          <w:p>
            <w:pPr>
              <w:spacing w:after="0"/>
              <w:rPr>
                <w:sz w:val="8"/>
                <w:szCs w:val="8"/>
                <w:color w:val="auto"/>
              </w:rPr>
            </w:pPr>
          </w:p>
        </w:tc>
        <w:tc>
          <w:tcPr>
            <w:tcW w:w="220" w:type="dxa"/>
            <w:vAlign w:val="bottom"/>
            <w:tcBorders>
              <w:top w:val="single" w:sz="8" w:color="auto"/>
            </w:tcBorders>
          </w:tcPr>
          <w:p>
            <w:pPr>
              <w:jc w:val="right"/>
              <w:ind w:right="86"/>
              <w:spacing w:after="0" w:line="99" w:lineRule="exact"/>
              <w:rPr>
                <w:sz w:val="20"/>
                <w:szCs w:val="20"/>
                <w:color w:val="auto"/>
              </w:rPr>
            </w:pPr>
            <w:r>
              <w:rPr>
                <w:rFonts w:ascii="Arial" w:cs="Arial" w:eastAsia="Arial" w:hAnsi="Arial"/>
                <w:sz w:val="11"/>
                <w:szCs w:val="11"/>
                <w:color w:val="auto"/>
                <w:w w:val="97"/>
              </w:rPr>
              <w:t>$</w:t>
            </w:r>
          </w:p>
        </w:tc>
        <w:tc>
          <w:tcPr>
            <w:tcW w:w="480" w:type="dxa"/>
            <w:vAlign w:val="bottom"/>
            <w:tcBorders>
              <w:top w:val="single" w:sz="8" w:color="auto"/>
            </w:tcBorders>
          </w:tcPr>
          <w:p>
            <w:pPr>
              <w:jc w:val="right"/>
              <w:spacing w:after="0" w:line="99" w:lineRule="exact"/>
              <w:rPr>
                <w:sz w:val="20"/>
                <w:szCs w:val="20"/>
                <w:color w:val="auto"/>
              </w:rPr>
            </w:pPr>
            <w:r>
              <w:rPr>
                <w:rFonts w:ascii="Arial" w:cs="Arial" w:eastAsia="Arial" w:hAnsi="Arial"/>
                <w:sz w:val="11"/>
                <w:szCs w:val="11"/>
                <w:color w:val="auto"/>
              </w:rPr>
              <w:t>2,961</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318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IDC Infusion Services, Inc. (Revolver) </w:t>
            </w:r>
            <w:r>
              <w:rPr>
                <w:rFonts w:ascii="Arial" w:cs="Arial" w:eastAsia="Arial" w:hAnsi="Arial"/>
                <w:sz w:val="14"/>
                <w:szCs w:val="14"/>
                <w:color w:val="auto"/>
                <w:vertAlign w:val="superscript"/>
              </w:rPr>
              <w:t>(9)</w:t>
            </w:r>
          </w:p>
        </w:tc>
        <w:tc>
          <w:tcPr>
            <w:tcW w:w="76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12/30/2026</w:t>
            </w:r>
          </w:p>
        </w:tc>
        <w:tc>
          <w:tcPr>
            <w:tcW w:w="140" w:type="dxa"/>
            <w:vAlign w:val="bottom"/>
          </w:tcPr>
          <w:p>
            <w:pPr>
              <w:spacing w:after="0"/>
              <w:rPr>
                <w:sz w:val="11"/>
                <w:szCs w:val="11"/>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87"/>
              </w:rPr>
              <w:t>Healthcare Equipment and Supplies</w:t>
            </w:r>
          </w:p>
        </w:tc>
        <w:tc>
          <w:tcPr>
            <w:tcW w:w="120" w:type="dxa"/>
            <w:vAlign w:val="bottom"/>
          </w:tcPr>
          <w:p>
            <w:pPr>
              <w:spacing w:after="0"/>
              <w:rPr>
                <w:sz w:val="11"/>
                <w:szCs w:val="11"/>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4,167</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auto"/>
              </w:rPr>
              <w:t>(42 )</w:t>
            </w:r>
          </w:p>
        </w:tc>
        <w:tc>
          <w:tcPr>
            <w:tcW w:w="0" w:type="dxa"/>
            <w:vAlign w:val="bottom"/>
          </w:tcPr>
          <w:p>
            <w:pPr>
              <w:spacing w:after="0"/>
              <w:rPr>
                <w:sz w:val="1"/>
                <w:szCs w:val="1"/>
                <w:color w:val="auto"/>
              </w:rPr>
            </w:pPr>
          </w:p>
        </w:tc>
      </w:tr>
      <w:tr>
        <w:trPr>
          <w:trHeight w:val="135"/>
        </w:trPr>
        <w:tc>
          <w:tcPr>
            <w:tcW w:w="318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IG Investments Holdings, LLC </w:t>
            </w:r>
            <w:r>
              <w:rPr>
                <w:rFonts w:ascii="Arial" w:cs="Arial" w:eastAsia="Arial" w:hAnsi="Arial"/>
                <w:sz w:val="14"/>
                <w:szCs w:val="14"/>
                <w:color w:val="auto"/>
                <w:vertAlign w:val="superscript"/>
              </w:rPr>
              <w:t>(7)</w:t>
            </w:r>
          </w:p>
        </w:tc>
        <w:tc>
          <w:tcPr>
            <w:tcW w:w="76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09/22/2028</w:t>
            </w:r>
          </w:p>
        </w:tc>
        <w:tc>
          <w:tcPr>
            <w:tcW w:w="140" w:type="dxa"/>
            <w:vAlign w:val="bottom"/>
          </w:tcPr>
          <w:p>
            <w:pPr>
              <w:spacing w:after="0"/>
              <w:rPr>
                <w:sz w:val="11"/>
                <w:szCs w:val="11"/>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88"/>
              </w:rPr>
              <w:t>Professional Services</w:t>
            </w:r>
          </w:p>
        </w:tc>
        <w:tc>
          <w:tcPr>
            <w:tcW w:w="1080" w:type="dxa"/>
            <w:vAlign w:val="bottom"/>
            <w:gridSpan w:val="3"/>
          </w:tcPr>
          <w:p>
            <w:pPr>
              <w:jc w:val="right"/>
              <w:ind w:right="86"/>
              <w:spacing w:after="0"/>
              <w:rPr>
                <w:sz w:val="20"/>
                <w:szCs w:val="20"/>
                <w:color w:val="auto"/>
              </w:rPr>
            </w:pPr>
            <w:r>
              <w:rPr>
                <w:rFonts w:ascii="Arial" w:cs="Arial" w:eastAsia="Arial" w:hAnsi="Arial"/>
                <w:sz w:val="11"/>
                <w:szCs w:val="11"/>
                <w:color w:val="auto"/>
              </w:rPr>
              <w:t>8.02 %</w:t>
            </w:r>
          </w:p>
        </w:tc>
        <w:tc>
          <w:tcPr>
            <w:tcW w:w="940" w:type="dxa"/>
            <w:vAlign w:val="bottom"/>
          </w:tcPr>
          <w:p>
            <w:pPr>
              <w:jc w:val="right"/>
              <w:spacing w:after="0"/>
              <w:rPr>
                <w:sz w:val="20"/>
                <w:szCs w:val="20"/>
                <w:color w:val="auto"/>
              </w:rPr>
            </w:pPr>
            <w:r>
              <w:rPr>
                <w:rFonts w:ascii="Arial" w:cs="Arial" w:eastAsia="Arial" w:hAnsi="Arial"/>
                <w:sz w:val="11"/>
                <w:szCs w:val="11"/>
                <w:color w:val="auto"/>
              </w:rPr>
              <w:t>3M L+600</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4,484</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4,399</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4,417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IG Investments Holdings, LLC (Revolver) </w:t>
            </w:r>
            <w:r>
              <w:rPr>
                <w:rFonts w:ascii="Arial" w:cs="Arial" w:eastAsia="Arial" w:hAnsi="Arial"/>
                <w:sz w:val="14"/>
                <w:szCs w:val="14"/>
                <w:color w:val="auto"/>
                <w:vertAlign w:val="superscript"/>
              </w:rPr>
              <w:t>(7)</w:t>
            </w:r>
          </w:p>
        </w:tc>
        <w:tc>
          <w:tcPr>
            <w:tcW w:w="76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09/22/2027</w:t>
            </w:r>
          </w:p>
        </w:tc>
        <w:tc>
          <w:tcPr>
            <w:tcW w:w="140" w:type="dxa"/>
            <w:vAlign w:val="bottom"/>
          </w:tcPr>
          <w:p>
            <w:pPr>
              <w:spacing w:after="0"/>
              <w:rPr>
                <w:sz w:val="11"/>
                <w:szCs w:val="11"/>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88"/>
              </w:rPr>
              <w:t>Professional Services</w:t>
            </w:r>
          </w:p>
        </w:tc>
        <w:tc>
          <w:tcPr>
            <w:tcW w:w="1080" w:type="dxa"/>
            <w:vAlign w:val="bottom"/>
            <w:gridSpan w:val="3"/>
          </w:tcPr>
          <w:p>
            <w:pPr>
              <w:jc w:val="right"/>
              <w:ind w:right="86"/>
              <w:spacing w:after="0"/>
              <w:rPr>
                <w:sz w:val="20"/>
                <w:szCs w:val="20"/>
                <w:color w:val="auto"/>
              </w:rPr>
            </w:pPr>
            <w:r>
              <w:rPr>
                <w:rFonts w:ascii="Arial" w:cs="Arial" w:eastAsia="Arial" w:hAnsi="Arial"/>
                <w:sz w:val="11"/>
                <w:szCs w:val="11"/>
                <w:color w:val="auto"/>
              </w:rPr>
              <w:t>9.52 %</w:t>
            </w:r>
          </w:p>
        </w:tc>
        <w:tc>
          <w:tcPr>
            <w:tcW w:w="940" w:type="dxa"/>
            <w:vAlign w:val="bottom"/>
          </w:tcPr>
          <w:p>
            <w:pPr>
              <w:jc w:val="right"/>
              <w:spacing w:after="0"/>
              <w:rPr>
                <w:sz w:val="20"/>
                <w:szCs w:val="20"/>
                <w:color w:val="auto"/>
              </w:rPr>
            </w:pPr>
            <w:r>
              <w:rPr>
                <w:rFonts w:ascii="Arial" w:cs="Arial" w:eastAsia="Arial" w:hAnsi="Arial"/>
                <w:sz w:val="11"/>
                <w:szCs w:val="11"/>
                <w:color w:val="auto"/>
              </w:rPr>
              <w:t>3M L+500</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131</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131</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129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18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IG Investments Holdings, LLC (Revolver) </w:t>
            </w:r>
            <w:r>
              <w:rPr>
                <w:rFonts w:ascii="Arial" w:cs="Arial" w:eastAsia="Arial" w:hAnsi="Arial"/>
                <w:sz w:val="14"/>
                <w:szCs w:val="14"/>
                <w:color w:val="auto"/>
                <w:vertAlign w:val="superscript"/>
              </w:rPr>
              <w:t>(7), (9)</w:t>
            </w:r>
          </w:p>
        </w:tc>
        <w:tc>
          <w:tcPr>
            <w:tcW w:w="76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09/22/2027</w:t>
            </w:r>
          </w:p>
        </w:tc>
        <w:tc>
          <w:tcPr>
            <w:tcW w:w="140" w:type="dxa"/>
            <w:vAlign w:val="bottom"/>
          </w:tcPr>
          <w:p>
            <w:pPr>
              <w:spacing w:after="0"/>
              <w:rPr>
                <w:sz w:val="13"/>
                <w:szCs w:val="13"/>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88"/>
              </w:rPr>
              <w:t>Professional Services</w:t>
            </w:r>
          </w:p>
        </w:tc>
        <w:tc>
          <w:tcPr>
            <w:tcW w:w="120" w:type="dxa"/>
            <w:vAlign w:val="bottom"/>
          </w:tcPr>
          <w:p>
            <w:pPr>
              <w:spacing w:after="0"/>
              <w:rPr>
                <w:sz w:val="13"/>
                <w:szCs w:val="13"/>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346</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auto"/>
              </w:rPr>
              <w:t>(5 )</w:t>
            </w:r>
          </w:p>
        </w:tc>
        <w:tc>
          <w:tcPr>
            <w:tcW w:w="0" w:type="dxa"/>
            <w:vAlign w:val="bottom"/>
          </w:tcPr>
          <w:p>
            <w:pPr>
              <w:spacing w:after="0"/>
              <w:rPr>
                <w:sz w:val="1"/>
                <w:szCs w:val="1"/>
                <w:color w:val="auto"/>
              </w:rPr>
            </w:pPr>
          </w:p>
        </w:tc>
      </w:tr>
      <w:tr>
        <w:trPr>
          <w:trHeight w:val="115"/>
        </w:trPr>
        <w:tc>
          <w:tcPr>
            <w:tcW w:w="3180" w:type="dxa"/>
            <w:vAlign w:val="bottom"/>
          </w:tcPr>
          <w:p>
            <w:pPr>
              <w:ind w:left="20"/>
              <w:spacing w:after="0" w:line="115" w:lineRule="exact"/>
              <w:rPr>
                <w:sz w:val="20"/>
                <w:szCs w:val="20"/>
                <w:color w:val="auto"/>
              </w:rPr>
            </w:pPr>
            <w:r>
              <w:rPr>
                <w:rFonts w:ascii="Arial" w:cs="Arial" w:eastAsia="Arial" w:hAnsi="Arial"/>
                <w:sz w:val="11"/>
                <w:szCs w:val="11"/>
                <w:color w:val="auto"/>
              </w:rPr>
              <w:t>Imagine Acquisitionco, LLC</w:t>
            </w:r>
          </w:p>
        </w:tc>
        <w:tc>
          <w:tcPr>
            <w:tcW w:w="760" w:type="dxa"/>
            <w:vAlign w:val="bottom"/>
            <w:gridSpan w:val="2"/>
          </w:tcPr>
          <w:p>
            <w:pPr>
              <w:jc w:val="center"/>
              <w:ind w:left="86"/>
              <w:spacing w:after="0" w:line="115" w:lineRule="exact"/>
              <w:rPr>
                <w:sz w:val="20"/>
                <w:szCs w:val="20"/>
                <w:color w:val="auto"/>
              </w:rPr>
            </w:pPr>
            <w:r>
              <w:rPr>
                <w:rFonts w:ascii="Arial" w:cs="Arial" w:eastAsia="Arial" w:hAnsi="Arial"/>
                <w:sz w:val="11"/>
                <w:szCs w:val="11"/>
                <w:color w:val="auto"/>
                <w:w w:val="90"/>
              </w:rPr>
              <w:t>11/15/2027</w:t>
            </w:r>
          </w:p>
        </w:tc>
        <w:tc>
          <w:tcPr>
            <w:tcW w:w="140" w:type="dxa"/>
            <w:vAlign w:val="bottom"/>
          </w:tcPr>
          <w:p>
            <w:pPr>
              <w:spacing w:after="0"/>
              <w:rPr>
                <w:sz w:val="9"/>
                <w:szCs w:val="9"/>
                <w:color w:val="auto"/>
              </w:rPr>
            </w:pPr>
          </w:p>
        </w:tc>
        <w:tc>
          <w:tcPr>
            <w:tcW w:w="2240" w:type="dxa"/>
            <w:vAlign w:val="bottom"/>
          </w:tcPr>
          <w:p>
            <w:pPr>
              <w:jc w:val="center"/>
              <w:spacing w:after="0" w:line="115" w:lineRule="exact"/>
              <w:rPr>
                <w:sz w:val="20"/>
                <w:szCs w:val="20"/>
                <w:color w:val="auto"/>
              </w:rPr>
            </w:pPr>
            <w:r>
              <w:rPr>
                <w:rFonts w:ascii="Arial" w:cs="Arial" w:eastAsia="Arial" w:hAnsi="Arial"/>
                <w:sz w:val="11"/>
                <w:szCs w:val="11"/>
                <w:color w:val="auto"/>
                <w:w w:val="87"/>
              </w:rPr>
              <w:t>Software</w:t>
            </w:r>
          </w:p>
        </w:tc>
        <w:tc>
          <w:tcPr>
            <w:tcW w:w="1080" w:type="dxa"/>
            <w:vAlign w:val="bottom"/>
            <w:gridSpan w:val="3"/>
          </w:tcPr>
          <w:p>
            <w:pPr>
              <w:jc w:val="right"/>
              <w:ind w:right="86"/>
              <w:spacing w:after="0" w:line="115" w:lineRule="exact"/>
              <w:rPr>
                <w:sz w:val="20"/>
                <w:szCs w:val="20"/>
                <w:color w:val="auto"/>
              </w:rPr>
            </w:pPr>
            <w:r>
              <w:rPr>
                <w:rFonts w:ascii="Arial" w:cs="Arial" w:eastAsia="Arial" w:hAnsi="Arial"/>
                <w:sz w:val="11"/>
                <w:szCs w:val="11"/>
                <w:color w:val="auto"/>
              </w:rPr>
              <w:t>6.50 %</w:t>
            </w:r>
          </w:p>
        </w:tc>
        <w:tc>
          <w:tcPr>
            <w:tcW w:w="940" w:type="dxa"/>
            <w:vAlign w:val="bottom"/>
          </w:tcPr>
          <w:p>
            <w:pPr>
              <w:jc w:val="right"/>
              <w:spacing w:after="0" w:line="115" w:lineRule="exact"/>
              <w:rPr>
                <w:sz w:val="20"/>
                <w:szCs w:val="20"/>
                <w:color w:val="auto"/>
              </w:rPr>
            </w:pPr>
            <w:r>
              <w:rPr>
                <w:rFonts w:ascii="Arial" w:cs="Arial" w:eastAsia="Arial" w:hAnsi="Arial"/>
                <w:sz w:val="11"/>
                <w:szCs w:val="11"/>
                <w:color w:val="auto"/>
              </w:rPr>
              <w:t>3M L+550</w:t>
            </w:r>
          </w:p>
        </w:tc>
        <w:tc>
          <w:tcPr>
            <w:tcW w:w="94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3,989</w:t>
            </w: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jc w:val="right"/>
              <w:spacing w:after="0" w:line="115" w:lineRule="exact"/>
              <w:rPr>
                <w:sz w:val="20"/>
                <w:szCs w:val="20"/>
                <w:color w:val="auto"/>
              </w:rPr>
            </w:pPr>
            <w:r>
              <w:rPr>
                <w:rFonts w:ascii="Arial" w:cs="Arial" w:eastAsia="Arial" w:hAnsi="Arial"/>
                <w:sz w:val="11"/>
                <w:szCs w:val="11"/>
                <w:color w:val="auto"/>
              </w:rPr>
              <w:t>3,916</w:t>
            </w: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jc w:val="right"/>
              <w:spacing w:after="0" w:line="115" w:lineRule="exact"/>
              <w:rPr>
                <w:sz w:val="20"/>
                <w:szCs w:val="20"/>
                <w:color w:val="auto"/>
              </w:rPr>
            </w:pPr>
            <w:r>
              <w:rPr>
                <w:rFonts w:ascii="Arial" w:cs="Arial" w:eastAsia="Arial" w:hAnsi="Arial"/>
                <w:sz w:val="11"/>
                <w:szCs w:val="11"/>
                <w:color w:val="auto"/>
              </w:rPr>
              <w:t>3,869</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18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Imagine Acquisitionco, LLC </w:t>
            </w:r>
            <w:r>
              <w:rPr>
                <w:rFonts w:ascii="Arial" w:cs="Arial" w:eastAsia="Arial" w:hAnsi="Arial"/>
                <w:sz w:val="14"/>
                <w:szCs w:val="14"/>
                <w:color w:val="auto"/>
                <w:vertAlign w:val="superscript"/>
              </w:rPr>
              <w:t>(9)</w:t>
            </w:r>
          </w:p>
        </w:tc>
        <w:tc>
          <w:tcPr>
            <w:tcW w:w="76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11/15/2027</w:t>
            </w:r>
          </w:p>
        </w:tc>
        <w:tc>
          <w:tcPr>
            <w:tcW w:w="140" w:type="dxa"/>
            <w:vAlign w:val="bottom"/>
          </w:tcPr>
          <w:p>
            <w:pPr>
              <w:spacing w:after="0"/>
              <w:rPr>
                <w:sz w:val="11"/>
                <w:szCs w:val="11"/>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87"/>
              </w:rPr>
              <w:t>Software</w:t>
            </w:r>
          </w:p>
        </w:tc>
        <w:tc>
          <w:tcPr>
            <w:tcW w:w="120" w:type="dxa"/>
            <w:vAlign w:val="bottom"/>
          </w:tcPr>
          <w:p>
            <w:pPr>
              <w:spacing w:after="0"/>
              <w:rPr>
                <w:sz w:val="11"/>
                <w:szCs w:val="11"/>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1,657</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auto"/>
              </w:rPr>
              <w:t>(33 )</w:t>
            </w:r>
          </w:p>
        </w:tc>
        <w:tc>
          <w:tcPr>
            <w:tcW w:w="0" w:type="dxa"/>
            <w:vAlign w:val="bottom"/>
          </w:tcPr>
          <w:p>
            <w:pPr>
              <w:spacing w:after="0"/>
              <w:rPr>
                <w:sz w:val="1"/>
                <w:szCs w:val="1"/>
                <w:color w:val="auto"/>
              </w:rPr>
            </w:pPr>
          </w:p>
        </w:tc>
      </w:tr>
      <w:tr>
        <w:trPr>
          <w:trHeight w:val="155"/>
        </w:trPr>
        <w:tc>
          <w:tcPr>
            <w:tcW w:w="318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Imagine Acquisitionco, LLC (Revolver) </w:t>
            </w:r>
            <w:r>
              <w:rPr>
                <w:rFonts w:ascii="Arial" w:cs="Arial" w:eastAsia="Arial" w:hAnsi="Arial"/>
                <w:sz w:val="14"/>
                <w:szCs w:val="14"/>
                <w:color w:val="auto"/>
                <w:vertAlign w:val="superscript"/>
              </w:rPr>
              <w:t>(9)</w:t>
            </w:r>
          </w:p>
        </w:tc>
        <w:tc>
          <w:tcPr>
            <w:tcW w:w="76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11/15/2027</w:t>
            </w:r>
          </w:p>
        </w:tc>
        <w:tc>
          <w:tcPr>
            <w:tcW w:w="140" w:type="dxa"/>
            <w:vAlign w:val="bottom"/>
          </w:tcPr>
          <w:p>
            <w:pPr>
              <w:spacing w:after="0"/>
              <w:rPr>
                <w:sz w:val="13"/>
                <w:szCs w:val="13"/>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87"/>
              </w:rPr>
              <w:t>Software</w:t>
            </w:r>
          </w:p>
        </w:tc>
        <w:tc>
          <w:tcPr>
            <w:tcW w:w="120" w:type="dxa"/>
            <w:vAlign w:val="bottom"/>
          </w:tcPr>
          <w:p>
            <w:pPr>
              <w:spacing w:after="0"/>
              <w:rPr>
                <w:sz w:val="13"/>
                <w:szCs w:val="13"/>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1,193</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auto"/>
              </w:rPr>
              <w:t>(36 )</w:t>
            </w:r>
          </w:p>
        </w:tc>
        <w:tc>
          <w:tcPr>
            <w:tcW w:w="0" w:type="dxa"/>
            <w:vAlign w:val="bottom"/>
          </w:tcPr>
          <w:p>
            <w:pPr>
              <w:spacing w:after="0"/>
              <w:rPr>
                <w:sz w:val="1"/>
                <w:szCs w:val="1"/>
                <w:color w:val="auto"/>
              </w:rPr>
            </w:pPr>
          </w:p>
        </w:tc>
      </w:tr>
      <w:tr>
        <w:trPr>
          <w:trHeight w:val="135"/>
        </w:trPr>
        <w:tc>
          <w:tcPr>
            <w:tcW w:w="3180" w:type="dxa"/>
            <w:vAlign w:val="bottom"/>
          </w:tcPr>
          <w:p>
            <w:pPr>
              <w:ind w:left="20"/>
              <w:spacing w:after="0"/>
              <w:rPr>
                <w:sz w:val="20"/>
                <w:szCs w:val="20"/>
                <w:color w:val="auto"/>
              </w:rPr>
            </w:pPr>
            <w:r>
              <w:rPr>
                <w:rFonts w:ascii="Arial" w:cs="Arial" w:eastAsia="Arial" w:hAnsi="Arial"/>
                <w:sz w:val="11"/>
                <w:szCs w:val="11"/>
                <w:color w:val="auto"/>
              </w:rPr>
              <w:t>Inception Fertility Ventures, LLC</w:t>
            </w:r>
          </w:p>
        </w:tc>
        <w:tc>
          <w:tcPr>
            <w:tcW w:w="76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12/07/2023</w:t>
            </w:r>
          </w:p>
        </w:tc>
        <w:tc>
          <w:tcPr>
            <w:tcW w:w="140" w:type="dxa"/>
            <w:vAlign w:val="bottom"/>
          </w:tcPr>
          <w:p>
            <w:pPr>
              <w:spacing w:after="0"/>
              <w:rPr>
                <w:sz w:val="11"/>
                <w:szCs w:val="11"/>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88"/>
              </w:rPr>
              <w:t>Healthcare Providers and Services</w:t>
            </w:r>
          </w:p>
        </w:tc>
        <w:tc>
          <w:tcPr>
            <w:tcW w:w="1080" w:type="dxa"/>
            <w:vAlign w:val="bottom"/>
            <w:gridSpan w:val="3"/>
          </w:tcPr>
          <w:p>
            <w:pPr>
              <w:jc w:val="right"/>
              <w:ind w:right="86"/>
              <w:spacing w:after="0"/>
              <w:rPr>
                <w:sz w:val="20"/>
                <w:szCs w:val="20"/>
                <w:color w:val="auto"/>
              </w:rPr>
            </w:pPr>
            <w:r>
              <w:rPr>
                <w:rFonts w:ascii="Arial" w:cs="Arial" w:eastAsia="Arial" w:hAnsi="Arial"/>
                <w:sz w:val="11"/>
                <w:szCs w:val="11"/>
                <w:color w:val="auto"/>
              </w:rPr>
              <w:t>9.08 %</w:t>
            </w:r>
          </w:p>
        </w:tc>
        <w:tc>
          <w:tcPr>
            <w:tcW w:w="940" w:type="dxa"/>
            <w:vAlign w:val="bottom"/>
          </w:tcPr>
          <w:p>
            <w:pPr>
              <w:jc w:val="right"/>
              <w:spacing w:after="0"/>
              <w:rPr>
                <w:sz w:val="20"/>
                <w:szCs w:val="20"/>
                <w:color w:val="auto"/>
              </w:rPr>
            </w:pPr>
            <w:r>
              <w:rPr>
                <w:rFonts w:ascii="Arial" w:cs="Arial" w:eastAsia="Arial" w:hAnsi="Arial"/>
                <w:sz w:val="11"/>
                <w:szCs w:val="11"/>
                <w:color w:val="auto"/>
              </w:rPr>
              <w:t>3M L+700</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14,991</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14,700</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14,616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3180" w:type="dxa"/>
            <w:vAlign w:val="bottom"/>
          </w:tcPr>
          <w:p>
            <w:pPr>
              <w:ind w:left="20"/>
              <w:spacing w:after="0" w:line="115" w:lineRule="exact"/>
              <w:rPr>
                <w:sz w:val="20"/>
                <w:szCs w:val="20"/>
                <w:color w:val="auto"/>
              </w:rPr>
            </w:pPr>
            <w:r>
              <w:rPr>
                <w:rFonts w:ascii="Arial" w:cs="Arial" w:eastAsia="Arial" w:hAnsi="Arial"/>
                <w:sz w:val="11"/>
                <w:szCs w:val="11"/>
                <w:color w:val="auto"/>
              </w:rPr>
              <w:t>Infolinks Media Buyco, LLC</w:t>
            </w:r>
          </w:p>
        </w:tc>
        <w:tc>
          <w:tcPr>
            <w:tcW w:w="760" w:type="dxa"/>
            <w:vAlign w:val="bottom"/>
            <w:gridSpan w:val="2"/>
          </w:tcPr>
          <w:p>
            <w:pPr>
              <w:jc w:val="center"/>
              <w:ind w:left="86"/>
              <w:spacing w:after="0" w:line="115" w:lineRule="exact"/>
              <w:rPr>
                <w:sz w:val="20"/>
                <w:szCs w:val="20"/>
                <w:color w:val="auto"/>
              </w:rPr>
            </w:pPr>
            <w:r>
              <w:rPr>
                <w:rFonts w:ascii="Arial" w:cs="Arial" w:eastAsia="Arial" w:hAnsi="Arial"/>
                <w:sz w:val="11"/>
                <w:szCs w:val="11"/>
                <w:color w:val="auto"/>
                <w:w w:val="90"/>
              </w:rPr>
              <w:t>11/01/2026</w:t>
            </w:r>
          </w:p>
        </w:tc>
        <w:tc>
          <w:tcPr>
            <w:tcW w:w="140" w:type="dxa"/>
            <w:vAlign w:val="bottom"/>
          </w:tcPr>
          <w:p>
            <w:pPr>
              <w:spacing w:after="0"/>
              <w:rPr>
                <w:sz w:val="9"/>
                <w:szCs w:val="9"/>
                <w:color w:val="auto"/>
              </w:rPr>
            </w:pPr>
          </w:p>
        </w:tc>
        <w:tc>
          <w:tcPr>
            <w:tcW w:w="2240" w:type="dxa"/>
            <w:vAlign w:val="bottom"/>
          </w:tcPr>
          <w:p>
            <w:pPr>
              <w:jc w:val="center"/>
              <w:spacing w:after="0" w:line="115" w:lineRule="exact"/>
              <w:rPr>
                <w:sz w:val="20"/>
                <w:szCs w:val="20"/>
                <w:color w:val="auto"/>
              </w:rPr>
            </w:pPr>
            <w:r>
              <w:rPr>
                <w:rFonts w:ascii="Arial" w:cs="Arial" w:eastAsia="Arial" w:hAnsi="Arial"/>
                <w:sz w:val="11"/>
                <w:szCs w:val="11"/>
                <w:color w:val="auto"/>
                <w:w w:val="93"/>
              </w:rPr>
              <w:t>Media</w:t>
            </w:r>
          </w:p>
        </w:tc>
        <w:tc>
          <w:tcPr>
            <w:tcW w:w="1080" w:type="dxa"/>
            <w:vAlign w:val="bottom"/>
            <w:gridSpan w:val="3"/>
          </w:tcPr>
          <w:p>
            <w:pPr>
              <w:jc w:val="right"/>
              <w:ind w:right="86"/>
              <w:spacing w:after="0" w:line="115" w:lineRule="exact"/>
              <w:rPr>
                <w:sz w:val="20"/>
                <w:szCs w:val="20"/>
                <w:color w:val="auto"/>
              </w:rPr>
            </w:pPr>
            <w:r>
              <w:rPr>
                <w:rFonts w:ascii="Arial" w:cs="Arial" w:eastAsia="Arial" w:hAnsi="Arial"/>
                <w:sz w:val="11"/>
                <w:szCs w:val="11"/>
                <w:color w:val="auto"/>
              </w:rPr>
              <w:t>8.00 %</w:t>
            </w:r>
          </w:p>
        </w:tc>
        <w:tc>
          <w:tcPr>
            <w:tcW w:w="940" w:type="dxa"/>
            <w:vAlign w:val="bottom"/>
          </w:tcPr>
          <w:p>
            <w:pPr>
              <w:jc w:val="right"/>
              <w:spacing w:after="0" w:line="115" w:lineRule="exact"/>
              <w:rPr>
                <w:sz w:val="20"/>
                <w:szCs w:val="20"/>
                <w:color w:val="auto"/>
              </w:rPr>
            </w:pPr>
            <w:r>
              <w:rPr>
                <w:rFonts w:ascii="Arial" w:cs="Arial" w:eastAsia="Arial" w:hAnsi="Arial"/>
                <w:sz w:val="11"/>
                <w:szCs w:val="11"/>
                <w:color w:val="auto"/>
              </w:rPr>
              <w:t>3M L+575</w:t>
            </w:r>
          </w:p>
        </w:tc>
        <w:tc>
          <w:tcPr>
            <w:tcW w:w="94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2,631</w:t>
            </w: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jc w:val="right"/>
              <w:spacing w:after="0" w:line="115" w:lineRule="exact"/>
              <w:rPr>
                <w:sz w:val="20"/>
                <w:szCs w:val="20"/>
                <w:color w:val="auto"/>
              </w:rPr>
            </w:pPr>
            <w:r>
              <w:rPr>
                <w:rFonts w:ascii="Arial" w:cs="Arial" w:eastAsia="Arial" w:hAnsi="Arial"/>
                <w:sz w:val="11"/>
                <w:szCs w:val="11"/>
                <w:color w:val="auto"/>
              </w:rPr>
              <w:t>2,585</w:t>
            </w: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jc w:val="right"/>
              <w:spacing w:after="0" w:line="115" w:lineRule="exact"/>
              <w:rPr>
                <w:sz w:val="20"/>
                <w:szCs w:val="20"/>
                <w:color w:val="auto"/>
              </w:rPr>
            </w:pPr>
            <w:r>
              <w:rPr>
                <w:rFonts w:ascii="Arial" w:cs="Arial" w:eastAsia="Arial" w:hAnsi="Arial"/>
                <w:sz w:val="11"/>
                <w:szCs w:val="11"/>
                <w:color w:val="auto"/>
              </w:rPr>
              <w:t>2,631</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318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Infolinks Media Buyco, LLC </w:t>
            </w:r>
            <w:r>
              <w:rPr>
                <w:rFonts w:ascii="Arial" w:cs="Arial" w:eastAsia="Arial" w:hAnsi="Arial"/>
                <w:sz w:val="14"/>
                <w:szCs w:val="14"/>
                <w:color w:val="auto"/>
                <w:vertAlign w:val="superscript"/>
              </w:rPr>
              <w:t>(9)</w:t>
            </w:r>
          </w:p>
        </w:tc>
        <w:tc>
          <w:tcPr>
            <w:tcW w:w="76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11/01/2023</w:t>
            </w:r>
          </w:p>
        </w:tc>
        <w:tc>
          <w:tcPr>
            <w:tcW w:w="140" w:type="dxa"/>
            <w:vAlign w:val="bottom"/>
          </w:tcPr>
          <w:p>
            <w:pPr>
              <w:spacing w:after="0"/>
              <w:rPr>
                <w:sz w:val="13"/>
                <w:szCs w:val="13"/>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120" w:type="dxa"/>
            <w:vAlign w:val="bottom"/>
          </w:tcPr>
          <w:p>
            <w:pPr>
              <w:spacing w:after="0"/>
              <w:rPr>
                <w:sz w:val="13"/>
                <w:szCs w:val="13"/>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969</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3180" w:type="dxa"/>
            <w:vAlign w:val="bottom"/>
          </w:tcPr>
          <w:p>
            <w:pPr>
              <w:ind w:left="20"/>
              <w:spacing w:after="0" w:line="115" w:lineRule="exact"/>
              <w:rPr>
                <w:sz w:val="20"/>
                <w:szCs w:val="20"/>
                <w:color w:val="auto"/>
              </w:rPr>
            </w:pPr>
            <w:r>
              <w:rPr>
                <w:rFonts w:ascii="Arial" w:cs="Arial" w:eastAsia="Arial" w:hAnsi="Arial"/>
                <w:sz w:val="11"/>
                <w:szCs w:val="11"/>
                <w:color w:val="auto"/>
              </w:rPr>
              <w:t>Integrative Nutrition, LLC</w:t>
            </w:r>
          </w:p>
        </w:tc>
        <w:tc>
          <w:tcPr>
            <w:tcW w:w="760" w:type="dxa"/>
            <w:vAlign w:val="bottom"/>
            <w:gridSpan w:val="2"/>
          </w:tcPr>
          <w:p>
            <w:pPr>
              <w:jc w:val="center"/>
              <w:ind w:left="86"/>
              <w:spacing w:after="0" w:line="115" w:lineRule="exact"/>
              <w:rPr>
                <w:sz w:val="20"/>
                <w:szCs w:val="20"/>
                <w:color w:val="auto"/>
              </w:rPr>
            </w:pPr>
            <w:r>
              <w:rPr>
                <w:rFonts w:ascii="Arial" w:cs="Arial" w:eastAsia="Arial" w:hAnsi="Arial"/>
                <w:sz w:val="11"/>
                <w:szCs w:val="11"/>
                <w:color w:val="auto"/>
                <w:w w:val="90"/>
              </w:rPr>
              <w:t>09/29/2023</w:t>
            </w:r>
          </w:p>
        </w:tc>
        <w:tc>
          <w:tcPr>
            <w:tcW w:w="140" w:type="dxa"/>
            <w:vAlign w:val="bottom"/>
          </w:tcPr>
          <w:p>
            <w:pPr>
              <w:spacing w:after="0"/>
              <w:rPr>
                <w:sz w:val="9"/>
                <w:szCs w:val="9"/>
                <w:color w:val="auto"/>
              </w:rPr>
            </w:pPr>
          </w:p>
        </w:tc>
        <w:tc>
          <w:tcPr>
            <w:tcW w:w="2240" w:type="dxa"/>
            <w:vAlign w:val="bottom"/>
          </w:tcPr>
          <w:p>
            <w:pPr>
              <w:jc w:val="center"/>
              <w:spacing w:after="0" w:line="115" w:lineRule="exact"/>
              <w:rPr>
                <w:sz w:val="20"/>
                <w:szCs w:val="20"/>
                <w:color w:val="auto"/>
              </w:rPr>
            </w:pPr>
            <w:r>
              <w:rPr>
                <w:rFonts w:ascii="Arial" w:cs="Arial" w:eastAsia="Arial" w:hAnsi="Arial"/>
                <w:sz w:val="11"/>
                <w:szCs w:val="11"/>
                <w:color w:val="auto"/>
                <w:w w:val="87"/>
              </w:rPr>
              <w:t>Consumer Services</w:t>
            </w:r>
          </w:p>
        </w:tc>
        <w:tc>
          <w:tcPr>
            <w:tcW w:w="1080" w:type="dxa"/>
            <w:vAlign w:val="bottom"/>
            <w:gridSpan w:val="3"/>
          </w:tcPr>
          <w:p>
            <w:pPr>
              <w:jc w:val="right"/>
              <w:ind w:right="86"/>
              <w:spacing w:after="0" w:line="115" w:lineRule="exact"/>
              <w:rPr>
                <w:sz w:val="20"/>
                <w:szCs w:val="20"/>
                <w:color w:val="auto"/>
              </w:rPr>
            </w:pPr>
            <w:r>
              <w:rPr>
                <w:rFonts w:ascii="Arial" w:cs="Arial" w:eastAsia="Arial" w:hAnsi="Arial"/>
                <w:sz w:val="11"/>
                <w:szCs w:val="11"/>
                <w:color w:val="auto"/>
              </w:rPr>
              <w:t>7.00 %</w:t>
            </w:r>
          </w:p>
        </w:tc>
        <w:tc>
          <w:tcPr>
            <w:tcW w:w="940" w:type="dxa"/>
            <w:vAlign w:val="bottom"/>
          </w:tcPr>
          <w:p>
            <w:pPr>
              <w:jc w:val="right"/>
              <w:spacing w:after="0" w:line="115" w:lineRule="exact"/>
              <w:rPr>
                <w:sz w:val="20"/>
                <w:szCs w:val="20"/>
                <w:color w:val="auto"/>
              </w:rPr>
            </w:pPr>
            <w:r>
              <w:rPr>
                <w:rFonts w:ascii="Arial" w:cs="Arial" w:eastAsia="Arial" w:hAnsi="Arial"/>
                <w:sz w:val="11"/>
                <w:szCs w:val="11"/>
                <w:color w:val="auto"/>
              </w:rPr>
              <w:t>3M L+450</w:t>
            </w:r>
          </w:p>
        </w:tc>
        <w:tc>
          <w:tcPr>
            <w:tcW w:w="94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15,688</w:t>
            </w: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jc w:val="right"/>
              <w:spacing w:after="0" w:line="115" w:lineRule="exact"/>
              <w:rPr>
                <w:sz w:val="20"/>
                <w:szCs w:val="20"/>
                <w:color w:val="auto"/>
              </w:rPr>
            </w:pPr>
            <w:r>
              <w:rPr>
                <w:rFonts w:ascii="Arial" w:cs="Arial" w:eastAsia="Arial" w:hAnsi="Arial"/>
                <w:sz w:val="11"/>
                <w:szCs w:val="11"/>
                <w:color w:val="auto"/>
              </w:rPr>
              <w:t>15,644</w:t>
            </w: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jc w:val="right"/>
              <w:spacing w:after="0" w:line="115" w:lineRule="exact"/>
              <w:rPr>
                <w:sz w:val="20"/>
                <w:szCs w:val="20"/>
                <w:color w:val="auto"/>
              </w:rPr>
            </w:pPr>
            <w:r>
              <w:rPr>
                <w:rFonts w:ascii="Arial" w:cs="Arial" w:eastAsia="Arial" w:hAnsi="Arial"/>
                <w:sz w:val="11"/>
                <w:szCs w:val="11"/>
                <w:color w:val="auto"/>
              </w:rPr>
              <w:t>15,688</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18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Integrative Nutrition, LLC (Revolver) </w:t>
            </w:r>
            <w:r>
              <w:rPr>
                <w:rFonts w:ascii="Arial" w:cs="Arial" w:eastAsia="Arial" w:hAnsi="Arial"/>
                <w:sz w:val="14"/>
                <w:szCs w:val="14"/>
                <w:color w:val="auto"/>
                <w:vertAlign w:val="superscript"/>
              </w:rPr>
              <w:t>(7), (9)</w:t>
            </w:r>
          </w:p>
        </w:tc>
        <w:tc>
          <w:tcPr>
            <w:tcW w:w="76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09/29/2023</w:t>
            </w:r>
          </w:p>
        </w:tc>
        <w:tc>
          <w:tcPr>
            <w:tcW w:w="140" w:type="dxa"/>
            <w:vAlign w:val="bottom"/>
          </w:tcPr>
          <w:p>
            <w:pPr>
              <w:spacing w:after="0"/>
              <w:rPr>
                <w:sz w:val="11"/>
                <w:szCs w:val="11"/>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87"/>
              </w:rPr>
              <w:t>Consumer Services</w:t>
            </w:r>
          </w:p>
        </w:tc>
        <w:tc>
          <w:tcPr>
            <w:tcW w:w="120" w:type="dxa"/>
            <w:vAlign w:val="bottom"/>
          </w:tcPr>
          <w:p>
            <w:pPr>
              <w:spacing w:after="0"/>
              <w:rPr>
                <w:sz w:val="11"/>
                <w:szCs w:val="11"/>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5,000</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318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Integrity Marketing Acquisition, LLC </w:t>
            </w:r>
            <w:r>
              <w:rPr>
                <w:rFonts w:ascii="Arial" w:cs="Arial" w:eastAsia="Arial" w:hAnsi="Arial"/>
                <w:sz w:val="14"/>
                <w:szCs w:val="14"/>
                <w:color w:val="auto"/>
                <w:vertAlign w:val="superscript"/>
              </w:rPr>
              <w:t>(7)</w:t>
            </w:r>
          </w:p>
        </w:tc>
        <w:tc>
          <w:tcPr>
            <w:tcW w:w="76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08/27/2025</w:t>
            </w:r>
          </w:p>
        </w:tc>
        <w:tc>
          <w:tcPr>
            <w:tcW w:w="140" w:type="dxa"/>
            <w:vAlign w:val="bottom"/>
          </w:tcPr>
          <w:p>
            <w:pPr>
              <w:spacing w:after="0"/>
              <w:rPr>
                <w:sz w:val="11"/>
                <w:szCs w:val="11"/>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86"/>
              </w:rPr>
              <w:t>Insurance</w:t>
            </w:r>
          </w:p>
        </w:tc>
        <w:tc>
          <w:tcPr>
            <w:tcW w:w="1080" w:type="dxa"/>
            <w:vAlign w:val="bottom"/>
            <w:gridSpan w:val="3"/>
          </w:tcPr>
          <w:p>
            <w:pPr>
              <w:jc w:val="right"/>
              <w:ind w:right="86"/>
              <w:spacing w:after="0"/>
              <w:rPr>
                <w:sz w:val="20"/>
                <w:szCs w:val="20"/>
                <w:color w:val="auto"/>
              </w:rPr>
            </w:pPr>
            <w:r>
              <w:rPr>
                <w:rFonts w:ascii="Arial" w:cs="Arial" w:eastAsia="Arial" w:hAnsi="Arial"/>
                <w:sz w:val="11"/>
                <w:szCs w:val="11"/>
                <w:color w:val="auto"/>
              </w:rPr>
              <w:t>7.58 %</w:t>
            </w:r>
          </w:p>
        </w:tc>
        <w:tc>
          <w:tcPr>
            <w:tcW w:w="940" w:type="dxa"/>
            <w:vAlign w:val="bottom"/>
          </w:tcPr>
          <w:p>
            <w:pPr>
              <w:jc w:val="right"/>
              <w:spacing w:after="0"/>
              <w:rPr>
                <w:sz w:val="20"/>
                <w:szCs w:val="20"/>
                <w:color w:val="auto"/>
              </w:rPr>
            </w:pPr>
            <w:r>
              <w:rPr>
                <w:rFonts w:ascii="Arial" w:cs="Arial" w:eastAsia="Arial" w:hAnsi="Arial"/>
                <w:sz w:val="11"/>
                <w:szCs w:val="11"/>
                <w:color w:val="auto"/>
              </w:rPr>
              <w:t>SOFR+575</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15,846</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15,711</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15,694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ITI Holdings, Inc. (Revolver) </w:t>
            </w:r>
            <w:r>
              <w:rPr>
                <w:rFonts w:ascii="Arial" w:cs="Arial" w:eastAsia="Arial" w:hAnsi="Arial"/>
                <w:sz w:val="14"/>
                <w:szCs w:val="14"/>
                <w:color w:val="auto"/>
                <w:vertAlign w:val="superscript"/>
              </w:rPr>
              <w:t>(9)</w:t>
            </w:r>
          </w:p>
        </w:tc>
        <w:tc>
          <w:tcPr>
            <w:tcW w:w="76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03/03/2028</w:t>
            </w:r>
          </w:p>
        </w:tc>
        <w:tc>
          <w:tcPr>
            <w:tcW w:w="140" w:type="dxa"/>
            <w:vAlign w:val="bottom"/>
          </w:tcPr>
          <w:p>
            <w:pPr>
              <w:spacing w:after="0"/>
              <w:rPr>
                <w:sz w:val="11"/>
                <w:szCs w:val="11"/>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90"/>
              </w:rPr>
              <w:t>IT Services</w:t>
            </w:r>
          </w:p>
        </w:tc>
        <w:tc>
          <w:tcPr>
            <w:tcW w:w="120" w:type="dxa"/>
            <w:vAlign w:val="bottom"/>
          </w:tcPr>
          <w:p>
            <w:pPr>
              <w:spacing w:after="0"/>
              <w:rPr>
                <w:sz w:val="11"/>
                <w:szCs w:val="11"/>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664</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auto"/>
              </w:rPr>
              <w:t>(13 )</w:t>
            </w:r>
          </w:p>
        </w:tc>
        <w:tc>
          <w:tcPr>
            <w:tcW w:w="0" w:type="dxa"/>
            <w:vAlign w:val="bottom"/>
          </w:tcPr>
          <w:p>
            <w:pPr>
              <w:spacing w:after="0"/>
              <w:rPr>
                <w:sz w:val="1"/>
                <w:szCs w:val="1"/>
                <w:color w:val="auto"/>
              </w:rPr>
            </w:pPr>
          </w:p>
        </w:tc>
      </w:tr>
      <w:tr>
        <w:trPr>
          <w:trHeight w:val="135"/>
        </w:trPr>
        <w:tc>
          <w:tcPr>
            <w:tcW w:w="318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K2 Pure Solutions NoCal, L.P. (Revolver) </w:t>
            </w:r>
            <w:r>
              <w:rPr>
                <w:rFonts w:ascii="Arial" w:cs="Arial" w:eastAsia="Arial" w:hAnsi="Arial"/>
                <w:sz w:val="14"/>
                <w:szCs w:val="14"/>
                <w:color w:val="auto"/>
                <w:vertAlign w:val="superscript"/>
              </w:rPr>
              <w:t>(7)</w:t>
            </w:r>
          </w:p>
        </w:tc>
        <w:tc>
          <w:tcPr>
            <w:tcW w:w="76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12/20/2023</w:t>
            </w:r>
          </w:p>
        </w:tc>
        <w:tc>
          <w:tcPr>
            <w:tcW w:w="140" w:type="dxa"/>
            <w:vAlign w:val="bottom"/>
          </w:tcPr>
          <w:p>
            <w:pPr>
              <w:spacing w:after="0"/>
              <w:rPr>
                <w:sz w:val="11"/>
                <w:szCs w:val="11"/>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88"/>
              </w:rPr>
              <w:t>Chemicals, Plastics and Rubber</w:t>
            </w:r>
          </w:p>
        </w:tc>
        <w:tc>
          <w:tcPr>
            <w:tcW w:w="1080" w:type="dxa"/>
            <w:vAlign w:val="bottom"/>
            <w:gridSpan w:val="3"/>
          </w:tcPr>
          <w:p>
            <w:pPr>
              <w:jc w:val="right"/>
              <w:ind w:right="86"/>
              <w:spacing w:after="0"/>
              <w:rPr>
                <w:sz w:val="20"/>
                <w:szCs w:val="20"/>
                <w:color w:val="auto"/>
              </w:rPr>
            </w:pPr>
            <w:r>
              <w:rPr>
                <w:rFonts w:ascii="Arial" w:cs="Arial" w:eastAsia="Arial" w:hAnsi="Arial"/>
                <w:sz w:val="11"/>
                <w:szCs w:val="11"/>
                <w:color w:val="auto"/>
              </w:rPr>
              <w:t>9.67 %</w:t>
            </w:r>
          </w:p>
        </w:tc>
        <w:tc>
          <w:tcPr>
            <w:tcW w:w="940" w:type="dxa"/>
            <w:vAlign w:val="bottom"/>
          </w:tcPr>
          <w:p>
            <w:pPr>
              <w:jc w:val="right"/>
              <w:spacing w:after="0"/>
              <w:rPr>
                <w:sz w:val="20"/>
                <w:szCs w:val="20"/>
                <w:color w:val="auto"/>
              </w:rPr>
            </w:pPr>
            <w:r>
              <w:rPr>
                <w:rFonts w:ascii="Arial" w:cs="Arial" w:eastAsia="Arial" w:hAnsi="Arial"/>
                <w:sz w:val="11"/>
                <w:szCs w:val="11"/>
                <w:color w:val="auto"/>
              </w:rPr>
              <w:t>1M L+800</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714</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714</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708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18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K2 Pure Solutions NoCal, L.P. (Revolver) </w:t>
            </w:r>
            <w:r>
              <w:rPr>
                <w:rFonts w:ascii="Arial" w:cs="Arial" w:eastAsia="Arial" w:hAnsi="Arial"/>
                <w:sz w:val="14"/>
                <w:szCs w:val="14"/>
                <w:color w:val="auto"/>
                <w:vertAlign w:val="superscript"/>
              </w:rPr>
              <w:t>(7), (9)</w:t>
            </w:r>
          </w:p>
        </w:tc>
        <w:tc>
          <w:tcPr>
            <w:tcW w:w="76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12/20/2023</w:t>
            </w:r>
          </w:p>
        </w:tc>
        <w:tc>
          <w:tcPr>
            <w:tcW w:w="140" w:type="dxa"/>
            <w:vAlign w:val="bottom"/>
          </w:tcPr>
          <w:p>
            <w:pPr>
              <w:spacing w:after="0"/>
              <w:rPr>
                <w:sz w:val="13"/>
                <w:szCs w:val="13"/>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88"/>
              </w:rPr>
              <w:t>Chemicals, Plastics and Rubber</w:t>
            </w:r>
          </w:p>
        </w:tc>
        <w:tc>
          <w:tcPr>
            <w:tcW w:w="120" w:type="dxa"/>
            <w:vAlign w:val="bottom"/>
          </w:tcPr>
          <w:p>
            <w:pPr>
              <w:spacing w:after="0"/>
              <w:rPr>
                <w:sz w:val="13"/>
                <w:szCs w:val="13"/>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714</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auto"/>
              </w:rPr>
              <w:t>(6 )</w:t>
            </w:r>
          </w:p>
        </w:tc>
        <w:tc>
          <w:tcPr>
            <w:tcW w:w="0" w:type="dxa"/>
            <w:vAlign w:val="bottom"/>
          </w:tcPr>
          <w:p>
            <w:pPr>
              <w:spacing w:after="0"/>
              <w:rPr>
                <w:sz w:val="1"/>
                <w:szCs w:val="1"/>
                <w:color w:val="auto"/>
              </w:rPr>
            </w:pPr>
          </w:p>
        </w:tc>
      </w:tr>
      <w:tr>
        <w:trPr>
          <w:trHeight w:val="115"/>
        </w:trPr>
        <w:tc>
          <w:tcPr>
            <w:tcW w:w="3180" w:type="dxa"/>
            <w:vAlign w:val="bottom"/>
          </w:tcPr>
          <w:p>
            <w:pPr>
              <w:ind w:left="20"/>
              <w:spacing w:after="0" w:line="115" w:lineRule="exact"/>
              <w:rPr>
                <w:sz w:val="20"/>
                <w:szCs w:val="20"/>
                <w:color w:val="auto"/>
              </w:rPr>
            </w:pPr>
            <w:r>
              <w:rPr>
                <w:rFonts w:ascii="Arial" w:cs="Arial" w:eastAsia="Arial" w:hAnsi="Arial"/>
                <w:sz w:val="11"/>
                <w:szCs w:val="11"/>
                <w:color w:val="auto"/>
              </w:rPr>
              <w:t>Kinetic Purchaser, LLC</w:t>
            </w:r>
          </w:p>
        </w:tc>
        <w:tc>
          <w:tcPr>
            <w:tcW w:w="760" w:type="dxa"/>
            <w:vAlign w:val="bottom"/>
            <w:gridSpan w:val="2"/>
          </w:tcPr>
          <w:p>
            <w:pPr>
              <w:jc w:val="center"/>
              <w:ind w:left="86"/>
              <w:spacing w:after="0" w:line="115" w:lineRule="exact"/>
              <w:rPr>
                <w:sz w:val="20"/>
                <w:szCs w:val="20"/>
                <w:color w:val="auto"/>
              </w:rPr>
            </w:pPr>
            <w:r>
              <w:rPr>
                <w:rFonts w:ascii="Arial" w:cs="Arial" w:eastAsia="Arial" w:hAnsi="Arial"/>
                <w:sz w:val="11"/>
                <w:szCs w:val="11"/>
                <w:color w:val="auto"/>
                <w:w w:val="90"/>
              </w:rPr>
              <w:t>11/10/2027</w:t>
            </w:r>
          </w:p>
        </w:tc>
        <w:tc>
          <w:tcPr>
            <w:tcW w:w="140" w:type="dxa"/>
            <w:vAlign w:val="bottom"/>
          </w:tcPr>
          <w:p>
            <w:pPr>
              <w:spacing w:after="0"/>
              <w:rPr>
                <w:sz w:val="9"/>
                <w:szCs w:val="9"/>
                <w:color w:val="auto"/>
              </w:rPr>
            </w:pPr>
          </w:p>
        </w:tc>
        <w:tc>
          <w:tcPr>
            <w:tcW w:w="2240" w:type="dxa"/>
            <w:vAlign w:val="bottom"/>
          </w:tcPr>
          <w:p>
            <w:pPr>
              <w:jc w:val="center"/>
              <w:spacing w:after="0" w:line="115" w:lineRule="exact"/>
              <w:rPr>
                <w:sz w:val="20"/>
                <w:szCs w:val="20"/>
                <w:color w:val="auto"/>
              </w:rPr>
            </w:pPr>
            <w:r>
              <w:rPr>
                <w:rFonts w:ascii="Arial" w:cs="Arial" w:eastAsia="Arial" w:hAnsi="Arial"/>
                <w:sz w:val="11"/>
                <w:szCs w:val="11"/>
                <w:color w:val="auto"/>
                <w:w w:val="86"/>
              </w:rPr>
              <w:t>Personal Products</w:t>
            </w:r>
          </w:p>
        </w:tc>
        <w:tc>
          <w:tcPr>
            <w:tcW w:w="1080" w:type="dxa"/>
            <w:vAlign w:val="bottom"/>
            <w:gridSpan w:val="3"/>
          </w:tcPr>
          <w:p>
            <w:pPr>
              <w:jc w:val="right"/>
              <w:ind w:right="86"/>
              <w:spacing w:after="0" w:line="115" w:lineRule="exact"/>
              <w:rPr>
                <w:sz w:val="20"/>
                <w:szCs w:val="20"/>
                <w:color w:val="auto"/>
              </w:rPr>
            </w:pPr>
            <w:r>
              <w:rPr>
                <w:rFonts w:ascii="Arial" w:cs="Arial" w:eastAsia="Arial" w:hAnsi="Arial"/>
                <w:sz w:val="11"/>
                <w:szCs w:val="11"/>
                <w:color w:val="auto"/>
              </w:rPr>
              <w:t>7.75 %</w:t>
            </w:r>
          </w:p>
        </w:tc>
        <w:tc>
          <w:tcPr>
            <w:tcW w:w="940" w:type="dxa"/>
            <w:vAlign w:val="bottom"/>
          </w:tcPr>
          <w:p>
            <w:pPr>
              <w:jc w:val="right"/>
              <w:spacing w:after="0" w:line="115" w:lineRule="exact"/>
              <w:rPr>
                <w:sz w:val="20"/>
                <w:szCs w:val="20"/>
                <w:color w:val="auto"/>
              </w:rPr>
            </w:pPr>
            <w:r>
              <w:rPr>
                <w:rFonts w:ascii="Arial" w:cs="Arial" w:eastAsia="Arial" w:hAnsi="Arial"/>
                <w:sz w:val="11"/>
                <w:szCs w:val="11"/>
                <w:color w:val="auto"/>
              </w:rPr>
              <w:t>3M L+600</w:t>
            </w:r>
          </w:p>
        </w:tc>
        <w:tc>
          <w:tcPr>
            <w:tcW w:w="94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17,471</w:t>
            </w: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jc w:val="right"/>
              <w:spacing w:after="0" w:line="115" w:lineRule="exact"/>
              <w:rPr>
                <w:sz w:val="20"/>
                <w:szCs w:val="20"/>
                <w:color w:val="auto"/>
              </w:rPr>
            </w:pPr>
            <w:r>
              <w:rPr>
                <w:rFonts w:ascii="Arial" w:cs="Arial" w:eastAsia="Arial" w:hAnsi="Arial"/>
                <w:sz w:val="11"/>
                <w:szCs w:val="11"/>
                <w:color w:val="auto"/>
              </w:rPr>
              <w:t>17,152</w:t>
            </w: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jc w:val="right"/>
              <w:spacing w:after="0" w:line="115" w:lineRule="exact"/>
              <w:rPr>
                <w:sz w:val="20"/>
                <w:szCs w:val="20"/>
                <w:color w:val="auto"/>
              </w:rPr>
            </w:pPr>
            <w:r>
              <w:rPr>
                <w:rFonts w:ascii="Arial" w:cs="Arial" w:eastAsia="Arial" w:hAnsi="Arial"/>
                <w:sz w:val="11"/>
                <w:szCs w:val="11"/>
                <w:color w:val="auto"/>
              </w:rPr>
              <w:t>17,122</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318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Kinetic Purchaser, LLC - (Revolver) </w:t>
            </w:r>
            <w:r>
              <w:rPr>
                <w:rFonts w:ascii="Arial" w:cs="Arial" w:eastAsia="Arial" w:hAnsi="Arial"/>
                <w:sz w:val="14"/>
                <w:szCs w:val="14"/>
                <w:color w:val="auto"/>
                <w:vertAlign w:val="superscript"/>
              </w:rPr>
              <w:t>(9)</w:t>
            </w:r>
          </w:p>
        </w:tc>
        <w:tc>
          <w:tcPr>
            <w:tcW w:w="76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11/10/2026</w:t>
            </w:r>
          </w:p>
        </w:tc>
        <w:tc>
          <w:tcPr>
            <w:tcW w:w="140" w:type="dxa"/>
            <w:vAlign w:val="bottom"/>
          </w:tcPr>
          <w:p>
            <w:pPr>
              <w:spacing w:after="0"/>
              <w:rPr>
                <w:sz w:val="13"/>
                <w:szCs w:val="13"/>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86"/>
              </w:rPr>
              <w:t>Personal Products</w:t>
            </w:r>
          </w:p>
        </w:tc>
        <w:tc>
          <w:tcPr>
            <w:tcW w:w="120" w:type="dxa"/>
            <w:vAlign w:val="bottom"/>
          </w:tcPr>
          <w:p>
            <w:pPr>
              <w:spacing w:after="0"/>
              <w:rPr>
                <w:sz w:val="13"/>
                <w:szCs w:val="13"/>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3,435</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auto"/>
              </w:rPr>
              <w:t>(69 )</w:t>
            </w:r>
          </w:p>
        </w:tc>
        <w:tc>
          <w:tcPr>
            <w:tcW w:w="0" w:type="dxa"/>
            <w:vAlign w:val="bottom"/>
          </w:tcPr>
          <w:p>
            <w:pPr>
              <w:spacing w:after="0"/>
              <w:rPr>
                <w:sz w:val="1"/>
                <w:szCs w:val="1"/>
                <w:color w:val="auto"/>
              </w:rPr>
            </w:pPr>
          </w:p>
        </w:tc>
      </w:tr>
      <w:tr>
        <w:trPr>
          <w:trHeight w:val="115"/>
        </w:trPr>
        <w:tc>
          <w:tcPr>
            <w:tcW w:w="3180" w:type="dxa"/>
            <w:vAlign w:val="bottom"/>
          </w:tcPr>
          <w:p>
            <w:pPr>
              <w:ind w:left="20"/>
              <w:spacing w:after="0" w:line="115" w:lineRule="exact"/>
              <w:rPr>
                <w:sz w:val="20"/>
                <w:szCs w:val="20"/>
                <w:color w:val="auto"/>
              </w:rPr>
            </w:pPr>
            <w:r>
              <w:rPr>
                <w:rFonts w:ascii="Arial" w:cs="Arial" w:eastAsia="Arial" w:hAnsi="Arial"/>
                <w:sz w:val="11"/>
                <w:szCs w:val="11"/>
                <w:color w:val="auto"/>
              </w:rPr>
              <w:t>Lash OpCo, LLC</w:t>
            </w:r>
          </w:p>
        </w:tc>
        <w:tc>
          <w:tcPr>
            <w:tcW w:w="760" w:type="dxa"/>
            <w:vAlign w:val="bottom"/>
            <w:gridSpan w:val="2"/>
          </w:tcPr>
          <w:p>
            <w:pPr>
              <w:jc w:val="center"/>
              <w:ind w:left="86"/>
              <w:spacing w:after="0" w:line="115" w:lineRule="exact"/>
              <w:rPr>
                <w:sz w:val="20"/>
                <w:szCs w:val="20"/>
                <w:color w:val="auto"/>
              </w:rPr>
            </w:pPr>
            <w:r>
              <w:rPr>
                <w:rFonts w:ascii="Arial" w:cs="Arial" w:eastAsia="Arial" w:hAnsi="Arial"/>
                <w:sz w:val="11"/>
                <w:szCs w:val="11"/>
                <w:color w:val="auto"/>
                <w:w w:val="90"/>
              </w:rPr>
              <w:t>02/18/2027</w:t>
            </w:r>
          </w:p>
        </w:tc>
        <w:tc>
          <w:tcPr>
            <w:tcW w:w="140" w:type="dxa"/>
            <w:vAlign w:val="bottom"/>
          </w:tcPr>
          <w:p>
            <w:pPr>
              <w:spacing w:after="0"/>
              <w:rPr>
                <w:sz w:val="9"/>
                <w:szCs w:val="9"/>
                <w:color w:val="auto"/>
              </w:rPr>
            </w:pPr>
          </w:p>
        </w:tc>
        <w:tc>
          <w:tcPr>
            <w:tcW w:w="2240" w:type="dxa"/>
            <w:vAlign w:val="bottom"/>
          </w:tcPr>
          <w:p>
            <w:pPr>
              <w:jc w:val="center"/>
              <w:spacing w:after="0" w:line="115" w:lineRule="exact"/>
              <w:rPr>
                <w:sz w:val="20"/>
                <w:szCs w:val="20"/>
                <w:color w:val="auto"/>
              </w:rPr>
            </w:pPr>
            <w:r>
              <w:rPr>
                <w:rFonts w:ascii="Arial" w:cs="Arial" w:eastAsia="Arial" w:hAnsi="Arial"/>
                <w:sz w:val="11"/>
                <w:szCs w:val="11"/>
                <w:color w:val="auto"/>
                <w:w w:val="86"/>
              </w:rPr>
              <w:t>Personal Products</w:t>
            </w:r>
          </w:p>
        </w:tc>
        <w:tc>
          <w:tcPr>
            <w:tcW w:w="1080" w:type="dxa"/>
            <w:vAlign w:val="bottom"/>
            <w:gridSpan w:val="3"/>
          </w:tcPr>
          <w:p>
            <w:pPr>
              <w:jc w:val="right"/>
              <w:ind w:right="86"/>
              <w:spacing w:after="0" w:line="115" w:lineRule="exact"/>
              <w:rPr>
                <w:sz w:val="20"/>
                <w:szCs w:val="20"/>
                <w:color w:val="auto"/>
              </w:rPr>
            </w:pPr>
            <w:r>
              <w:rPr>
                <w:rFonts w:ascii="Arial" w:cs="Arial" w:eastAsia="Arial" w:hAnsi="Arial"/>
                <w:sz w:val="11"/>
                <w:szCs w:val="11"/>
                <w:color w:val="auto"/>
              </w:rPr>
              <w:t>9.25 %</w:t>
            </w:r>
          </w:p>
        </w:tc>
        <w:tc>
          <w:tcPr>
            <w:tcW w:w="940" w:type="dxa"/>
            <w:vAlign w:val="bottom"/>
          </w:tcPr>
          <w:p>
            <w:pPr>
              <w:jc w:val="right"/>
              <w:spacing w:after="0" w:line="115" w:lineRule="exact"/>
              <w:rPr>
                <w:sz w:val="20"/>
                <w:szCs w:val="20"/>
                <w:color w:val="auto"/>
              </w:rPr>
            </w:pPr>
            <w:r>
              <w:rPr>
                <w:rFonts w:ascii="Arial" w:cs="Arial" w:eastAsia="Arial" w:hAnsi="Arial"/>
                <w:sz w:val="11"/>
                <w:szCs w:val="11"/>
                <w:color w:val="auto"/>
              </w:rPr>
              <w:t>1M L+700</w:t>
            </w:r>
          </w:p>
        </w:tc>
        <w:tc>
          <w:tcPr>
            <w:tcW w:w="94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10,537</w:t>
            </w: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jc w:val="right"/>
              <w:spacing w:after="0" w:line="115" w:lineRule="exact"/>
              <w:rPr>
                <w:sz w:val="20"/>
                <w:szCs w:val="20"/>
                <w:color w:val="auto"/>
              </w:rPr>
            </w:pPr>
            <w:r>
              <w:rPr>
                <w:rFonts w:ascii="Arial" w:cs="Arial" w:eastAsia="Arial" w:hAnsi="Arial"/>
                <w:sz w:val="11"/>
                <w:szCs w:val="11"/>
                <w:color w:val="auto"/>
              </w:rPr>
              <w:t>10,338</w:t>
            </w: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jc w:val="right"/>
              <w:spacing w:after="0" w:line="115" w:lineRule="exact"/>
              <w:rPr>
                <w:sz w:val="20"/>
                <w:szCs w:val="20"/>
                <w:color w:val="auto"/>
              </w:rPr>
            </w:pPr>
            <w:r>
              <w:rPr>
                <w:rFonts w:ascii="Arial" w:cs="Arial" w:eastAsia="Arial" w:hAnsi="Arial"/>
                <w:sz w:val="11"/>
                <w:szCs w:val="11"/>
                <w:color w:val="auto"/>
              </w:rPr>
              <w:t>10,432</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18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Lash OpCo, LLC (Revolver) </w:t>
            </w:r>
            <w:r>
              <w:rPr>
                <w:rFonts w:ascii="Arial" w:cs="Arial" w:eastAsia="Arial" w:hAnsi="Arial"/>
                <w:sz w:val="14"/>
                <w:szCs w:val="14"/>
                <w:color w:val="auto"/>
                <w:vertAlign w:val="superscript"/>
              </w:rPr>
              <w:t>(7)</w:t>
            </w:r>
          </w:p>
        </w:tc>
        <w:tc>
          <w:tcPr>
            <w:tcW w:w="76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08/16/2026</w:t>
            </w:r>
          </w:p>
        </w:tc>
        <w:tc>
          <w:tcPr>
            <w:tcW w:w="140" w:type="dxa"/>
            <w:vAlign w:val="bottom"/>
          </w:tcPr>
          <w:p>
            <w:pPr>
              <w:spacing w:after="0"/>
              <w:rPr>
                <w:sz w:val="11"/>
                <w:szCs w:val="11"/>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86"/>
              </w:rPr>
              <w:t>Personal Products</w:t>
            </w:r>
          </w:p>
        </w:tc>
        <w:tc>
          <w:tcPr>
            <w:tcW w:w="1080" w:type="dxa"/>
            <w:vAlign w:val="bottom"/>
            <w:gridSpan w:val="3"/>
          </w:tcPr>
          <w:p>
            <w:pPr>
              <w:jc w:val="right"/>
              <w:ind w:right="86"/>
              <w:spacing w:after="0"/>
              <w:rPr>
                <w:sz w:val="20"/>
                <w:szCs w:val="20"/>
                <w:color w:val="auto"/>
              </w:rPr>
            </w:pPr>
            <w:r>
              <w:rPr>
                <w:rFonts w:ascii="Arial" w:cs="Arial" w:eastAsia="Arial" w:hAnsi="Arial"/>
                <w:sz w:val="11"/>
                <w:szCs w:val="11"/>
                <w:color w:val="auto"/>
              </w:rPr>
              <w:t>9.38 %</w:t>
            </w:r>
          </w:p>
        </w:tc>
        <w:tc>
          <w:tcPr>
            <w:tcW w:w="940" w:type="dxa"/>
            <w:vAlign w:val="bottom"/>
          </w:tcPr>
          <w:p>
            <w:pPr>
              <w:jc w:val="right"/>
              <w:spacing w:after="0"/>
              <w:rPr>
                <w:sz w:val="20"/>
                <w:szCs w:val="20"/>
                <w:color w:val="auto"/>
              </w:rPr>
            </w:pPr>
            <w:r>
              <w:rPr>
                <w:rFonts w:ascii="Arial" w:cs="Arial" w:eastAsia="Arial" w:hAnsi="Arial"/>
                <w:sz w:val="11"/>
                <w:szCs w:val="11"/>
                <w:color w:val="auto"/>
              </w:rPr>
              <w:t>1M L+700</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599</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599</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593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18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Lash OpCo, LLC (Revolver) </w:t>
            </w:r>
            <w:r>
              <w:rPr>
                <w:rFonts w:ascii="Arial" w:cs="Arial" w:eastAsia="Arial" w:hAnsi="Arial"/>
                <w:sz w:val="14"/>
                <w:szCs w:val="14"/>
                <w:color w:val="auto"/>
                <w:vertAlign w:val="superscript"/>
              </w:rPr>
              <w:t>(7), (9)</w:t>
            </w:r>
          </w:p>
        </w:tc>
        <w:tc>
          <w:tcPr>
            <w:tcW w:w="76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08/16/2026</w:t>
            </w:r>
          </w:p>
        </w:tc>
        <w:tc>
          <w:tcPr>
            <w:tcW w:w="140" w:type="dxa"/>
            <w:vAlign w:val="bottom"/>
          </w:tcPr>
          <w:p>
            <w:pPr>
              <w:spacing w:after="0"/>
              <w:rPr>
                <w:sz w:val="13"/>
                <w:szCs w:val="13"/>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86"/>
              </w:rPr>
              <w:t>Personal Products</w:t>
            </w:r>
          </w:p>
        </w:tc>
        <w:tc>
          <w:tcPr>
            <w:tcW w:w="120" w:type="dxa"/>
            <w:vAlign w:val="bottom"/>
          </w:tcPr>
          <w:p>
            <w:pPr>
              <w:spacing w:after="0"/>
              <w:rPr>
                <w:sz w:val="13"/>
                <w:szCs w:val="13"/>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940" w:type="dxa"/>
            <w:vAlign w:val="bottom"/>
          </w:tcPr>
          <w:p>
            <w:pPr>
              <w:spacing w:after="0"/>
              <w:rPr>
                <w:sz w:val="13"/>
                <w:szCs w:val="13"/>
                <w:color w:val="auto"/>
              </w:rPr>
            </w:pP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1,321</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auto"/>
              </w:rPr>
              <w:t>(13 )</w:t>
            </w:r>
          </w:p>
        </w:tc>
        <w:tc>
          <w:tcPr>
            <w:tcW w:w="0" w:type="dxa"/>
            <w:vAlign w:val="bottom"/>
          </w:tcPr>
          <w:p>
            <w:pPr>
              <w:spacing w:after="0"/>
              <w:rPr>
                <w:sz w:val="1"/>
                <w:szCs w:val="1"/>
                <w:color w:val="auto"/>
              </w:rPr>
            </w:pPr>
          </w:p>
        </w:tc>
      </w:tr>
      <w:tr>
        <w:trPr>
          <w:trHeight w:val="135"/>
        </w:trPr>
        <w:tc>
          <w:tcPr>
            <w:tcW w:w="3180" w:type="dxa"/>
            <w:vAlign w:val="bottom"/>
          </w:tcPr>
          <w:p>
            <w:pPr>
              <w:ind w:left="20"/>
              <w:spacing w:after="0"/>
              <w:rPr>
                <w:sz w:val="20"/>
                <w:szCs w:val="20"/>
                <w:color w:val="auto"/>
              </w:rPr>
            </w:pPr>
            <w:r>
              <w:rPr>
                <w:rFonts w:ascii="Arial" w:cs="Arial" w:eastAsia="Arial" w:hAnsi="Arial"/>
                <w:sz w:val="11"/>
                <w:szCs w:val="11"/>
                <w:color w:val="auto"/>
              </w:rPr>
              <w:t>LAV Gear Holdings, Inc.</w:t>
            </w:r>
          </w:p>
        </w:tc>
        <w:tc>
          <w:tcPr>
            <w:tcW w:w="76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10/31/2024</w:t>
            </w:r>
          </w:p>
        </w:tc>
        <w:tc>
          <w:tcPr>
            <w:tcW w:w="140" w:type="dxa"/>
            <w:vAlign w:val="bottom"/>
          </w:tcPr>
          <w:p>
            <w:pPr>
              <w:spacing w:after="0"/>
              <w:rPr>
                <w:sz w:val="11"/>
                <w:szCs w:val="11"/>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91"/>
              </w:rPr>
              <w:t>Capital Equipment</w:t>
            </w:r>
          </w:p>
        </w:tc>
        <w:tc>
          <w:tcPr>
            <w:tcW w:w="1080" w:type="dxa"/>
            <w:vAlign w:val="bottom"/>
            <w:gridSpan w:val="3"/>
          </w:tcPr>
          <w:p>
            <w:pPr>
              <w:jc w:val="right"/>
              <w:ind w:right="86"/>
              <w:spacing w:after="0"/>
              <w:rPr>
                <w:sz w:val="20"/>
                <w:szCs w:val="20"/>
                <w:color w:val="auto"/>
              </w:rPr>
            </w:pPr>
            <w:r>
              <w:rPr>
                <w:rFonts w:ascii="Arial" w:cs="Arial" w:eastAsia="Arial" w:hAnsi="Arial"/>
                <w:sz w:val="11"/>
                <w:szCs w:val="11"/>
                <w:color w:val="auto"/>
              </w:rPr>
              <w:t>9.70 %</w:t>
            </w:r>
          </w:p>
        </w:tc>
        <w:tc>
          <w:tcPr>
            <w:tcW w:w="940" w:type="dxa"/>
            <w:vAlign w:val="bottom"/>
          </w:tcPr>
          <w:p>
            <w:pPr>
              <w:jc w:val="right"/>
              <w:spacing w:after="0"/>
              <w:rPr>
                <w:sz w:val="20"/>
                <w:szCs w:val="20"/>
                <w:color w:val="auto"/>
              </w:rPr>
            </w:pPr>
            <w:r>
              <w:rPr>
                <w:rFonts w:ascii="Arial" w:cs="Arial" w:eastAsia="Arial" w:hAnsi="Arial"/>
                <w:sz w:val="11"/>
                <w:szCs w:val="11"/>
                <w:color w:val="auto"/>
              </w:rPr>
              <w:t>1M L+750</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9,564</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9,538</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9,315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vMerge w:val="restart"/>
          </w:tcPr>
          <w:p>
            <w:pPr>
              <w:ind w:left="20"/>
              <w:spacing w:after="0"/>
              <w:rPr>
                <w:sz w:val="20"/>
                <w:szCs w:val="20"/>
                <w:color w:val="auto"/>
              </w:rPr>
            </w:pPr>
            <w:r>
              <w:rPr>
                <w:rFonts w:ascii="Arial" w:cs="Arial" w:eastAsia="Arial" w:hAnsi="Arial"/>
                <w:sz w:val="11"/>
                <w:szCs w:val="11"/>
                <w:color w:val="auto"/>
              </w:rPr>
              <w:t xml:space="preserve">LAV Gear Holdings, Inc. (Revolver) </w:t>
            </w:r>
            <w:r>
              <w:rPr>
                <w:rFonts w:ascii="Arial" w:cs="Arial" w:eastAsia="Arial" w:hAnsi="Arial"/>
                <w:sz w:val="14"/>
                <w:szCs w:val="14"/>
                <w:color w:val="auto"/>
                <w:vertAlign w:val="superscript"/>
              </w:rPr>
              <w:t>(7)</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(PIK 5.00%)</w:t>
            </w: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3180" w:type="dxa"/>
            <w:vAlign w:val="bottom"/>
            <w:vMerge w:val="continue"/>
          </w:tcPr>
          <w:p>
            <w:pPr>
              <w:spacing w:after="0"/>
              <w:rPr>
                <w:sz w:val="12"/>
                <w:szCs w:val="12"/>
                <w:color w:val="auto"/>
              </w:rPr>
            </w:pPr>
          </w:p>
        </w:tc>
        <w:tc>
          <w:tcPr>
            <w:tcW w:w="76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10/31/2024</w:t>
            </w:r>
          </w:p>
        </w:tc>
        <w:tc>
          <w:tcPr>
            <w:tcW w:w="140" w:type="dxa"/>
            <w:vAlign w:val="bottom"/>
          </w:tcPr>
          <w:p>
            <w:pPr>
              <w:spacing w:after="0"/>
              <w:rPr>
                <w:sz w:val="12"/>
                <w:szCs w:val="12"/>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91"/>
              </w:rPr>
              <w:t>Capital Equipment</w:t>
            </w:r>
          </w:p>
        </w:tc>
        <w:tc>
          <w:tcPr>
            <w:tcW w:w="1080" w:type="dxa"/>
            <w:vAlign w:val="bottom"/>
            <w:gridSpan w:val="3"/>
          </w:tcPr>
          <w:p>
            <w:pPr>
              <w:jc w:val="right"/>
              <w:ind w:right="86"/>
              <w:spacing w:after="0"/>
              <w:rPr>
                <w:sz w:val="20"/>
                <w:szCs w:val="20"/>
                <w:color w:val="auto"/>
              </w:rPr>
            </w:pPr>
            <w:r>
              <w:rPr>
                <w:rFonts w:ascii="Arial" w:cs="Arial" w:eastAsia="Arial" w:hAnsi="Arial"/>
                <w:sz w:val="11"/>
                <w:szCs w:val="11"/>
                <w:color w:val="auto"/>
              </w:rPr>
              <w:t>9.70 %</w:t>
            </w:r>
          </w:p>
        </w:tc>
        <w:tc>
          <w:tcPr>
            <w:tcW w:w="940" w:type="dxa"/>
            <w:vAlign w:val="bottom"/>
          </w:tcPr>
          <w:p>
            <w:pPr>
              <w:jc w:val="right"/>
              <w:spacing w:after="0"/>
              <w:rPr>
                <w:sz w:val="20"/>
                <w:szCs w:val="20"/>
                <w:color w:val="auto"/>
              </w:rPr>
            </w:pPr>
            <w:r>
              <w:rPr>
                <w:rFonts w:ascii="Arial" w:cs="Arial" w:eastAsia="Arial" w:hAnsi="Arial"/>
                <w:sz w:val="11"/>
                <w:szCs w:val="11"/>
                <w:color w:val="auto"/>
              </w:rPr>
              <w:t>1M L+750</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1,716</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1,716</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1,672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180" w:type="dxa"/>
            <w:vAlign w:val="bottom"/>
            <w:vMerge w:val="restart"/>
          </w:tcPr>
          <w:p>
            <w:pPr>
              <w:ind w:left="20"/>
              <w:spacing w:after="0"/>
              <w:rPr>
                <w:sz w:val="20"/>
                <w:szCs w:val="20"/>
                <w:color w:val="auto"/>
              </w:rPr>
            </w:pPr>
            <w:r>
              <w:rPr>
                <w:rFonts w:ascii="Arial" w:cs="Arial" w:eastAsia="Arial" w:hAnsi="Arial"/>
                <w:sz w:val="11"/>
                <w:szCs w:val="11"/>
                <w:color w:val="auto"/>
              </w:rPr>
              <w:t>Ledge Lounger, Inc.</w:t>
            </w:r>
          </w:p>
        </w:tc>
        <w:tc>
          <w:tcPr>
            <w:tcW w:w="140" w:type="dxa"/>
            <w:vAlign w:val="bottom"/>
            <w:shd w:val="clear" w:color="auto" w:fill="CCECFF"/>
          </w:tcPr>
          <w:p>
            <w:pPr>
              <w:spacing w:after="0"/>
              <w:rPr>
                <w:sz w:val="11"/>
                <w:szCs w:val="11"/>
                <w:color w:val="auto"/>
              </w:rPr>
            </w:pPr>
          </w:p>
        </w:tc>
        <w:tc>
          <w:tcPr>
            <w:tcW w:w="6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2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206"/>
              <w:spacing w:after="0"/>
              <w:rPr>
                <w:sz w:val="20"/>
                <w:szCs w:val="20"/>
                <w:color w:val="auto"/>
              </w:rPr>
            </w:pPr>
            <w:r>
              <w:rPr>
                <w:rFonts w:ascii="Arial" w:cs="Arial" w:eastAsia="Arial" w:hAnsi="Arial"/>
                <w:sz w:val="11"/>
                <w:szCs w:val="11"/>
                <w:color w:val="auto"/>
              </w:rPr>
              <w:t>(PIK 5.00%)</w:t>
            </w:r>
          </w:p>
        </w:tc>
        <w:tc>
          <w:tcPr>
            <w:tcW w:w="9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48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3180" w:type="dxa"/>
            <w:vAlign w:val="bottom"/>
            <w:vMerge w:val="continue"/>
          </w:tcPr>
          <w:p>
            <w:pPr>
              <w:spacing w:after="0"/>
              <w:rPr>
                <w:sz w:val="9"/>
                <w:szCs w:val="9"/>
                <w:color w:val="auto"/>
              </w:rPr>
            </w:pPr>
          </w:p>
        </w:tc>
        <w:tc>
          <w:tcPr>
            <w:tcW w:w="760" w:type="dxa"/>
            <w:vAlign w:val="bottom"/>
            <w:gridSpan w:val="2"/>
          </w:tcPr>
          <w:p>
            <w:pPr>
              <w:jc w:val="center"/>
              <w:ind w:left="86"/>
              <w:spacing w:after="0" w:line="105" w:lineRule="exact"/>
              <w:rPr>
                <w:sz w:val="20"/>
                <w:szCs w:val="20"/>
                <w:color w:val="auto"/>
              </w:rPr>
            </w:pPr>
            <w:r>
              <w:rPr>
                <w:rFonts w:ascii="Arial" w:cs="Arial" w:eastAsia="Arial" w:hAnsi="Arial"/>
                <w:sz w:val="11"/>
                <w:szCs w:val="11"/>
                <w:color w:val="auto"/>
                <w:w w:val="90"/>
              </w:rPr>
              <w:t>11/09/2026</w:t>
            </w:r>
          </w:p>
        </w:tc>
        <w:tc>
          <w:tcPr>
            <w:tcW w:w="140" w:type="dxa"/>
            <w:vAlign w:val="bottom"/>
          </w:tcPr>
          <w:p>
            <w:pPr>
              <w:spacing w:after="0"/>
              <w:rPr>
                <w:sz w:val="9"/>
                <w:szCs w:val="9"/>
                <w:color w:val="auto"/>
              </w:rPr>
            </w:pPr>
          </w:p>
        </w:tc>
        <w:tc>
          <w:tcPr>
            <w:tcW w:w="2240" w:type="dxa"/>
            <w:vAlign w:val="bottom"/>
          </w:tcPr>
          <w:p>
            <w:pPr>
              <w:jc w:val="center"/>
              <w:spacing w:after="0" w:line="105" w:lineRule="exact"/>
              <w:rPr>
                <w:sz w:val="20"/>
                <w:szCs w:val="20"/>
                <w:color w:val="auto"/>
              </w:rPr>
            </w:pPr>
            <w:r>
              <w:rPr>
                <w:rFonts w:ascii="Arial" w:cs="Arial" w:eastAsia="Arial" w:hAnsi="Arial"/>
                <w:sz w:val="11"/>
                <w:szCs w:val="11"/>
                <w:color w:val="auto"/>
                <w:w w:val="89"/>
              </w:rPr>
              <w:t>Leisure Products</w:t>
            </w:r>
          </w:p>
        </w:tc>
        <w:tc>
          <w:tcPr>
            <w:tcW w:w="1080" w:type="dxa"/>
            <w:vAlign w:val="bottom"/>
            <w:gridSpan w:val="3"/>
          </w:tcPr>
          <w:p>
            <w:pPr>
              <w:jc w:val="right"/>
              <w:ind w:right="86"/>
              <w:spacing w:after="0" w:line="105" w:lineRule="exact"/>
              <w:rPr>
                <w:sz w:val="20"/>
                <w:szCs w:val="20"/>
                <w:color w:val="auto"/>
              </w:rPr>
            </w:pPr>
            <w:r>
              <w:rPr>
                <w:rFonts w:ascii="Arial" w:cs="Arial" w:eastAsia="Arial" w:hAnsi="Arial"/>
                <w:sz w:val="11"/>
                <w:szCs w:val="11"/>
                <w:color w:val="auto"/>
              </w:rPr>
              <w:t>7.25 %</w:t>
            </w:r>
          </w:p>
        </w:tc>
        <w:tc>
          <w:tcPr>
            <w:tcW w:w="940" w:type="dxa"/>
            <w:vAlign w:val="bottom"/>
          </w:tcPr>
          <w:p>
            <w:pPr>
              <w:jc w:val="right"/>
              <w:spacing w:after="0" w:line="105" w:lineRule="exact"/>
              <w:rPr>
                <w:sz w:val="20"/>
                <w:szCs w:val="20"/>
                <w:color w:val="auto"/>
              </w:rPr>
            </w:pPr>
            <w:r>
              <w:rPr>
                <w:rFonts w:ascii="Arial" w:cs="Arial" w:eastAsia="Arial" w:hAnsi="Arial"/>
                <w:sz w:val="11"/>
                <w:szCs w:val="11"/>
                <w:color w:val="auto"/>
              </w:rPr>
              <w:t>3M L+625</w:t>
            </w:r>
          </w:p>
        </w:tc>
        <w:tc>
          <w:tcPr>
            <w:tcW w:w="940" w:type="dxa"/>
            <w:vAlign w:val="bottom"/>
            <w:gridSpan w:val="2"/>
          </w:tcPr>
          <w:p>
            <w:pPr>
              <w:jc w:val="right"/>
              <w:spacing w:after="0" w:line="105" w:lineRule="exact"/>
              <w:rPr>
                <w:sz w:val="20"/>
                <w:szCs w:val="20"/>
                <w:color w:val="auto"/>
              </w:rPr>
            </w:pPr>
            <w:r>
              <w:rPr>
                <w:rFonts w:ascii="Arial" w:cs="Arial" w:eastAsia="Arial" w:hAnsi="Arial"/>
                <w:sz w:val="11"/>
                <w:szCs w:val="11"/>
                <w:color w:val="auto"/>
              </w:rPr>
              <w:t>3,757</w:t>
            </w: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jc w:val="right"/>
              <w:spacing w:after="0" w:line="105" w:lineRule="exact"/>
              <w:rPr>
                <w:sz w:val="20"/>
                <w:szCs w:val="20"/>
                <w:color w:val="auto"/>
              </w:rPr>
            </w:pPr>
            <w:r>
              <w:rPr>
                <w:rFonts w:ascii="Arial" w:cs="Arial" w:eastAsia="Arial" w:hAnsi="Arial"/>
                <w:sz w:val="11"/>
                <w:szCs w:val="11"/>
                <w:color w:val="auto"/>
              </w:rPr>
              <w:t>3,685</w:t>
            </w: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jc w:val="right"/>
              <w:spacing w:after="0" w:line="105" w:lineRule="exact"/>
              <w:rPr>
                <w:sz w:val="20"/>
                <w:szCs w:val="20"/>
                <w:color w:val="auto"/>
              </w:rPr>
            </w:pPr>
            <w:r>
              <w:rPr>
                <w:rFonts w:ascii="Arial" w:cs="Arial" w:eastAsia="Arial" w:hAnsi="Arial"/>
                <w:sz w:val="11"/>
                <w:szCs w:val="11"/>
                <w:color w:val="auto"/>
              </w:rPr>
              <w:t>3,719</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318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Ledge Lounger, Inc. (Revolver) </w:t>
            </w:r>
            <w:r>
              <w:rPr>
                <w:rFonts w:ascii="Arial" w:cs="Arial" w:eastAsia="Arial" w:hAnsi="Arial"/>
                <w:sz w:val="14"/>
                <w:szCs w:val="14"/>
                <w:color w:val="auto"/>
                <w:vertAlign w:val="superscript"/>
              </w:rPr>
              <w:t>(9)</w:t>
            </w:r>
          </w:p>
        </w:tc>
        <w:tc>
          <w:tcPr>
            <w:tcW w:w="76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11/09/2026</w:t>
            </w:r>
          </w:p>
        </w:tc>
        <w:tc>
          <w:tcPr>
            <w:tcW w:w="140" w:type="dxa"/>
            <w:vAlign w:val="bottom"/>
          </w:tcPr>
          <w:p>
            <w:pPr>
              <w:spacing w:after="0"/>
              <w:rPr>
                <w:sz w:val="13"/>
                <w:szCs w:val="13"/>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89"/>
              </w:rPr>
              <w:t>Leisure Products</w:t>
            </w:r>
          </w:p>
        </w:tc>
        <w:tc>
          <w:tcPr>
            <w:tcW w:w="120" w:type="dxa"/>
            <w:vAlign w:val="bottom"/>
          </w:tcPr>
          <w:p>
            <w:pPr>
              <w:spacing w:after="0"/>
              <w:rPr>
                <w:sz w:val="13"/>
                <w:szCs w:val="13"/>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789</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auto"/>
              </w:rPr>
              <w:t>(8 )</w:t>
            </w:r>
          </w:p>
        </w:tc>
        <w:tc>
          <w:tcPr>
            <w:tcW w:w="0" w:type="dxa"/>
            <w:vAlign w:val="bottom"/>
          </w:tcPr>
          <w:p>
            <w:pPr>
              <w:spacing w:after="0"/>
              <w:rPr>
                <w:sz w:val="1"/>
                <w:szCs w:val="1"/>
                <w:color w:val="auto"/>
              </w:rPr>
            </w:pPr>
          </w:p>
        </w:tc>
      </w:tr>
      <w:tr>
        <w:trPr>
          <w:trHeight w:val="115"/>
        </w:trPr>
        <w:tc>
          <w:tcPr>
            <w:tcW w:w="3180" w:type="dxa"/>
            <w:vAlign w:val="bottom"/>
          </w:tcPr>
          <w:p>
            <w:pPr>
              <w:ind w:left="20"/>
              <w:spacing w:after="0" w:line="115" w:lineRule="exact"/>
              <w:rPr>
                <w:sz w:val="20"/>
                <w:szCs w:val="20"/>
                <w:color w:val="auto"/>
              </w:rPr>
            </w:pPr>
            <w:r>
              <w:rPr>
                <w:rFonts w:ascii="Arial" w:cs="Arial" w:eastAsia="Arial" w:hAnsi="Arial"/>
                <w:sz w:val="11"/>
                <w:szCs w:val="11"/>
                <w:color w:val="auto"/>
              </w:rPr>
              <w:t>Lightspeed Buyer Inc.</w:t>
            </w:r>
          </w:p>
        </w:tc>
        <w:tc>
          <w:tcPr>
            <w:tcW w:w="760" w:type="dxa"/>
            <w:vAlign w:val="bottom"/>
            <w:gridSpan w:val="2"/>
          </w:tcPr>
          <w:p>
            <w:pPr>
              <w:jc w:val="center"/>
              <w:ind w:left="86"/>
              <w:spacing w:after="0" w:line="115" w:lineRule="exact"/>
              <w:rPr>
                <w:sz w:val="20"/>
                <w:szCs w:val="20"/>
                <w:color w:val="auto"/>
              </w:rPr>
            </w:pPr>
            <w:r>
              <w:rPr>
                <w:rFonts w:ascii="Arial" w:cs="Arial" w:eastAsia="Arial" w:hAnsi="Arial"/>
                <w:sz w:val="11"/>
                <w:szCs w:val="11"/>
                <w:color w:val="auto"/>
                <w:w w:val="90"/>
              </w:rPr>
              <w:t>02/03/2026</w:t>
            </w:r>
          </w:p>
        </w:tc>
        <w:tc>
          <w:tcPr>
            <w:tcW w:w="140" w:type="dxa"/>
            <w:vAlign w:val="bottom"/>
          </w:tcPr>
          <w:p>
            <w:pPr>
              <w:spacing w:after="0"/>
              <w:rPr>
                <w:sz w:val="9"/>
                <w:szCs w:val="9"/>
                <w:color w:val="auto"/>
              </w:rPr>
            </w:pPr>
          </w:p>
        </w:tc>
        <w:tc>
          <w:tcPr>
            <w:tcW w:w="2240" w:type="dxa"/>
            <w:vAlign w:val="bottom"/>
          </w:tcPr>
          <w:p>
            <w:pPr>
              <w:jc w:val="center"/>
              <w:spacing w:after="0" w:line="115" w:lineRule="exact"/>
              <w:rPr>
                <w:sz w:val="20"/>
                <w:szCs w:val="20"/>
                <w:color w:val="auto"/>
              </w:rPr>
            </w:pPr>
            <w:r>
              <w:rPr>
                <w:rFonts w:ascii="Arial" w:cs="Arial" w:eastAsia="Arial" w:hAnsi="Arial"/>
                <w:sz w:val="11"/>
                <w:szCs w:val="11"/>
                <w:color w:val="auto"/>
                <w:w w:val="88"/>
              </w:rPr>
              <w:t>Healthcare Technology</w:t>
            </w:r>
          </w:p>
        </w:tc>
        <w:tc>
          <w:tcPr>
            <w:tcW w:w="1080" w:type="dxa"/>
            <w:vAlign w:val="bottom"/>
            <w:gridSpan w:val="3"/>
          </w:tcPr>
          <w:p>
            <w:pPr>
              <w:jc w:val="right"/>
              <w:ind w:right="86"/>
              <w:spacing w:after="0" w:line="115" w:lineRule="exact"/>
              <w:rPr>
                <w:sz w:val="20"/>
                <w:szCs w:val="20"/>
                <w:color w:val="auto"/>
              </w:rPr>
            </w:pPr>
            <w:r>
              <w:rPr>
                <w:rFonts w:ascii="Arial" w:cs="Arial" w:eastAsia="Arial" w:hAnsi="Arial"/>
                <w:sz w:val="11"/>
                <w:szCs w:val="11"/>
                <w:color w:val="auto"/>
              </w:rPr>
              <w:t>7.42 %</w:t>
            </w:r>
          </w:p>
        </w:tc>
        <w:tc>
          <w:tcPr>
            <w:tcW w:w="940" w:type="dxa"/>
            <w:vAlign w:val="bottom"/>
          </w:tcPr>
          <w:p>
            <w:pPr>
              <w:jc w:val="right"/>
              <w:spacing w:after="0" w:line="115" w:lineRule="exact"/>
              <w:rPr>
                <w:sz w:val="20"/>
                <w:szCs w:val="20"/>
                <w:color w:val="auto"/>
              </w:rPr>
            </w:pPr>
            <w:r>
              <w:rPr>
                <w:rFonts w:ascii="Arial" w:cs="Arial" w:eastAsia="Arial" w:hAnsi="Arial"/>
                <w:sz w:val="11"/>
                <w:szCs w:val="11"/>
                <w:color w:val="auto"/>
              </w:rPr>
              <w:t>1M L+575</w:t>
            </w:r>
          </w:p>
        </w:tc>
        <w:tc>
          <w:tcPr>
            <w:tcW w:w="94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24,407</w:t>
            </w: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jc w:val="right"/>
              <w:spacing w:after="0" w:line="115" w:lineRule="exact"/>
              <w:rPr>
                <w:sz w:val="20"/>
                <w:szCs w:val="20"/>
                <w:color w:val="auto"/>
              </w:rPr>
            </w:pPr>
            <w:r>
              <w:rPr>
                <w:rFonts w:ascii="Arial" w:cs="Arial" w:eastAsia="Arial" w:hAnsi="Arial"/>
                <w:sz w:val="11"/>
                <w:szCs w:val="11"/>
                <w:color w:val="auto"/>
              </w:rPr>
              <w:t>24,096</w:t>
            </w: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jc w:val="right"/>
              <w:spacing w:after="0" w:line="115" w:lineRule="exact"/>
              <w:rPr>
                <w:sz w:val="20"/>
                <w:szCs w:val="20"/>
                <w:color w:val="auto"/>
              </w:rPr>
            </w:pPr>
            <w:r>
              <w:rPr>
                <w:rFonts w:ascii="Arial" w:cs="Arial" w:eastAsia="Arial" w:hAnsi="Arial"/>
                <w:sz w:val="11"/>
                <w:szCs w:val="11"/>
                <w:color w:val="auto"/>
              </w:rPr>
              <w:t>23,919</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18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Lightspeed Buyer Inc. (Revolver) </w:t>
            </w:r>
            <w:r>
              <w:rPr>
                <w:rFonts w:ascii="Arial" w:cs="Arial" w:eastAsia="Arial" w:hAnsi="Arial"/>
                <w:sz w:val="14"/>
                <w:szCs w:val="14"/>
                <w:color w:val="auto"/>
                <w:vertAlign w:val="superscript"/>
              </w:rPr>
              <w:t>(7)</w:t>
            </w:r>
          </w:p>
        </w:tc>
        <w:tc>
          <w:tcPr>
            <w:tcW w:w="76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02/03/2026</w:t>
            </w:r>
          </w:p>
        </w:tc>
        <w:tc>
          <w:tcPr>
            <w:tcW w:w="140" w:type="dxa"/>
            <w:vAlign w:val="bottom"/>
          </w:tcPr>
          <w:p>
            <w:pPr>
              <w:spacing w:after="0"/>
              <w:rPr>
                <w:sz w:val="11"/>
                <w:szCs w:val="11"/>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88"/>
              </w:rPr>
              <w:t>Healthcare Technology</w:t>
            </w:r>
          </w:p>
        </w:tc>
        <w:tc>
          <w:tcPr>
            <w:tcW w:w="1080" w:type="dxa"/>
            <w:vAlign w:val="bottom"/>
            <w:gridSpan w:val="3"/>
          </w:tcPr>
          <w:p>
            <w:pPr>
              <w:jc w:val="right"/>
              <w:ind w:right="86"/>
              <w:spacing w:after="0"/>
              <w:rPr>
                <w:sz w:val="20"/>
                <w:szCs w:val="20"/>
                <w:color w:val="auto"/>
              </w:rPr>
            </w:pPr>
            <w:r>
              <w:rPr>
                <w:rFonts w:ascii="Arial" w:cs="Arial" w:eastAsia="Arial" w:hAnsi="Arial"/>
                <w:sz w:val="11"/>
                <w:szCs w:val="11"/>
                <w:color w:val="auto"/>
              </w:rPr>
              <w:t>7.42 %</w:t>
            </w:r>
          </w:p>
        </w:tc>
        <w:tc>
          <w:tcPr>
            <w:tcW w:w="940" w:type="dxa"/>
            <w:vAlign w:val="bottom"/>
          </w:tcPr>
          <w:p>
            <w:pPr>
              <w:jc w:val="right"/>
              <w:spacing w:after="0"/>
              <w:rPr>
                <w:sz w:val="20"/>
                <w:szCs w:val="20"/>
                <w:color w:val="auto"/>
              </w:rPr>
            </w:pPr>
            <w:r>
              <w:rPr>
                <w:rFonts w:ascii="Arial" w:cs="Arial" w:eastAsia="Arial" w:hAnsi="Arial"/>
                <w:sz w:val="11"/>
                <w:szCs w:val="11"/>
                <w:color w:val="auto"/>
              </w:rPr>
              <w:t>1M L+575</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666</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666</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653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3180" w:type="dxa"/>
            <w:vAlign w:val="bottom"/>
          </w:tcPr>
          <w:p>
            <w:pPr>
              <w:ind w:left="20"/>
              <w:spacing w:after="0"/>
              <w:rPr>
                <w:sz w:val="20"/>
                <w:szCs w:val="20"/>
                <w:color w:val="auto"/>
              </w:rPr>
            </w:pPr>
            <w:r>
              <w:rPr>
                <w:rFonts w:ascii="Arial" w:cs="Arial" w:eastAsia="Arial" w:hAnsi="Arial"/>
                <w:sz w:val="11"/>
                <w:szCs w:val="11"/>
                <w:color w:val="auto"/>
              </w:rPr>
              <w:t xml:space="preserve">Lightspeed Buyer Inc. (Revolver) </w:t>
            </w:r>
            <w:r>
              <w:rPr>
                <w:rFonts w:ascii="Arial" w:cs="Arial" w:eastAsia="Arial" w:hAnsi="Arial"/>
                <w:sz w:val="14"/>
                <w:szCs w:val="14"/>
                <w:color w:val="auto"/>
                <w:vertAlign w:val="superscript"/>
              </w:rPr>
              <w:t>(7) (9)</w:t>
            </w:r>
          </w:p>
        </w:tc>
        <w:tc>
          <w:tcPr>
            <w:tcW w:w="76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02/03/2026</w:t>
            </w:r>
          </w:p>
        </w:tc>
        <w:tc>
          <w:tcPr>
            <w:tcW w:w="140" w:type="dxa"/>
            <w:vAlign w:val="bottom"/>
          </w:tcPr>
          <w:p>
            <w:pPr>
              <w:spacing w:after="0"/>
              <w:rPr>
                <w:sz w:val="14"/>
                <w:szCs w:val="14"/>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88"/>
              </w:rPr>
              <w:t>Healthcare Technology</w:t>
            </w:r>
          </w:p>
        </w:tc>
        <w:tc>
          <w:tcPr>
            <w:tcW w:w="120" w:type="dxa"/>
            <w:vAlign w:val="bottom"/>
          </w:tcPr>
          <w:p>
            <w:pPr>
              <w:spacing w:after="0"/>
              <w:rPr>
                <w:sz w:val="14"/>
                <w:szCs w:val="14"/>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1,833</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auto"/>
              </w:rPr>
              <w:t>(37 )</w:t>
            </w:r>
          </w:p>
        </w:tc>
        <w:tc>
          <w:tcPr>
            <w:tcW w:w="0" w:type="dxa"/>
            <w:vAlign w:val="bottom"/>
          </w:tcPr>
          <w:p>
            <w:pPr>
              <w:spacing w:after="0"/>
              <w:rPr>
                <w:sz w:val="1"/>
                <w:szCs w:val="1"/>
                <w:color w:val="auto"/>
              </w:rPr>
            </w:pPr>
          </w:p>
        </w:tc>
      </w:tr>
      <w:tr>
        <w:trPr>
          <w:trHeight w:val="135"/>
        </w:trPr>
        <w:tc>
          <w:tcPr>
            <w:tcW w:w="3180" w:type="dxa"/>
            <w:vAlign w:val="bottom"/>
            <w:shd w:val="clear" w:color="auto" w:fill="CCECFF"/>
          </w:tcPr>
          <w:p>
            <w:pPr>
              <w:ind w:left="20"/>
              <w:spacing w:after="0"/>
              <w:rPr>
                <w:sz w:val="20"/>
                <w:szCs w:val="20"/>
                <w:color w:val="auto"/>
              </w:rPr>
            </w:pPr>
            <w:r>
              <w:rPr>
                <w:rFonts w:ascii="Arial" w:cs="Arial" w:eastAsia="Arial" w:hAnsi="Arial"/>
                <w:sz w:val="11"/>
                <w:szCs w:val="11"/>
                <w:color w:val="auto"/>
              </w:rPr>
              <w:t>Lucky Bucks, LLC</w:t>
            </w:r>
          </w:p>
        </w:tc>
        <w:tc>
          <w:tcPr>
            <w:tcW w:w="76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07/20/2027</w:t>
            </w:r>
          </w:p>
        </w:tc>
        <w:tc>
          <w:tcPr>
            <w:tcW w:w="140" w:type="dxa"/>
            <w:vAlign w:val="bottom"/>
            <w:shd w:val="clear" w:color="auto" w:fill="CCECFF"/>
          </w:tcPr>
          <w:p>
            <w:pPr>
              <w:spacing w:after="0"/>
              <w:rPr>
                <w:sz w:val="11"/>
                <w:szCs w:val="11"/>
                <w:color w:val="auto"/>
              </w:rPr>
            </w:pPr>
          </w:p>
        </w:tc>
        <w:tc>
          <w:tcPr>
            <w:tcW w:w="22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Hotels, Restaurants and Leisure</w:t>
            </w:r>
          </w:p>
        </w:tc>
        <w:tc>
          <w:tcPr>
            <w:tcW w:w="1080" w:type="dxa"/>
            <w:vAlign w:val="bottom"/>
            <w:gridSpan w:val="3"/>
            <w:shd w:val="clear" w:color="auto" w:fill="CCECFF"/>
          </w:tcPr>
          <w:p>
            <w:pPr>
              <w:jc w:val="right"/>
              <w:ind w:right="86"/>
              <w:spacing w:after="0"/>
              <w:rPr>
                <w:sz w:val="20"/>
                <w:szCs w:val="20"/>
                <w:color w:val="auto"/>
              </w:rPr>
            </w:pPr>
            <w:r>
              <w:rPr>
                <w:rFonts w:ascii="Arial" w:cs="Arial" w:eastAsia="Arial" w:hAnsi="Arial"/>
                <w:sz w:val="11"/>
                <w:szCs w:val="11"/>
                <w:color w:val="auto"/>
              </w:rPr>
              <w:t>6.25 %</w:t>
            </w:r>
          </w:p>
        </w:tc>
        <w:tc>
          <w:tcPr>
            <w:tcW w:w="9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L+550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4,386</w:t>
            </w:r>
          </w:p>
        </w:tc>
        <w:tc>
          <w:tcPr>
            <w:tcW w:w="24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4,309</w:t>
            </w:r>
          </w:p>
        </w:tc>
        <w:tc>
          <w:tcPr>
            <w:tcW w:w="2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3,992</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3180" w:type="dxa"/>
            <w:vAlign w:val="bottom"/>
          </w:tcPr>
          <w:p>
            <w:pPr>
              <w:ind w:left="20"/>
              <w:spacing w:after="0" w:line="125" w:lineRule="exact"/>
              <w:rPr>
                <w:sz w:val="20"/>
                <w:szCs w:val="20"/>
                <w:color w:val="auto"/>
              </w:rPr>
            </w:pPr>
            <w:r>
              <w:rPr>
                <w:rFonts w:ascii="Arial" w:cs="Arial" w:eastAsia="Arial" w:hAnsi="Arial"/>
                <w:sz w:val="11"/>
                <w:szCs w:val="11"/>
                <w:color w:val="auto"/>
              </w:rPr>
              <w:t>MAG DS Corp.</w:t>
            </w:r>
          </w:p>
        </w:tc>
        <w:tc>
          <w:tcPr>
            <w:tcW w:w="760" w:type="dxa"/>
            <w:vAlign w:val="bottom"/>
            <w:gridSpan w:val="2"/>
          </w:tcPr>
          <w:p>
            <w:pPr>
              <w:jc w:val="center"/>
              <w:ind w:left="86"/>
              <w:spacing w:after="0" w:line="125" w:lineRule="exact"/>
              <w:rPr>
                <w:sz w:val="20"/>
                <w:szCs w:val="20"/>
                <w:color w:val="auto"/>
              </w:rPr>
            </w:pPr>
            <w:r>
              <w:rPr>
                <w:rFonts w:ascii="Arial" w:cs="Arial" w:eastAsia="Arial" w:hAnsi="Arial"/>
                <w:sz w:val="11"/>
                <w:szCs w:val="11"/>
                <w:color w:val="auto"/>
                <w:w w:val="90"/>
              </w:rPr>
              <w:t>04/01/2027</w:t>
            </w:r>
          </w:p>
        </w:tc>
        <w:tc>
          <w:tcPr>
            <w:tcW w:w="140" w:type="dxa"/>
            <w:vAlign w:val="bottom"/>
          </w:tcPr>
          <w:p>
            <w:pPr>
              <w:spacing w:after="0"/>
              <w:rPr>
                <w:sz w:val="10"/>
                <w:szCs w:val="10"/>
                <w:color w:val="auto"/>
              </w:rPr>
            </w:pPr>
          </w:p>
        </w:tc>
        <w:tc>
          <w:tcPr>
            <w:tcW w:w="2240" w:type="dxa"/>
            <w:vAlign w:val="bottom"/>
          </w:tcPr>
          <w:p>
            <w:pPr>
              <w:jc w:val="center"/>
              <w:spacing w:after="0" w:line="125" w:lineRule="exact"/>
              <w:rPr>
                <w:sz w:val="20"/>
                <w:szCs w:val="20"/>
                <w:color w:val="auto"/>
              </w:rPr>
            </w:pPr>
            <w:r>
              <w:rPr>
                <w:rFonts w:ascii="Arial" w:cs="Arial" w:eastAsia="Arial" w:hAnsi="Arial"/>
                <w:sz w:val="11"/>
                <w:szCs w:val="11"/>
                <w:color w:val="auto"/>
                <w:w w:val="86"/>
              </w:rPr>
              <w:t>Aerospace and Defense</w:t>
            </w:r>
          </w:p>
        </w:tc>
        <w:tc>
          <w:tcPr>
            <w:tcW w:w="1080" w:type="dxa"/>
            <w:vAlign w:val="bottom"/>
            <w:gridSpan w:val="3"/>
          </w:tcPr>
          <w:p>
            <w:pPr>
              <w:jc w:val="right"/>
              <w:ind w:right="86"/>
              <w:spacing w:after="0" w:line="125" w:lineRule="exact"/>
              <w:rPr>
                <w:sz w:val="20"/>
                <w:szCs w:val="20"/>
                <w:color w:val="auto"/>
              </w:rPr>
            </w:pPr>
            <w:r>
              <w:rPr>
                <w:rFonts w:ascii="Arial" w:cs="Arial" w:eastAsia="Arial" w:hAnsi="Arial"/>
                <w:sz w:val="11"/>
                <w:szCs w:val="11"/>
                <w:color w:val="auto"/>
              </w:rPr>
              <w:t>7.75 %</w:t>
            </w:r>
          </w:p>
        </w:tc>
        <w:tc>
          <w:tcPr>
            <w:tcW w:w="940" w:type="dxa"/>
            <w:vAlign w:val="bottom"/>
          </w:tcPr>
          <w:p>
            <w:pPr>
              <w:jc w:val="right"/>
              <w:spacing w:after="0" w:line="125" w:lineRule="exact"/>
              <w:rPr>
                <w:sz w:val="20"/>
                <w:szCs w:val="20"/>
                <w:color w:val="auto"/>
              </w:rPr>
            </w:pPr>
            <w:r>
              <w:rPr>
                <w:rFonts w:ascii="Arial" w:cs="Arial" w:eastAsia="Arial" w:hAnsi="Arial"/>
                <w:sz w:val="11"/>
                <w:szCs w:val="11"/>
                <w:color w:val="auto"/>
              </w:rPr>
              <w:t>1M L+550</w:t>
            </w:r>
          </w:p>
        </w:tc>
        <w:tc>
          <w:tcPr>
            <w:tcW w:w="940" w:type="dxa"/>
            <w:vAlign w:val="bottom"/>
            <w:gridSpan w:val="2"/>
          </w:tcPr>
          <w:p>
            <w:pPr>
              <w:jc w:val="right"/>
              <w:spacing w:after="0" w:line="125" w:lineRule="exact"/>
              <w:rPr>
                <w:sz w:val="20"/>
                <w:szCs w:val="20"/>
                <w:color w:val="auto"/>
              </w:rPr>
            </w:pPr>
            <w:r>
              <w:rPr>
                <w:rFonts w:ascii="Arial" w:cs="Arial" w:eastAsia="Arial" w:hAnsi="Arial"/>
                <w:sz w:val="11"/>
                <w:szCs w:val="11"/>
                <w:color w:val="auto"/>
              </w:rPr>
              <w:t>3,724</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jc w:val="right"/>
              <w:spacing w:after="0" w:line="125" w:lineRule="exact"/>
              <w:rPr>
                <w:sz w:val="20"/>
                <w:szCs w:val="20"/>
                <w:color w:val="auto"/>
              </w:rPr>
            </w:pPr>
            <w:r>
              <w:rPr>
                <w:rFonts w:ascii="Arial" w:cs="Arial" w:eastAsia="Arial" w:hAnsi="Arial"/>
                <w:sz w:val="11"/>
                <w:szCs w:val="11"/>
                <w:color w:val="auto"/>
              </w:rPr>
              <w:t>3,580</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jc w:val="right"/>
              <w:spacing w:after="0" w:line="125" w:lineRule="exact"/>
              <w:rPr>
                <w:sz w:val="20"/>
                <w:szCs w:val="20"/>
                <w:color w:val="auto"/>
              </w:rPr>
            </w:pPr>
            <w:r>
              <w:rPr>
                <w:rFonts w:ascii="Arial" w:cs="Arial" w:eastAsia="Arial" w:hAnsi="Arial"/>
                <w:sz w:val="11"/>
                <w:szCs w:val="11"/>
                <w:color w:val="auto"/>
              </w:rPr>
              <w:t>3,388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3180" w:type="dxa"/>
            <w:vAlign w:val="bottom"/>
          </w:tcPr>
          <w:p>
            <w:pPr>
              <w:ind w:left="20"/>
              <w:spacing w:after="0" w:line="115" w:lineRule="exact"/>
              <w:rPr>
                <w:sz w:val="20"/>
                <w:szCs w:val="20"/>
                <w:color w:val="auto"/>
              </w:rPr>
            </w:pPr>
            <w:r>
              <w:rPr>
                <w:rFonts w:ascii="Arial" w:cs="Arial" w:eastAsia="Arial" w:hAnsi="Arial"/>
                <w:sz w:val="11"/>
                <w:szCs w:val="11"/>
                <w:color w:val="auto"/>
              </w:rPr>
              <w:t>Mars Acquisition Holdings Corp.</w:t>
            </w:r>
          </w:p>
        </w:tc>
        <w:tc>
          <w:tcPr>
            <w:tcW w:w="760" w:type="dxa"/>
            <w:vAlign w:val="bottom"/>
            <w:gridSpan w:val="2"/>
          </w:tcPr>
          <w:p>
            <w:pPr>
              <w:jc w:val="center"/>
              <w:ind w:left="86"/>
              <w:spacing w:after="0" w:line="115" w:lineRule="exact"/>
              <w:rPr>
                <w:sz w:val="20"/>
                <w:szCs w:val="20"/>
                <w:color w:val="auto"/>
              </w:rPr>
            </w:pPr>
            <w:r>
              <w:rPr>
                <w:rFonts w:ascii="Arial" w:cs="Arial" w:eastAsia="Arial" w:hAnsi="Arial"/>
                <w:sz w:val="11"/>
                <w:szCs w:val="11"/>
                <w:color w:val="auto"/>
                <w:w w:val="90"/>
              </w:rPr>
              <w:t>05/14/2026</w:t>
            </w:r>
          </w:p>
        </w:tc>
        <w:tc>
          <w:tcPr>
            <w:tcW w:w="140" w:type="dxa"/>
            <w:vAlign w:val="bottom"/>
          </w:tcPr>
          <w:p>
            <w:pPr>
              <w:spacing w:after="0"/>
              <w:rPr>
                <w:sz w:val="9"/>
                <w:szCs w:val="9"/>
                <w:color w:val="auto"/>
              </w:rPr>
            </w:pPr>
          </w:p>
        </w:tc>
        <w:tc>
          <w:tcPr>
            <w:tcW w:w="2240" w:type="dxa"/>
            <w:vAlign w:val="bottom"/>
          </w:tcPr>
          <w:p>
            <w:pPr>
              <w:jc w:val="center"/>
              <w:spacing w:after="0" w:line="115" w:lineRule="exact"/>
              <w:rPr>
                <w:sz w:val="20"/>
                <w:szCs w:val="20"/>
                <w:color w:val="auto"/>
              </w:rPr>
            </w:pPr>
            <w:r>
              <w:rPr>
                <w:rFonts w:ascii="Arial" w:cs="Arial" w:eastAsia="Arial" w:hAnsi="Arial"/>
                <w:sz w:val="11"/>
                <w:szCs w:val="11"/>
                <w:color w:val="auto"/>
                <w:w w:val="93"/>
              </w:rPr>
              <w:t>Media</w:t>
            </w:r>
          </w:p>
        </w:tc>
        <w:tc>
          <w:tcPr>
            <w:tcW w:w="1080" w:type="dxa"/>
            <w:vAlign w:val="bottom"/>
            <w:gridSpan w:val="3"/>
          </w:tcPr>
          <w:p>
            <w:pPr>
              <w:jc w:val="right"/>
              <w:ind w:right="86"/>
              <w:spacing w:after="0" w:line="115" w:lineRule="exact"/>
              <w:rPr>
                <w:sz w:val="20"/>
                <w:szCs w:val="20"/>
                <w:color w:val="auto"/>
              </w:rPr>
            </w:pPr>
            <w:r>
              <w:rPr>
                <w:rFonts w:ascii="Arial" w:cs="Arial" w:eastAsia="Arial" w:hAnsi="Arial"/>
                <w:sz w:val="11"/>
                <w:szCs w:val="11"/>
                <w:color w:val="auto"/>
              </w:rPr>
              <w:t>7.17 %</w:t>
            </w:r>
          </w:p>
        </w:tc>
        <w:tc>
          <w:tcPr>
            <w:tcW w:w="940" w:type="dxa"/>
            <w:vAlign w:val="bottom"/>
          </w:tcPr>
          <w:p>
            <w:pPr>
              <w:jc w:val="right"/>
              <w:spacing w:after="0" w:line="115" w:lineRule="exact"/>
              <w:rPr>
                <w:sz w:val="20"/>
                <w:szCs w:val="20"/>
                <w:color w:val="auto"/>
              </w:rPr>
            </w:pPr>
            <w:r>
              <w:rPr>
                <w:rFonts w:ascii="Arial" w:cs="Arial" w:eastAsia="Arial" w:hAnsi="Arial"/>
                <w:sz w:val="11"/>
                <w:szCs w:val="11"/>
                <w:color w:val="auto"/>
              </w:rPr>
              <w:t>3M L+550</w:t>
            </w:r>
          </w:p>
        </w:tc>
        <w:tc>
          <w:tcPr>
            <w:tcW w:w="94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6,067</w:t>
            </w: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jc w:val="right"/>
              <w:spacing w:after="0" w:line="115" w:lineRule="exact"/>
              <w:rPr>
                <w:sz w:val="20"/>
                <w:szCs w:val="20"/>
                <w:color w:val="auto"/>
              </w:rPr>
            </w:pPr>
            <w:r>
              <w:rPr>
                <w:rFonts w:ascii="Arial" w:cs="Arial" w:eastAsia="Arial" w:hAnsi="Arial"/>
                <w:sz w:val="11"/>
                <w:szCs w:val="11"/>
                <w:color w:val="auto"/>
              </w:rPr>
              <w:t>5,968</w:t>
            </w: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jc w:val="right"/>
              <w:spacing w:after="0" w:line="115" w:lineRule="exact"/>
              <w:rPr>
                <w:sz w:val="20"/>
                <w:szCs w:val="20"/>
                <w:color w:val="auto"/>
              </w:rPr>
            </w:pPr>
            <w:r>
              <w:rPr>
                <w:rFonts w:ascii="Arial" w:cs="Arial" w:eastAsia="Arial" w:hAnsi="Arial"/>
                <w:sz w:val="11"/>
                <w:szCs w:val="11"/>
                <w:color w:val="auto"/>
              </w:rPr>
              <w:t>6,006</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180" w:type="dxa"/>
            <w:vAlign w:val="bottom"/>
          </w:tcPr>
          <w:p>
            <w:pPr>
              <w:ind w:left="20"/>
              <w:spacing w:after="0" w:line="135" w:lineRule="exact"/>
              <w:rPr>
                <w:sz w:val="20"/>
                <w:szCs w:val="20"/>
                <w:color w:val="auto"/>
              </w:rPr>
            </w:pPr>
            <w:r>
              <w:rPr>
                <w:rFonts w:ascii="Arial" w:cs="Arial" w:eastAsia="Arial" w:hAnsi="Arial"/>
                <w:sz w:val="11"/>
                <w:szCs w:val="11"/>
                <w:color w:val="auto"/>
              </w:rPr>
              <w:t>Mars Acquisition Holdings Corp. (Revolver)</w:t>
            </w:r>
            <w:r>
              <w:rPr>
                <w:rFonts w:ascii="Arial" w:cs="Arial" w:eastAsia="Arial" w:hAnsi="Arial"/>
                <w:sz w:val="14"/>
                <w:szCs w:val="14"/>
                <w:color w:val="auto"/>
                <w:vertAlign w:val="superscript"/>
              </w:rPr>
              <w:t>(7)(9)</w:t>
            </w:r>
          </w:p>
        </w:tc>
        <w:tc>
          <w:tcPr>
            <w:tcW w:w="76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05/14/2026</w:t>
            </w:r>
          </w:p>
        </w:tc>
        <w:tc>
          <w:tcPr>
            <w:tcW w:w="140" w:type="dxa"/>
            <w:vAlign w:val="bottom"/>
          </w:tcPr>
          <w:p>
            <w:pPr>
              <w:spacing w:after="0"/>
              <w:rPr>
                <w:sz w:val="11"/>
                <w:szCs w:val="11"/>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120" w:type="dxa"/>
            <w:vAlign w:val="bottom"/>
          </w:tcPr>
          <w:p>
            <w:pPr>
              <w:spacing w:after="0"/>
              <w:rPr>
                <w:sz w:val="11"/>
                <w:szCs w:val="11"/>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1,624</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auto"/>
              </w:rPr>
              <w:t>(16 )</w:t>
            </w:r>
          </w:p>
        </w:tc>
        <w:tc>
          <w:tcPr>
            <w:tcW w:w="0" w:type="dxa"/>
            <w:vAlign w:val="bottom"/>
          </w:tcPr>
          <w:p>
            <w:pPr>
              <w:spacing w:after="0"/>
              <w:rPr>
                <w:sz w:val="1"/>
                <w:szCs w:val="1"/>
                <w:color w:val="auto"/>
              </w:rPr>
            </w:pPr>
          </w:p>
        </w:tc>
      </w:tr>
      <w:tr>
        <w:trPr>
          <w:trHeight w:val="135"/>
        </w:trPr>
        <w:tc>
          <w:tcPr>
            <w:tcW w:w="3180" w:type="dxa"/>
            <w:vAlign w:val="bottom"/>
          </w:tcPr>
          <w:p>
            <w:pPr>
              <w:ind w:left="20"/>
              <w:spacing w:after="0" w:line="135" w:lineRule="exact"/>
              <w:rPr>
                <w:sz w:val="20"/>
                <w:szCs w:val="20"/>
                <w:color w:val="auto"/>
              </w:rPr>
            </w:pPr>
            <w:r>
              <w:rPr>
                <w:rFonts w:ascii="Arial" w:cs="Arial" w:eastAsia="Arial" w:hAnsi="Arial"/>
                <w:sz w:val="11"/>
                <w:szCs w:val="11"/>
                <w:color w:val="auto"/>
              </w:rPr>
              <w:t>MBS Holdings, Inc. (Revolver)</w:t>
            </w:r>
            <w:r>
              <w:rPr>
                <w:rFonts w:ascii="Arial" w:cs="Arial" w:eastAsia="Arial" w:hAnsi="Arial"/>
                <w:sz w:val="14"/>
                <w:szCs w:val="14"/>
                <w:color w:val="auto"/>
                <w:vertAlign w:val="superscript"/>
              </w:rPr>
              <w:t>(7)(9)</w:t>
            </w:r>
          </w:p>
        </w:tc>
        <w:tc>
          <w:tcPr>
            <w:tcW w:w="76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04/16/2027</w:t>
            </w:r>
          </w:p>
        </w:tc>
        <w:tc>
          <w:tcPr>
            <w:tcW w:w="140" w:type="dxa"/>
            <w:vAlign w:val="bottom"/>
          </w:tcPr>
          <w:p>
            <w:pPr>
              <w:spacing w:after="0"/>
              <w:rPr>
                <w:sz w:val="11"/>
                <w:szCs w:val="11"/>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89"/>
              </w:rPr>
              <w:t>Internet Software and Services</w:t>
            </w:r>
          </w:p>
        </w:tc>
        <w:tc>
          <w:tcPr>
            <w:tcW w:w="120" w:type="dxa"/>
            <w:vAlign w:val="bottom"/>
          </w:tcPr>
          <w:p>
            <w:pPr>
              <w:spacing w:after="0"/>
              <w:rPr>
                <w:sz w:val="11"/>
                <w:szCs w:val="11"/>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1,157</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auto"/>
              </w:rPr>
              <w:t>(12 )</w:t>
            </w:r>
          </w:p>
        </w:tc>
        <w:tc>
          <w:tcPr>
            <w:tcW w:w="0" w:type="dxa"/>
            <w:vAlign w:val="bottom"/>
          </w:tcPr>
          <w:p>
            <w:pPr>
              <w:spacing w:after="0"/>
              <w:rPr>
                <w:sz w:val="1"/>
                <w:szCs w:val="1"/>
                <w:color w:val="auto"/>
              </w:rPr>
            </w:pPr>
          </w:p>
        </w:tc>
      </w:tr>
      <w:tr>
        <w:trPr>
          <w:trHeight w:val="135"/>
        </w:trPr>
        <w:tc>
          <w:tcPr>
            <w:tcW w:w="318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Meadowlark Acquirer, LLC - Term Loan I </w:t>
            </w:r>
            <w:r>
              <w:rPr>
                <w:rFonts w:ascii="Arial" w:cs="Arial" w:eastAsia="Arial" w:hAnsi="Arial"/>
                <w:sz w:val="14"/>
                <w:szCs w:val="14"/>
                <w:color w:val="auto"/>
                <w:vertAlign w:val="superscript"/>
              </w:rPr>
              <w:t>(9)</w:t>
            </w:r>
          </w:p>
        </w:tc>
        <w:tc>
          <w:tcPr>
            <w:tcW w:w="76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12/10/2027</w:t>
            </w:r>
          </w:p>
        </w:tc>
        <w:tc>
          <w:tcPr>
            <w:tcW w:w="140" w:type="dxa"/>
            <w:vAlign w:val="bottom"/>
          </w:tcPr>
          <w:p>
            <w:pPr>
              <w:spacing w:after="0"/>
              <w:rPr>
                <w:sz w:val="11"/>
                <w:szCs w:val="11"/>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88"/>
              </w:rPr>
              <w:t>Professional Services</w:t>
            </w:r>
          </w:p>
        </w:tc>
        <w:tc>
          <w:tcPr>
            <w:tcW w:w="120" w:type="dxa"/>
            <w:vAlign w:val="bottom"/>
          </w:tcPr>
          <w:p>
            <w:pPr>
              <w:spacing w:after="0"/>
              <w:rPr>
                <w:sz w:val="11"/>
                <w:szCs w:val="11"/>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3,103</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auto"/>
              </w:rPr>
              <w:t>(47 )</w:t>
            </w:r>
          </w:p>
        </w:tc>
        <w:tc>
          <w:tcPr>
            <w:tcW w:w="0" w:type="dxa"/>
            <w:vAlign w:val="bottom"/>
          </w:tcPr>
          <w:p>
            <w:pPr>
              <w:spacing w:after="0"/>
              <w:rPr>
                <w:sz w:val="1"/>
                <w:szCs w:val="1"/>
                <w:color w:val="auto"/>
              </w:rPr>
            </w:pPr>
          </w:p>
        </w:tc>
      </w:tr>
      <w:tr>
        <w:trPr>
          <w:trHeight w:val="135"/>
        </w:trPr>
        <w:tc>
          <w:tcPr>
            <w:tcW w:w="318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Meadowlark Acquirer, LLC - Term Loan II </w:t>
            </w:r>
            <w:r>
              <w:rPr>
                <w:rFonts w:ascii="Arial" w:cs="Arial" w:eastAsia="Arial" w:hAnsi="Arial"/>
                <w:sz w:val="14"/>
                <w:szCs w:val="14"/>
                <w:color w:val="auto"/>
                <w:vertAlign w:val="superscript"/>
              </w:rPr>
              <w:t>(9)</w:t>
            </w:r>
          </w:p>
        </w:tc>
        <w:tc>
          <w:tcPr>
            <w:tcW w:w="76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12/10/2027</w:t>
            </w:r>
          </w:p>
        </w:tc>
        <w:tc>
          <w:tcPr>
            <w:tcW w:w="140" w:type="dxa"/>
            <w:vAlign w:val="bottom"/>
          </w:tcPr>
          <w:p>
            <w:pPr>
              <w:spacing w:after="0"/>
              <w:rPr>
                <w:sz w:val="11"/>
                <w:szCs w:val="11"/>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88"/>
              </w:rPr>
              <w:t>Professional Services</w:t>
            </w:r>
          </w:p>
        </w:tc>
        <w:tc>
          <w:tcPr>
            <w:tcW w:w="120" w:type="dxa"/>
            <w:vAlign w:val="bottom"/>
          </w:tcPr>
          <w:p>
            <w:pPr>
              <w:spacing w:after="0"/>
              <w:rPr>
                <w:sz w:val="11"/>
                <w:szCs w:val="11"/>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9,483</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auto"/>
              </w:rPr>
              <w:t>(142 )</w:t>
            </w:r>
          </w:p>
        </w:tc>
        <w:tc>
          <w:tcPr>
            <w:tcW w:w="0" w:type="dxa"/>
            <w:vAlign w:val="bottom"/>
          </w:tcPr>
          <w:p>
            <w:pPr>
              <w:spacing w:after="0"/>
              <w:rPr>
                <w:sz w:val="1"/>
                <w:szCs w:val="1"/>
                <w:color w:val="auto"/>
              </w:rPr>
            </w:pPr>
          </w:p>
        </w:tc>
      </w:tr>
      <w:tr>
        <w:trPr>
          <w:trHeight w:val="155"/>
        </w:trPr>
        <w:tc>
          <w:tcPr>
            <w:tcW w:w="318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Meadowlark Acquirer, LLC (Revolver) </w:t>
            </w:r>
            <w:r>
              <w:rPr>
                <w:rFonts w:ascii="Arial" w:cs="Arial" w:eastAsia="Arial" w:hAnsi="Arial"/>
                <w:sz w:val="14"/>
                <w:szCs w:val="14"/>
                <w:color w:val="auto"/>
                <w:vertAlign w:val="superscript"/>
              </w:rPr>
              <w:t>(9)</w:t>
            </w:r>
          </w:p>
        </w:tc>
        <w:tc>
          <w:tcPr>
            <w:tcW w:w="76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12/10/2027</w:t>
            </w:r>
          </w:p>
        </w:tc>
        <w:tc>
          <w:tcPr>
            <w:tcW w:w="140" w:type="dxa"/>
            <w:vAlign w:val="bottom"/>
          </w:tcPr>
          <w:p>
            <w:pPr>
              <w:spacing w:after="0"/>
              <w:rPr>
                <w:sz w:val="13"/>
                <w:szCs w:val="13"/>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88"/>
              </w:rPr>
              <w:t>Professional Services</w:t>
            </w:r>
          </w:p>
        </w:tc>
        <w:tc>
          <w:tcPr>
            <w:tcW w:w="120" w:type="dxa"/>
            <w:vAlign w:val="bottom"/>
          </w:tcPr>
          <w:p>
            <w:pPr>
              <w:spacing w:after="0"/>
              <w:rPr>
                <w:sz w:val="13"/>
                <w:szCs w:val="13"/>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1,693</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auto"/>
              </w:rPr>
              <w:t>(42 )</w:t>
            </w:r>
          </w:p>
        </w:tc>
        <w:tc>
          <w:tcPr>
            <w:tcW w:w="0" w:type="dxa"/>
            <w:vAlign w:val="bottom"/>
          </w:tcPr>
          <w:p>
            <w:pPr>
              <w:spacing w:after="0"/>
              <w:rPr>
                <w:sz w:val="1"/>
                <w:szCs w:val="1"/>
                <w:color w:val="auto"/>
              </w:rPr>
            </w:pPr>
          </w:p>
        </w:tc>
      </w:tr>
      <w:tr>
        <w:trPr>
          <w:trHeight w:val="115"/>
        </w:trPr>
        <w:tc>
          <w:tcPr>
            <w:tcW w:w="3180" w:type="dxa"/>
            <w:vAlign w:val="bottom"/>
          </w:tcPr>
          <w:p>
            <w:pPr>
              <w:ind w:left="20"/>
              <w:spacing w:after="0" w:line="115" w:lineRule="exact"/>
              <w:rPr>
                <w:sz w:val="20"/>
                <w:szCs w:val="20"/>
                <w:color w:val="auto"/>
              </w:rPr>
            </w:pPr>
            <w:r>
              <w:rPr>
                <w:rFonts w:ascii="Arial" w:cs="Arial" w:eastAsia="Arial" w:hAnsi="Arial"/>
                <w:sz w:val="11"/>
                <w:szCs w:val="11"/>
                <w:color w:val="auto"/>
              </w:rPr>
              <w:t>MeritDirect, LLC</w:t>
            </w:r>
          </w:p>
        </w:tc>
        <w:tc>
          <w:tcPr>
            <w:tcW w:w="760" w:type="dxa"/>
            <w:vAlign w:val="bottom"/>
            <w:gridSpan w:val="2"/>
          </w:tcPr>
          <w:p>
            <w:pPr>
              <w:jc w:val="center"/>
              <w:ind w:left="86"/>
              <w:spacing w:after="0" w:line="115" w:lineRule="exact"/>
              <w:rPr>
                <w:sz w:val="20"/>
                <w:szCs w:val="20"/>
                <w:color w:val="auto"/>
              </w:rPr>
            </w:pPr>
            <w:r>
              <w:rPr>
                <w:rFonts w:ascii="Arial" w:cs="Arial" w:eastAsia="Arial" w:hAnsi="Arial"/>
                <w:sz w:val="11"/>
                <w:szCs w:val="11"/>
                <w:color w:val="auto"/>
                <w:w w:val="90"/>
              </w:rPr>
              <w:t>05/23/2024</w:t>
            </w:r>
          </w:p>
        </w:tc>
        <w:tc>
          <w:tcPr>
            <w:tcW w:w="140" w:type="dxa"/>
            <w:vAlign w:val="bottom"/>
          </w:tcPr>
          <w:p>
            <w:pPr>
              <w:spacing w:after="0"/>
              <w:rPr>
                <w:sz w:val="9"/>
                <w:szCs w:val="9"/>
                <w:color w:val="auto"/>
              </w:rPr>
            </w:pPr>
          </w:p>
        </w:tc>
        <w:tc>
          <w:tcPr>
            <w:tcW w:w="2240" w:type="dxa"/>
            <w:vAlign w:val="bottom"/>
          </w:tcPr>
          <w:p>
            <w:pPr>
              <w:jc w:val="center"/>
              <w:spacing w:after="0" w:line="115" w:lineRule="exact"/>
              <w:rPr>
                <w:sz w:val="20"/>
                <w:szCs w:val="20"/>
                <w:color w:val="auto"/>
              </w:rPr>
            </w:pPr>
            <w:r>
              <w:rPr>
                <w:rFonts w:ascii="Arial" w:cs="Arial" w:eastAsia="Arial" w:hAnsi="Arial"/>
                <w:sz w:val="11"/>
                <w:szCs w:val="11"/>
                <w:color w:val="auto"/>
                <w:w w:val="93"/>
              </w:rPr>
              <w:t>Media</w:t>
            </w:r>
          </w:p>
        </w:tc>
        <w:tc>
          <w:tcPr>
            <w:tcW w:w="1080" w:type="dxa"/>
            <w:vAlign w:val="bottom"/>
            <w:gridSpan w:val="3"/>
          </w:tcPr>
          <w:p>
            <w:pPr>
              <w:jc w:val="right"/>
              <w:ind w:right="86"/>
              <w:spacing w:after="0" w:line="115" w:lineRule="exact"/>
              <w:rPr>
                <w:sz w:val="20"/>
                <w:szCs w:val="20"/>
                <w:color w:val="auto"/>
              </w:rPr>
            </w:pPr>
            <w:r>
              <w:rPr>
                <w:rFonts w:ascii="Arial" w:cs="Arial" w:eastAsia="Arial" w:hAnsi="Arial"/>
                <w:sz w:val="11"/>
                <w:szCs w:val="11"/>
                <w:color w:val="auto"/>
              </w:rPr>
              <w:t>7.75 %</w:t>
            </w:r>
          </w:p>
        </w:tc>
        <w:tc>
          <w:tcPr>
            <w:tcW w:w="940" w:type="dxa"/>
            <w:vAlign w:val="bottom"/>
          </w:tcPr>
          <w:p>
            <w:pPr>
              <w:jc w:val="right"/>
              <w:spacing w:after="0" w:line="115" w:lineRule="exact"/>
              <w:rPr>
                <w:sz w:val="20"/>
                <w:szCs w:val="20"/>
                <w:color w:val="auto"/>
              </w:rPr>
            </w:pPr>
            <w:r>
              <w:rPr>
                <w:rFonts w:ascii="Arial" w:cs="Arial" w:eastAsia="Arial" w:hAnsi="Arial"/>
                <w:sz w:val="11"/>
                <w:szCs w:val="11"/>
                <w:color w:val="auto"/>
              </w:rPr>
              <w:t>3M L+550</w:t>
            </w:r>
          </w:p>
        </w:tc>
        <w:tc>
          <w:tcPr>
            <w:tcW w:w="94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14,763</w:t>
            </w: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jc w:val="right"/>
              <w:spacing w:after="0" w:line="115" w:lineRule="exact"/>
              <w:rPr>
                <w:sz w:val="20"/>
                <w:szCs w:val="20"/>
                <w:color w:val="auto"/>
              </w:rPr>
            </w:pPr>
            <w:r>
              <w:rPr>
                <w:rFonts w:ascii="Arial" w:cs="Arial" w:eastAsia="Arial" w:hAnsi="Arial"/>
                <w:sz w:val="11"/>
                <w:szCs w:val="11"/>
                <w:color w:val="auto"/>
              </w:rPr>
              <w:t>14,668</w:t>
            </w: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jc w:val="right"/>
              <w:spacing w:after="0" w:line="115" w:lineRule="exact"/>
              <w:rPr>
                <w:sz w:val="20"/>
                <w:szCs w:val="20"/>
                <w:color w:val="auto"/>
              </w:rPr>
            </w:pPr>
            <w:r>
              <w:rPr>
                <w:rFonts w:ascii="Arial" w:cs="Arial" w:eastAsia="Arial" w:hAnsi="Arial"/>
                <w:sz w:val="11"/>
                <w:szCs w:val="11"/>
                <w:color w:val="auto"/>
              </w:rPr>
              <w:t>14,689</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318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MeritDirect, LLC (Revolver) </w:t>
            </w:r>
            <w:r>
              <w:rPr>
                <w:rFonts w:ascii="Arial" w:cs="Arial" w:eastAsia="Arial" w:hAnsi="Arial"/>
                <w:sz w:val="14"/>
                <w:szCs w:val="14"/>
                <w:color w:val="auto"/>
                <w:vertAlign w:val="superscript"/>
              </w:rPr>
              <w:t>(7), (9)</w:t>
            </w:r>
          </w:p>
        </w:tc>
        <w:tc>
          <w:tcPr>
            <w:tcW w:w="76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05/23/2024</w:t>
            </w:r>
          </w:p>
        </w:tc>
        <w:tc>
          <w:tcPr>
            <w:tcW w:w="140" w:type="dxa"/>
            <w:vAlign w:val="bottom"/>
          </w:tcPr>
          <w:p>
            <w:pPr>
              <w:spacing w:after="0"/>
              <w:rPr>
                <w:sz w:val="13"/>
                <w:szCs w:val="13"/>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120" w:type="dxa"/>
            <w:vAlign w:val="bottom"/>
          </w:tcPr>
          <w:p>
            <w:pPr>
              <w:spacing w:after="0"/>
              <w:rPr>
                <w:sz w:val="13"/>
                <w:szCs w:val="13"/>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2,869</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auto"/>
              </w:rPr>
              <w:t>(14 )</w:t>
            </w:r>
          </w:p>
        </w:tc>
        <w:tc>
          <w:tcPr>
            <w:tcW w:w="0" w:type="dxa"/>
            <w:vAlign w:val="bottom"/>
          </w:tcPr>
          <w:p>
            <w:pPr>
              <w:spacing w:after="0"/>
              <w:rPr>
                <w:sz w:val="1"/>
                <w:szCs w:val="1"/>
                <w:color w:val="auto"/>
              </w:rPr>
            </w:pPr>
          </w:p>
        </w:tc>
      </w:tr>
      <w:tr>
        <w:trPr>
          <w:trHeight w:val="115"/>
        </w:trPr>
        <w:tc>
          <w:tcPr>
            <w:tcW w:w="3180" w:type="dxa"/>
            <w:vAlign w:val="bottom"/>
          </w:tcPr>
          <w:p>
            <w:pPr>
              <w:ind w:left="20"/>
              <w:spacing w:after="0" w:line="115" w:lineRule="exact"/>
              <w:rPr>
                <w:sz w:val="20"/>
                <w:szCs w:val="20"/>
                <w:color w:val="auto"/>
              </w:rPr>
            </w:pPr>
            <w:r>
              <w:rPr>
                <w:rFonts w:ascii="Arial" w:cs="Arial" w:eastAsia="Arial" w:hAnsi="Arial"/>
                <w:sz w:val="11"/>
                <w:szCs w:val="11"/>
                <w:color w:val="auto"/>
              </w:rPr>
              <w:t>Mission Critical Electronics, Inc.</w:t>
            </w:r>
          </w:p>
        </w:tc>
        <w:tc>
          <w:tcPr>
            <w:tcW w:w="760" w:type="dxa"/>
            <w:vAlign w:val="bottom"/>
            <w:gridSpan w:val="2"/>
          </w:tcPr>
          <w:p>
            <w:pPr>
              <w:jc w:val="center"/>
              <w:ind w:left="86"/>
              <w:spacing w:after="0" w:line="115" w:lineRule="exact"/>
              <w:rPr>
                <w:sz w:val="20"/>
                <w:szCs w:val="20"/>
                <w:color w:val="auto"/>
              </w:rPr>
            </w:pPr>
            <w:r>
              <w:rPr>
                <w:rFonts w:ascii="Arial" w:cs="Arial" w:eastAsia="Arial" w:hAnsi="Arial"/>
                <w:sz w:val="11"/>
                <w:szCs w:val="11"/>
                <w:color w:val="auto"/>
                <w:w w:val="90"/>
              </w:rPr>
              <w:t>03/28/2024</w:t>
            </w:r>
          </w:p>
        </w:tc>
        <w:tc>
          <w:tcPr>
            <w:tcW w:w="140" w:type="dxa"/>
            <w:vAlign w:val="bottom"/>
          </w:tcPr>
          <w:p>
            <w:pPr>
              <w:spacing w:after="0"/>
              <w:rPr>
                <w:sz w:val="9"/>
                <w:szCs w:val="9"/>
                <w:color w:val="auto"/>
              </w:rPr>
            </w:pPr>
          </w:p>
        </w:tc>
        <w:tc>
          <w:tcPr>
            <w:tcW w:w="2240" w:type="dxa"/>
            <w:vAlign w:val="bottom"/>
          </w:tcPr>
          <w:p>
            <w:pPr>
              <w:jc w:val="center"/>
              <w:spacing w:after="0" w:line="115" w:lineRule="exact"/>
              <w:rPr>
                <w:sz w:val="20"/>
                <w:szCs w:val="20"/>
                <w:color w:val="auto"/>
              </w:rPr>
            </w:pPr>
            <w:r>
              <w:rPr>
                <w:rFonts w:ascii="Arial" w:cs="Arial" w:eastAsia="Arial" w:hAnsi="Arial"/>
                <w:sz w:val="11"/>
                <w:szCs w:val="11"/>
                <w:color w:val="auto"/>
                <w:w w:val="91"/>
              </w:rPr>
              <w:t>Capital Equipment</w:t>
            </w:r>
          </w:p>
        </w:tc>
        <w:tc>
          <w:tcPr>
            <w:tcW w:w="1080" w:type="dxa"/>
            <w:vAlign w:val="bottom"/>
            <w:gridSpan w:val="3"/>
          </w:tcPr>
          <w:p>
            <w:pPr>
              <w:jc w:val="right"/>
              <w:ind w:right="86"/>
              <w:spacing w:after="0" w:line="115" w:lineRule="exact"/>
              <w:rPr>
                <w:sz w:val="20"/>
                <w:szCs w:val="20"/>
                <w:color w:val="auto"/>
              </w:rPr>
            </w:pPr>
            <w:r>
              <w:rPr>
                <w:rFonts w:ascii="Arial" w:cs="Arial" w:eastAsia="Arial" w:hAnsi="Arial"/>
                <w:sz w:val="11"/>
                <w:szCs w:val="11"/>
                <w:color w:val="auto"/>
              </w:rPr>
              <w:t>7.20 %</w:t>
            </w:r>
          </w:p>
        </w:tc>
        <w:tc>
          <w:tcPr>
            <w:tcW w:w="940" w:type="dxa"/>
            <w:vAlign w:val="bottom"/>
          </w:tcPr>
          <w:p>
            <w:pPr>
              <w:jc w:val="right"/>
              <w:spacing w:after="0" w:line="115" w:lineRule="exact"/>
              <w:rPr>
                <w:sz w:val="20"/>
                <w:szCs w:val="20"/>
                <w:color w:val="auto"/>
              </w:rPr>
            </w:pPr>
            <w:r>
              <w:rPr>
                <w:rFonts w:ascii="Arial" w:cs="Arial" w:eastAsia="Arial" w:hAnsi="Arial"/>
                <w:sz w:val="11"/>
                <w:szCs w:val="11"/>
                <w:color w:val="auto"/>
              </w:rPr>
              <w:t>SOFR +500</w:t>
            </w:r>
          </w:p>
        </w:tc>
        <w:tc>
          <w:tcPr>
            <w:tcW w:w="94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3,440</w:t>
            </w: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jc w:val="right"/>
              <w:spacing w:after="0" w:line="115" w:lineRule="exact"/>
              <w:rPr>
                <w:sz w:val="20"/>
                <w:szCs w:val="20"/>
                <w:color w:val="auto"/>
              </w:rPr>
            </w:pPr>
            <w:r>
              <w:rPr>
                <w:rFonts w:ascii="Arial" w:cs="Arial" w:eastAsia="Arial" w:hAnsi="Arial"/>
                <w:sz w:val="11"/>
                <w:szCs w:val="11"/>
                <w:color w:val="auto"/>
              </w:rPr>
              <w:t>3,420</w:t>
            </w: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jc w:val="right"/>
              <w:spacing w:after="0" w:line="115" w:lineRule="exact"/>
              <w:rPr>
                <w:sz w:val="20"/>
                <w:szCs w:val="20"/>
                <w:color w:val="auto"/>
              </w:rPr>
            </w:pPr>
            <w:r>
              <w:rPr>
                <w:rFonts w:ascii="Arial" w:cs="Arial" w:eastAsia="Arial" w:hAnsi="Arial"/>
                <w:sz w:val="11"/>
                <w:szCs w:val="11"/>
                <w:color w:val="auto"/>
              </w:rPr>
              <w:t>3,399</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18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Mission Critical Electronics, Inc. </w:t>
            </w:r>
            <w:r>
              <w:rPr>
                <w:rFonts w:ascii="Arial" w:cs="Arial" w:eastAsia="Arial" w:hAnsi="Arial"/>
                <w:sz w:val="14"/>
                <w:szCs w:val="14"/>
                <w:color w:val="auto"/>
                <w:vertAlign w:val="superscript"/>
              </w:rPr>
              <w:t>(9)</w:t>
            </w:r>
          </w:p>
        </w:tc>
        <w:tc>
          <w:tcPr>
            <w:tcW w:w="76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03/28/2024</w:t>
            </w:r>
          </w:p>
        </w:tc>
        <w:tc>
          <w:tcPr>
            <w:tcW w:w="140" w:type="dxa"/>
            <w:vAlign w:val="bottom"/>
          </w:tcPr>
          <w:p>
            <w:pPr>
              <w:spacing w:after="0"/>
              <w:rPr>
                <w:sz w:val="11"/>
                <w:szCs w:val="11"/>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91"/>
              </w:rPr>
              <w:t>Capital Equipment</w:t>
            </w:r>
          </w:p>
        </w:tc>
        <w:tc>
          <w:tcPr>
            <w:tcW w:w="120" w:type="dxa"/>
            <w:vAlign w:val="bottom"/>
          </w:tcPr>
          <w:p>
            <w:pPr>
              <w:spacing w:after="0"/>
              <w:rPr>
                <w:sz w:val="11"/>
                <w:szCs w:val="11"/>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940" w:type="dxa"/>
            <w:vAlign w:val="bottom"/>
          </w:tcPr>
          <w:p>
            <w:pPr>
              <w:spacing w:after="0"/>
              <w:rPr>
                <w:sz w:val="11"/>
                <w:szCs w:val="11"/>
                <w:color w:val="auto"/>
              </w:rPr>
            </w:pP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883</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auto"/>
              </w:rPr>
              <w:t>(7 )</w:t>
            </w:r>
          </w:p>
        </w:tc>
        <w:tc>
          <w:tcPr>
            <w:tcW w:w="0" w:type="dxa"/>
            <w:vAlign w:val="bottom"/>
          </w:tcPr>
          <w:p>
            <w:pPr>
              <w:spacing w:after="0"/>
              <w:rPr>
                <w:sz w:val="1"/>
                <w:szCs w:val="1"/>
                <w:color w:val="auto"/>
              </w:rPr>
            </w:pPr>
          </w:p>
        </w:tc>
      </w:tr>
      <w:tr>
        <w:trPr>
          <w:trHeight w:val="135"/>
        </w:trPr>
        <w:tc>
          <w:tcPr>
            <w:tcW w:w="318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Mission Critical Electronics, Inc. (Revolver) </w:t>
            </w:r>
            <w:r>
              <w:rPr>
                <w:rFonts w:ascii="Arial" w:cs="Arial" w:eastAsia="Arial" w:hAnsi="Arial"/>
                <w:sz w:val="14"/>
                <w:szCs w:val="14"/>
                <w:color w:val="auto"/>
                <w:vertAlign w:val="superscript"/>
              </w:rPr>
              <w:t>(7)</w:t>
            </w:r>
          </w:p>
        </w:tc>
        <w:tc>
          <w:tcPr>
            <w:tcW w:w="76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03/28/2024</w:t>
            </w:r>
          </w:p>
        </w:tc>
        <w:tc>
          <w:tcPr>
            <w:tcW w:w="140" w:type="dxa"/>
            <w:vAlign w:val="bottom"/>
          </w:tcPr>
          <w:p>
            <w:pPr>
              <w:spacing w:after="0"/>
              <w:rPr>
                <w:sz w:val="11"/>
                <w:szCs w:val="11"/>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91"/>
              </w:rPr>
              <w:t>Capital Equipment</w:t>
            </w:r>
          </w:p>
        </w:tc>
        <w:tc>
          <w:tcPr>
            <w:tcW w:w="1080" w:type="dxa"/>
            <w:vAlign w:val="bottom"/>
            <w:gridSpan w:val="3"/>
          </w:tcPr>
          <w:p>
            <w:pPr>
              <w:jc w:val="right"/>
              <w:ind w:right="86"/>
              <w:spacing w:after="0"/>
              <w:rPr>
                <w:sz w:val="20"/>
                <w:szCs w:val="20"/>
                <w:color w:val="auto"/>
              </w:rPr>
            </w:pPr>
            <w:r>
              <w:rPr>
                <w:rFonts w:ascii="Arial" w:cs="Arial" w:eastAsia="Arial" w:hAnsi="Arial"/>
                <w:sz w:val="11"/>
                <w:szCs w:val="11"/>
                <w:color w:val="auto"/>
              </w:rPr>
              <w:t>6.88 %</w:t>
            </w:r>
          </w:p>
        </w:tc>
        <w:tc>
          <w:tcPr>
            <w:tcW w:w="940" w:type="dxa"/>
            <w:vAlign w:val="bottom"/>
          </w:tcPr>
          <w:p>
            <w:pPr>
              <w:jc w:val="right"/>
              <w:spacing w:after="0"/>
              <w:rPr>
                <w:sz w:val="20"/>
                <w:szCs w:val="20"/>
                <w:color w:val="auto"/>
              </w:rPr>
            </w:pPr>
            <w:r>
              <w:rPr>
                <w:rFonts w:ascii="Arial" w:cs="Arial" w:eastAsia="Arial" w:hAnsi="Arial"/>
                <w:sz w:val="11"/>
                <w:szCs w:val="11"/>
                <w:color w:val="auto"/>
              </w:rPr>
              <w:t>1M L+500</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689</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689</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681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Mission Critical Electronics, Inc. (Revolver) </w:t>
            </w:r>
            <w:r>
              <w:rPr>
                <w:rFonts w:ascii="Arial" w:cs="Arial" w:eastAsia="Arial" w:hAnsi="Arial"/>
                <w:sz w:val="14"/>
                <w:szCs w:val="14"/>
                <w:color w:val="auto"/>
                <w:vertAlign w:val="superscript"/>
              </w:rPr>
              <w:t>(7), (9)</w:t>
            </w:r>
          </w:p>
        </w:tc>
        <w:tc>
          <w:tcPr>
            <w:tcW w:w="76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03/28/2024</w:t>
            </w:r>
          </w:p>
        </w:tc>
        <w:tc>
          <w:tcPr>
            <w:tcW w:w="140" w:type="dxa"/>
            <w:vAlign w:val="bottom"/>
          </w:tcPr>
          <w:p>
            <w:pPr>
              <w:spacing w:after="0"/>
              <w:rPr>
                <w:sz w:val="11"/>
                <w:szCs w:val="11"/>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91"/>
              </w:rPr>
              <w:t>Capital Equipment</w:t>
            </w:r>
          </w:p>
        </w:tc>
        <w:tc>
          <w:tcPr>
            <w:tcW w:w="120" w:type="dxa"/>
            <w:vAlign w:val="bottom"/>
          </w:tcPr>
          <w:p>
            <w:pPr>
              <w:spacing w:after="0"/>
              <w:rPr>
                <w:sz w:val="11"/>
                <w:szCs w:val="11"/>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636</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auto"/>
              </w:rPr>
              <w:t>(8 )</w:t>
            </w:r>
          </w:p>
        </w:tc>
        <w:tc>
          <w:tcPr>
            <w:tcW w:w="0" w:type="dxa"/>
            <w:vAlign w:val="bottom"/>
          </w:tcPr>
          <w:p>
            <w:pPr>
              <w:spacing w:after="0"/>
              <w:rPr>
                <w:sz w:val="1"/>
                <w:szCs w:val="1"/>
                <w:color w:val="auto"/>
              </w:rPr>
            </w:pPr>
          </w:p>
        </w:tc>
      </w:tr>
      <w:tr>
        <w:trPr>
          <w:trHeight w:val="135"/>
        </w:trPr>
        <w:tc>
          <w:tcPr>
            <w:tcW w:w="318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Municipal Emergency Services, Inc. </w:t>
            </w:r>
            <w:r>
              <w:rPr>
                <w:rFonts w:ascii="Arial" w:cs="Arial" w:eastAsia="Arial" w:hAnsi="Arial"/>
                <w:sz w:val="14"/>
                <w:szCs w:val="14"/>
                <w:color w:val="auto"/>
                <w:vertAlign w:val="superscript"/>
              </w:rPr>
              <w:t>(7)</w:t>
            </w:r>
          </w:p>
        </w:tc>
        <w:tc>
          <w:tcPr>
            <w:tcW w:w="76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09/28/2027</w:t>
            </w:r>
          </w:p>
        </w:tc>
        <w:tc>
          <w:tcPr>
            <w:tcW w:w="140" w:type="dxa"/>
            <w:vAlign w:val="bottom"/>
          </w:tcPr>
          <w:p>
            <w:pPr>
              <w:spacing w:after="0"/>
              <w:rPr>
                <w:sz w:val="11"/>
                <w:szCs w:val="11"/>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93"/>
              </w:rPr>
              <w:t>Distributors</w:t>
            </w:r>
          </w:p>
        </w:tc>
        <w:tc>
          <w:tcPr>
            <w:tcW w:w="1080" w:type="dxa"/>
            <w:vAlign w:val="bottom"/>
            <w:gridSpan w:val="3"/>
          </w:tcPr>
          <w:p>
            <w:pPr>
              <w:jc w:val="right"/>
              <w:ind w:right="86"/>
              <w:spacing w:after="0"/>
              <w:rPr>
                <w:sz w:val="20"/>
                <w:szCs w:val="20"/>
                <w:color w:val="auto"/>
              </w:rPr>
            </w:pPr>
            <w:r>
              <w:rPr>
                <w:rFonts w:ascii="Arial" w:cs="Arial" w:eastAsia="Arial" w:hAnsi="Arial"/>
                <w:sz w:val="11"/>
                <w:szCs w:val="11"/>
                <w:color w:val="auto"/>
              </w:rPr>
              <w:t>7.25 %</w:t>
            </w:r>
          </w:p>
        </w:tc>
        <w:tc>
          <w:tcPr>
            <w:tcW w:w="940" w:type="dxa"/>
            <w:vAlign w:val="bottom"/>
          </w:tcPr>
          <w:p>
            <w:pPr>
              <w:jc w:val="right"/>
              <w:spacing w:after="0"/>
              <w:rPr>
                <w:sz w:val="20"/>
                <w:szCs w:val="20"/>
                <w:color w:val="auto"/>
              </w:rPr>
            </w:pPr>
            <w:r>
              <w:rPr>
                <w:rFonts w:ascii="Arial" w:cs="Arial" w:eastAsia="Arial" w:hAnsi="Arial"/>
                <w:sz w:val="11"/>
                <w:szCs w:val="11"/>
                <w:color w:val="auto"/>
              </w:rPr>
              <w:t>3M L+500</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355</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352</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341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Municipal Emergency Services, Inc. </w:t>
            </w:r>
            <w:r>
              <w:rPr>
                <w:rFonts w:ascii="Arial" w:cs="Arial" w:eastAsia="Arial" w:hAnsi="Arial"/>
                <w:sz w:val="14"/>
                <w:szCs w:val="14"/>
                <w:color w:val="auto"/>
                <w:vertAlign w:val="superscript"/>
              </w:rPr>
              <w:t>(7), (9)</w:t>
            </w:r>
          </w:p>
        </w:tc>
        <w:tc>
          <w:tcPr>
            <w:tcW w:w="76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09/28/2027</w:t>
            </w:r>
          </w:p>
        </w:tc>
        <w:tc>
          <w:tcPr>
            <w:tcW w:w="140" w:type="dxa"/>
            <w:vAlign w:val="bottom"/>
          </w:tcPr>
          <w:p>
            <w:pPr>
              <w:spacing w:after="0"/>
              <w:rPr>
                <w:sz w:val="11"/>
                <w:szCs w:val="11"/>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93"/>
              </w:rPr>
              <w:t>Distributors</w:t>
            </w:r>
          </w:p>
        </w:tc>
        <w:tc>
          <w:tcPr>
            <w:tcW w:w="120" w:type="dxa"/>
            <w:vAlign w:val="bottom"/>
          </w:tcPr>
          <w:p>
            <w:pPr>
              <w:spacing w:after="0"/>
              <w:rPr>
                <w:sz w:val="11"/>
                <w:szCs w:val="11"/>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592</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auto"/>
              </w:rPr>
              <w:t>(17 )</w:t>
            </w:r>
          </w:p>
        </w:tc>
        <w:tc>
          <w:tcPr>
            <w:tcW w:w="0" w:type="dxa"/>
            <w:vAlign w:val="bottom"/>
          </w:tcPr>
          <w:p>
            <w:pPr>
              <w:spacing w:after="0"/>
              <w:rPr>
                <w:sz w:val="1"/>
                <w:szCs w:val="1"/>
                <w:color w:val="auto"/>
              </w:rPr>
            </w:pPr>
          </w:p>
        </w:tc>
      </w:tr>
      <w:tr>
        <w:trPr>
          <w:trHeight w:val="135"/>
        </w:trPr>
        <w:tc>
          <w:tcPr>
            <w:tcW w:w="318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Municipal Emergency Services, Inc. (Revolver) </w:t>
            </w:r>
            <w:r>
              <w:rPr>
                <w:rFonts w:ascii="Arial" w:cs="Arial" w:eastAsia="Arial" w:hAnsi="Arial"/>
                <w:sz w:val="14"/>
                <w:szCs w:val="14"/>
                <w:color w:val="auto"/>
                <w:vertAlign w:val="superscript"/>
              </w:rPr>
              <w:t>(7)</w:t>
            </w:r>
          </w:p>
        </w:tc>
        <w:tc>
          <w:tcPr>
            <w:tcW w:w="76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09/28/2027</w:t>
            </w:r>
          </w:p>
        </w:tc>
        <w:tc>
          <w:tcPr>
            <w:tcW w:w="140" w:type="dxa"/>
            <w:vAlign w:val="bottom"/>
          </w:tcPr>
          <w:p>
            <w:pPr>
              <w:spacing w:after="0"/>
              <w:rPr>
                <w:sz w:val="11"/>
                <w:szCs w:val="11"/>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93"/>
              </w:rPr>
              <w:t>Distributors</w:t>
            </w:r>
          </w:p>
        </w:tc>
        <w:tc>
          <w:tcPr>
            <w:tcW w:w="1080" w:type="dxa"/>
            <w:vAlign w:val="bottom"/>
            <w:gridSpan w:val="3"/>
          </w:tcPr>
          <w:p>
            <w:pPr>
              <w:jc w:val="right"/>
              <w:ind w:right="86"/>
              <w:spacing w:after="0"/>
              <w:rPr>
                <w:sz w:val="20"/>
                <w:szCs w:val="20"/>
                <w:color w:val="auto"/>
              </w:rPr>
            </w:pPr>
            <w:r>
              <w:rPr>
                <w:rFonts w:ascii="Arial" w:cs="Arial" w:eastAsia="Arial" w:hAnsi="Arial"/>
                <w:sz w:val="11"/>
                <w:szCs w:val="11"/>
                <w:color w:val="auto"/>
              </w:rPr>
              <w:t>7.25 %</w:t>
            </w:r>
          </w:p>
        </w:tc>
        <w:tc>
          <w:tcPr>
            <w:tcW w:w="940" w:type="dxa"/>
            <w:vAlign w:val="bottom"/>
          </w:tcPr>
          <w:p>
            <w:pPr>
              <w:jc w:val="right"/>
              <w:spacing w:after="0"/>
              <w:rPr>
                <w:sz w:val="20"/>
                <w:szCs w:val="20"/>
                <w:color w:val="auto"/>
              </w:rPr>
            </w:pPr>
            <w:r>
              <w:rPr>
                <w:rFonts w:ascii="Arial" w:cs="Arial" w:eastAsia="Arial" w:hAnsi="Arial"/>
                <w:sz w:val="11"/>
                <w:szCs w:val="11"/>
                <w:color w:val="auto"/>
              </w:rPr>
              <w:t>3M L+500</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142</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142</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137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Municipal Emergency Services, Inc. (Revolver) </w:t>
            </w:r>
            <w:r>
              <w:rPr>
                <w:rFonts w:ascii="Arial" w:cs="Arial" w:eastAsia="Arial" w:hAnsi="Arial"/>
                <w:sz w:val="14"/>
                <w:szCs w:val="14"/>
                <w:color w:val="auto"/>
                <w:vertAlign w:val="superscript"/>
              </w:rPr>
              <w:t>(7), (9)</w:t>
            </w:r>
          </w:p>
        </w:tc>
        <w:tc>
          <w:tcPr>
            <w:tcW w:w="76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09/28/2027</w:t>
            </w:r>
          </w:p>
        </w:tc>
        <w:tc>
          <w:tcPr>
            <w:tcW w:w="140" w:type="dxa"/>
            <w:vAlign w:val="bottom"/>
          </w:tcPr>
          <w:p>
            <w:pPr>
              <w:spacing w:after="0"/>
              <w:rPr>
                <w:sz w:val="11"/>
                <w:szCs w:val="11"/>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93"/>
              </w:rPr>
              <w:t>Distributors</w:t>
            </w:r>
          </w:p>
        </w:tc>
        <w:tc>
          <w:tcPr>
            <w:tcW w:w="120" w:type="dxa"/>
            <w:vAlign w:val="bottom"/>
          </w:tcPr>
          <w:p>
            <w:pPr>
              <w:spacing w:after="0"/>
              <w:rPr>
                <w:sz w:val="11"/>
                <w:szCs w:val="11"/>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805</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auto"/>
              </w:rPr>
              <w:t>(31 )</w:t>
            </w:r>
          </w:p>
        </w:tc>
        <w:tc>
          <w:tcPr>
            <w:tcW w:w="0" w:type="dxa"/>
            <w:vAlign w:val="bottom"/>
          </w:tcPr>
          <w:p>
            <w:pPr>
              <w:spacing w:after="0"/>
              <w:rPr>
                <w:sz w:val="1"/>
                <w:szCs w:val="1"/>
                <w:color w:val="auto"/>
              </w:rPr>
            </w:pPr>
          </w:p>
        </w:tc>
      </w:tr>
      <w:tr>
        <w:trPr>
          <w:trHeight w:val="155"/>
        </w:trPr>
        <w:tc>
          <w:tcPr>
            <w:tcW w:w="318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NBH Group LLC (Revolver) </w:t>
            </w:r>
            <w:r>
              <w:rPr>
                <w:rFonts w:ascii="Arial" w:cs="Arial" w:eastAsia="Arial" w:hAnsi="Arial"/>
                <w:sz w:val="14"/>
                <w:szCs w:val="14"/>
                <w:color w:val="auto"/>
                <w:vertAlign w:val="superscript"/>
              </w:rPr>
              <w:t>(7), (9)</w:t>
            </w:r>
          </w:p>
        </w:tc>
        <w:tc>
          <w:tcPr>
            <w:tcW w:w="76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08/19/2026</w:t>
            </w:r>
          </w:p>
        </w:tc>
        <w:tc>
          <w:tcPr>
            <w:tcW w:w="140" w:type="dxa"/>
            <w:vAlign w:val="bottom"/>
          </w:tcPr>
          <w:p>
            <w:pPr>
              <w:spacing w:after="0"/>
              <w:rPr>
                <w:sz w:val="13"/>
                <w:szCs w:val="13"/>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87"/>
              </w:rPr>
              <w:t>Healthcare Equipment and Supplies</w:t>
            </w:r>
          </w:p>
        </w:tc>
        <w:tc>
          <w:tcPr>
            <w:tcW w:w="120" w:type="dxa"/>
            <w:vAlign w:val="bottom"/>
          </w:tcPr>
          <w:p>
            <w:pPr>
              <w:spacing w:after="0"/>
              <w:rPr>
                <w:sz w:val="13"/>
                <w:szCs w:val="13"/>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1,677</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auto"/>
              </w:rPr>
              <w:t>(8 )</w:t>
            </w:r>
          </w:p>
        </w:tc>
        <w:tc>
          <w:tcPr>
            <w:tcW w:w="0" w:type="dxa"/>
            <w:vAlign w:val="bottom"/>
          </w:tcPr>
          <w:p>
            <w:pPr>
              <w:spacing w:after="0"/>
              <w:rPr>
                <w:sz w:val="1"/>
                <w:szCs w:val="1"/>
                <w:color w:val="auto"/>
              </w:rPr>
            </w:pPr>
          </w:p>
        </w:tc>
      </w:tr>
      <w:tr>
        <w:trPr>
          <w:trHeight w:val="115"/>
        </w:trPr>
        <w:tc>
          <w:tcPr>
            <w:tcW w:w="3180" w:type="dxa"/>
            <w:vAlign w:val="bottom"/>
          </w:tcPr>
          <w:p>
            <w:pPr>
              <w:ind w:left="20"/>
              <w:spacing w:after="0" w:line="115" w:lineRule="exact"/>
              <w:rPr>
                <w:sz w:val="20"/>
                <w:szCs w:val="20"/>
                <w:color w:val="auto"/>
              </w:rPr>
            </w:pPr>
            <w:r>
              <w:rPr>
                <w:rFonts w:ascii="Arial" w:cs="Arial" w:eastAsia="Arial" w:hAnsi="Arial"/>
                <w:sz w:val="11"/>
                <w:szCs w:val="11"/>
                <w:color w:val="auto"/>
              </w:rPr>
              <w:t>OIS Management Services, LLC</w:t>
            </w:r>
          </w:p>
        </w:tc>
        <w:tc>
          <w:tcPr>
            <w:tcW w:w="760" w:type="dxa"/>
            <w:vAlign w:val="bottom"/>
            <w:gridSpan w:val="2"/>
          </w:tcPr>
          <w:p>
            <w:pPr>
              <w:jc w:val="center"/>
              <w:ind w:left="86"/>
              <w:spacing w:after="0" w:line="115" w:lineRule="exact"/>
              <w:rPr>
                <w:sz w:val="20"/>
                <w:szCs w:val="20"/>
                <w:color w:val="auto"/>
              </w:rPr>
            </w:pPr>
            <w:r>
              <w:rPr>
                <w:rFonts w:ascii="Arial" w:cs="Arial" w:eastAsia="Arial" w:hAnsi="Arial"/>
                <w:sz w:val="11"/>
                <w:szCs w:val="11"/>
                <w:color w:val="auto"/>
                <w:w w:val="90"/>
              </w:rPr>
              <w:t>07/09/2026</w:t>
            </w:r>
          </w:p>
        </w:tc>
        <w:tc>
          <w:tcPr>
            <w:tcW w:w="140" w:type="dxa"/>
            <w:vAlign w:val="bottom"/>
          </w:tcPr>
          <w:p>
            <w:pPr>
              <w:spacing w:after="0"/>
              <w:rPr>
                <w:sz w:val="9"/>
                <w:szCs w:val="9"/>
                <w:color w:val="auto"/>
              </w:rPr>
            </w:pPr>
          </w:p>
        </w:tc>
        <w:tc>
          <w:tcPr>
            <w:tcW w:w="2240" w:type="dxa"/>
            <w:vAlign w:val="bottom"/>
          </w:tcPr>
          <w:p>
            <w:pPr>
              <w:jc w:val="center"/>
              <w:spacing w:after="0" w:line="115" w:lineRule="exact"/>
              <w:rPr>
                <w:sz w:val="20"/>
                <w:szCs w:val="20"/>
                <w:color w:val="auto"/>
              </w:rPr>
            </w:pPr>
            <w:r>
              <w:rPr>
                <w:rFonts w:ascii="Arial" w:cs="Arial" w:eastAsia="Arial" w:hAnsi="Arial"/>
                <w:sz w:val="11"/>
                <w:szCs w:val="11"/>
                <w:color w:val="auto"/>
                <w:w w:val="87"/>
              </w:rPr>
              <w:t>Healthcare Equipment and Supplies</w:t>
            </w:r>
          </w:p>
        </w:tc>
        <w:tc>
          <w:tcPr>
            <w:tcW w:w="1080" w:type="dxa"/>
            <w:vAlign w:val="bottom"/>
            <w:gridSpan w:val="3"/>
          </w:tcPr>
          <w:p>
            <w:pPr>
              <w:jc w:val="right"/>
              <w:ind w:right="86"/>
              <w:spacing w:after="0" w:line="115" w:lineRule="exact"/>
              <w:rPr>
                <w:sz w:val="20"/>
                <w:szCs w:val="20"/>
                <w:color w:val="auto"/>
              </w:rPr>
            </w:pPr>
            <w:r>
              <w:rPr>
                <w:rFonts w:ascii="Arial" w:cs="Arial" w:eastAsia="Arial" w:hAnsi="Arial"/>
                <w:sz w:val="11"/>
                <w:szCs w:val="11"/>
                <w:color w:val="auto"/>
              </w:rPr>
              <w:t>6.95 %</w:t>
            </w:r>
          </w:p>
        </w:tc>
        <w:tc>
          <w:tcPr>
            <w:tcW w:w="940" w:type="dxa"/>
            <w:vAlign w:val="bottom"/>
          </w:tcPr>
          <w:p>
            <w:pPr>
              <w:jc w:val="right"/>
              <w:spacing w:after="0" w:line="115" w:lineRule="exact"/>
              <w:rPr>
                <w:sz w:val="20"/>
                <w:szCs w:val="20"/>
                <w:color w:val="auto"/>
              </w:rPr>
            </w:pPr>
            <w:r>
              <w:rPr>
                <w:rFonts w:ascii="Arial" w:cs="Arial" w:eastAsia="Arial" w:hAnsi="Arial"/>
                <w:sz w:val="11"/>
                <w:szCs w:val="11"/>
                <w:color w:val="auto"/>
              </w:rPr>
              <w:t>SOFR + 475</w:t>
            </w:r>
          </w:p>
        </w:tc>
        <w:tc>
          <w:tcPr>
            <w:tcW w:w="94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1,980</w:t>
            </w: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jc w:val="right"/>
              <w:spacing w:after="0" w:line="115" w:lineRule="exact"/>
              <w:rPr>
                <w:sz w:val="20"/>
                <w:szCs w:val="20"/>
                <w:color w:val="auto"/>
              </w:rPr>
            </w:pPr>
            <w:r>
              <w:rPr>
                <w:rFonts w:ascii="Arial" w:cs="Arial" w:eastAsia="Arial" w:hAnsi="Arial"/>
                <w:sz w:val="11"/>
                <w:szCs w:val="11"/>
                <w:color w:val="auto"/>
              </w:rPr>
              <w:t>1,955</w:t>
            </w: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jc w:val="right"/>
              <w:spacing w:after="0" w:line="115" w:lineRule="exact"/>
              <w:rPr>
                <w:sz w:val="20"/>
                <w:szCs w:val="20"/>
                <w:color w:val="auto"/>
              </w:rPr>
            </w:pPr>
            <w:r>
              <w:rPr>
                <w:rFonts w:ascii="Arial" w:cs="Arial" w:eastAsia="Arial" w:hAnsi="Arial"/>
                <w:sz w:val="11"/>
                <w:szCs w:val="11"/>
                <w:color w:val="auto"/>
              </w:rPr>
              <w:t>1,950</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318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OIS Management Services, LLC (Revolver) </w:t>
            </w:r>
            <w:r>
              <w:rPr>
                <w:rFonts w:ascii="Arial" w:cs="Arial" w:eastAsia="Arial" w:hAnsi="Arial"/>
                <w:sz w:val="14"/>
                <w:szCs w:val="14"/>
                <w:color w:val="auto"/>
                <w:vertAlign w:val="superscript"/>
              </w:rPr>
              <w:t>(7), (9)</w:t>
            </w:r>
          </w:p>
        </w:tc>
        <w:tc>
          <w:tcPr>
            <w:tcW w:w="76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07/09/2026</w:t>
            </w:r>
          </w:p>
        </w:tc>
        <w:tc>
          <w:tcPr>
            <w:tcW w:w="140" w:type="dxa"/>
            <w:vAlign w:val="bottom"/>
          </w:tcPr>
          <w:p>
            <w:pPr>
              <w:spacing w:after="0"/>
              <w:rPr>
                <w:sz w:val="13"/>
                <w:szCs w:val="13"/>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87"/>
              </w:rPr>
              <w:t>Healthcare Equipment and Supplies</w:t>
            </w:r>
          </w:p>
        </w:tc>
        <w:tc>
          <w:tcPr>
            <w:tcW w:w="120" w:type="dxa"/>
            <w:vAlign w:val="bottom"/>
          </w:tcPr>
          <w:p>
            <w:pPr>
              <w:spacing w:after="0"/>
              <w:rPr>
                <w:sz w:val="13"/>
                <w:szCs w:val="13"/>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444</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auto"/>
              </w:rPr>
              <w:t>(7 )</w:t>
            </w:r>
          </w:p>
        </w:tc>
        <w:tc>
          <w:tcPr>
            <w:tcW w:w="0" w:type="dxa"/>
            <w:vAlign w:val="bottom"/>
          </w:tcPr>
          <w:p>
            <w:pPr>
              <w:spacing w:after="0"/>
              <w:rPr>
                <w:sz w:val="1"/>
                <w:szCs w:val="1"/>
                <w:color w:val="auto"/>
              </w:rPr>
            </w:pPr>
          </w:p>
        </w:tc>
      </w:tr>
      <w:tr>
        <w:trPr>
          <w:trHeight w:val="115"/>
        </w:trPr>
        <w:tc>
          <w:tcPr>
            <w:tcW w:w="3180" w:type="dxa"/>
            <w:vAlign w:val="bottom"/>
          </w:tcPr>
          <w:p>
            <w:pPr>
              <w:ind w:left="20"/>
              <w:spacing w:after="0" w:line="115" w:lineRule="exact"/>
              <w:rPr>
                <w:sz w:val="20"/>
                <w:szCs w:val="20"/>
                <w:color w:val="auto"/>
              </w:rPr>
            </w:pPr>
            <w:r>
              <w:rPr>
                <w:rFonts w:ascii="Arial" w:cs="Arial" w:eastAsia="Arial" w:hAnsi="Arial"/>
                <w:sz w:val="11"/>
                <w:szCs w:val="11"/>
                <w:color w:val="auto"/>
              </w:rPr>
              <w:t>One Stop Mailing, LLC</w:t>
            </w:r>
          </w:p>
        </w:tc>
        <w:tc>
          <w:tcPr>
            <w:tcW w:w="760" w:type="dxa"/>
            <w:vAlign w:val="bottom"/>
            <w:gridSpan w:val="2"/>
          </w:tcPr>
          <w:p>
            <w:pPr>
              <w:jc w:val="center"/>
              <w:ind w:left="86"/>
              <w:spacing w:after="0" w:line="115" w:lineRule="exact"/>
              <w:rPr>
                <w:sz w:val="20"/>
                <w:szCs w:val="20"/>
                <w:color w:val="auto"/>
              </w:rPr>
            </w:pPr>
            <w:r>
              <w:rPr>
                <w:rFonts w:ascii="Arial" w:cs="Arial" w:eastAsia="Arial" w:hAnsi="Arial"/>
                <w:sz w:val="11"/>
                <w:szCs w:val="11"/>
                <w:color w:val="auto"/>
                <w:w w:val="90"/>
              </w:rPr>
              <w:t>05/07/2027</w:t>
            </w:r>
          </w:p>
        </w:tc>
        <w:tc>
          <w:tcPr>
            <w:tcW w:w="140" w:type="dxa"/>
            <w:vAlign w:val="bottom"/>
          </w:tcPr>
          <w:p>
            <w:pPr>
              <w:spacing w:after="0"/>
              <w:rPr>
                <w:sz w:val="9"/>
                <w:szCs w:val="9"/>
                <w:color w:val="auto"/>
              </w:rPr>
            </w:pPr>
          </w:p>
        </w:tc>
        <w:tc>
          <w:tcPr>
            <w:tcW w:w="2240" w:type="dxa"/>
            <w:vAlign w:val="bottom"/>
          </w:tcPr>
          <w:p>
            <w:pPr>
              <w:jc w:val="center"/>
              <w:spacing w:after="0" w:line="115" w:lineRule="exact"/>
              <w:rPr>
                <w:sz w:val="20"/>
                <w:szCs w:val="20"/>
                <w:color w:val="auto"/>
              </w:rPr>
            </w:pPr>
            <w:r>
              <w:rPr>
                <w:rFonts w:ascii="Arial" w:cs="Arial" w:eastAsia="Arial" w:hAnsi="Arial"/>
                <w:sz w:val="11"/>
                <w:szCs w:val="11"/>
                <w:color w:val="auto"/>
                <w:w w:val="93"/>
              </w:rPr>
              <w:t>Air Freight and Logistics</w:t>
            </w:r>
          </w:p>
        </w:tc>
        <w:tc>
          <w:tcPr>
            <w:tcW w:w="1080" w:type="dxa"/>
            <w:vAlign w:val="bottom"/>
            <w:gridSpan w:val="3"/>
          </w:tcPr>
          <w:p>
            <w:pPr>
              <w:jc w:val="right"/>
              <w:ind w:right="86"/>
              <w:spacing w:after="0" w:line="115" w:lineRule="exact"/>
              <w:rPr>
                <w:sz w:val="20"/>
                <w:szCs w:val="20"/>
                <w:color w:val="auto"/>
              </w:rPr>
            </w:pPr>
            <w:r>
              <w:rPr>
                <w:rFonts w:ascii="Arial" w:cs="Arial" w:eastAsia="Arial" w:hAnsi="Arial"/>
                <w:sz w:val="11"/>
                <w:szCs w:val="11"/>
                <w:color w:val="auto"/>
              </w:rPr>
              <w:t>7.92 %</w:t>
            </w:r>
          </w:p>
        </w:tc>
        <w:tc>
          <w:tcPr>
            <w:tcW w:w="940" w:type="dxa"/>
            <w:vAlign w:val="bottom"/>
          </w:tcPr>
          <w:p>
            <w:pPr>
              <w:jc w:val="right"/>
              <w:spacing w:after="0" w:line="115" w:lineRule="exact"/>
              <w:rPr>
                <w:sz w:val="20"/>
                <w:szCs w:val="20"/>
                <w:color w:val="auto"/>
              </w:rPr>
            </w:pPr>
            <w:r>
              <w:rPr>
                <w:rFonts w:ascii="Arial" w:cs="Arial" w:eastAsia="Arial" w:hAnsi="Arial"/>
                <w:sz w:val="11"/>
                <w:szCs w:val="11"/>
                <w:color w:val="auto"/>
              </w:rPr>
              <w:t>3M L+625</w:t>
            </w:r>
          </w:p>
        </w:tc>
        <w:tc>
          <w:tcPr>
            <w:tcW w:w="94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8,884</w:t>
            </w: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jc w:val="right"/>
              <w:spacing w:after="0" w:line="115" w:lineRule="exact"/>
              <w:rPr>
                <w:sz w:val="20"/>
                <w:szCs w:val="20"/>
                <w:color w:val="auto"/>
              </w:rPr>
            </w:pPr>
            <w:r>
              <w:rPr>
                <w:rFonts w:ascii="Arial" w:cs="Arial" w:eastAsia="Arial" w:hAnsi="Arial"/>
                <w:sz w:val="11"/>
                <w:szCs w:val="11"/>
                <w:color w:val="auto"/>
              </w:rPr>
              <w:t>8,729</w:t>
            </w: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jc w:val="right"/>
              <w:spacing w:after="0" w:line="115" w:lineRule="exact"/>
              <w:rPr>
                <w:sz w:val="20"/>
                <w:szCs w:val="20"/>
                <w:color w:val="auto"/>
              </w:rPr>
            </w:pPr>
            <w:r>
              <w:rPr>
                <w:rFonts w:ascii="Arial" w:cs="Arial" w:eastAsia="Arial" w:hAnsi="Arial"/>
                <w:sz w:val="11"/>
                <w:szCs w:val="11"/>
                <w:color w:val="auto"/>
              </w:rPr>
              <w:t>8,707</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18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ORL Acquisition, Inc. </w:t>
            </w:r>
            <w:r>
              <w:rPr>
                <w:rFonts w:ascii="Arial" w:cs="Arial" w:eastAsia="Arial" w:hAnsi="Arial"/>
                <w:sz w:val="14"/>
                <w:szCs w:val="14"/>
                <w:color w:val="auto"/>
                <w:vertAlign w:val="superscript"/>
              </w:rPr>
              <w:t>(7)</w:t>
            </w:r>
          </w:p>
        </w:tc>
        <w:tc>
          <w:tcPr>
            <w:tcW w:w="76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09/03/2027</w:t>
            </w:r>
          </w:p>
        </w:tc>
        <w:tc>
          <w:tcPr>
            <w:tcW w:w="140" w:type="dxa"/>
            <w:vAlign w:val="bottom"/>
          </w:tcPr>
          <w:p>
            <w:pPr>
              <w:spacing w:after="0"/>
              <w:rPr>
                <w:sz w:val="11"/>
                <w:szCs w:val="11"/>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88"/>
              </w:rPr>
              <w:t>Consumer Finance</w:t>
            </w:r>
          </w:p>
        </w:tc>
        <w:tc>
          <w:tcPr>
            <w:tcW w:w="1080" w:type="dxa"/>
            <w:vAlign w:val="bottom"/>
            <w:gridSpan w:val="3"/>
          </w:tcPr>
          <w:p>
            <w:pPr>
              <w:jc w:val="right"/>
              <w:ind w:right="86"/>
              <w:spacing w:after="0"/>
              <w:rPr>
                <w:sz w:val="20"/>
                <w:szCs w:val="20"/>
                <w:color w:val="auto"/>
              </w:rPr>
            </w:pPr>
            <w:r>
              <w:rPr>
                <w:rFonts w:ascii="Arial" w:cs="Arial" w:eastAsia="Arial" w:hAnsi="Arial"/>
                <w:sz w:val="11"/>
                <w:szCs w:val="11"/>
                <w:color w:val="auto"/>
              </w:rPr>
              <w:t>7.50 %</w:t>
            </w:r>
          </w:p>
        </w:tc>
        <w:tc>
          <w:tcPr>
            <w:tcW w:w="940" w:type="dxa"/>
            <w:vAlign w:val="bottom"/>
          </w:tcPr>
          <w:p>
            <w:pPr>
              <w:jc w:val="right"/>
              <w:spacing w:after="0"/>
              <w:rPr>
                <w:sz w:val="20"/>
                <w:szCs w:val="20"/>
                <w:color w:val="auto"/>
              </w:rPr>
            </w:pPr>
            <w:r>
              <w:rPr>
                <w:rFonts w:ascii="Arial" w:cs="Arial" w:eastAsia="Arial" w:hAnsi="Arial"/>
                <w:sz w:val="11"/>
                <w:szCs w:val="11"/>
                <w:color w:val="auto"/>
              </w:rPr>
              <w:t>3M L+525</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7,213</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7,082</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7,213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3180" w:type="dxa"/>
            <w:vAlign w:val="bottom"/>
          </w:tcPr>
          <w:p>
            <w:pPr>
              <w:ind w:left="20"/>
              <w:spacing w:after="0"/>
              <w:rPr>
                <w:sz w:val="20"/>
                <w:szCs w:val="20"/>
                <w:color w:val="auto"/>
              </w:rPr>
            </w:pPr>
            <w:r>
              <w:rPr>
                <w:rFonts w:ascii="Arial" w:cs="Arial" w:eastAsia="Arial" w:hAnsi="Arial"/>
                <w:sz w:val="11"/>
                <w:szCs w:val="11"/>
                <w:color w:val="auto"/>
              </w:rPr>
              <w:t xml:space="preserve">ORL Acquisition, Inc. (Revolver) </w:t>
            </w:r>
            <w:r>
              <w:rPr>
                <w:rFonts w:ascii="Arial" w:cs="Arial" w:eastAsia="Arial" w:hAnsi="Arial"/>
                <w:sz w:val="14"/>
                <w:szCs w:val="14"/>
                <w:color w:val="auto"/>
                <w:vertAlign w:val="superscript"/>
              </w:rPr>
              <w:t>(7), (9)</w:t>
            </w:r>
          </w:p>
        </w:tc>
        <w:tc>
          <w:tcPr>
            <w:tcW w:w="76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09/03/2027</w:t>
            </w:r>
          </w:p>
        </w:tc>
        <w:tc>
          <w:tcPr>
            <w:tcW w:w="140" w:type="dxa"/>
            <w:vAlign w:val="bottom"/>
          </w:tcPr>
          <w:p>
            <w:pPr>
              <w:spacing w:after="0"/>
              <w:rPr>
                <w:sz w:val="14"/>
                <w:szCs w:val="14"/>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88"/>
              </w:rPr>
              <w:t>Consumer Finance</w:t>
            </w:r>
          </w:p>
        </w:tc>
        <w:tc>
          <w:tcPr>
            <w:tcW w:w="120" w:type="dxa"/>
            <w:vAlign w:val="bottom"/>
          </w:tcPr>
          <w:p>
            <w:pPr>
              <w:spacing w:after="0"/>
              <w:rPr>
                <w:sz w:val="14"/>
                <w:szCs w:val="14"/>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861</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3180" w:type="dxa"/>
            <w:vAlign w:val="bottom"/>
            <w:shd w:val="clear" w:color="auto" w:fill="CCECFF"/>
          </w:tcPr>
          <w:p>
            <w:pPr>
              <w:ind w:left="20"/>
              <w:spacing w:after="0"/>
              <w:rPr>
                <w:sz w:val="20"/>
                <w:szCs w:val="20"/>
                <w:color w:val="auto"/>
              </w:rPr>
            </w:pPr>
            <w:r>
              <w:rPr>
                <w:rFonts w:ascii="Arial" w:cs="Arial" w:eastAsia="Arial" w:hAnsi="Arial"/>
                <w:sz w:val="11"/>
                <w:szCs w:val="11"/>
                <w:color w:val="auto"/>
              </w:rPr>
              <w:t>Output Services Group, Inc.</w:t>
            </w:r>
          </w:p>
        </w:tc>
        <w:tc>
          <w:tcPr>
            <w:tcW w:w="76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03/27/2024</w:t>
            </w:r>
          </w:p>
        </w:tc>
        <w:tc>
          <w:tcPr>
            <w:tcW w:w="140" w:type="dxa"/>
            <w:vAlign w:val="bottom"/>
            <w:shd w:val="clear" w:color="auto" w:fill="CCECFF"/>
          </w:tcPr>
          <w:p>
            <w:pPr>
              <w:spacing w:after="0"/>
              <w:rPr>
                <w:sz w:val="11"/>
                <w:szCs w:val="11"/>
                <w:color w:val="auto"/>
              </w:rPr>
            </w:pPr>
          </w:p>
        </w:tc>
        <w:tc>
          <w:tcPr>
            <w:tcW w:w="22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Business Services</w:t>
            </w:r>
          </w:p>
        </w:tc>
        <w:tc>
          <w:tcPr>
            <w:tcW w:w="1080" w:type="dxa"/>
            <w:vAlign w:val="bottom"/>
            <w:gridSpan w:val="3"/>
            <w:shd w:val="clear" w:color="auto" w:fill="CCECFF"/>
          </w:tcPr>
          <w:p>
            <w:pPr>
              <w:jc w:val="right"/>
              <w:ind w:right="86"/>
              <w:spacing w:after="0"/>
              <w:rPr>
                <w:sz w:val="20"/>
                <w:szCs w:val="20"/>
                <w:color w:val="auto"/>
              </w:rPr>
            </w:pPr>
            <w:r>
              <w:rPr>
                <w:rFonts w:ascii="Arial" w:cs="Arial" w:eastAsia="Arial" w:hAnsi="Arial"/>
                <w:sz w:val="11"/>
                <w:szCs w:val="11"/>
                <w:color w:val="auto"/>
              </w:rPr>
              <w:t>6.01 %</w:t>
            </w:r>
          </w:p>
        </w:tc>
        <w:tc>
          <w:tcPr>
            <w:tcW w:w="9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L+450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4,862</w:t>
            </w:r>
          </w:p>
        </w:tc>
        <w:tc>
          <w:tcPr>
            <w:tcW w:w="24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4,535</w:t>
            </w:r>
          </w:p>
        </w:tc>
        <w:tc>
          <w:tcPr>
            <w:tcW w:w="2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3,987</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3180" w:type="dxa"/>
            <w:vAlign w:val="bottom"/>
          </w:tcPr>
          <w:p>
            <w:pPr>
              <w:ind w:left="20"/>
              <w:spacing w:after="0" w:line="125" w:lineRule="exact"/>
              <w:rPr>
                <w:sz w:val="20"/>
                <w:szCs w:val="20"/>
                <w:color w:val="auto"/>
              </w:rPr>
            </w:pPr>
            <w:r>
              <w:rPr>
                <w:rFonts w:ascii="Arial" w:cs="Arial" w:eastAsia="Arial" w:hAnsi="Arial"/>
                <w:sz w:val="11"/>
                <w:szCs w:val="11"/>
                <w:color w:val="auto"/>
              </w:rPr>
              <w:t>Owl Acquisition, LLC</w:t>
            </w:r>
          </w:p>
        </w:tc>
        <w:tc>
          <w:tcPr>
            <w:tcW w:w="760" w:type="dxa"/>
            <w:vAlign w:val="bottom"/>
            <w:gridSpan w:val="2"/>
          </w:tcPr>
          <w:p>
            <w:pPr>
              <w:jc w:val="center"/>
              <w:ind w:left="86"/>
              <w:spacing w:after="0" w:line="125" w:lineRule="exact"/>
              <w:rPr>
                <w:sz w:val="20"/>
                <w:szCs w:val="20"/>
                <w:color w:val="auto"/>
              </w:rPr>
            </w:pPr>
            <w:r>
              <w:rPr>
                <w:rFonts w:ascii="Arial" w:cs="Arial" w:eastAsia="Arial" w:hAnsi="Arial"/>
                <w:sz w:val="11"/>
                <w:szCs w:val="11"/>
                <w:color w:val="auto"/>
                <w:w w:val="90"/>
              </w:rPr>
              <w:t>02/04/2028</w:t>
            </w:r>
          </w:p>
        </w:tc>
        <w:tc>
          <w:tcPr>
            <w:tcW w:w="140" w:type="dxa"/>
            <w:vAlign w:val="bottom"/>
          </w:tcPr>
          <w:p>
            <w:pPr>
              <w:spacing w:after="0"/>
              <w:rPr>
                <w:sz w:val="10"/>
                <w:szCs w:val="10"/>
                <w:color w:val="auto"/>
              </w:rPr>
            </w:pPr>
          </w:p>
        </w:tc>
        <w:tc>
          <w:tcPr>
            <w:tcW w:w="2240" w:type="dxa"/>
            <w:vAlign w:val="bottom"/>
          </w:tcPr>
          <w:p>
            <w:pPr>
              <w:jc w:val="center"/>
              <w:spacing w:after="0" w:line="125" w:lineRule="exact"/>
              <w:rPr>
                <w:sz w:val="20"/>
                <w:szCs w:val="20"/>
                <w:color w:val="auto"/>
              </w:rPr>
            </w:pPr>
            <w:r>
              <w:rPr>
                <w:rFonts w:ascii="Arial" w:cs="Arial" w:eastAsia="Arial" w:hAnsi="Arial"/>
                <w:sz w:val="11"/>
                <w:szCs w:val="11"/>
                <w:color w:val="auto"/>
                <w:w w:val="88"/>
              </w:rPr>
              <w:t>Professional Services</w:t>
            </w:r>
          </w:p>
        </w:tc>
        <w:tc>
          <w:tcPr>
            <w:tcW w:w="1080" w:type="dxa"/>
            <w:vAlign w:val="bottom"/>
            <w:gridSpan w:val="3"/>
          </w:tcPr>
          <w:p>
            <w:pPr>
              <w:jc w:val="right"/>
              <w:ind w:right="86"/>
              <w:spacing w:after="0" w:line="125" w:lineRule="exact"/>
              <w:rPr>
                <w:sz w:val="20"/>
                <w:szCs w:val="20"/>
                <w:color w:val="auto"/>
              </w:rPr>
            </w:pPr>
            <w:r>
              <w:rPr>
                <w:rFonts w:ascii="Arial" w:cs="Arial" w:eastAsia="Arial" w:hAnsi="Arial"/>
                <w:sz w:val="11"/>
                <w:szCs w:val="11"/>
                <w:color w:val="auto"/>
              </w:rPr>
              <w:t>6.75 %</w:t>
            </w:r>
          </w:p>
        </w:tc>
        <w:tc>
          <w:tcPr>
            <w:tcW w:w="940" w:type="dxa"/>
            <w:vAlign w:val="bottom"/>
          </w:tcPr>
          <w:p>
            <w:pPr>
              <w:jc w:val="right"/>
              <w:spacing w:after="0" w:line="125" w:lineRule="exact"/>
              <w:rPr>
                <w:sz w:val="20"/>
                <w:szCs w:val="20"/>
                <w:color w:val="auto"/>
              </w:rPr>
            </w:pPr>
            <w:r>
              <w:rPr>
                <w:rFonts w:ascii="Arial" w:cs="Arial" w:eastAsia="Arial" w:hAnsi="Arial"/>
                <w:sz w:val="11"/>
                <w:szCs w:val="11"/>
                <w:color w:val="auto"/>
              </w:rPr>
              <w:t>3M L+575</w:t>
            </w:r>
          </w:p>
        </w:tc>
        <w:tc>
          <w:tcPr>
            <w:tcW w:w="940" w:type="dxa"/>
            <w:vAlign w:val="bottom"/>
            <w:gridSpan w:val="2"/>
          </w:tcPr>
          <w:p>
            <w:pPr>
              <w:jc w:val="right"/>
              <w:spacing w:after="0" w:line="125" w:lineRule="exact"/>
              <w:rPr>
                <w:sz w:val="20"/>
                <w:szCs w:val="20"/>
                <w:color w:val="auto"/>
              </w:rPr>
            </w:pPr>
            <w:r>
              <w:rPr>
                <w:rFonts w:ascii="Arial" w:cs="Arial" w:eastAsia="Arial" w:hAnsi="Arial"/>
                <w:sz w:val="11"/>
                <w:szCs w:val="11"/>
                <w:color w:val="auto"/>
              </w:rPr>
              <w:t>4,000</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jc w:val="right"/>
              <w:spacing w:after="0" w:line="125" w:lineRule="exact"/>
              <w:rPr>
                <w:sz w:val="20"/>
                <w:szCs w:val="20"/>
                <w:color w:val="auto"/>
              </w:rPr>
            </w:pPr>
            <w:r>
              <w:rPr>
                <w:rFonts w:ascii="Arial" w:cs="Arial" w:eastAsia="Arial" w:hAnsi="Arial"/>
                <w:sz w:val="11"/>
                <w:szCs w:val="11"/>
                <w:color w:val="auto"/>
              </w:rPr>
              <w:t>3,880</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jc w:val="right"/>
              <w:spacing w:after="0" w:line="125" w:lineRule="exact"/>
              <w:rPr>
                <w:sz w:val="20"/>
                <w:szCs w:val="20"/>
                <w:color w:val="auto"/>
              </w:rPr>
            </w:pPr>
            <w:r>
              <w:rPr>
                <w:rFonts w:ascii="Arial" w:cs="Arial" w:eastAsia="Arial" w:hAnsi="Arial"/>
                <w:sz w:val="11"/>
                <w:szCs w:val="11"/>
                <w:color w:val="auto"/>
              </w:rPr>
              <w:t>3,880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3180" w:type="dxa"/>
            <w:vAlign w:val="bottom"/>
          </w:tcPr>
          <w:p>
            <w:pPr>
              <w:ind w:left="20"/>
              <w:spacing w:after="0" w:line="115" w:lineRule="exact"/>
              <w:rPr>
                <w:sz w:val="20"/>
                <w:szCs w:val="20"/>
                <w:color w:val="auto"/>
              </w:rPr>
            </w:pPr>
            <w:r>
              <w:rPr>
                <w:rFonts w:ascii="Arial" w:cs="Arial" w:eastAsia="Arial" w:hAnsi="Arial"/>
                <w:sz w:val="11"/>
                <w:szCs w:val="11"/>
                <w:color w:val="auto"/>
              </w:rPr>
              <w:t>Ox Two, LLC</w:t>
            </w:r>
          </w:p>
        </w:tc>
        <w:tc>
          <w:tcPr>
            <w:tcW w:w="760" w:type="dxa"/>
            <w:vAlign w:val="bottom"/>
            <w:gridSpan w:val="2"/>
          </w:tcPr>
          <w:p>
            <w:pPr>
              <w:jc w:val="center"/>
              <w:ind w:left="86"/>
              <w:spacing w:after="0" w:line="115" w:lineRule="exact"/>
              <w:rPr>
                <w:sz w:val="20"/>
                <w:szCs w:val="20"/>
                <w:color w:val="auto"/>
              </w:rPr>
            </w:pPr>
            <w:r>
              <w:rPr>
                <w:rFonts w:ascii="Arial" w:cs="Arial" w:eastAsia="Arial" w:hAnsi="Arial"/>
                <w:sz w:val="11"/>
                <w:szCs w:val="11"/>
                <w:color w:val="auto"/>
                <w:w w:val="90"/>
              </w:rPr>
              <w:t>05/18/2026</w:t>
            </w:r>
          </w:p>
        </w:tc>
        <w:tc>
          <w:tcPr>
            <w:tcW w:w="140" w:type="dxa"/>
            <w:vAlign w:val="bottom"/>
          </w:tcPr>
          <w:p>
            <w:pPr>
              <w:spacing w:after="0"/>
              <w:rPr>
                <w:sz w:val="9"/>
                <w:szCs w:val="9"/>
                <w:color w:val="auto"/>
              </w:rPr>
            </w:pPr>
          </w:p>
        </w:tc>
        <w:tc>
          <w:tcPr>
            <w:tcW w:w="2240" w:type="dxa"/>
            <w:vAlign w:val="bottom"/>
          </w:tcPr>
          <w:p>
            <w:pPr>
              <w:jc w:val="center"/>
              <w:spacing w:after="0" w:line="115" w:lineRule="exact"/>
              <w:rPr>
                <w:sz w:val="20"/>
                <w:szCs w:val="20"/>
                <w:color w:val="auto"/>
              </w:rPr>
            </w:pPr>
            <w:r>
              <w:rPr>
                <w:rFonts w:ascii="Arial" w:cs="Arial" w:eastAsia="Arial" w:hAnsi="Arial"/>
                <w:sz w:val="11"/>
                <w:szCs w:val="11"/>
                <w:color w:val="auto"/>
                <w:w w:val="90"/>
              </w:rPr>
              <w:t>Construction and Building</w:t>
            </w:r>
          </w:p>
        </w:tc>
        <w:tc>
          <w:tcPr>
            <w:tcW w:w="1080" w:type="dxa"/>
            <w:vAlign w:val="bottom"/>
            <w:gridSpan w:val="3"/>
          </w:tcPr>
          <w:p>
            <w:pPr>
              <w:jc w:val="right"/>
              <w:ind w:right="86"/>
              <w:spacing w:after="0" w:line="115" w:lineRule="exact"/>
              <w:rPr>
                <w:sz w:val="20"/>
                <w:szCs w:val="20"/>
                <w:color w:val="auto"/>
              </w:rPr>
            </w:pPr>
            <w:r>
              <w:rPr>
                <w:rFonts w:ascii="Arial" w:cs="Arial" w:eastAsia="Arial" w:hAnsi="Arial"/>
                <w:sz w:val="11"/>
                <w:szCs w:val="11"/>
                <w:color w:val="auto"/>
              </w:rPr>
              <w:t>9.32 %</w:t>
            </w:r>
          </w:p>
        </w:tc>
        <w:tc>
          <w:tcPr>
            <w:tcW w:w="940" w:type="dxa"/>
            <w:vAlign w:val="bottom"/>
          </w:tcPr>
          <w:p>
            <w:pPr>
              <w:jc w:val="right"/>
              <w:spacing w:after="0" w:line="115" w:lineRule="exact"/>
              <w:rPr>
                <w:sz w:val="20"/>
                <w:szCs w:val="20"/>
                <w:color w:val="auto"/>
              </w:rPr>
            </w:pPr>
            <w:r>
              <w:rPr>
                <w:rFonts w:ascii="Arial" w:cs="Arial" w:eastAsia="Arial" w:hAnsi="Arial"/>
                <w:sz w:val="11"/>
                <w:szCs w:val="11"/>
                <w:color w:val="auto"/>
              </w:rPr>
              <w:t>1M L+700</w:t>
            </w:r>
          </w:p>
        </w:tc>
        <w:tc>
          <w:tcPr>
            <w:tcW w:w="94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25,838</w:t>
            </w: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jc w:val="right"/>
              <w:spacing w:after="0" w:line="115" w:lineRule="exact"/>
              <w:rPr>
                <w:sz w:val="20"/>
                <w:szCs w:val="20"/>
                <w:color w:val="auto"/>
              </w:rPr>
            </w:pPr>
            <w:r>
              <w:rPr>
                <w:rFonts w:ascii="Arial" w:cs="Arial" w:eastAsia="Arial" w:hAnsi="Arial"/>
                <w:sz w:val="11"/>
                <w:szCs w:val="11"/>
                <w:color w:val="auto"/>
              </w:rPr>
              <w:t>25,485</w:t>
            </w: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jc w:val="right"/>
              <w:spacing w:after="0" w:line="115" w:lineRule="exact"/>
              <w:rPr>
                <w:sz w:val="20"/>
                <w:szCs w:val="20"/>
                <w:color w:val="auto"/>
              </w:rPr>
            </w:pPr>
            <w:r>
              <w:rPr>
                <w:rFonts w:ascii="Arial" w:cs="Arial" w:eastAsia="Arial" w:hAnsi="Arial"/>
                <w:sz w:val="11"/>
                <w:szCs w:val="11"/>
                <w:color w:val="auto"/>
              </w:rPr>
              <w:t>25,321</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318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Ox Two, LLC (Revolver) </w:t>
            </w:r>
            <w:r>
              <w:rPr>
                <w:rFonts w:ascii="Arial" w:cs="Arial" w:eastAsia="Arial" w:hAnsi="Arial"/>
                <w:sz w:val="14"/>
                <w:szCs w:val="14"/>
                <w:color w:val="auto"/>
                <w:vertAlign w:val="superscript"/>
              </w:rPr>
              <w:t>(7)</w:t>
            </w:r>
          </w:p>
        </w:tc>
        <w:tc>
          <w:tcPr>
            <w:tcW w:w="76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05/18/2026</w:t>
            </w:r>
          </w:p>
        </w:tc>
        <w:tc>
          <w:tcPr>
            <w:tcW w:w="140" w:type="dxa"/>
            <w:vAlign w:val="bottom"/>
          </w:tcPr>
          <w:p>
            <w:pPr>
              <w:spacing w:after="0"/>
              <w:rPr>
                <w:sz w:val="13"/>
                <w:szCs w:val="13"/>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90"/>
              </w:rPr>
              <w:t>Construction and Building</w:t>
            </w:r>
          </w:p>
        </w:tc>
        <w:tc>
          <w:tcPr>
            <w:tcW w:w="1080" w:type="dxa"/>
            <w:vAlign w:val="bottom"/>
            <w:gridSpan w:val="3"/>
          </w:tcPr>
          <w:p>
            <w:pPr>
              <w:jc w:val="right"/>
              <w:ind w:right="86"/>
              <w:spacing w:after="0"/>
              <w:rPr>
                <w:sz w:val="20"/>
                <w:szCs w:val="20"/>
                <w:color w:val="auto"/>
              </w:rPr>
            </w:pPr>
            <w:r>
              <w:rPr>
                <w:rFonts w:ascii="Arial" w:cs="Arial" w:eastAsia="Arial" w:hAnsi="Arial"/>
                <w:sz w:val="11"/>
                <w:szCs w:val="11"/>
                <w:color w:val="auto"/>
              </w:rPr>
              <w:t>9.32 %</w:t>
            </w:r>
          </w:p>
        </w:tc>
        <w:tc>
          <w:tcPr>
            <w:tcW w:w="940" w:type="dxa"/>
            <w:vAlign w:val="bottom"/>
          </w:tcPr>
          <w:p>
            <w:pPr>
              <w:jc w:val="right"/>
              <w:spacing w:after="0"/>
              <w:rPr>
                <w:sz w:val="20"/>
                <w:szCs w:val="20"/>
                <w:color w:val="auto"/>
              </w:rPr>
            </w:pPr>
            <w:r>
              <w:rPr>
                <w:rFonts w:ascii="Arial" w:cs="Arial" w:eastAsia="Arial" w:hAnsi="Arial"/>
                <w:sz w:val="11"/>
                <w:szCs w:val="11"/>
                <w:color w:val="auto"/>
              </w:rPr>
              <w:t>1M L+700</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3,387</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3,387</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3,319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3180" w:type="dxa"/>
            <w:vAlign w:val="bottom"/>
          </w:tcPr>
          <w:p>
            <w:pPr>
              <w:ind w:left="20"/>
              <w:spacing w:after="0" w:line="115" w:lineRule="exact"/>
              <w:rPr>
                <w:sz w:val="20"/>
                <w:szCs w:val="20"/>
                <w:color w:val="auto"/>
              </w:rPr>
            </w:pPr>
            <w:r>
              <w:rPr>
                <w:rFonts w:ascii="Arial" w:cs="Arial" w:eastAsia="Arial" w:hAnsi="Arial"/>
                <w:sz w:val="11"/>
                <w:szCs w:val="11"/>
                <w:color w:val="auto"/>
              </w:rPr>
              <w:t>PL Acquisitionco, LLC</w:t>
            </w:r>
          </w:p>
        </w:tc>
        <w:tc>
          <w:tcPr>
            <w:tcW w:w="760" w:type="dxa"/>
            <w:vAlign w:val="bottom"/>
            <w:gridSpan w:val="2"/>
          </w:tcPr>
          <w:p>
            <w:pPr>
              <w:jc w:val="center"/>
              <w:ind w:left="86"/>
              <w:spacing w:after="0" w:line="115" w:lineRule="exact"/>
              <w:rPr>
                <w:sz w:val="20"/>
                <w:szCs w:val="20"/>
                <w:color w:val="auto"/>
              </w:rPr>
            </w:pPr>
            <w:r>
              <w:rPr>
                <w:rFonts w:ascii="Arial" w:cs="Arial" w:eastAsia="Arial" w:hAnsi="Arial"/>
                <w:sz w:val="11"/>
                <w:szCs w:val="11"/>
                <w:color w:val="auto"/>
                <w:w w:val="90"/>
              </w:rPr>
              <w:t>11/09/2027</w:t>
            </w:r>
          </w:p>
        </w:tc>
        <w:tc>
          <w:tcPr>
            <w:tcW w:w="140" w:type="dxa"/>
            <w:vAlign w:val="bottom"/>
          </w:tcPr>
          <w:p>
            <w:pPr>
              <w:spacing w:after="0"/>
              <w:rPr>
                <w:sz w:val="9"/>
                <w:szCs w:val="9"/>
                <w:color w:val="auto"/>
              </w:rPr>
            </w:pPr>
          </w:p>
        </w:tc>
        <w:tc>
          <w:tcPr>
            <w:tcW w:w="2240" w:type="dxa"/>
            <w:vAlign w:val="bottom"/>
          </w:tcPr>
          <w:p>
            <w:pPr>
              <w:jc w:val="center"/>
              <w:spacing w:after="0" w:line="115" w:lineRule="exact"/>
              <w:rPr>
                <w:sz w:val="20"/>
                <w:szCs w:val="20"/>
                <w:color w:val="auto"/>
              </w:rPr>
            </w:pPr>
            <w:r>
              <w:rPr>
                <w:rFonts w:ascii="Arial" w:cs="Arial" w:eastAsia="Arial" w:hAnsi="Arial"/>
                <w:sz w:val="11"/>
                <w:szCs w:val="11"/>
                <w:color w:val="auto"/>
                <w:w w:val="90"/>
              </w:rPr>
              <w:t>Textiles, Apparel and Luxury Goods</w:t>
            </w:r>
          </w:p>
        </w:tc>
        <w:tc>
          <w:tcPr>
            <w:tcW w:w="1080" w:type="dxa"/>
            <w:vAlign w:val="bottom"/>
            <w:gridSpan w:val="3"/>
          </w:tcPr>
          <w:p>
            <w:pPr>
              <w:jc w:val="right"/>
              <w:ind w:right="86"/>
              <w:spacing w:after="0" w:line="115" w:lineRule="exact"/>
              <w:rPr>
                <w:sz w:val="20"/>
                <w:szCs w:val="20"/>
                <w:color w:val="auto"/>
              </w:rPr>
            </w:pPr>
            <w:r>
              <w:rPr>
                <w:rFonts w:ascii="Arial" w:cs="Arial" w:eastAsia="Arial" w:hAnsi="Arial"/>
                <w:sz w:val="11"/>
                <w:szCs w:val="11"/>
                <w:color w:val="auto"/>
              </w:rPr>
              <w:t>8.17 %</w:t>
            </w:r>
          </w:p>
        </w:tc>
        <w:tc>
          <w:tcPr>
            <w:tcW w:w="940" w:type="dxa"/>
            <w:vAlign w:val="bottom"/>
          </w:tcPr>
          <w:p>
            <w:pPr>
              <w:jc w:val="right"/>
              <w:spacing w:after="0" w:line="115" w:lineRule="exact"/>
              <w:rPr>
                <w:sz w:val="20"/>
                <w:szCs w:val="20"/>
                <w:color w:val="auto"/>
              </w:rPr>
            </w:pPr>
            <w:r>
              <w:rPr>
                <w:rFonts w:ascii="Arial" w:cs="Arial" w:eastAsia="Arial" w:hAnsi="Arial"/>
                <w:sz w:val="11"/>
                <w:szCs w:val="11"/>
                <w:color w:val="auto"/>
              </w:rPr>
              <w:t>3M L+650</w:t>
            </w:r>
          </w:p>
        </w:tc>
        <w:tc>
          <w:tcPr>
            <w:tcW w:w="94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6,126</w:t>
            </w: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jc w:val="right"/>
              <w:spacing w:after="0" w:line="115" w:lineRule="exact"/>
              <w:rPr>
                <w:sz w:val="20"/>
                <w:szCs w:val="20"/>
                <w:color w:val="auto"/>
              </w:rPr>
            </w:pPr>
            <w:r>
              <w:rPr>
                <w:rFonts w:ascii="Arial" w:cs="Arial" w:eastAsia="Arial" w:hAnsi="Arial"/>
                <w:sz w:val="11"/>
                <w:szCs w:val="11"/>
                <w:color w:val="auto"/>
              </w:rPr>
              <w:t>6,029</w:t>
            </w: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jc w:val="right"/>
              <w:spacing w:after="0" w:line="115" w:lineRule="exact"/>
              <w:rPr>
                <w:sz w:val="20"/>
                <w:szCs w:val="20"/>
                <w:color w:val="auto"/>
              </w:rPr>
            </w:pPr>
            <w:r>
              <w:rPr>
                <w:rFonts w:ascii="Arial" w:cs="Arial" w:eastAsia="Arial" w:hAnsi="Arial"/>
                <w:sz w:val="11"/>
                <w:szCs w:val="11"/>
                <w:color w:val="auto"/>
              </w:rPr>
              <w:t>6,018</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3180" w:type="dxa"/>
            <w:vAlign w:val="bottom"/>
          </w:tcPr>
          <w:p>
            <w:pPr>
              <w:ind w:left="20"/>
              <w:spacing w:after="0"/>
              <w:rPr>
                <w:sz w:val="20"/>
                <w:szCs w:val="20"/>
                <w:color w:val="auto"/>
              </w:rPr>
            </w:pPr>
            <w:r>
              <w:rPr>
                <w:rFonts w:ascii="Arial" w:cs="Arial" w:eastAsia="Arial" w:hAnsi="Arial"/>
                <w:sz w:val="11"/>
                <w:szCs w:val="11"/>
                <w:color w:val="auto"/>
              </w:rPr>
              <w:t xml:space="preserve">PL Acquisitionco, LLC - (Revolver) </w:t>
            </w:r>
            <w:r>
              <w:rPr>
                <w:rFonts w:ascii="Arial" w:cs="Arial" w:eastAsia="Arial" w:hAnsi="Arial"/>
                <w:sz w:val="14"/>
                <w:szCs w:val="14"/>
                <w:color w:val="auto"/>
                <w:vertAlign w:val="superscript"/>
              </w:rPr>
              <w:t>(9)</w:t>
            </w:r>
          </w:p>
        </w:tc>
        <w:tc>
          <w:tcPr>
            <w:tcW w:w="76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11/09/2027</w:t>
            </w:r>
          </w:p>
        </w:tc>
        <w:tc>
          <w:tcPr>
            <w:tcW w:w="140" w:type="dxa"/>
            <w:vAlign w:val="bottom"/>
          </w:tcPr>
          <w:p>
            <w:pPr>
              <w:spacing w:after="0"/>
              <w:rPr>
                <w:sz w:val="14"/>
                <w:szCs w:val="14"/>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90"/>
              </w:rPr>
              <w:t>Textiles, Apparel and Luxury Goods</w:t>
            </w:r>
          </w:p>
        </w:tc>
        <w:tc>
          <w:tcPr>
            <w:tcW w:w="120" w:type="dxa"/>
            <w:vAlign w:val="bottom"/>
          </w:tcPr>
          <w:p>
            <w:pPr>
              <w:spacing w:after="0"/>
              <w:rPr>
                <w:sz w:val="14"/>
                <w:szCs w:val="14"/>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2,290</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auto"/>
              </w:rPr>
              <w:t>(40 )</w:t>
            </w:r>
          </w:p>
        </w:tc>
        <w:tc>
          <w:tcPr>
            <w:tcW w:w="0" w:type="dxa"/>
            <w:vAlign w:val="bottom"/>
          </w:tcPr>
          <w:p>
            <w:pPr>
              <w:spacing w:after="0"/>
              <w:rPr>
                <w:sz w:val="1"/>
                <w:szCs w:val="1"/>
                <w:color w:val="auto"/>
              </w:rPr>
            </w:pPr>
          </w:p>
        </w:tc>
      </w:tr>
      <w:tr>
        <w:trPr>
          <w:trHeight w:val="135"/>
        </w:trPr>
        <w:tc>
          <w:tcPr>
            <w:tcW w:w="3180" w:type="dxa"/>
            <w:vAlign w:val="bottom"/>
            <w:shd w:val="clear" w:color="auto" w:fill="CCECFF"/>
          </w:tcPr>
          <w:p>
            <w:pPr>
              <w:ind w:left="20"/>
              <w:spacing w:after="0"/>
              <w:rPr>
                <w:sz w:val="20"/>
                <w:szCs w:val="20"/>
                <w:color w:val="auto"/>
              </w:rPr>
            </w:pPr>
            <w:r>
              <w:rPr>
                <w:rFonts w:ascii="Arial" w:cs="Arial" w:eastAsia="Arial" w:hAnsi="Arial"/>
                <w:sz w:val="11"/>
                <w:szCs w:val="11"/>
                <w:color w:val="auto"/>
              </w:rPr>
              <w:t>Plant Health Intermediate, Inc.</w:t>
            </w:r>
          </w:p>
        </w:tc>
        <w:tc>
          <w:tcPr>
            <w:tcW w:w="76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10/19/2022</w:t>
            </w:r>
          </w:p>
        </w:tc>
        <w:tc>
          <w:tcPr>
            <w:tcW w:w="140" w:type="dxa"/>
            <w:vAlign w:val="bottom"/>
            <w:shd w:val="clear" w:color="auto" w:fill="CCECFF"/>
          </w:tcPr>
          <w:p>
            <w:pPr>
              <w:spacing w:after="0"/>
              <w:rPr>
                <w:sz w:val="11"/>
                <w:szCs w:val="11"/>
                <w:color w:val="auto"/>
              </w:rPr>
            </w:pPr>
          </w:p>
        </w:tc>
        <w:tc>
          <w:tcPr>
            <w:tcW w:w="22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Chemicals, Plastics and Rubber</w:t>
            </w:r>
          </w:p>
        </w:tc>
        <w:tc>
          <w:tcPr>
            <w:tcW w:w="1080" w:type="dxa"/>
            <w:vAlign w:val="bottom"/>
            <w:gridSpan w:val="3"/>
            <w:shd w:val="clear" w:color="auto" w:fill="CCECFF"/>
          </w:tcPr>
          <w:p>
            <w:pPr>
              <w:jc w:val="right"/>
              <w:ind w:right="86"/>
              <w:spacing w:after="0"/>
              <w:rPr>
                <w:sz w:val="20"/>
                <w:szCs w:val="20"/>
                <w:color w:val="auto"/>
              </w:rPr>
            </w:pPr>
            <w:r>
              <w:rPr>
                <w:rFonts w:ascii="Arial" w:cs="Arial" w:eastAsia="Arial" w:hAnsi="Arial"/>
                <w:sz w:val="11"/>
                <w:szCs w:val="11"/>
                <w:color w:val="auto"/>
              </w:rPr>
              <w:t>8.00 %</w:t>
            </w:r>
          </w:p>
        </w:tc>
        <w:tc>
          <w:tcPr>
            <w:tcW w:w="9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L+575</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639</w:t>
            </w:r>
          </w:p>
        </w:tc>
        <w:tc>
          <w:tcPr>
            <w:tcW w:w="24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638</w:t>
            </w:r>
          </w:p>
        </w:tc>
        <w:tc>
          <w:tcPr>
            <w:tcW w:w="2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639</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tcPr>
          <w:p>
            <w:pPr>
              <w:ind w:left="20"/>
              <w:spacing w:after="0"/>
              <w:rPr>
                <w:sz w:val="20"/>
                <w:szCs w:val="20"/>
                <w:color w:val="auto"/>
              </w:rPr>
            </w:pPr>
            <w:r>
              <w:rPr>
                <w:rFonts w:ascii="Arial" w:cs="Arial" w:eastAsia="Arial" w:hAnsi="Arial"/>
                <w:sz w:val="11"/>
                <w:szCs w:val="11"/>
                <w:color w:val="auto"/>
              </w:rPr>
              <w:t>PlayPower, Inc.</w:t>
            </w:r>
          </w:p>
        </w:tc>
        <w:tc>
          <w:tcPr>
            <w:tcW w:w="76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05/08/2026</w:t>
            </w:r>
          </w:p>
        </w:tc>
        <w:tc>
          <w:tcPr>
            <w:tcW w:w="140" w:type="dxa"/>
            <w:vAlign w:val="bottom"/>
          </w:tcPr>
          <w:p>
            <w:pPr>
              <w:spacing w:after="0"/>
              <w:rPr>
                <w:sz w:val="11"/>
                <w:szCs w:val="11"/>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89"/>
              </w:rPr>
              <w:t>Leisure Products</w:t>
            </w:r>
          </w:p>
        </w:tc>
        <w:tc>
          <w:tcPr>
            <w:tcW w:w="1080" w:type="dxa"/>
            <w:vAlign w:val="bottom"/>
            <w:gridSpan w:val="3"/>
          </w:tcPr>
          <w:p>
            <w:pPr>
              <w:jc w:val="right"/>
              <w:ind w:right="86"/>
              <w:spacing w:after="0"/>
              <w:rPr>
                <w:sz w:val="20"/>
                <w:szCs w:val="20"/>
                <w:color w:val="auto"/>
              </w:rPr>
            </w:pPr>
            <w:r>
              <w:rPr>
                <w:rFonts w:ascii="Arial" w:cs="Arial" w:eastAsia="Arial" w:hAnsi="Arial"/>
                <w:sz w:val="11"/>
                <w:szCs w:val="11"/>
                <w:color w:val="auto"/>
              </w:rPr>
              <w:t>7.75 %</w:t>
            </w:r>
          </w:p>
        </w:tc>
        <w:tc>
          <w:tcPr>
            <w:tcW w:w="940" w:type="dxa"/>
            <w:vAlign w:val="bottom"/>
          </w:tcPr>
          <w:p>
            <w:pPr>
              <w:jc w:val="right"/>
              <w:spacing w:after="0"/>
              <w:rPr>
                <w:sz w:val="20"/>
                <w:szCs w:val="20"/>
                <w:color w:val="auto"/>
              </w:rPr>
            </w:pPr>
            <w:r>
              <w:rPr>
                <w:rFonts w:ascii="Arial" w:cs="Arial" w:eastAsia="Arial" w:hAnsi="Arial"/>
                <w:sz w:val="11"/>
                <w:szCs w:val="11"/>
                <w:color w:val="auto"/>
              </w:rPr>
              <w:t>1M L+550</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3,449</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3,427</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2,992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3180" w:type="dxa"/>
            <w:vAlign w:val="bottom"/>
            <w:shd w:val="clear" w:color="auto" w:fill="CCECFF"/>
          </w:tcPr>
          <w:p>
            <w:pPr>
              <w:ind w:left="20"/>
              <w:spacing w:after="0" w:line="125" w:lineRule="exact"/>
              <w:rPr>
                <w:sz w:val="20"/>
                <w:szCs w:val="20"/>
                <w:color w:val="auto"/>
              </w:rPr>
            </w:pPr>
            <w:r>
              <w:rPr>
                <w:rFonts w:ascii="Arial" w:cs="Arial" w:eastAsia="Arial" w:hAnsi="Arial"/>
                <w:sz w:val="11"/>
                <w:szCs w:val="11"/>
                <w:color w:val="auto"/>
              </w:rPr>
              <w:t>PRA Events, Inc.</w:t>
            </w:r>
          </w:p>
        </w:tc>
        <w:tc>
          <w:tcPr>
            <w:tcW w:w="760" w:type="dxa"/>
            <w:vAlign w:val="bottom"/>
            <w:gridSpan w:val="2"/>
            <w:shd w:val="clear" w:color="auto" w:fill="CCECFF"/>
          </w:tcPr>
          <w:p>
            <w:pPr>
              <w:jc w:val="center"/>
              <w:ind w:left="86"/>
              <w:spacing w:after="0" w:line="125" w:lineRule="exact"/>
              <w:rPr>
                <w:sz w:val="20"/>
                <w:szCs w:val="20"/>
                <w:color w:val="auto"/>
              </w:rPr>
            </w:pPr>
            <w:r>
              <w:rPr>
                <w:rFonts w:ascii="Arial" w:cs="Arial" w:eastAsia="Arial" w:hAnsi="Arial"/>
                <w:sz w:val="11"/>
                <w:szCs w:val="11"/>
                <w:color w:val="auto"/>
                <w:w w:val="90"/>
              </w:rPr>
              <w:t>08/07/2025</w:t>
            </w:r>
          </w:p>
        </w:tc>
        <w:tc>
          <w:tcPr>
            <w:tcW w:w="140" w:type="dxa"/>
            <w:vAlign w:val="bottom"/>
            <w:shd w:val="clear" w:color="auto" w:fill="CCECFF"/>
          </w:tcPr>
          <w:p>
            <w:pPr>
              <w:spacing w:after="0"/>
              <w:rPr>
                <w:sz w:val="10"/>
                <w:szCs w:val="10"/>
                <w:color w:val="auto"/>
              </w:rPr>
            </w:pPr>
          </w:p>
        </w:tc>
        <w:tc>
          <w:tcPr>
            <w:tcW w:w="2240" w:type="dxa"/>
            <w:vAlign w:val="bottom"/>
            <w:shd w:val="clear" w:color="auto" w:fill="CCECFF"/>
          </w:tcPr>
          <w:p>
            <w:pPr>
              <w:jc w:val="center"/>
              <w:spacing w:after="0" w:line="125" w:lineRule="exact"/>
              <w:rPr>
                <w:sz w:val="20"/>
                <w:szCs w:val="20"/>
                <w:color w:val="auto"/>
              </w:rPr>
            </w:pPr>
            <w:r>
              <w:rPr>
                <w:rFonts w:ascii="Arial" w:cs="Arial" w:eastAsia="Arial" w:hAnsi="Arial"/>
                <w:sz w:val="11"/>
                <w:szCs w:val="11"/>
                <w:color w:val="auto"/>
                <w:w w:val="86"/>
              </w:rPr>
              <w:t>Business Services</w:t>
            </w:r>
          </w:p>
        </w:tc>
        <w:tc>
          <w:tcPr>
            <w:tcW w:w="1080" w:type="dxa"/>
            <w:vAlign w:val="bottom"/>
            <w:gridSpan w:val="3"/>
            <w:shd w:val="clear" w:color="auto" w:fill="CCECFF"/>
          </w:tcPr>
          <w:p>
            <w:pPr>
              <w:jc w:val="right"/>
              <w:ind w:right="86"/>
              <w:spacing w:after="0" w:line="125" w:lineRule="exact"/>
              <w:rPr>
                <w:sz w:val="20"/>
                <w:szCs w:val="20"/>
                <w:color w:val="auto"/>
              </w:rPr>
            </w:pPr>
            <w:r>
              <w:rPr>
                <w:rFonts w:ascii="Arial" w:cs="Arial" w:eastAsia="Arial" w:hAnsi="Arial"/>
                <w:sz w:val="11"/>
                <w:szCs w:val="11"/>
                <w:color w:val="auto"/>
              </w:rPr>
              <w:t>12.75 %</w:t>
            </w:r>
          </w:p>
        </w:tc>
        <w:tc>
          <w:tcPr>
            <w:tcW w:w="940" w:type="dxa"/>
            <w:vAlign w:val="bottom"/>
            <w:shd w:val="clear" w:color="auto" w:fill="CCECFF"/>
          </w:tcPr>
          <w:p>
            <w:pPr>
              <w:jc w:val="right"/>
              <w:spacing w:after="0" w:line="125" w:lineRule="exact"/>
              <w:rPr>
                <w:sz w:val="20"/>
                <w:szCs w:val="20"/>
                <w:color w:val="auto"/>
              </w:rPr>
            </w:pPr>
            <w:r>
              <w:rPr>
                <w:rFonts w:ascii="Arial" w:cs="Arial" w:eastAsia="Arial" w:hAnsi="Arial"/>
                <w:sz w:val="11"/>
                <w:szCs w:val="11"/>
                <w:color w:val="auto"/>
              </w:rPr>
              <w:t>1M L+1,050</w:t>
            </w:r>
          </w:p>
        </w:tc>
        <w:tc>
          <w:tcPr>
            <w:tcW w:w="940" w:type="dxa"/>
            <w:vAlign w:val="bottom"/>
            <w:gridSpan w:val="2"/>
            <w:shd w:val="clear" w:color="auto" w:fill="CCECFF"/>
          </w:tcPr>
          <w:p>
            <w:pPr>
              <w:jc w:val="right"/>
              <w:spacing w:after="0" w:line="125" w:lineRule="exact"/>
              <w:rPr>
                <w:sz w:val="20"/>
                <w:szCs w:val="20"/>
                <w:color w:val="auto"/>
              </w:rPr>
            </w:pPr>
            <w:r>
              <w:rPr>
                <w:rFonts w:ascii="Arial" w:cs="Arial" w:eastAsia="Arial" w:hAnsi="Arial"/>
                <w:sz w:val="11"/>
                <w:szCs w:val="11"/>
                <w:color w:val="auto"/>
              </w:rPr>
              <w:t>3,331</w:t>
            </w:r>
          </w:p>
        </w:tc>
        <w:tc>
          <w:tcPr>
            <w:tcW w:w="24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60" w:type="dxa"/>
            <w:vAlign w:val="bottom"/>
            <w:shd w:val="clear" w:color="auto" w:fill="CCECFF"/>
          </w:tcPr>
          <w:p>
            <w:pPr>
              <w:jc w:val="right"/>
              <w:spacing w:after="0" w:line="125" w:lineRule="exact"/>
              <w:rPr>
                <w:sz w:val="20"/>
                <w:szCs w:val="20"/>
                <w:color w:val="auto"/>
              </w:rPr>
            </w:pPr>
            <w:r>
              <w:rPr>
                <w:rFonts w:ascii="Arial" w:cs="Arial" w:eastAsia="Arial" w:hAnsi="Arial"/>
                <w:sz w:val="11"/>
                <w:szCs w:val="11"/>
                <w:color w:val="auto"/>
              </w:rPr>
              <w:t>2,907</w:t>
            </w:r>
          </w:p>
        </w:tc>
        <w:tc>
          <w:tcPr>
            <w:tcW w:w="22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480" w:type="dxa"/>
            <w:vAlign w:val="bottom"/>
            <w:shd w:val="clear" w:color="auto" w:fill="CCECFF"/>
          </w:tcPr>
          <w:p>
            <w:pPr>
              <w:jc w:val="right"/>
              <w:spacing w:after="0" w:line="125" w:lineRule="exact"/>
              <w:rPr>
                <w:sz w:val="20"/>
                <w:szCs w:val="20"/>
                <w:color w:val="auto"/>
              </w:rPr>
            </w:pPr>
            <w:r>
              <w:rPr>
                <w:rFonts w:ascii="Arial" w:cs="Arial" w:eastAsia="Arial" w:hAnsi="Arial"/>
                <w:sz w:val="11"/>
                <w:szCs w:val="11"/>
                <w:color w:val="auto"/>
              </w:rPr>
              <w:t>3,297</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318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22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960" w:type="dxa"/>
            <w:vAlign w:val="bottom"/>
            <w:gridSpan w:val="2"/>
            <w:shd w:val="clear" w:color="auto" w:fill="CCECFF"/>
          </w:tcPr>
          <w:p>
            <w:pPr>
              <w:jc w:val="right"/>
              <w:ind w:right="206"/>
              <w:spacing w:after="0"/>
              <w:rPr>
                <w:sz w:val="20"/>
                <w:szCs w:val="20"/>
                <w:color w:val="auto"/>
              </w:rPr>
            </w:pPr>
            <w:r>
              <w:rPr>
                <w:rFonts w:ascii="Arial" w:cs="Arial" w:eastAsia="Arial" w:hAnsi="Arial"/>
                <w:sz w:val="11"/>
                <w:szCs w:val="11"/>
                <w:color w:val="auto"/>
              </w:rPr>
              <w:t>(PIK 11.50%)</w:t>
            </w:r>
          </w:p>
        </w:tc>
        <w:tc>
          <w:tcPr>
            <w:tcW w:w="9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6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4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3180" w:type="dxa"/>
            <w:vAlign w:val="bottom"/>
          </w:tcPr>
          <w:p>
            <w:pPr>
              <w:ind w:left="20"/>
              <w:spacing w:after="0" w:line="99" w:lineRule="exact"/>
              <w:rPr>
                <w:sz w:val="20"/>
                <w:szCs w:val="20"/>
                <w:color w:val="auto"/>
              </w:rPr>
            </w:pPr>
            <w:r>
              <w:rPr>
                <w:rFonts w:ascii="Arial" w:cs="Arial" w:eastAsia="Arial" w:hAnsi="Arial"/>
                <w:sz w:val="11"/>
                <w:szCs w:val="11"/>
                <w:color w:val="auto"/>
              </w:rPr>
              <w:t>Quantic Electronics, LLC</w:t>
            </w:r>
          </w:p>
        </w:tc>
        <w:tc>
          <w:tcPr>
            <w:tcW w:w="760" w:type="dxa"/>
            <w:vAlign w:val="bottom"/>
            <w:gridSpan w:val="2"/>
          </w:tcPr>
          <w:p>
            <w:pPr>
              <w:jc w:val="center"/>
              <w:ind w:left="86"/>
              <w:spacing w:after="0" w:line="99" w:lineRule="exact"/>
              <w:rPr>
                <w:sz w:val="20"/>
                <w:szCs w:val="20"/>
                <w:color w:val="auto"/>
              </w:rPr>
            </w:pPr>
            <w:r>
              <w:rPr>
                <w:rFonts w:ascii="Arial" w:cs="Arial" w:eastAsia="Arial" w:hAnsi="Arial"/>
                <w:sz w:val="11"/>
                <w:szCs w:val="11"/>
                <w:color w:val="auto"/>
                <w:w w:val="90"/>
              </w:rPr>
              <w:t>11/19/2026</w:t>
            </w:r>
          </w:p>
        </w:tc>
        <w:tc>
          <w:tcPr>
            <w:tcW w:w="140" w:type="dxa"/>
            <w:vAlign w:val="bottom"/>
          </w:tcPr>
          <w:p>
            <w:pPr>
              <w:spacing w:after="0"/>
              <w:rPr>
                <w:sz w:val="8"/>
                <w:szCs w:val="8"/>
                <w:color w:val="auto"/>
              </w:rPr>
            </w:pPr>
          </w:p>
        </w:tc>
        <w:tc>
          <w:tcPr>
            <w:tcW w:w="2240" w:type="dxa"/>
            <w:vAlign w:val="bottom"/>
          </w:tcPr>
          <w:p>
            <w:pPr>
              <w:jc w:val="center"/>
              <w:spacing w:after="0" w:line="99" w:lineRule="exact"/>
              <w:rPr>
                <w:sz w:val="20"/>
                <w:szCs w:val="20"/>
                <w:color w:val="auto"/>
              </w:rPr>
            </w:pPr>
            <w:r>
              <w:rPr>
                <w:rFonts w:ascii="Arial" w:cs="Arial" w:eastAsia="Arial" w:hAnsi="Arial"/>
                <w:sz w:val="11"/>
                <w:szCs w:val="11"/>
                <w:color w:val="auto"/>
                <w:w w:val="89"/>
              </w:rPr>
              <w:t>Electronic Equipment, Instruments, and</w:t>
            </w:r>
          </w:p>
        </w:tc>
        <w:tc>
          <w:tcPr>
            <w:tcW w:w="1080" w:type="dxa"/>
            <w:vAlign w:val="bottom"/>
            <w:gridSpan w:val="3"/>
          </w:tcPr>
          <w:p>
            <w:pPr>
              <w:jc w:val="right"/>
              <w:ind w:right="86"/>
              <w:spacing w:after="0" w:line="99" w:lineRule="exact"/>
              <w:rPr>
                <w:sz w:val="20"/>
                <w:szCs w:val="20"/>
                <w:color w:val="auto"/>
              </w:rPr>
            </w:pPr>
            <w:r>
              <w:rPr>
                <w:rFonts w:ascii="Arial" w:cs="Arial" w:eastAsia="Arial" w:hAnsi="Arial"/>
                <w:sz w:val="11"/>
                <w:szCs w:val="11"/>
                <w:color w:val="auto"/>
              </w:rPr>
              <w:t>8.38 %</w:t>
            </w:r>
          </w:p>
        </w:tc>
        <w:tc>
          <w:tcPr>
            <w:tcW w:w="940" w:type="dxa"/>
            <w:vAlign w:val="bottom"/>
          </w:tcPr>
          <w:p>
            <w:pPr>
              <w:jc w:val="right"/>
              <w:spacing w:after="0" w:line="99" w:lineRule="exact"/>
              <w:rPr>
                <w:sz w:val="20"/>
                <w:szCs w:val="20"/>
                <w:color w:val="auto"/>
              </w:rPr>
            </w:pPr>
            <w:r>
              <w:rPr>
                <w:rFonts w:ascii="Arial" w:cs="Arial" w:eastAsia="Arial" w:hAnsi="Arial"/>
                <w:sz w:val="11"/>
                <w:szCs w:val="11"/>
                <w:color w:val="auto"/>
              </w:rPr>
              <w:t>1M L+600</w:t>
            </w:r>
          </w:p>
        </w:tc>
        <w:tc>
          <w:tcPr>
            <w:tcW w:w="940" w:type="dxa"/>
            <w:vAlign w:val="bottom"/>
            <w:gridSpan w:val="2"/>
          </w:tcPr>
          <w:p>
            <w:pPr>
              <w:jc w:val="right"/>
              <w:spacing w:after="0" w:line="99" w:lineRule="exact"/>
              <w:rPr>
                <w:sz w:val="20"/>
                <w:szCs w:val="20"/>
                <w:color w:val="auto"/>
              </w:rPr>
            </w:pPr>
            <w:r>
              <w:rPr>
                <w:rFonts w:ascii="Arial" w:cs="Arial" w:eastAsia="Arial" w:hAnsi="Arial"/>
                <w:sz w:val="11"/>
                <w:szCs w:val="11"/>
                <w:color w:val="auto"/>
              </w:rPr>
              <w:t>5,369</w:t>
            </w: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jc w:val="right"/>
              <w:spacing w:after="0" w:line="99" w:lineRule="exact"/>
              <w:rPr>
                <w:sz w:val="20"/>
                <w:szCs w:val="20"/>
                <w:color w:val="auto"/>
              </w:rPr>
            </w:pPr>
            <w:r>
              <w:rPr>
                <w:rFonts w:ascii="Arial" w:cs="Arial" w:eastAsia="Arial" w:hAnsi="Arial"/>
                <w:sz w:val="11"/>
                <w:szCs w:val="11"/>
                <w:color w:val="auto"/>
              </w:rPr>
              <w:t>5,284</w:t>
            </w: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jc w:val="right"/>
              <w:spacing w:after="0" w:line="99" w:lineRule="exact"/>
              <w:rPr>
                <w:sz w:val="20"/>
                <w:szCs w:val="20"/>
                <w:color w:val="auto"/>
              </w:rPr>
            </w:pPr>
            <w:r>
              <w:rPr>
                <w:rFonts w:ascii="Arial" w:cs="Arial" w:eastAsia="Arial" w:hAnsi="Arial"/>
                <w:sz w:val="11"/>
                <w:szCs w:val="11"/>
                <w:color w:val="auto"/>
              </w:rPr>
              <w:t>5,262</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3180" w:type="dxa"/>
            <w:vAlign w:val="bottom"/>
            <w:vMerge w:val="restart"/>
          </w:tcPr>
          <w:p>
            <w:pPr>
              <w:ind w:left="20"/>
              <w:spacing w:after="0"/>
              <w:rPr>
                <w:sz w:val="20"/>
                <w:szCs w:val="20"/>
                <w:color w:val="auto"/>
              </w:rPr>
            </w:pPr>
            <w:r>
              <w:rPr>
                <w:rFonts w:ascii="Arial" w:cs="Arial" w:eastAsia="Arial" w:hAnsi="Arial"/>
                <w:sz w:val="11"/>
                <w:szCs w:val="11"/>
                <w:color w:val="auto"/>
              </w:rPr>
              <w:t xml:space="preserve">Quantic Electronics, LLC </w:t>
            </w:r>
            <w:r>
              <w:rPr>
                <w:rFonts w:ascii="Arial" w:cs="Arial" w:eastAsia="Arial" w:hAnsi="Arial"/>
                <w:sz w:val="14"/>
                <w:szCs w:val="14"/>
                <w:color w:val="auto"/>
                <w:vertAlign w:val="superscript"/>
              </w:rPr>
              <w:t>(7), (9)</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86"/>
              </w:rPr>
              <w:t>Components</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180" w:type="dxa"/>
            <w:vAlign w:val="bottom"/>
            <w:vMerge w:val="continue"/>
          </w:tcPr>
          <w:p>
            <w:pPr>
              <w:spacing w:after="0"/>
              <w:rPr>
                <w:sz w:val="9"/>
                <w:szCs w:val="9"/>
                <w:color w:val="auto"/>
              </w:rPr>
            </w:pPr>
          </w:p>
        </w:tc>
        <w:tc>
          <w:tcPr>
            <w:tcW w:w="760" w:type="dxa"/>
            <w:vAlign w:val="bottom"/>
            <w:gridSpan w:val="2"/>
          </w:tcPr>
          <w:p>
            <w:pPr>
              <w:jc w:val="center"/>
              <w:ind w:left="86"/>
              <w:spacing w:after="0" w:line="108" w:lineRule="exact"/>
              <w:rPr>
                <w:sz w:val="20"/>
                <w:szCs w:val="20"/>
                <w:color w:val="auto"/>
              </w:rPr>
            </w:pPr>
            <w:r>
              <w:rPr>
                <w:rFonts w:ascii="Arial" w:cs="Arial" w:eastAsia="Arial" w:hAnsi="Arial"/>
                <w:sz w:val="11"/>
                <w:szCs w:val="11"/>
                <w:color w:val="auto"/>
                <w:w w:val="90"/>
              </w:rPr>
              <w:t>11/19/2026</w:t>
            </w:r>
          </w:p>
        </w:tc>
        <w:tc>
          <w:tcPr>
            <w:tcW w:w="140" w:type="dxa"/>
            <w:vAlign w:val="bottom"/>
          </w:tcPr>
          <w:p>
            <w:pPr>
              <w:spacing w:after="0"/>
              <w:rPr>
                <w:sz w:val="9"/>
                <w:szCs w:val="9"/>
                <w:color w:val="auto"/>
              </w:rPr>
            </w:pPr>
          </w:p>
        </w:tc>
        <w:tc>
          <w:tcPr>
            <w:tcW w:w="2240" w:type="dxa"/>
            <w:vAlign w:val="bottom"/>
          </w:tcPr>
          <w:p>
            <w:pPr>
              <w:jc w:val="center"/>
              <w:spacing w:after="0" w:line="108" w:lineRule="exact"/>
              <w:rPr>
                <w:sz w:val="20"/>
                <w:szCs w:val="20"/>
                <w:color w:val="auto"/>
              </w:rPr>
            </w:pPr>
            <w:r>
              <w:rPr>
                <w:rFonts w:ascii="Arial" w:cs="Arial" w:eastAsia="Arial" w:hAnsi="Arial"/>
                <w:sz w:val="11"/>
                <w:szCs w:val="11"/>
                <w:color w:val="auto"/>
                <w:w w:val="89"/>
              </w:rPr>
              <w:t>Electronic Equipment, Instruments, and</w:t>
            </w:r>
          </w:p>
        </w:tc>
        <w:tc>
          <w:tcPr>
            <w:tcW w:w="120" w:type="dxa"/>
            <w:vAlign w:val="bottom"/>
          </w:tcPr>
          <w:p>
            <w:pPr>
              <w:spacing w:after="0"/>
              <w:rPr>
                <w:sz w:val="9"/>
                <w:szCs w:val="9"/>
                <w:color w:val="auto"/>
              </w:rPr>
            </w:pPr>
          </w:p>
        </w:tc>
        <w:tc>
          <w:tcPr>
            <w:tcW w:w="960" w:type="dxa"/>
            <w:vAlign w:val="bottom"/>
            <w:gridSpan w:val="2"/>
          </w:tcPr>
          <w:p>
            <w:pPr>
              <w:jc w:val="right"/>
              <w:ind w:right="206"/>
              <w:spacing w:after="0" w:line="108" w:lineRule="exact"/>
              <w:rPr>
                <w:sz w:val="20"/>
                <w:szCs w:val="20"/>
                <w:color w:val="auto"/>
              </w:rPr>
            </w:pPr>
            <w:r>
              <w:rPr>
                <w:rFonts w:ascii="Arial" w:cs="Arial" w:eastAsia="Arial" w:hAnsi="Arial"/>
                <w:sz w:val="11"/>
                <w:szCs w:val="11"/>
                <w:color w:val="auto"/>
              </w:rPr>
              <w:t>—</w:t>
            </w:r>
          </w:p>
        </w:tc>
        <w:tc>
          <w:tcPr>
            <w:tcW w:w="940" w:type="dxa"/>
            <w:vAlign w:val="bottom"/>
          </w:tcPr>
          <w:p>
            <w:pPr>
              <w:jc w:val="right"/>
              <w:spacing w:after="0" w:line="108" w:lineRule="exact"/>
              <w:rPr>
                <w:sz w:val="20"/>
                <w:szCs w:val="20"/>
                <w:color w:val="auto"/>
              </w:rPr>
            </w:pPr>
            <w:r>
              <w:rPr>
                <w:rFonts w:ascii="Arial" w:cs="Arial" w:eastAsia="Arial" w:hAnsi="Arial"/>
                <w:sz w:val="11"/>
                <w:szCs w:val="11"/>
                <w:color w:val="auto"/>
              </w:rPr>
              <w:t>—</w:t>
            </w:r>
          </w:p>
        </w:tc>
        <w:tc>
          <w:tcPr>
            <w:tcW w:w="940" w:type="dxa"/>
            <w:vAlign w:val="bottom"/>
            <w:gridSpan w:val="2"/>
          </w:tcPr>
          <w:p>
            <w:pPr>
              <w:jc w:val="right"/>
              <w:spacing w:after="0" w:line="108" w:lineRule="exact"/>
              <w:rPr>
                <w:sz w:val="20"/>
                <w:szCs w:val="20"/>
                <w:color w:val="auto"/>
              </w:rPr>
            </w:pPr>
            <w:r>
              <w:rPr>
                <w:rFonts w:ascii="Arial" w:cs="Arial" w:eastAsia="Arial" w:hAnsi="Arial"/>
                <w:sz w:val="11"/>
                <w:szCs w:val="11"/>
                <w:color w:val="auto"/>
              </w:rPr>
              <w:t>2,159</w:t>
            </w: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jc w:val="right"/>
              <w:spacing w:after="0" w:line="108" w:lineRule="exact"/>
              <w:rPr>
                <w:sz w:val="20"/>
                <w:szCs w:val="20"/>
                <w:color w:val="auto"/>
              </w:rPr>
            </w:pPr>
            <w:r>
              <w:rPr>
                <w:rFonts w:ascii="Arial" w:cs="Arial" w:eastAsia="Arial" w:hAnsi="Arial"/>
                <w:sz w:val="11"/>
                <w:szCs w:val="11"/>
                <w:color w:val="auto"/>
              </w:rPr>
              <w:t>—</w:t>
            </w: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gridSpan w:val="2"/>
          </w:tcPr>
          <w:p>
            <w:pPr>
              <w:jc w:val="right"/>
              <w:ind w:right="60"/>
              <w:spacing w:after="0" w:line="108" w:lineRule="exact"/>
              <w:rPr>
                <w:sz w:val="20"/>
                <w:szCs w:val="20"/>
                <w:color w:val="auto"/>
              </w:rPr>
            </w:pPr>
            <w:r>
              <w:rPr>
                <w:rFonts w:ascii="Arial" w:cs="Arial" w:eastAsia="Arial" w:hAnsi="Arial"/>
                <w:sz w:val="11"/>
                <w:szCs w:val="11"/>
                <w:color w:val="auto"/>
              </w:rPr>
              <w:t>(22 )</w:t>
            </w:r>
          </w:p>
        </w:tc>
        <w:tc>
          <w:tcPr>
            <w:tcW w:w="0" w:type="dxa"/>
            <w:vAlign w:val="bottom"/>
          </w:tcPr>
          <w:p>
            <w:pPr>
              <w:spacing w:after="0"/>
              <w:rPr>
                <w:sz w:val="1"/>
                <w:szCs w:val="1"/>
                <w:color w:val="auto"/>
              </w:rPr>
            </w:pPr>
          </w:p>
        </w:tc>
      </w:tr>
      <w:tr>
        <w:trPr>
          <w:trHeight w:val="135"/>
        </w:trPr>
        <w:tc>
          <w:tcPr>
            <w:tcW w:w="3180" w:type="dxa"/>
            <w:vAlign w:val="bottom"/>
            <w:vMerge w:val="restart"/>
          </w:tcPr>
          <w:p>
            <w:pPr>
              <w:ind w:left="20"/>
              <w:spacing w:after="0"/>
              <w:rPr>
                <w:sz w:val="20"/>
                <w:szCs w:val="20"/>
                <w:color w:val="auto"/>
              </w:rPr>
            </w:pPr>
            <w:r>
              <w:rPr>
                <w:rFonts w:ascii="Arial" w:cs="Arial" w:eastAsia="Arial" w:hAnsi="Arial"/>
                <w:sz w:val="11"/>
                <w:szCs w:val="11"/>
                <w:color w:val="auto"/>
              </w:rPr>
              <w:t xml:space="preserve">Quantic Electronics, LLC (Revolver) </w:t>
            </w:r>
            <w:r>
              <w:rPr>
                <w:rFonts w:ascii="Arial" w:cs="Arial" w:eastAsia="Arial" w:hAnsi="Arial"/>
                <w:sz w:val="14"/>
                <w:szCs w:val="14"/>
                <w:color w:val="auto"/>
                <w:vertAlign w:val="superscript"/>
              </w:rPr>
              <w:t>(7)</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86"/>
              </w:rPr>
              <w:t>Components</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180" w:type="dxa"/>
            <w:vAlign w:val="bottom"/>
            <w:vMerge w:val="continue"/>
          </w:tcPr>
          <w:p>
            <w:pPr>
              <w:spacing w:after="0"/>
              <w:rPr>
                <w:sz w:val="9"/>
                <w:szCs w:val="9"/>
                <w:color w:val="auto"/>
              </w:rPr>
            </w:pPr>
          </w:p>
        </w:tc>
        <w:tc>
          <w:tcPr>
            <w:tcW w:w="760" w:type="dxa"/>
            <w:vAlign w:val="bottom"/>
            <w:gridSpan w:val="2"/>
          </w:tcPr>
          <w:p>
            <w:pPr>
              <w:jc w:val="center"/>
              <w:ind w:left="86"/>
              <w:spacing w:after="0" w:line="108" w:lineRule="exact"/>
              <w:rPr>
                <w:sz w:val="20"/>
                <w:szCs w:val="20"/>
                <w:color w:val="auto"/>
              </w:rPr>
            </w:pPr>
            <w:r>
              <w:rPr>
                <w:rFonts w:ascii="Arial" w:cs="Arial" w:eastAsia="Arial" w:hAnsi="Arial"/>
                <w:sz w:val="11"/>
                <w:szCs w:val="11"/>
                <w:color w:val="auto"/>
                <w:w w:val="90"/>
              </w:rPr>
              <w:t>11/19/2026</w:t>
            </w:r>
          </w:p>
        </w:tc>
        <w:tc>
          <w:tcPr>
            <w:tcW w:w="140" w:type="dxa"/>
            <w:vAlign w:val="bottom"/>
          </w:tcPr>
          <w:p>
            <w:pPr>
              <w:spacing w:after="0"/>
              <w:rPr>
                <w:sz w:val="9"/>
                <w:szCs w:val="9"/>
                <w:color w:val="auto"/>
              </w:rPr>
            </w:pPr>
          </w:p>
        </w:tc>
        <w:tc>
          <w:tcPr>
            <w:tcW w:w="2240" w:type="dxa"/>
            <w:vAlign w:val="bottom"/>
          </w:tcPr>
          <w:p>
            <w:pPr>
              <w:jc w:val="center"/>
              <w:spacing w:after="0" w:line="108" w:lineRule="exact"/>
              <w:rPr>
                <w:sz w:val="20"/>
                <w:szCs w:val="20"/>
                <w:color w:val="auto"/>
              </w:rPr>
            </w:pPr>
            <w:r>
              <w:rPr>
                <w:rFonts w:ascii="Arial" w:cs="Arial" w:eastAsia="Arial" w:hAnsi="Arial"/>
                <w:sz w:val="11"/>
                <w:szCs w:val="11"/>
                <w:color w:val="auto"/>
                <w:w w:val="89"/>
              </w:rPr>
              <w:t>Electronic Equipment, Instruments, and</w:t>
            </w:r>
          </w:p>
        </w:tc>
        <w:tc>
          <w:tcPr>
            <w:tcW w:w="1080" w:type="dxa"/>
            <w:vAlign w:val="bottom"/>
            <w:gridSpan w:val="3"/>
          </w:tcPr>
          <w:p>
            <w:pPr>
              <w:jc w:val="right"/>
              <w:ind w:right="86"/>
              <w:spacing w:after="0" w:line="108" w:lineRule="exact"/>
              <w:rPr>
                <w:sz w:val="20"/>
                <w:szCs w:val="20"/>
                <w:color w:val="auto"/>
              </w:rPr>
            </w:pPr>
            <w:r>
              <w:rPr>
                <w:rFonts w:ascii="Arial" w:cs="Arial" w:eastAsia="Arial" w:hAnsi="Arial"/>
                <w:sz w:val="11"/>
                <w:szCs w:val="11"/>
                <w:color w:val="auto"/>
              </w:rPr>
              <w:t>7.57 %</w:t>
            </w:r>
          </w:p>
        </w:tc>
        <w:tc>
          <w:tcPr>
            <w:tcW w:w="940" w:type="dxa"/>
            <w:vAlign w:val="bottom"/>
          </w:tcPr>
          <w:p>
            <w:pPr>
              <w:jc w:val="right"/>
              <w:spacing w:after="0" w:line="108" w:lineRule="exact"/>
              <w:rPr>
                <w:sz w:val="20"/>
                <w:szCs w:val="20"/>
                <w:color w:val="auto"/>
              </w:rPr>
            </w:pPr>
            <w:r>
              <w:rPr>
                <w:rFonts w:ascii="Arial" w:cs="Arial" w:eastAsia="Arial" w:hAnsi="Arial"/>
                <w:sz w:val="11"/>
                <w:szCs w:val="11"/>
                <w:color w:val="auto"/>
              </w:rPr>
              <w:t>1M L+600</w:t>
            </w:r>
          </w:p>
        </w:tc>
        <w:tc>
          <w:tcPr>
            <w:tcW w:w="940" w:type="dxa"/>
            <w:vAlign w:val="bottom"/>
            <w:gridSpan w:val="2"/>
          </w:tcPr>
          <w:p>
            <w:pPr>
              <w:jc w:val="right"/>
              <w:spacing w:after="0" w:line="108" w:lineRule="exact"/>
              <w:rPr>
                <w:sz w:val="20"/>
                <w:szCs w:val="20"/>
                <w:color w:val="auto"/>
              </w:rPr>
            </w:pPr>
            <w:r>
              <w:rPr>
                <w:rFonts w:ascii="Arial" w:cs="Arial" w:eastAsia="Arial" w:hAnsi="Arial"/>
                <w:sz w:val="11"/>
                <w:szCs w:val="11"/>
                <w:color w:val="auto"/>
              </w:rPr>
              <w:t>145</w:t>
            </w: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jc w:val="right"/>
              <w:spacing w:after="0" w:line="108" w:lineRule="exact"/>
              <w:rPr>
                <w:sz w:val="20"/>
                <w:szCs w:val="20"/>
                <w:color w:val="auto"/>
              </w:rPr>
            </w:pPr>
            <w:r>
              <w:rPr>
                <w:rFonts w:ascii="Arial" w:cs="Arial" w:eastAsia="Arial" w:hAnsi="Arial"/>
                <w:sz w:val="11"/>
                <w:szCs w:val="11"/>
                <w:color w:val="auto"/>
              </w:rPr>
              <w:t>145</w:t>
            </w: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jc w:val="right"/>
              <w:spacing w:after="0" w:line="108" w:lineRule="exact"/>
              <w:rPr>
                <w:sz w:val="20"/>
                <w:szCs w:val="20"/>
                <w:color w:val="auto"/>
              </w:rPr>
            </w:pPr>
            <w:r>
              <w:rPr>
                <w:rFonts w:ascii="Arial" w:cs="Arial" w:eastAsia="Arial" w:hAnsi="Arial"/>
                <w:sz w:val="11"/>
                <w:szCs w:val="11"/>
                <w:color w:val="auto"/>
              </w:rPr>
              <w:t>142</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180" w:type="dxa"/>
            <w:vAlign w:val="bottom"/>
            <w:vMerge w:val="restart"/>
          </w:tcPr>
          <w:p>
            <w:pPr>
              <w:ind w:left="20"/>
              <w:spacing w:after="0"/>
              <w:rPr>
                <w:sz w:val="20"/>
                <w:szCs w:val="20"/>
                <w:color w:val="auto"/>
              </w:rPr>
            </w:pPr>
            <w:r>
              <w:rPr>
                <w:rFonts w:ascii="Arial" w:cs="Arial" w:eastAsia="Arial" w:hAnsi="Arial"/>
                <w:sz w:val="11"/>
                <w:szCs w:val="11"/>
                <w:color w:val="auto"/>
              </w:rPr>
              <w:t xml:space="preserve">Quantic Electronics, LLC (Revolver) </w:t>
            </w:r>
            <w:r>
              <w:rPr>
                <w:rFonts w:ascii="Arial" w:cs="Arial" w:eastAsia="Arial" w:hAnsi="Arial"/>
                <w:sz w:val="14"/>
                <w:szCs w:val="14"/>
                <w:color w:val="auto"/>
                <w:vertAlign w:val="superscript"/>
              </w:rPr>
              <w:t>(7), (9)</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86"/>
              </w:rPr>
              <w:t>Components</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180" w:type="dxa"/>
            <w:vAlign w:val="bottom"/>
            <w:vMerge w:val="continue"/>
          </w:tcPr>
          <w:p>
            <w:pPr>
              <w:spacing w:after="0"/>
              <w:rPr>
                <w:sz w:val="9"/>
                <w:szCs w:val="9"/>
                <w:color w:val="auto"/>
              </w:rPr>
            </w:pPr>
          </w:p>
        </w:tc>
        <w:tc>
          <w:tcPr>
            <w:tcW w:w="760" w:type="dxa"/>
            <w:vAlign w:val="bottom"/>
            <w:gridSpan w:val="2"/>
          </w:tcPr>
          <w:p>
            <w:pPr>
              <w:jc w:val="center"/>
              <w:ind w:left="86"/>
              <w:spacing w:after="0" w:line="108" w:lineRule="exact"/>
              <w:rPr>
                <w:sz w:val="20"/>
                <w:szCs w:val="20"/>
                <w:color w:val="auto"/>
              </w:rPr>
            </w:pPr>
            <w:r>
              <w:rPr>
                <w:rFonts w:ascii="Arial" w:cs="Arial" w:eastAsia="Arial" w:hAnsi="Arial"/>
                <w:sz w:val="11"/>
                <w:szCs w:val="11"/>
                <w:color w:val="auto"/>
                <w:w w:val="90"/>
              </w:rPr>
              <w:t>11/19/2026</w:t>
            </w:r>
          </w:p>
        </w:tc>
        <w:tc>
          <w:tcPr>
            <w:tcW w:w="140" w:type="dxa"/>
            <w:vAlign w:val="bottom"/>
          </w:tcPr>
          <w:p>
            <w:pPr>
              <w:spacing w:after="0"/>
              <w:rPr>
                <w:sz w:val="9"/>
                <w:szCs w:val="9"/>
                <w:color w:val="auto"/>
              </w:rPr>
            </w:pPr>
          </w:p>
        </w:tc>
        <w:tc>
          <w:tcPr>
            <w:tcW w:w="2240" w:type="dxa"/>
            <w:vAlign w:val="bottom"/>
          </w:tcPr>
          <w:p>
            <w:pPr>
              <w:jc w:val="center"/>
              <w:spacing w:after="0" w:line="108" w:lineRule="exact"/>
              <w:rPr>
                <w:sz w:val="20"/>
                <w:szCs w:val="20"/>
                <w:color w:val="auto"/>
              </w:rPr>
            </w:pPr>
            <w:r>
              <w:rPr>
                <w:rFonts w:ascii="Arial" w:cs="Arial" w:eastAsia="Arial" w:hAnsi="Arial"/>
                <w:sz w:val="11"/>
                <w:szCs w:val="11"/>
                <w:color w:val="auto"/>
                <w:w w:val="89"/>
              </w:rPr>
              <w:t>Electronic Equipment, Instruments, and</w:t>
            </w:r>
          </w:p>
        </w:tc>
        <w:tc>
          <w:tcPr>
            <w:tcW w:w="120" w:type="dxa"/>
            <w:vAlign w:val="bottom"/>
          </w:tcPr>
          <w:p>
            <w:pPr>
              <w:spacing w:after="0"/>
              <w:rPr>
                <w:sz w:val="9"/>
                <w:szCs w:val="9"/>
                <w:color w:val="auto"/>
              </w:rPr>
            </w:pPr>
          </w:p>
        </w:tc>
        <w:tc>
          <w:tcPr>
            <w:tcW w:w="960" w:type="dxa"/>
            <w:vAlign w:val="bottom"/>
            <w:gridSpan w:val="2"/>
          </w:tcPr>
          <w:p>
            <w:pPr>
              <w:jc w:val="right"/>
              <w:ind w:right="206"/>
              <w:spacing w:after="0" w:line="108" w:lineRule="exact"/>
              <w:rPr>
                <w:sz w:val="20"/>
                <w:szCs w:val="20"/>
                <w:color w:val="auto"/>
              </w:rPr>
            </w:pPr>
            <w:r>
              <w:rPr>
                <w:rFonts w:ascii="Arial" w:cs="Arial" w:eastAsia="Arial" w:hAnsi="Arial"/>
                <w:sz w:val="11"/>
                <w:szCs w:val="11"/>
                <w:color w:val="auto"/>
              </w:rPr>
              <w:t>—</w:t>
            </w:r>
          </w:p>
        </w:tc>
        <w:tc>
          <w:tcPr>
            <w:tcW w:w="940" w:type="dxa"/>
            <w:vAlign w:val="bottom"/>
          </w:tcPr>
          <w:p>
            <w:pPr>
              <w:spacing w:after="0"/>
              <w:rPr>
                <w:sz w:val="9"/>
                <w:szCs w:val="9"/>
                <w:color w:val="auto"/>
              </w:rPr>
            </w:pPr>
          </w:p>
        </w:tc>
        <w:tc>
          <w:tcPr>
            <w:tcW w:w="940" w:type="dxa"/>
            <w:vAlign w:val="bottom"/>
            <w:gridSpan w:val="2"/>
          </w:tcPr>
          <w:p>
            <w:pPr>
              <w:jc w:val="right"/>
              <w:spacing w:after="0" w:line="108" w:lineRule="exact"/>
              <w:rPr>
                <w:sz w:val="20"/>
                <w:szCs w:val="20"/>
                <w:color w:val="auto"/>
              </w:rPr>
            </w:pPr>
            <w:r>
              <w:rPr>
                <w:rFonts w:ascii="Arial" w:cs="Arial" w:eastAsia="Arial" w:hAnsi="Arial"/>
                <w:sz w:val="11"/>
                <w:szCs w:val="11"/>
                <w:color w:val="auto"/>
              </w:rPr>
              <w:t>525</w:t>
            </w: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jc w:val="right"/>
              <w:spacing w:after="0" w:line="108" w:lineRule="exact"/>
              <w:rPr>
                <w:sz w:val="20"/>
                <w:szCs w:val="20"/>
                <w:color w:val="auto"/>
              </w:rPr>
            </w:pPr>
            <w:r>
              <w:rPr>
                <w:rFonts w:ascii="Arial" w:cs="Arial" w:eastAsia="Arial" w:hAnsi="Arial"/>
                <w:sz w:val="11"/>
                <w:szCs w:val="11"/>
                <w:color w:val="auto"/>
              </w:rPr>
              <w:t>—</w:t>
            </w: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gridSpan w:val="2"/>
          </w:tcPr>
          <w:p>
            <w:pPr>
              <w:jc w:val="right"/>
              <w:ind w:right="60"/>
              <w:spacing w:after="0" w:line="108" w:lineRule="exact"/>
              <w:rPr>
                <w:sz w:val="20"/>
                <w:szCs w:val="20"/>
                <w:color w:val="auto"/>
              </w:rPr>
            </w:pPr>
            <w:r>
              <w:rPr>
                <w:rFonts w:ascii="Arial" w:cs="Arial" w:eastAsia="Arial" w:hAnsi="Arial"/>
                <w:sz w:val="11"/>
                <w:szCs w:val="11"/>
                <w:color w:val="auto"/>
              </w:rPr>
              <w:t>(10 )</w:t>
            </w:r>
          </w:p>
        </w:tc>
        <w:tc>
          <w:tcPr>
            <w:tcW w:w="0" w:type="dxa"/>
            <w:vAlign w:val="bottom"/>
          </w:tcPr>
          <w:p>
            <w:pPr>
              <w:spacing w:after="0"/>
              <w:rPr>
                <w:sz w:val="1"/>
                <w:szCs w:val="1"/>
                <w:color w:val="auto"/>
              </w:rPr>
            </w:pPr>
          </w:p>
        </w:tc>
      </w:tr>
      <w:tr>
        <w:trPr>
          <w:trHeight w:val="135"/>
        </w:trPr>
        <w:tc>
          <w:tcPr>
            <w:tcW w:w="3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86"/>
              </w:rPr>
              <w:t>Components</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3180" w:type="dxa"/>
            <w:vAlign w:val="bottom"/>
          </w:tcPr>
          <w:p>
            <w:pPr>
              <w:ind w:left="20"/>
              <w:spacing w:after="0" w:line="115" w:lineRule="exact"/>
              <w:rPr>
                <w:sz w:val="20"/>
                <w:szCs w:val="20"/>
                <w:color w:val="auto"/>
              </w:rPr>
            </w:pPr>
            <w:r>
              <w:rPr>
                <w:rFonts w:ascii="Arial" w:cs="Arial" w:eastAsia="Arial" w:hAnsi="Arial"/>
                <w:sz w:val="11"/>
                <w:szCs w:val="11"/>
                <w:color w:val="auto"/>
              </w:rPr>
              <w:t>Questex, LLC</w:t>
            </w:r>
          </w:p>
        </w:tc>
        <w:tc>
          <w:tcPr>
            <w:tcW w:w="760" w:type="dxa"/>
            <w:vAlign w:val="bottom"/>
            <w:gridSpan w:val="2"/>
          </w:tcPr>
          <w:p>
            <w:pPr>
              <w:jc w:val="center"/>
              <w:ind w:left="86"/>
              <w:spacing w:after="0" w:line="115" w:lineRule="exact"/>
              <w:rPr>
                <w:sz w:val="20"/>
                <w:szCs w:val="20"/>
                <w:color w:val="auto"/>
              </w:rPr>
            </w:pPr>
            <w:r>
              <w:rPr>
                <w:rFonts w:ascii="Arial" w:cs="Arial" w:eastAsia="Arial" w:hAnsi="Arial"/>
                <w:sz w:val="11"/>
                <w:szCs w:val="11"/>
                <w:color w:val="auto"/>
                <w:w w:val="90"/>
              </w:rPr>
              <w:t>09/09/2024</w:t>
            </w:r>
          </w:p>
        </w:tc>
        <w:tc>
          <w:tcPr>
            <w:tcW w:w="140" w:type="dxa"/>
            <w:vAlign w:val="bottom"/>
          </w:tcPr>
          <w:p>
            <w:pPr>
              <w:spacing w:after="0"/>
              <w:rPr>
                <w:sz w:val="9"/>
                <w:szCs w:val="9"/>
                <w:color w:val="auto"/>
              </w:rPr>
            </w:pPr>
          </w:p>
        </w:tc>
        <w:tc>
          <w:tcPr>
            <w:tcW w:w="2240" w:type="dxa"/>
            <w:vAlign w:val="bottom"/>
          </w:tcPr>
          <w:p>
            <w:pPr>
              <w:jc w:val="center"/>
              <w:spacing w:after="0" w:line="115" w:lineRule="exact"/>
              <w:rPr>
                <w:sz w:val="20"/>
                <w:szCs w:val="20"/>
                <w:color w:val="auto"/>
              </w:rPr>
            </w:pPr>
            <w:r>
              <w:rPr>
                <w:rFonts w:ascii="Arial" w:cs="Arial" w:eastAsia="Arial" w:hAnsi="Arial"/>
                <w:sz w:val="11"/>
                <w:szCs w:val="11"/>
                <w:color w:val="auto"/>
                <w:w w:val="91"/>
              </w:rPr>
              <w:t>Media: Diversified and Production</w:t>
            </w:r>
          </w:p>
        </w:tc>
        <w:tc>
          <w:tcPr>
            <w:tcW w:w="1080" w:type="dxa"/>
            <w:vAlign w:val="bottom"/>
            <w:gridSpan w:val="3"/>
          </w:tcPr>
          <w:p>
            <w:pPr>
              <w:jc w:val="right"/>
              <w:ind w:right="86"/>
              <w:spacing w:after="0" w:line="115" w:lineRule="exact"/>
              <w:rPr>
                <w:sz w:val="20"/>
                <w:szCs w:val="20"/>
                <w:color w:val="auto"/>
              </w:rPr>
            </w:pPr>
            <w:r>
              <w:rPr>
                <w:rFonts w:ascii="Arial" w:cs="Arial" w:eastAsia="Arial" w:hAnsi="Arial"/>
                <w:sz w:val="11"/>
                <w:szCs w:val="11"/>
                <w:color w:val="auto"/>
              </w:rPr>
              <w:t>6.70 %</w:t>
            </w:r>
          </w:p>
        </w:tc>
        <w:tc>
          <w:tcPr>
            <w:tcW w:w="940" w:type="dxa"/>
            <w:vAlign w:val="bottom"/>
          </w:tcPr>
          <w:p>
            <w:pPr>
              <w:jc w:val="right"/>
              <w:spacing w:after="0" w:line="115" w:lineRule="exact"/>
              <w:rPr>
                <w:sz w:val="20"/>
                <w:szCs w:val="20"/>
                <w:color w:val="auto"/>
              </w:rPr>
            </w:pPr>
            <w:r>
              <w:rPr>
                <w:rFonts w:ascii="Arial" w:cs="Arial" w:eastAsia="Arial" w:hAnsi="Arial"/>
                <w:sz w:val="11"/>
                <w:szCs w:val="11"/>
                <w:color w:val="auto"/>
              </w:rPr>
              <w:t>3M L+500</w:t>
            </w:r>
          </w:p>
        </w:tc>
        <w:tc>
          <w:tcPr>
            <w:tcW w:w="94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7,218</w:t>
            </w: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jc w:val="right"/>
              <w:spacing w:after="0" w:line="115" w:lineRule="exact"/>
              <w:rPr>
                <w:sz w:val="20"/>
                <w:szCs w:val="20"/>
                <w:color w:val="auto"/>
              </w:rPr>
            </w:pPr>
            <w:r>
              <w:rPr>
                <w:rFonts w:ascii="Arial" w:cs="Arial" w:eastAsia="Arial" w:hAnsi="Arial"/>
                <w:sz w:val="11"/>
                <w:szCs w:val="11"/>
                <w:color w:val="auto"/>
              </w:rPr>
              <w:t>7,158</w:t>
            </w: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jc w:val="right"/>
              <w:spacing w:after="0" w:line="115" w:lineRule="exact"/>
              <w:rPr>
                <w:sz w:val="20"/>
                <w:szCs w:val="20"/>
                <w:color w:val="auto"/>
              </w:rPr>
            </w:pPr>
            <w:r>
              <w:rPr>
                <w:rFonts w:ascii="Arial" w:cs="Arial" w:eastAsia="Arial" w:hAnsi="Arial"/>
                <w:sz w:val="11"/>
                <w:szCs w:val="11"/>
                <w:color w:val="auto"/>
              </w:rPr>
              <w:t>6,893</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3180" w:type="dxa"/>
            <w:vAlign w:val="bottom"/>
          </w:tcPr>
          <w:p>
            <w:pPr>
              <w:ind w:left="20"/>
              <w:spacing w:after="0"/>
              <w:rPr>
                <w:sz w:val="20"/>
                <w:szCs w:val="20"/>
                <w:color w:val="auto"/>
              </w:rPr>
            </w:pPr>
            <w:r>
              <w:rPr>
                <w:rFonts w:ascii="Arial" w:cs="Arial" w:eastAsia="Arial" w:hAnsi="Arial"/>
                <w:sz w:val="11"/>
                <w:szCs w:val="11"/>
                <w:color w:val="auto"/>
              </w:rPr>
              <w:t xml:space="preserve">Questex, LLC (Revolver) </w:t>
            </w:r>
            <w:r>
              <w:rPr>
                <w:rFonts w:ascii="Arial" w:cs="Arial" w:eastAsia="Arial" w:hAnsi="Arial"/>
                <w:sz w:val="14"/>
                <w:szCs w:val="14"/>
                <w:color w:val="auto"/>
                <w:vertAlign w:val="superscript"/>
              </w:rPr>
              <w:t>(7), (9)</w:t>
            </w:r>
          </w:p>
        </w:tc>
        <w:tc>
          <w:tcPr>
            <w:tcW w:w="76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09/09/2024</w:t>
            </w:r>
          </w:p>
        </w:tc>
        <w:tc>
          <w:tcPr>
            <w:tcW w:w="140" w:type="dxa"/>
            <w:vAlign w:val="bottom"/>
          </w:tcPr>
          <w:p>
            <w:pPr>
              <w:spacing w:after="0"/>
              <w:rPr>
                <w:sz w:val="14"/>
                <w:szCs w:val="14"/>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91"/>
              </w:rPr>
              <w:t>Media: Diversified and Production</w:t>
            </w:r>
          </w:p>
        </w:tc>
        <w:tc>
          <w:tcPr>
            <w:tcW w:w="120" w:type="dxa"/>
            <w:vAlign w:val="bottom"/>
          </w:tcPr>
          <w:p>
            <w:pPr>
              <w:spacing w:after="0"/>
              <w:rPr>
                <w:sz w:val="14"/>
                <w:szCs w:val="14"/>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1,197</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auto"/>
              </w:rPr>
              <w:t>(54 )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-6274435</wp:posOffset>
            </wp:positionV>
            <wp:extent cx="7132320" cy="8572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-6102985</wp:posOffset>
            </wp:positionV>
            <wp:extent cx="7132320" cy="8572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-5931535</wp:posOffset>
            </wp:positionV>
            <wp:extent cx="7132320" cy="8572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-5760085</wp:posOffset>
            </wp:positionV>
            <wp:extent cx="7132320" cy="8572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-5588635</wp:posOffset>
            </wp:positionV>
            <wp:extent cx="7132320" cy="8572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-5417185</wp:posOffset>
            </wp:positionV>
            <wp:extent cx="7132320" cy="8572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-5245735</wp:posOffset>
            </wp:positionV>
            <wp:extent cx="7132320" cy="8572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-5074285</wp:posOffset>
            </wp:positionV>
            <wp:extent cx="7132320" cy="8572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-4902835</wp:posOffset>
            </wp:positionV>
            <wp:extent cx="7132320" cy="8572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-4731385</wp:posOffset>
            </wp:positionV>
            <wp:extent cx="7132320" cy="8572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-4559935</wp:posOffset>
            </wp:positionV>
            <wp:extent cx="7132320" cy="8572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-4302760</wp:posOffset>
            </wp:positionV>
            <wp:extent cx="7132320" cy="1714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-4045585</wp:posOffset>
            </wp:positionV>
            <wp:extent cx="7132320" cy="8572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-3874135</wp:posOffset>
            </wp:positionV>
            <wp:extent cx="7132320" cy="8572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-3531235</wp:posOffset>
            </wp:positionV>
            <wp:extent cx="7132320" cy="8572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-3359785</wp:posOffset>
            </wp:positionV>
            <wp:extent cx="7132320" cy="8572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-3188335</wp:posOffset>
            </wp:positionV>
            <wp:extent cx="7132320" cy="8572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-3016885</wp:posOffset>
            </wp:positionV>
            <wp:extent cx="7132320" cy="8572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-2845435</wp:posOffset>
            </wp:positionV>
            <wp:extent cx="7132320" cy="8572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-2673985</wp:posOffset>
            </wp:positionV>
            <wp:extent cx="7132320" cy="8572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-2502535</wp:posOffset>
            </wp:positionV>
            <wp:extent cx="7132320" cy="8572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-2331085</wp:posOffset>
            </wp:positionV>
            <wp:extent cx="7132320" cy="8572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-2159635</wp:posOffset>
            </wp:positionV>
            <wp:extent cx="7132320" cy="8572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-1988185</wp:posOffset>
            </wp:positionV>
            <wp:extent cx="7132320" cy="8572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-1816735</wp:posOffset>
            </wp:positionV>
            <wp:extent cx="7132320" cy="8572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-1473835</wp:posOffset>
            </wp:positionV>
            <wp:extent cx="7132320" cy="8572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-1302385</wp:posOffset>
            </wp:positionV>
            <wp:extent cx="7132320" cy="8572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-633730</wp:posOffset>
            </wp:positionV>
            <wp:extent cx="7132320" cy="1543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-325120</wp:posOffset>
            </wp:positionV>
            <wp:extent cx="7132320" cy="1543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8572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85725"/>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SCHEDULE OF INVESTMENTS—(Continued)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JUNE 30, 2022</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tbl>
      <w:tblPr>
        <w:tblLayout w:type="fixed"/>
        <w:tblInd w:w="0" w:type="dxa"/>
        <w:tblCellMar>
          <w:top w:w="0" w:type="dxa"/>
          <w:left w:w="0" w:type="dxa"/>
          <w:bottom w:w="0" w:type="dxa"/>
          <w:right w:w="0" w:type="dxa"/>
        </w:tblCellMar>
      </w:tblPr>
      <w:tr>
        <w:trPr>
          <w:trHeight w:val="102"/>
        </w:trPr>
        <w:tc>
          <w:tcPr>
            <w:tcW w:w="3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94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w w:val="83"/>
              </w:rPr>
              <w:t>Basis Point</w:t>
            </w: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gridSpan w:val="2"/>
            <w:vMerge w:val="restart"/>
          </w:tcPr>
          <w:p>
            <w:pPr>
              <w:jc w:val="right"/>
              <w:ind w:right="366"/>
              <w:spacing w:after="0"/>
              <w:rPr>
                <w:sz w:val="20"/>
                <w:szCs w:val="20"/>
                <w:color w:val="auto"/>
              </w:rPr>
            </w:pPr>
            <w:r>
              <w:rPr>
                <w:rFonts w:ascii="Arial" w:cs="Arial" w:eastAsia="Arial" w:hAnsi="Arial"/>
                <w:sz w:val="11"/>
                <w:szCs w:val="11"/>
                <w:b w:val="1"/>
                <w:bCs w:val="1"/>
                <w:color w:val="auto"/>
              </w:rPr>
              <w:t>Current</w:t>
            </w:r>
          </w:p>
        </w:tc>
        <w:tc>
          <w:tcPr>
            <w:tcW w:w="94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85"/>
              </w:rPr>
              <w:t>Spread</w:t>
            </w:r>
          </w:p>
        </w:tc>
        <w:tc>
          <w:tcPr>
            <w:tcW w:w="220" w:type="dxa"/>
            <w:vAlign w:val="bottom"/>
          </w:tcPr>
          <w:p>
            <w:pPr>
              <w:spacing w:after="0"/>
              <w:rPr>
                <w:sz w:val="9"/>
                <w:szCs w:val="9"/>
                <w:color w:val="auto"/>
              </w:rPr>
            </w:pPr>
          </w:p>
        </w:tc>
        <w:tc>
          <w:tcPr>
            <w:tcW w:w="720" w:type="dxa"/>
            <w:vAlign w:val="bottom"/>
            <w:vMerge w:val="restart"/>
          </w:tcPr>
          <w:p>
            <w:pPr>
              <w:jc w:val="right"/>
              <w:ind w:right="186"/>
              <w:spacing w:after="0"/>
              <w:rPr>
                <w:sz w:val="20"/>
                <w:szCs w:val="20"/>
                <w:color w:val="auto"/>
              </w:rPr>
            </w:pPr>
            <w:r>
              <w:rPr>
                <w:rFonts w:ascii="Arial" w:cs="Arial" w:eastAsia="Arial" w:hAnsi="Arial"/>
                <w:sz w:val="11"/>
                <w:szCs w:val="11"/>
                <w:b w:val="1"/>
                <w:bCs w:val="1"/>
                <w:color w:val="auto"/>
              </w:rPr>
              <w:t>Par /</w:t>
            </w: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1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Issuer Name</w:t>
            </w:r>
          </w:p>
        </w:tc>
        <w:tc>
          <w:tcPr>
            <w:tcW w:w="140" w:type="dxa"/>
            <w:vAlign w:val="bottom"/>
          </w:tcPr>
          <w:p>
            <w:pPr>
              <w:spacing w:after="0"/>
              <w:rPr>
                <w:sz w:val="9"/>
                <w:szCs w:val="9"/>
                <w:color w:val="auto"/>
              </w:rPr>
            </w:pPr>
          </w:p>
        </w:tc>
        <w:tc>
          <w:tcPr>
            <w:tcW w:w="62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8"/>
              </w:rPr>
              <w:t>Maturity</w:t>
            </w:r>
          </w:p>
        </w:tc>
        <w:tc>
          <w:tcPr>
            <w:tcW w:w="140" w:type="dxa"/>
            <w:vAlign w:val="bottom"/>
          </w:tcPr>
          <w:p>
            <w:pPr>
              <w:spacing w:after="0"/>
              <w:rPr>
                <w:sz w:val="9"/>
                <w:szCs w:val="9"/>
                <w:color w:val="auto"/>
              </w:rPr>
            </w:pPr>
          </w:p>
        </w:tc>
        <w:tc>
          <w:tcPr>
            <w:tcW w:w="224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2"/>
              </w:rPr>
              <w:t>Industry</w:t>
            </w:r>
          </w:p>
        </w:tc>
        <w:tc>
          <w:tcPr>
            <w:tcW w:w="12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94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83"/>
              </w:rPr>
              <w:t>Above</w:t>
            </w:r>
          </w:p>
        </w:tc>
        <w:tc>
          <w:tcPr>
            <w:tcW w:w="2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vMerge w:val="restart"/>
          </w:tcPr>
          <w:p>
            <w:pPr>
              <w:jc w:val="right"/>
              <w:ind w:right="206"/>
              <w:spacing w:after="0"/>
              <w:rPr>
                <w:sz w:val="20"/>
                <w:szCs w:val="20"/>
                <w:color w:val="auto"/>
              </w:rPr>
            </w:pPr>
            <w:r>
              <w:rPr>
                <w:rFonts w:ascii="Arial" w:cs="Arial" w:eastAsia="Arial" w:hAnsi="Arial"/>
                <w:sz w:val="11"/>
                <w:szCs w:val="11"/>
                <w:b w:val="1"/>
                <w:bCs w:val="1"/>
                <w:color w:val="auto"/>
              </w:rPr>
              <w:t>Cost</w:t>
            </w:r>
          </w:p>
        </w:tc>
        <w:tc>
          <w:tcPr>
            <w:tcW w:w="220" w:type="dxa"/>
            <w:vAlign w:val="bottom"/>
          </w:tcPr>
          <w:p>
            <w:pPr>
              <w:spacing w:after="0"/>
              <w:rPr>
                <w:sz w:val="9"/>
                <w:szCs w:val="9"/>
                <w:color w:val="auto"/>
              </w:rPr>
            </w:pPr>
          </w:p>
        </w:tc>
        <w:tc>
          <w:tcPr>
            <w:tcW w:w="800" w:type="dxa"/>
            <w:vAlign w:val="bottom"/>
            <w:gridSpan w:val="3"/>
            <w:vMerge w:val="restart"/>
          </w:tcPr>
          <w:p>
            <w:pPr>
              <w:jc w:val="right"/>
              <w:ind w:right="160"/>
              <w:spacing w:after="0"/>
              <w:rPr>
                <w:sz w:val="20"/>
                <w:szCs w:val="20"/>
                <w:color w:val="auto"/>
              </w:rPr>
            </w:pPr>
            <w:r>
              <w:rPr>
                <w:rFonts w:ascii="Arial" w:cs="Arial" w:eastAsia="Arial" w:hAnsi="Arial"/>
                <w:sz w:val="11"/>
                <w:szCs w:val="11"/>
                <w:b w:val="1"/>
                <w:bCs w:val="1"/>
                <w:color w:val="auto"/>
                <w:w w:val="92"/>
              </w:rPr>
              <w:t xml:space="preserve">Fair Value </w:t>
            </w:r>
            <w:r>
              <w:rPr>
                <w:rFonts w:ascii="Arial" w:cs="Arial" w:eastAsia="Arial" w:hAnsi="Arial"/>
                <w:sz w:val="14"/>
                <w:szCs w:val="14"/>
                <w:b w:val="1"/>
                <w:bCs w:val="1"/>
                <w:color w:val="auto"/>
                <w:w w:val="92"/>
                <w:vertAlign w:val="superscript"/>
              </w:rPr>
              <w:t>(2)</w:t>
            </w:r>
          </w:p>
        </w:tc>
        <w:tc>
          <w:tcPr>
            <w:tcW w:w="0" w:type="dxa"/>
            <w:vAlign w:val="bottom"/>
          </w:tcPr>
          <w:p>
            <w:pPr>
              <w:spacing w:after="0"/>
              <w:rPr>
                <w:sz w:val="1"/>
                <w:szCs w:val="1"/>
                <w:color w:val="auto"/>
              </w:rPr>
            </w:pPr>
          </w:p>
        </w:tc>
      </w:tr>
      <w:tr>
        <w:trPr>
          <w:trHeight w:val="142"/>
        </w:trPr>
        <w:tc>
          <w:tcPr>
            <w:tcW w:w="31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2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346"/>
              <w:spacing w:after="0"/>
              <w:rPr>
                <w:sz w:val="20"/>
                <w:szCs w:val="20"/>
                <w:color w:val="auto"/>
              </w:rPr>
            </w:pPr>
            <w:r>
              <w:rPr>
                <w:rFonts w:ascii="Arial" w:cs="Arial" w:eastAsia="Arial" w:hAnsi="Arial"/>
                <w:sz w:val="11"/>
                <w:szCs w:val="11"/>
                <w:b w:val="1"/>
                <w:bCs w:val="1"/>
                <w:color w:val="auto"/>
              </w:rPr>
              <w:t>Coupon</w:t>
            </w:r>
          </w:p>
        </w:tc>
        <w:tc>
          <w:tcPr>
            <w:tcW w:w="940" w:type="dxa"/>
            <w:vAlign w:val="bottom"/>
          </w:tcPr>
          <w:p>
            <w:pPr>
              <w:jc w:val="center"/>
              <w:spacing w:after="0" w:line="132" w:lineRule="exact"/>
              <w:rPr>
                <w:sz w:val="20"/>
                <w:szCs w:val="20"/>
                <w:color w:val="auto"/>
              </w:rPr>
            </w:pPr>
            <w:r>
              <w:rPr>
                <w:rFonts w:ascii="Arial" w:cs="Arial" w:eastAsia="Arial" w:hAnsi="Arial"/>
                <w:sz w:val="11"/>
                <w:szCs w:val="11"/>
                <w:b w:val="1"/>
                <w:bCs w:val="1"/>
                <w:color w:val="auto"/>
                <w:w w:val="87"/>
              </w:rPr>
              <w:t xml:space="preserve">Index </w:t>
            </w:r>
            <w:r>
              <w:rPr>
                <w:rFonts w:ascii="Arial" w:cs="Arial" w:eastAsia="Arial" w:hAnsi="Arial"/>
                <w:sz w:val="14"/>
                <w:szCs w:val="14"/>
                <w:b w:val="1"/>
                <w:bCs w:val="1"/>
                <w:color w:val="auto"/>
                <w:w w:val="87"/>
                <w:vertAlign w:val="superscript"/>
              </w:rPr>
              <w:t>(1)</w:t>
            </w:r>
          </w:p>
        </w:tc>
        <w:tc>
          <w:tcPr>
            <w:tcW w:w="220" w:type="dxa"/>
            <w:vAlign w:val="bottom"/>
          </w:tcPr>
          <w:p>
            <w:pPr>
              <w:spacing w:after="0"/>
              <w:rPr>
                <w:sz w:val="12"/>
                <w:szCs w:val="12"/>
                <w:color w:val="auto"/>
              </w:rPr>
            </w:pPr>
          </w:p>
        </w:tc>
        <w:tc>
          <w:tcPr>
            <w:tcW w:w="720" w:type="dxa"/>
            <w:vAlign w:val="bottom"/>
          </w:tcPr>
          <w:p>
            <w:pPr>
              <w:jc w:val="right"/>
              <w:ind w:right="126"/>
              <w:spacing w:after="0"/>
              <w:rPr>
                <w:sz w:val="20"/>
                <w:szCs w:val="20"/>
                <w:color w:val="auto"/>
              </w:rPr>
            </w:pPr>
            <w:r>
              <w:rPr>
                <w:rFonts w:ascii="Arial" w:cs="Arial" w:eastAsia="Arial" w:hAnsi="Arial"/>
                <w:sz w:val="11"/>
                <w:szCs w:val="11"/>
                <w:b w:val="1"/>
                <w:bCs w:val="1"/>
                <w:color w:val="auto"/>
              </w:rPr>
              <w:t>Shares</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3180" w:type="dxa"/>
            <w:vAlign w:val="bottom"/>
          </w:tcPr>
          <w:p>
            <w:pPr>
              <w:ind w:left="20"/>
              <w:spacing w:after="0" w:line="105" w:lineRule="exact"/>
              <w:rPr>
                <w:sz w:val="20"/>
                <w:szCs w:val="20"/>
                <w:color w:val="auto"/>
              </w:rPr>
            </w:pPr>
            <w:r>
              <w:rPr>
                <w:rFonts w:ascii="Arial" w:cs="Arial" w:eastAsia="Arial" w:hAnsi="Arial"/>
                <w:sz w:val="9"/>
                <w:szCs w:val="9"/>
                <w:color w:val="auto"/>
              </w:rPr>
              <w:t xml:space="preserve">Rancho Health MSO, Inc. </w:t>
            </w:r>
            <w:r>
              <w:rPr>
                <w:rFonts w:ascii="Arial" w:cs="Arial" w:eastAsia="Arial" w:hAnsi="Arial"/>
                <w:sz w:val="12"/>
                <w:szCs w:val="12"/>
                <w:color w:val="auto"/>
                <w:vertAlign w:val="superscript"/>
              </w:rPr>
              <w:t>(7)</w:t>
            </w:r>
          </w:p>
        </w:tc>
        <w:tc>
          <w:tcPr>
            <w:tcW w:w="140" w:type="dxa"/>
            <w:vAlign w:val="bottom"/>
          </w:tcPr>
          <w:p>
            <w:pPr>
              <w:spacing w:after="0"/>
              <w:rPr>
                <w:sz w:val="9"/>
                <w:szCs w:val="9"/>
                <w:color w:val="auto"/>
              </w:rPr>
            </w:pPr>
          </w:p>
        </w:tc>
        <w:tc>
          <w:tcPr>
            <w:tcW w:w="620" w:type="dxa"/>
            <w:vAlign w:val="bottom"/>
            <w:tcBorders>
              <w:top w:val="single" w:sz="8" w:color="auto"/>
            </w:tcBorders>
          </w:tcPr>
          <w:p>
            <w:pPr>
              <w:jc w:val="center"/>
              <w:spacing w:after="0" w:line="105" w:lineRule="exact"/>
              <w:rPr>
                <w:sz w:val="20"/>
                <w:szCs w:val="20"/>
                <w:color w:val="auto"/>
              </w:rPr>
            </w:pPr>
            <w:r>
              <w:rPr>
                <w:rFonts w:ascii="Arial" w:cs="Arial" w:eastAsia="Arial" w:hAnsi="Arial"/>
                <w:sz w:val="11"/>
                <w:szCs w:val="11"/>
                <w:color w:val="auto"/>
                <w:w w:val="90"/>
              </w:rPr>
              <w:t>12/18/2025</w:t>
            </w:r>
          </w:p>
        </w:tc>
        <w:tc>
          <w:tcPr>
            <w:tcW w:w="140" w:type="dxa"/>
            <w:vAlign w:val="bottom"/>
          </w:tcPr>
          <w:p>
            <w:pPr>
              <w:spacing w:after="0"/>
              <w:rPr>
                <w:sz w:val="9"/>
                <w:szCs w:val="9"/>
                <w:color w:val="auto"/>
              </w:rPr>
            </w:pPr>
          </w:p>
        </w:tc>
        <w:tc>
          <w:tcPr>
            <w:tcW w:w="2240" w:type="dxa"/>
            <w:vAlign w:val="bottom"/>
            <w:tcBorders>
              <w:top w:val="single" w:sz="8" w:color="auto"/>
            </w:tcBorders>
          </w:tcPr>
          <w:p>
            <w:pPr>
              <w:jc w:val="center"/>
              <w:spacing w:after="0" w:line="105" w:lineRule="exact"/>
              <w:rPr>
                <w:sz w:val="20"/>
                <w:szCs w:val="20"/>
                <w:color w:val="auto"/>
              </w:rPr>
            </w:pPr>
            <w:r>
              <w:rPr>
                <w:rFonts w:ascii="Arial" w:cs="Arial" w:eastAsia="Arial" w:hAnsi="Arial"/>
                <w:sz w:val="11"/>
                <w:szCs w:val="11"/>
                <w:color w:val="auto"/>
                <w:w w:val="87"/>
              </w:rPr>
              <w:t>Healthcare Equipment and Supplies</w:t>
            </w:r>
          </w:p>
        </w:tc>
        <w:tc>
          <w:tcPr>
            <w:tcW w:w="120" w:type="dxa"/>
            <w:vAlign w:val="bottom"/>
          </w:tcPr>
          <w:p>
            <w:pPr>
              <w:spacing w:after="0"/>
              <w:rPr>
                <w:sz w:val="9"/>
                <w:szCs w:val="9"/>
                <w:color w:val="auto"/>
              </w:rPr>
            </w:pPr>
          </w:p>
        </w:tc>
        <w:tc>
          <w:tcPr>
            <w:tcW w:w="700" w:type="dxa"/>
            <w:vAlign w:val="bottom"/>
            <w:tcBorders>
              <w:top w:val="single" w:sz="8" w:color="auto"/>
            </w:tcBorders>
          </w:tcPr>
          <w:p>
            <w:pPr>
              <w:jc w:val="right"/>
              <w:spacing w:after="0" w:line="105" w:lineRule="exact"/>
              <w:rPr>
                <w:sz w:val="20"/>
                <w:szCs w:val="20"/>
                <w:color w:val="auto"/>
              </w:rPr>
            </w:pPr>
            <w:r>
              <w:rPr>
                <w:rFonts w:ascii="Arial" w:cs="Arial" w:eastAsia="Arial" w:hAnsi="Arial"/>
                <w:sz w:val="11"/>
                <w:szCs w:val="11"/>
                <w:color w:val="auto"/>
              </w:rPr>
              <w:t>6.51</w:t>
            </w:r>
          </w:p>
        </w:tc>
        <w:tc>
          <w:tcPr>
            <w:tcW w:w="260" w:type="dxa"/>
            <w:vAlign w:val="bottom"/>
          </w:tcPr>
          <w:p>
            <w:pPr>
              <w:jc w:val="right"/>
              <w:ind w:right="86"/>
              <w:spacing w:after="0" w:line="105" w:lineRule="exact"/>
              <w:rPr>
                <w:sz w:val="20"/>
                <w:szCs w:val="20"/>
                <w:color w:val="auto"/>
              </w:rPr>
            </w:pPr>
            <w:r>
              <w:rPr>
                <w:rFonts w:ascii="Arial" w:cs="Arial" w:eastAsia="Arial" w:hAnsi="Arial"/>
                <w:sz w:val="11"/>
                <w:szCs w:val="11"/>
                <w:color w:val="auto"/>
              </w:rPr>
              <w:t>%</w:t>
            </w:r>
          </w:p>
        </w:tc>
        <w:tc>
          <w:tcPr>
            <w:tcW w:w="940" w:type="dxa"/>
            <w:vAlign w:val="bottom"/>
            <w:tcBorders>
              <w:top w:val="single" w:sz="8" w:color="auto"/>
            </w:tcBorders>
          </w:tcPr>
          <w:p>
            <w:pPr>
              <w:jc w:val="right"/>
              <w:spacing w:after="0" w:line="105" w:lineRule="exact"/>
              <w:rPr>
                <w:sz w:val="20"/>
                <w:szCs w:val="20"/>
                <w:color w:val="auto"/>
              </w:rPr>
            </w:pPr>
            <w:r>
              <w:rPr>
                <w:rFonts w:ascii="Arial" w:cs="Arial" w:eastAsia="Arial" w:hAnsi="Arial"/>
                <w:sz w:val="11"/>
                <w:szCs w:val="11"/>
                <w:color w:val="auto"/>
              </w:rPr>
              <w:t>3M L+550</w:t>
            </w:r>
          </w:p>
        </w:tc>
        <w:tc>
          <w:tcPr>
            <w:tcW w:w="220" w:type="dxa"/>
            <w:vAlign w:val="bottom"/>
          </w:tcPr>
          <w:p>
            <w:pPr>
              <w:spacing w:after="0"/>
              <w:rPr>
                <w:sz w:val="9"/>
                <w:szCs w:val="9"/>
                <w:color w:val="auto"/>
              </w:rPr>
            </w:pPr>
          </w:p>
        </w:tc>
        <w:tc>
          <w:tcPr>
            <w:tcW w:w="720" w:type="dxa"/>
            <w:vAlign w:val="bottom"/>
            <w:tcBorders>
              <w:top w:val="single" w:sz="8" w:color="auto"/>
            </w:tcBorders>
          </w:tcPr>
          <w:p>
            <w:pPr>
              <w:jc w:val="right"/>
              <w:spacing w:after="0" w:line="105" w:lineRule="exact"/>
              <w:rPr>
                <w:sz w:val="20"/>
                <w:szCs w:val="20"/>
                <w:color w:val="auto"/>
              </w:rPr>
            </w:pPr>
            <w:r>
              <w:rPr>
                <w:rFonts w:ascii="Arial" w:cs="Arial" w:eastAsia="Arial" w:hAnsi="Arial"/>
                <w:sz w:val="11"/>
                <w:szCs w:val="11"/>
                <w:color w:val="auto"/>
              </w:rPr>
              <w:t>1,042</w:t>
            </w:r>
          </w:p>
        </w:tc>
        <w:tc>
          <w:tcPr>
            <w:tcW w:w="240" w:type="dxa"/>
            <w:vAlign w:val="bottom"/>
          </w:tcPr>
          <w:p>
            <w:pPr>
              <w:spacing w:after="0"/>
              <w:rPr>
                <w:sz w:val="9"/>
                <w:szCs w:val="9"/>
                <w:color w:val="auto"/>
              </w:rPr>
            </w:pPr>
          </w:p>
        </w:tc>
        <w:tc>
          <w:tcPr>
            <w:tcW w:w="140" w:type="dxa"/>
            <w:vAlign w:val="bottom"/>
            <w:tcBorders>
              <w:top w:val="single" w:sz="8" w:color="auto"/>
            </w:tcBorders>
          </w:tcPr>
          <w:p>
            <w:pPr>
              <w:jc w:val="right"/>
              <w:ind w:right="31"/>
              <w:spacing w:after="0" w:line="105" w:lineRule="exact"/>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tcPr>
          <w:p>
            <w:pPr>
              <w:jc w:val="right"/>
              <w:spacing w:after="0" w:line="105" w:lineRule="exact"/>
              <w:rPr>
                <w:sz w:val="20"/>
                <w:szCs w:val="20"/>
                <w:color w:val="auto"/>
              </w:rPr>
            </w:pPr>
            <w:r>
              <w:rPr>
                <w:rFonts w:ascii="Arial" w:cs="Arial" w:eastAsia="Arial" w:hAnsi="Arial"/>
                <w:sz w:val="11"/>
                <w:szCs w:val="11"/>
                <w:color w:val="auto"/>
              </w:rPr>
              <w:t>1,042</w:t>
            </w:r>
          </w:p>
        </w:tc>
        <w:tc>
          <w:tcPr>
            <w:tcW w:w="220" w:type="dxa"/>
            <w:vAlign w:val="bottom"/>
          </w:tcPr>
          <w:p>
            <w:pPr>
              <w:spacing w:after="0"/>
              <w:rPr>
                <w:sz w:val="9"/>
                <w:szCs w:val="9"/>
                <w:color w:val="auto"/>
              </w:rPr>
            </w:pPr>
          </w:p>
        </w:tc>
        <w:tc>
          <w:tcPr>
            <w:tcW w:w="200" w:type="dxa"/>
            <w:vAlign w:val="bottom"/>
            <w:tcBorders>
              <w:top w:val="single" w:sz="8" w:color="auto"/>
            </w:tcBorders>
          </w:tcPr>
          <w:p>
            <w:pPr>
              <w:jc w:val="right"/>
              <w:ind w:right="66"/>
              <w:spacing w:after="0" w:line="105" w:lineRule="exact"/>
              <w:rPr>
                <w:sz w:val="20"/>
                <w:szCs w:val="20"/>
                <w:color w:val="auto"/>
              </w:rPr>
            </w:pPr>
            <w:r>
              <w:rPr>
                <w:rFonts w:ascii="Arial" w:cs="Arial" w:eastAsia="Arial" w:hAnsi="Arial"/>
                <w:sz w:val="11"/>
                <w:szCs w:val="11"/>
                <w:color w:val="auto"/>
                <w:w w:val="97"/>
              </w:rPr>
              <w:t>$</w:t>
            </w:r>
          </w:p>
        </w:tc>
        <w:tc>
          <w:tcPr>
            <w:tcW w:w="500" w:type="dxa"/>
            <w:vAlign w:val="bottom"/>
            <w:tcBorders>
              <w:top w:val="single" w:sz="8" w:color="auto"/>
            </w:tcBorders>
          </w:tcPr>
          <w:p>
            <w:pPr>
              <w:jc w:val="right"/>
              <w:spacing w:after="0" w:line="105" w:lineRule="exact"/>
              <w:rPr>
                <w:sz w:val="20"/>
                <w:szCs w:val="20"/>
                <w:color w:val="auto"/>
              </w:rPr>
            </w:pPr>
            <w:r>
              <w:rPr>
                <w:rFonts w:ascii="Arial" w:cs="Arial" w:eastAsia="Arial" w:hAnsi="Arial"/>
                <w:sz w:val="11"/>
                <w:szCs w:val="11"/>
                <w:color w:val="auto"/>
              </w:rPr>
              <w:t>1,042</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318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Rancho Health MSO, Inc. (Revolver) </w:t>
            </w:r>
            <w:r>
              <w:rPr>
                <w:rFonts w:ascii="Arial" w:cs="Arial" w:eastAsia="Arial" w:hAnsi="Arial"/>
                <w:sz w:val="14"/>
                <w:szCs w:val="14"/>
                <w:color w:val="auto"/>
                <w:vertAlign w:val="superscript"/>
              </w:rPr>
              <w:t>(7), (9)</w:t>
            </w:r>
          </w:p>
        </w:tc>
        <w:tc>
          <w:tcPr>
            <w:tcW w:w="76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12/18/2025</w:t>
            </w:r>
          </w:p>
        </w:tc>
        <w:tc>
          <w:tcPr>
            <w:tcW w:w="140" w:type="dxa"/>
            <w:vAlign w:val="bottom"/>
          </w:tcPr>
          <w:p>
            <w:pPr>
              <w:spacing w:after="0"/>
              <w:rPr>
                <w:sz w:val="13"/>
                <w:szCs w:val="13"/>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87"/>
              </w:rPr>
              <w:t>Healthcare Equipment and Supplies</w:t>
            </w:r>
          </w:p>
        </w:tc>
        <w:tc>
          <w:tcPr>
            <w:tcW w:w="120" w:type="dxa"/>
            <w:vAlign w:val="bottom"/>
          </w:tcPr>
          <w:p>
            <w:pPr>
              <w:spacing w:after="0"/>
              <w:rPr>
                <w:sz w:val="13"/>
                <w:szCs w:val="13"/>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525</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5"/>
        </w:trPr>
        <w:tc>
          <w:tcPr>
            <w:tcW w:w="3180" w:type="dxa"/>
            <w:vAlign w:val="bottom"/>
          </w:tcPr>
          <w:p>
            <w:pPr>
              <w:ind w:left="20"/>
              <w:spacing w:after="0" w:line="115" w:lineRule="exact"/>
              <w:rPr>
                <w:sz w:val="20"/>
                <w:szCs w:val="20"/>
                <w:color w:val="auto"/>
              </w:rPr>
            </w:pPr>
            <w:r>
              <w:rPr>
                <w:rFonts w:ascii="Arial" w:cs="Arial" w:eastAsia="Arial" w:hAnsi="Arial"/>
                <w:sz w:val="11"/>
                <w:szCs w:val="11"/>
                <w:color w:val="auto"/>
              </w:rPr>
              <w:t>Recteq, LLC</w:t>
            </w:r>
          </w:p>
        </w:tc>
        <w:tc>
          <w:tcPr>
            <w:tcW w:w="760" w:type="dxa"/>
            <w:vAlign w:val="bottom"/>
            <w:gridSpan w:val="2"/>
          </w:tcPr>
          <w:p>
            <w:pPr>
              <w:jc w:val="center"/>
              <w:ind w:left="86"/>
              <w:spacing w:after="0" w:line="115" w:lineRule="exact"/>
              <w:rPr>
                <w:sz w:val="20"/>
                <w:szCs w:val="20"/>
                <w:color w:val="auto"/>
              </w:rPr>
            </w:pPr>
            <w:r>
              <w:rPr>
                <w:rFonts w:ascii="Arial" w:cs="Arial" w:eastAsia="Arial" w:hAnsi="Arial"/>
                <w:sz w:val="11"/>
                <w:szCs w:val="11"/>
                <w:color w:val="auto"/>
                <w:w w:val="90"/>
              </w:rPr>
              <w:t>01/29/2026</w:t>
            </w:r>
          </w:p>
        </w:tc>
        <w:tc>
          <w:tcPr>
            <w:tcW w:w="140" w:type="dxa"/>
            <w:vAlign w:val="bottom"/>
          </w:tcPr>
          <w:p>
            <w:pPr>
              <w:spacing w:after="0"/>
              <w:rPr>
                <w:sz w:val="9"/>
                <w:szCs w:val="9"/>
                <w:color w:val="auto"/>
              </w:rPr>
            </w:pPr>
          </w:p>
        </w:tc>
        <w:tc>
          <w:tcPr>
            <w:tcW w:w="2240" w:type="dxa"/>
            <w:vAlign w:val="bottom"/>
          </w:tcPr>
          <w:p>
            <w:pPr>
              <w:jc w:val="center"/>
              <w:spacing w:after="0" w:line="115" w:lineRule="exact"/>
              <w:rPr>
                <w:sz w:val="20"/>
                <w:szCs w:val="20"/>
                <w:color w:val="auto"/>
              </w:rPr>
            </w:pPr>
            <w:r>
              <w:rPr>
                <w:rFonts w:ascii="Arial" w:cs="Arial" w:eastAsia="Arial" w:hAnsi="Arial"/>
                <w:sz w:val="11"/>
                <w:szCs w:val="11"/>
                <w:color w:val="auto"/>
                <w:w w:val="89"/>
              </w:rPr>
              <w:t>Leisure Products</w:t>
            </w:r>
          </w:p>
        </w:tc>
        <w:tc>
          <w:tcPr>
            <w:tcW w:w="1080" w:type="dxa"/>
            <w:vAlign w:val="bottom"/>
            <w:gridSpan w:val="3"/>
          </w:tcPr>
          <w:p>
            <w:pPr>
              <w:jc w:val="right"/>
              <w:ind w:right="86"/>
              <w:spacing w:after="0" w:line="115" w:lineRule="exact"/>
              <w:rPr>
                <w:sz w:val="20"/>
                <w:szCs w:val="20"/>
                <w:color w:val="auto"/>
              </w:rPr>
            </w:pPr>
            <w:r>
              <w:rPr>
                <w:rFonts w:ascii="Arial" w:cs="Arial" w:eastAsia="Arial" w:hAnsi="Arial"/>
                <w:sz w:val="11"/>
                <w:szCs w:val="11"/>
                <w:color w:val="auto"/>
              </w:rPr>
              <w:t>8.25 %</w:t>
            </w:r>
          </w:p>
        </w:tc>
        <w:tc>
          <w:tcPr>
            <w:tcW w:w="940" w:type="dxa"/>
            <w:vAlign w:val="bottom"/>
          </w:tcPr>
          <w:p>
            <w:pPr>
              <w:jc w:val="right"/>
              <w:spacing w:after="0" w:line="115" w:lineRule="exact"/>
              <w:rPr>
                <w:sz w:val="20"/>
                <w:szCs w:val="20"/>
                <w:color w:val="auto"/>
              </w:rPr>
            </w:pPr>
            <w:r>
              <w:rPr>
                <w:rFonts w:ascii="Arial" w:cs="Arial" w:eastAsia="Arial" w:hAnsi="Arial"/>
                <w:sz w:val="11"/>
                <w:szCs w:val="11"/>
                <w:color w:val="auto"/>
              </w:rPr>
              <w:t>3M L+600</w:t>
            </w:r>
          </w:p>
        </w:tc>
        <w:tc>
          <w:tcPr>
            <w:tcW w:w="94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1,481</w:t>
            </w: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jc w:val="right"/>
              <w:spacing w:after="0" w:line="115" w:lineRule="exact"/>
              <w:rPr>
                <w:sz w:val="20"/>
                <w:szCs w:val="20"/>
                <w:color w:val="auto"/>
              </w:rPr>
            </w:pPr>
            <w:r>
              <w:rPr>
                <w:rFonts w:ascii="Arial" w:cs="Arial" w:eastAsia="Arial" w:hAnsi="Arial"/>
                <w:sz w:val="11"/>
                <w:szCs w:val="11"/>
                <w:color w:val="auto"/>
              </w:rPr>
              <w:t>1,459</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jc w:val="right"/>
              <w:spacing w:after="0" w:line="115" w:lineRule="exact"/>
              <w:rPr>
                <w:sz w:val="20"/>
                <w:szCs w:val="20"/>
                <w:color w:val="auto"/>
              </w:rPr>
            </w:pPr>
            <w:r>
              <w:rPr>
                <w:rFonts w:ascii="Arial" w:cs="Arial" w:eastAsia="Arial" w:hAnsi="Arial"/>
                <w:sz w:val="11"/>
                <w:szCs w:val="11"/>
                <w:color w:val="auto"/>
              </w:rPr>
              <w:t>1,444</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18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Recteq, LLC (Revolver) </w:t>
            </w:r>
            <w:r>
              <w:rPr>
                <w:rFonts w:ascii="Arial" w:cs="Arial" w:eastAsia="Arial" w:hAnsi="Arial"/>
                <w:sz w:val="14"/>
                <w:szCs w:val="14"/>
                <w:color w:val="auto"/>
                <w:vertAlign w:val="superscript"/>
              </w:rPr>
              <w:t>(7)</w:t>
            </w:r>
          </w:p>
        </w:tc>
        <w:tc>
          <w:tcPr>
            <w:tcW w:w="76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01/29/2026</w:t>
            </w:r>
          </w:p>
        </w:tc>
        <w:tc>
          <w:tcPr>
            <w:tcW w:w="140" w:type="dxa"/>
            <w:vAlign w:val="bottom"/>
          </w:tcPr>
          <w:p>
            <w:pPr>
              <w:spacing w:after="0"/>
              <w:rPr>
                <w:sz w:val="11"/>
                <w:szCs w:val="11"/>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89"/>
              </w:rPr>
              <w:t>Leisure Products</w:t>
            </w:r>
          </w:p>
        </w:tc>
        <w:tc>
          <w:tcPr>
            <w:tcW w:w="1080" w:type="dxa"/>
            <w:vAlign w:val="bottom"/>
            <w:gridSpan w:val="3"/>
          </w:tcPr>
          <w:p>
            <w:pPr>
              <w:jc w:val="right"/>
              <w:ind w:right="86"/>
              <w:spacing w:after="0"/>
              <w:rPr>
                <w:sz w:val="20"/>
                <w:szCs w:val="20"/>
                <w:color w:val="auto"/>
              </w:rPr>
            </w:pPr>
            <w:r>
              <w:rPr>
                <w:rFonts w:ascii="Arial" w:cs="Arial" w:eastAsia="Arial" w:hAnsi="Arial"/>
                <w:sz w:val="11"/>
                <w:szCs w:val="11"/>
                <w:color w:val="auto"/>
              </w:rPr>
              <w:t>8.25 %</w:t>
            </w:r>
          </w:p>
        </w:tc>
        <w:tc>
          <w:tcPr>
            <w:tcW w:w="940" w:type="dxa"/>
            <w:vAlign w:val="bottom"/>
          </w:tcPr>
          <w:p>
            <w:pPr>
              <w:jc w:val="right"/>
              <w:spacing w:after="0"/>
              <w:rPr>
                <w:sz w:val="20"/>
                <w:szCs w:val="20"/>
                <w:color w:val="auto"/>
              </w:rPr>
            </w:pPr>
            <w:r>
              <w:rPr>
                <w:rFonts w:ascii="Arial" w:cs="Arial" w:eastAsia="Arial" w:hAnsi="Arial"/>
                <w:sz w:val="11"/>
                <w:szCs w:val="11"/>
                <w:color w:val="auto"/>
              </w:rPr>
              <w:t>3M L+600</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432</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432</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421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18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Recteq, LLC (Revolver) </w:t>
            </w:r>
            <w:r>
              <w:rPr>
                <w:rFonts w:ascii="Arial" w:cs="Arial" w:eastAsia="Arial" w:hAnsi="Arial"/>
                <w:sz w:val="14"/>
                <w:szCs w:val="14"/>
                <w:color w:val="auto"/>
                <w:vertAlign w:val="superscript"/>
              </w:rPr>
              <w:t>(7), (9)</w:t>
            </w:r>
          </w:p>
        </w:tc>
        <w:tc>
          <w:tcPr>
            <w:tcW w:w="76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01/29/2026</w:t>
            </w:r>
          </w:p>
        </w:tc>
        <w:tc>
          <w:tcPr>
            <w:tcW w:w="140" w:type="dxa"/>
            <w:vAlign w:val="bottom"/>
          </w:tcPr>
          <w:p>
            <w:pPr>
              <w:spacing w:after="0"/>
              <w:rPr>
                <w:sz w:val="13"/>
                <w:szCs w:val="13"/>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89"/>
              </w:rPr>
              <w:t>Leisure Products</w:t>
            </w:r>
          </w:p>
        </w:tc>
        <w:tc>
          <w:tcPr>
            <w:tcW w:w="120" w:type="dxa"/>
            <w:vAlign w:val="bottom"/>
          </w:tcPr>
          <w:p>
            <w:pPr>
              <w:spacing w:after="0"/>
              <w:rPr>
                <w:sz w:val="13"/>
                <w:szCs w:val="13"/>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940" w:type="dxa"/>
            <w:vAlign w:val="bottom"/>
          </w:tcPr>
          <w:p>
            <w:pPr>
              <w:spacing w:after="0"/>
              <w:rPr>
                <w:sz w:val="13"/>
                <w:szCs w:val="13"/>
                <w:color w:val="auto"/>
              </w:rPr>
            </w:pP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864</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1"/>
                <w:szCs w:val="11"/>
                <w:color w:val="auto"/>
              </w:rPr>
              <w:t>(22 )</w:t>
            </w:r>
          </w:p>
        </w:tc>
        <w:tc>
          <w:tcPr>
            <w:tcW w:w="0" w:type="dxa"/>
            <w:vAlign w:val="bottom"/>
          </w:tcPr>
          <w:p>
            <w:pPr>
              <w:spacing w:after="0"/>
              <w:rPr>
                <w:sz w:val="1"/>
                <w:szCs w:val="1"/>
                <w:color w:val="auto"/>
              </w:rPr>
            </w:pPr>
          </w:p>
        </w:tc>
      </w:tr>
      <w:tr>
        <w:trPr>
          <w:trHeight w:val="135"/>
        </w:trPr>
        <w:tc>
          <w:tcPr>
            <w:tcW w:w="3180" w:type="dxa"/>
            <w:vAlign w:val="bottom"/>
          </w:tcPr>
          <w:p>
            <w:pPr>
              <w:ind w:left="20"/>
              <w:spacing w:after="0"/>
              <w:rPr>
                <w:sz w:val="20"/>
                <w:szCs w:val="20"/>
                <w:color w:val="auto"/>
              </w:rPr>
            </w:pPr>
            <w:r>
              <w:rPr>
                <w:rFonts w:ascii="Arial" w:cs="Arial" w:eastAsia="Arial" w:hAnsi="Arial"/>
                <w:sz w:val="11"/>
                <w:szCs w:val="11"/>
                <w:color w:val="auto"/>
              </w:rPr>
              <w:t>Research Now Group, Inc. and Dynata, LLC</w:t>
            </w:r>
          </w:p>
        </w:tc>
        <w:tc>
          <w:tcPr>
            <w:tcW w:w="76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12/20/2024</w:t>
            </w:r>
          </w:p>
        </w:tc>
        <w:tc>
          <w:tcPr>
            <w:tcW w:w="140" w:type="dxa"/>
            <w:vAlign w:val="bottom"/>
          </w:tcPr>
          <w:p>
            <w:pPr>
              <w:spacing w:after="0"/>
              <w:rPr>
                <w:sz w:val="11"/>
                <w:szCs w:val="11"/>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86"/>
              </w:rPr>
              <w:t>Business Services</w:t>
            </w:r>
          </w:p>
        </w:tc>
        <w:tc>
          <w:tcPr>
            <w:tcW w:w="1080" w:type="dxa"/>
            <w:vAlign w:val="bottom"/>
            <w:gridSpan w:val="3"/>
          </w:tcPr>
          <w:p>
            <w:pPr>
              <w:jc w:val="right"/>
              <w:ind w:right="86"/>
              <w:spacing w:after="0"/>
              <w:rPr>
                <w:sz w:val="20"/>
                <w:szCs w:val="20"/>
                <w:color w:val="auto"/>
              </w:rPr>
            </w:pPr>
            <w:r>
              <w:rPr>
                <w:rFonts w:ascii="Arial" w:cs="Arial" w:eastAsia="Arial" w:hAnsi="Arial"/>
                <w:sz w:val="11"/>
                <w:szCs w:val="11"/>
                <w:color w:val="auto"/>
              </w:rPr>
              <w:t>6.50 %</w:t>
            </w:r>
          </w:p>
        </w:tc>
        <w:tc>
          <w:tcPr>
            <w:tcW w:w="940" w:type="dxa"/>
            <w:vAlign w:val="bottom"/>
          </w:tcPr>
          <w:p>
            <w:pPr>
              <w:jc w:val="right"/>
              <w:spacing w:after="0"/>
              <w:rPr>
                <w:sz w:val="20"/>
                <w:szCs w:val="20"/>
                <w:color w:val="auto"/>
              </w:rPr>
            </w:pPr>
            <w:r>
              <w:rPr>
                <w:rFonts w:ascii="Arial" w:cs="Arial" w:eastAsia="Arial" w:hAnsi="Arial"/>
                <w:sz w:val="11"/>
                <w:szCs w:val="11"/>
                <w:color w:val="auto"/>
              </w:rPr>
              <w:t>3M L+550</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17,187</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17,013</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16,156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3180" w:type="dxa"/>
            <w:vAlign w:val="bottom"/>
          </w:tcPr>
          <w:p>
            <w:pPr>
              <w:ind w:left="20"/>
              <w:spacing w:after="0" w:line="115" w:lineRule="exact"/>
              <w:rPr>
                <w:sz w:val="20"/>
                <w:szCs w:val="20"/>
                <w:color w:val="auto"/>
              </w:rPr>
            </w:pPr>
            <w:r>
              <w:rPr>
                <w:rFonts w:ascii="Arial" w:cs="Arial" w:eastAsia="Arial" w:hAnsi="Arial"/>
                <w:sz w:val="11"/>
                <w:szCs w:val="11"/>
                <w:color w:val="auto"/>
              </w:rPr>
              <w:t>Riverpoint Medical, LLC</w:t>
            </w:r>
          </w:p>
        </w:tc>
        <w:tc>
          <w:tcPr>
            <w:tcW w:w="760" w:type="dxa"/>
            <w:vAlign w:val="bottom"/>
            <w:gridSpan w:val="2"/>
          </w:tcPr>
          <w:p>
            <w:pPr>
              <w:jc w:val="center"/>
              <w:ind w:left="86"/>
              <w:spacing w:after="0" w:line="115" w:lineRule="exact"/>
              <w:rPr>
                <w:sz w:val="20"/>
                <w:szCs w:val="20"/>
                <w:color w:val="auto"/>
              </w:rPr>
            </w:pPr>
            <w:r>
              <w:rPr>
                <w:rFonts w:ascii="Arial" w:cs="Arial" w:eastAsia="Arial" w:hAnsi="Arial"/>
                <w:sz w:val="11"/>
                <w:szCs w:val="11"/>
                <w:color w:val="auto"/>
                <w:w w:val="90"/>
              </w:rPr>
              <w:t>06/20/2025</w:t>
            </w:r>
          </w:p>
        </w:tc>
        <w:tc>
          <w:tcPr>
            <w:tcW w:w="140" w:type="dxa"/>
            <w:vAlign w:val="bottom"/>
          </w:tcPr>
          <w:p>
            <w:pPr>
              <w:spacing w:after="0"/>
              <w:rPr>
                <w:sz w:val="9"/>
                <w:szCs w:val="9"/>
                <w:color w:val="auto"/>
              </w:rPr>
            </w:pPr>
          </w:p>
        </w:tc>
        <w:tc>
          <w:tcPr>
            <w:tcW w:w="2240" w:type="dxa"/>
            <w:vAlign w:val="bottom"/>
          </w:tcPr>
          <w:p>
            <w:pPr>
              <w:jc w:val="center"/>
              <w:spacing w:after="0" w:line="115" w:lineRule="exact"/>
              <w:rPr>
                <w:sz w:val="20"/>
                <w:szCs w:val="20"/>
                <w:color w:val="auto"/>
              </w:rPr>
            </w:pPr>
            <w:r>
              <w:rPr>
                <w:rFonts w:ascii="Arial" w:cs="Arial" w:eastAsia="Arial" w:hAnsi="Arial"/>
                <w:sz w:val="11"/>
                <w:szCs w:val="11"/>
                <w:color w:val="auto"/>
                <w:w w:val="87"/>
              </w:rPr>
              <w:t>Healthcare Equipment and Supplies</w:t>
            </w:r>
          </w:p>
        </w:tc>
        <w:tc>
          <w:tcPr>
            <w:tcW w:w="1080" w:type="dxa"/>
            <w:vAlign w:val="bottom"/>
            <w:gridSpan w:val="3"/>
          </w:tcPr>
          <w:p>
            <w:pPr>
              <w:jc w:val="right"/>
              <w:ind w:right="86"/>
              <w:spacing w:after="0" w:line="115" w:lineRule="exact"/>
              <w:rPr>
                <w:sz w:val="20"/>
                <w:szCs w:val="20"/>
                <w:color w:val="auto"/>
              </w:rPr>
            </w:pPr>
            <w:r>
              <w:rPr>
                <w:rFonts w:ascii="Arial" w:cs="Arial" w:eastAsia="Arial" w:hAnsi="Arial"/>
                <w:sz w:val="11"/>
                <w:szCs w:val="11"/>
                <w:color w:val="auto"/>
              </w:rPr>
              <w:t>7.74 %</w:t>
            </w:r>
          </w:p>
        </w:tc>
        <w:tc>
          <w:tcPr>
            <w:tcW w:w="940" w:type="dxa"/>
            <w:vAlign w:val="bottom"/>
          </w:tcPr>
          <w:p>
            <w:pPr>
              <w:jc w:val="right"/>
              <w:spacing w:after="0" w:line="115" w:lineRule="exact"/>
              <w:rPr>
                <w:sz w:val="20"/>
                <w:szCs w:val="20"/>
                <w:color w:val="auto"/>
              </w:rPr>
            </w:pPr>
            <w:r>
              <w:rPr>
                <w:rFonts w:ascii="Arial" w:cs="Arial" w:eastAsia="Arial" w:hAnsi="Arial"/>
                <w:sz w:val="11"/>
                <w:szCs w:val="11"/>
                <w:color w:val="auto"/>
              </w:rPr>
              <w:t>3M L+575</w:t>
            </w:r>
          </w:p>
        </w:tc>
        <w:tc>
          <w:tcPr>
            <w:tcW w:w="94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7,980</w:t>
            </w: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jc w:val="right"/>
              <w:spacing w:after="0" w:line="115" w:lineRule="exact"/>
              <w:rPr>
                <w:sz w:val="20"/>
                <w:szCs w:val="20"/>
                <w:color w:val="auto"/>
              </w:rPr>
            </w:pPr>
            <w:r>
              <w:rPr>
                <w:rFonts w:ascii="Arial" w:cs="Arial" w:eastAsia="Arial" w:hAnsi="Arial"/>
                <w:sz w:val="11"/>
                <w:szCs w:val="11"/>
                <w:color w:val="auto"/>
              </w:rPr>
              <w:t>7,919</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jc w:val="right"/>
              <w:spacing w:after="0" w:line="115" w:lineRule="exact"/>
              <w:rPr>
                <w:sz w:val="20"/>
                <w:szCs w:val="20"/>
                <w:color w:val="auto"/>
              </w:rPr>
            </w:pPr>
            <w:r>
              <w:rPr>
                <w:rFonts w:ascii="Arial" w:cs="Arial" w:eastAsia="Arial" w:hAnsi="Arial"/>
                <w:sz w:val="11"/>
                <w:szCs w:val="11"/>
                <w:color w:val="auto"/>
              </w:rPr>
              <w:t>7,781</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3180" w:type="dxa"/>
            <w:vAlign w:val="bottom"/>
          </w:tcPr>
          <w:p>
            <w:pPr>
              <w:ind w:left="20"/>
              <w:spacing w:after="0"/>
              <w:rPr>
                <w:sz w:val="20"/>
                <w:szCs w:val="20"/>
                <w:color w:val="auto"/>
              </w:rPr>
            </w:pPr>
            <w:r>
              <w:rPr>
                <w:rFonts w:ascii="Arial" w:cs="Arial" w:eastAsia="Arial" w:hAnsi="Arial"/>
                <w:sz w:val="11"/>
                <w:szCs w:val="11"/>
                <w:color w:val="auto"/>
              </w:rPr>
              <w:t xml:space="preserve">Riverpoint Medical, LLC (Revolver) </w:t>
            </w:r>
            <w:r>
              <w:rPr>
                <w:rFonts w:ascii="Arial" w:cs="Arial" w:eastAsia="Arial" w:hAnsi="Arial"/>
                <w:sz w:val="14"/>
                <w:szCs w:val="14"/>
                <w:color w:val="auto"/>
                <w:vertAlign w:val="superscript"/>
              </w:rPr>
              <w:t>(7), (9)</w:t>
            </w:r>
          </w:p>
        </w:tc>
        <w:tc>
          <w:tcPr>
            <w:tcW w:w="76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06/20/2025</w:t>
            </w:r>
          </w:p>
        </w:tc>
        <w:tc>
          <w:tcPr>
            <w:tcW w:w="140" w:type="dxa"/>
            <w:vAlign w:val="bottom"/>
          </w:tcPr>
          <w:p>
            <w:pPr>
              <w:spacing w:after="0"/>
              <w:rPr>
                <w:sz w:val="14"/>
                <w:szCs w:val="14"/>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87"/>
              </w:rPr>
              <w:t>Healthcare Equipment and Supplies</w:t>
            </w:r>
          </w:p>
        </w:tc>
        <w:tc>
          <w:tcPr>
            <w:tcW w:w="120" w:type="dxa"/>
            <w:vAlign w:val="bottom"/>
          </w:tcPr>
          <w:p>
            <w:pPr>
              <w:spacing w:after="0"/>
              <w:rPr>
                <w:sz w:val="14"/>
                <w:szCs w:val="14"/>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909</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1"/>
                <w:szCs w:val="11"/>
                <w:color w:val="auto"/>
              </w:rPr>
              <w:t>(23 )</w:t>
            </w:r>
          </w:p>
        </w:tc>
        <w:tc>
          <w:tcPr>
            <w:tcW w:w="0" w:type="dxa"/>
            <w:vAlign w:val="bottom"/>
          </w:tcPr>
          <w:p>
            <w:pPr>
              <w:spacing w:after="0"/>
              <w:rPr>
                <w:sz w:val="1"/>
                <w:szCs w:val="1"/>
                <w:color w:val="auto"/>
              </w:rPr>
            </w:pPr>
          </w:p>
        </w:tc>
      </w:tr>
      <w:tr>
        <w:trPr>
          <w:trHeight w:val="135"/>
        </w:trPr>
        <w:tc>
          <w:tcPr>
            <w:tcW w:w="3180" w:type="dxa"/>
            <w:vAlign w:val="bottom"/>
            <w:shd w:val="clear" w:color="auto" w:fill="CCECFF"/>
          </w:tcPr>
          <w:p>
            <w:pPr>
              <w:ind w:left="20"/>
              <w:spacing w:after="0"/>
              <w:rPr>
                <w:sz w:val="20"/>
                <w:szCs w:val="20"/>
                <w:color w:val="auto"/>
              </w:rPr>
            </w:pPr>
            <w:r>
              <w:rPr>
                <w:rFonts w:ascii="Arial" w:cs="Arial" w:eastAsia="Arial" w:hAnsi="Arial"/>
                <w:sz w:val="11"/>
                <w:szCs w:val="11"/>
                <w:color w:val="auto"/>
              </w:rPr>
              <w:t>Riverside Assessments, LLC</w:t>
            </w:r>
          </w:p>
        </w:tc>
        <w:tc>
          <w:tcPr>
            <w:tcW w:w="76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03/10/2025</w:t>
            </w:r>
          </w:p>
        </w:tc>
        <w:tc>
          <w:tcPr>
            <w:tcW w:w="140" w:type="dxa"/>
            <w:vAlign w:val="bottom"/>
            <w:shd w:val="clear" w:color="auto" w:fill="CCECFF"/>
          </w:tcPr>
          <w:p>
            <w:pPr>
              <w:spacing w:after="0"/>
              <w:rPr>
                <w:sz w:val="11"/>
                <w:szCs w:val="11"/>
                <w:color w:val="auto"/>
              </w:rPr>
            </w:pPr>
          </w:p>
        </w:tc>
        <w:tc>
          <w:tcPr>
            <w:tcW w:w="22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Professional Services</w:t>
            </w:r>
          </w:p>
        </w:tc>
        <w:tc>
          <w:tcPr>
            <w:tcW w:w="1080" w:type="dxa"/>
            <w:vAlign w:val="bottom"/>
            <w:gridSpan w:val="3"/>
            <w:shd w:val="clear" w:color="auto" w:fill="CCECFF"/>
          </w:tcPr>
          <w:p>
            <w:pPr>
              <w:jc w:val="right"/>
              <w:ind w:right="86"/>
              <w:spacing w:after="0"/>
              <w:rPr>
                <w:sz w:val="20"/>
                <w:szCs w:val="20"/>
                <w:color w:val="auto"/>
              </w:rPr>
            </w:pPr>
            <w:r>
              <w:rPr>
                <w:rFonts w:ascii="Arial" w:cs="Arial" w:eastAsia="Arial" w:hAnsi="Arial"/>
                <w:sz w:val="11"/>
                <w:szCs w:val="11"/>
                <w:color w:val="auto"/>
              </w:rPr>
              <w:t>8.45 %</w:t>
            </w:r>
          </w:p>
        </w:tc>
        <w:tc>
          <w:tcPr>
            <w:tcW w:w="9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L+625</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15,396</w:t>
            </w:r>
          </w:p>
        </w:tc>
        <w:tc>
          <w:tcPr>
            <w:tcW w:w="24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15,226</w:t>
            </w:r>
          </w:p>
        </w:tc>
        <w:tc>
          <w:tcPr>
            <w:tcW w:w="2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5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15,088</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3180" w:type="dxa"/>
            <w:vAlign w:val="bottom"/>
          </w:tcPr>
          <w:p>
            <w:pPr>
              <w:ind w:left="20"/>
              <w:spacing w:after="0" w:line="105" w:lineRule="exact"/>
              <w:rPr>
                <w:sz w:val="20"/>
                <w:szCs w:val="20"/>
                <w:color w:val="auto"/>
              </w:rPr>
            </w:pPr>
            <w:r>
              <w:rPr>
                <w:rFonts w:ascii="Arial" w:cs="Arial" w:eastAsia="Arial" w:hAnsi="Arial"/>
                <w:sz w:val="11"/>
                <w:szCs w:val="11"/>
                <w:color w:val="auto"/>
              </w:rPr>
              <w:t>Sales Benchmark Index LLC</w:t>
            </w:r>
          </w:p>
        </w:tc>
        <w:tc>
          <w:tcPr>
            <w:tcW w:w="760" w:type="dxa"/>
            <w:vAlign w:val="bottom"/>
            <w:gridSpan w:val="2"/>
          </w:tcPr>
          <w:p>
            <w:pPr>
              <w:jc w:val="center"/>
              <w:ind w:left="86"/>
              <w:spacing w:after="0" w:line="105" w:lineRule="exact"/>
              <w:rPr>
                <w:sz w:val="20"/>
                <w:szCs w:val="20"/>
                <w:color w:val="auto"/>
              </w:rPr>
            </w:pPr>
            <w:r>
              <w:rPr>
                <w:rFonts w:ascii="Arial" w:cs="Arial" w:eastAsia="Arial" w:hAnsi="Arial"/>
                <w:sz w:val="11"/>
                <w:szCs w:val="11"/>
                <w:color w:val="auto"/>
                <w:w w:val="90"/>
              </w:rPr>
              <w:t>01/03/2025</w:t>
            </w:r>
          </w:p>
        </w:tc>
        <w:tc>
          <w:tcPr>
            <w:tcW w:w="140" w:type="dxa"/>
            <w:vAlign w:val="bottom"/>
          </w:tcPr>
          <w:p>
            <w:pPr>
              <w:spacing w:after="0"/>
              <w:rPr>
                <w:sz w:val="9"/>
                <w:szCs w:val="9"/>
                <w:color w:val="auto"/>
              </w:rPr>
            </w:pPr>
          </w:p>
        </w:tc>
        <w:tc>
          <w:tcPr>
            <w:tcW w:w="2240" w:type="dxa"/>
            <w:vAlign w:val="bottom"/>
          </w:tcPr>
          <w:p>
            <w:pPr>
              <w:jc w:val="center"/>
              <w:spacing w:after="0" w:line="105" w:lineRule="exact"/>
              <w:rPr>
                <w:sz w:val="20"/>
                <w:szCs w:val="20"/>
                <w:color w:val="auto"/>
              </w:rPr>
            </w:pPr>
            <w:r>
              <w:rPr>
                <w:rFonts w:ascii="Arial" w:cs="Arial" w:eastAsia="Arial" w:hAnsi="Arial"/>
                <w:sz w:val="11"/>
                <w:szCs w:val="11"/>
                <w:color w:val="auto"/>
                <w:w w:val="88"/>
              </w:rPr>
              <w:t>Professional Services</w:t>
            </w:r>
          </w:p>
        </w:tc>
        <w:tc>
          <w:tcPr>
            <w:tcW w:w="1080" w:type="dxa"/>
            <w:vAlign w:val="bottom"/>
            <w:gridSpan w:val="3"/>
          </w:tcPr>
          <w:p>
            <w:pPr>
              <w:jc w:val="right"/>
              <w:ind w:right="86"/>
              <w:spacing w:after="0" w:line="105" w:lineRule="exact"/>
              <w:rPr>
                <w:sz w:val="20"/>
                <w:szCs w:val="20"/>
                <w:color w:val="auto"/>
              </w:rPr>
            </w:pPr>
            <w:r>
              <w:rPr>
                <w:rFonts w:ascii="Arial" w:cs="Arial" w:eastAsia="Arial" w:hAnsi="Arial"/>
                <w:sz w:val="11"/>
                <w:szCs w:val="11"/>
                <w:color w:val="auto"/>
              </w:rPr>
              <w:t>8.25 %</w:t>
            </w:r>
          </w:p>
        </w:tc>
        <w:tc>
          <w:tcPr>
            <w:tcW w:w="940" w:type="dxa"/>
            <w:vAlign w:val="bottom"/>
          </w:tcPr>
          <w:p>
            <w:pPr>
              <w:jc w:val="right"/>
              <w:spacing w:after="0" w:line="105" w:lineRule="exact"/>
              <w:rPr>
                <w:sz w:val="20"/>
                <w:szCs w:val="20"/>
                <w:color w:val="auto"/>
              </w:rPr>
            </w:pPr>
            <w:r>
              <w:rPr>
                <w:rFonts w:ascii="Arial" w:cs="Arial" w:eastAsia="Arial" w:hAnsi="Arial"/>
                <w:sz w:val="11"/>
                <w:szCs w:val="11"/>
                <w:color w:val="auto"/>
              </w:rPr>
              <w:t>3M L+600</w:t>
            </w:r>
          </w:p>
        </w:tc>
        <w:tc>
          <w:tcPr>
            <w:tcW w:w="940" w:type="dxa"/>
            <w:vAlign w:val="bottom"/>
            <w:gridSpan w:val="2"/>
          </w:tcPr>
          <w:p>
            <w:pPr>
              <w:jc w:val="right"/>
              <w:spacing w:after="0" w:line="105" w:lineRule="exact"/>
              <w:rPr>
                <w:sz w:val="20"/>
                <w:szCs w:val="20"/>
                <w:color w:val="auto"/>
              </w:rPr>
            </w:pPr>
            <w:r>
              <w:rPr>
                <w:rFonts w:ascii="Arial" w:cs="Arial" w:eastAsia="Arial" w:hAnsi="Arial"/>
                <w:sz w:val="11"/>
                <w:szCs w:val="11"/>
                <w:color w:val="auto"/>
              </w:rPr>
              <w:t>7,484</w:t>
            </w: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jc w:val="right"/>
              <w:spacing w:after="0" w:line="105" w:lineRule="exact"/>
              <w:rPr>
                <w:sz w:val="20"/>
                <w:szCs w:val="20"/>
                <w:color w:val="auto"/>
              </w:rPr>
            </w:pPr>
            <w:r>
              <w:rPr>
                <w:rFonts w:ascii="Arial" w:cs="Arial" w:eastAsia="Arial" w:hAnsi="Arial"/>
                <w:sz w:val="11"/>
                <w:szCs w:val="11"/>
                <w:color w:val="auto"/>
              </w:rPr>
              <w:t>7,401</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jc w:val="right"/>
              <w:spacing w:after="0" w:line="105" w:lineRule="exact"/>
              <w:rPr>
                <w:sz w:val="20"/>
                <w:szCs w:val="20"/>
                <w:color w:val="auto"/>
              </w:rPr>
            </w:pPr>
            <w:r>
              <w:rPr>
                <w:rFonts w:ascii="Arial" w:cs="Arial" w:eastAsia="Arial" w:hAnsi="Arial"/>
                <w:sz w:val="11"/>
                <w:szCs w:val="11"/>
                <w:color w:val="auto"/>
              </w:rPr>
              <w:t>7,484</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318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Sales Benchmark Index LLC (Revolver) </w:t>
            </w:r>
            <w:r>
              <w:rPr>
                <w:rFonts w:ascii="Arial" w:cs="Arial" w:eastAsia="Arial" w:hAnsi="Arial"/>
                <w:sz w:val="14"/>
                <w:szCs w:val="14"/>
                <w:color w:val="auto"/>
                <w:vertAlign w:val="superscript"/>
              </w:rPr>
              <w:t>(7), (9)</w:t>
            </w:r>
          </w:p>
        </w:tc>
        <w:tc>
          <w:tcPr>
            <w:tcW w:w="76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01/03/2025</w:t>
            </w:r>
          </w:p>
        </w:tc>
        <w:tc>
          <w:tcPr>
            <w:tcW w:w="140" w:type="dxa"/>
            <w:vAlign w:val="bottom"/>
          </w:tcPr>
          <w:p>
            <w:pPr>
              <w:spacing w:after="0"/>
              <w:rPr>
                <w:sz w:val="13"/>
                <w:szCs w:val="13"/>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88"/>
              </w:rPr>
              <w:t>Professional Services</w:t>
            </w:r>
          </w:p>
        </w:tc>
        <w:tc>
          <w:tcPr>
            <w:tcW w:w="120" w:type="dxa"/>
            <w:vAlign w:val="bottom"/>
          </w:tcPr>
          <w:p>
            <w:pPr>
              <w:spacing w:after="0"/>
              <w:rPr>
                <w:sz w:val="13"/>
                <w:szCs w:val="13"/>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1,293</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08"/>
        </w:trPr>
        <w:tc>
          <w:tcPr>
            <w:tcW w:w="3180" w:type="dxa"/>
            <w:vAlign w:val="bottom"/>
          </w:tcPr>
          <w:p>
            <w:pPr>
              <w:ind w:left="20"/>
              <w:spacing w:after="0" w:line="108" w:lineRule="exact"/>
              <w:rPr>
                <w:sz w:val="20"/>
                <w:szCs w:val="20"/>
                <w:color w:val="auto"/>
              </w:rPr>
            </w:pPr>
            <w:r>
              <w:rPr>
                <w:rFonts w:ascii="Arial" w:cs="Arial" w:eastAsia="Arial" w:hAnsi="Arial"/>
                <w:sz w:val="11"/>
                <w:szCs w:val="11"/>
                <w:color w:val="auto"/>
              </w:rPr>
              <w:t>Sargent &amp; Greenleaf Inc.</w:t>
            </w:r>
          </w:p>
        </w:tc>
        <w:tc>
          <w:tcPr>
            <w:tcW w:w="760" w:type="dxa"/>
            <w:vAlign w:val="bottom"/>
            <w:gridSpan w:val="2"/>
          </w:tcPr>
          <w:p>
            <w:pPr>
              <w:jc w:val="center"/>
              <w:ind w:left="86"/>
              <w:spacing w:after="0" w:line="108" w:lineRule="exact"/>
              <w:rPr>
                <w:sz w:val="20"/>
                <w:szCs w:val="20"/>
                <w:color w:val="auto"/>
              </w:rPr>
            </w:pPr>
            <w:r>
              <w:rPr>
                <w:rFonts w:ascii="Arial" w:cs="Arial" w:eastAsia="Arial" w:hAnsi="Arial"/>
                <w:sz w:val="11"/>
                <w:szCs w:val="11"/>
                <w:color w:val="auto"/>
                <w:w w:val="90"/>
              </w:rPr>
              <w:t>12/20/2024</w:t>
            </w:r>
          </w:p>
        </w:tc>
        <w:tc>
          <w:tcPr>
            <w:tcW w:w="140" w:type="dxa"/>
            <w:vAlign w:val="bottom"/>
          </w:tcPr>
          <w:p>
            <w:pPr>
              <w:spacing w:after="0"/>
              <w:rPr>
                <w:sz w:val="9"/>
                <w:szCs w:val="9"/>
                <w:color w:val="auto"/>
              </w:rPr>
            </w:pPr>
          </w:p>
        </w:tc>
        <w:tc>
          <w:tcPr>
            <w:tcW w:w="2240" w:type="dxa"/>
            <w:vAlign w:val="bottom"/>
          </w:tcPr>
          <w:p>
            <w:pPr>
              <w:jc w:val="center"/>
              <w:spacing w:after="0" w:line="108" w:lineRule="exact"/>
              <w:rPr>
                <w:sz w:val="20"/>
                <w:szCs w:val="20"/>
                <w:color w:val="auto"/>
              </w:rPr>
            </w:pPr>
            <w:r>
              <w:rPr>
                <w:rFonts w:ascii="Arial" w:cs="Arial" w:eastAsia="Arial" w:hAnsi="Arial"/>
                <w:sz w:val="11"/>
                <w:szCs w:val="11"/>
                <w:color w:val="auto"/>
                <w:w w:val="89"/>
              </w:rPr>
              <w:t>Electronic Equipment, Instruments, and</w:t>
            </w:r>
          </w:p>
        </w:tc>
        <w:tc>
          <w:tcPr>
            <w:tcW w:w="1080" w:type="dxa"/>
            <w:vAlign w:val="bottom"/>
            <w:gridSpan w:val="3"/>
          </w:tcPr>
          <w:p>
            <w:pPr>
              <w:jc w:val="right"/>
              <w:ind w:right="86"/>
              <w:spacing w:after="0" w:line="108" w:lineRule="exact"/>
              <w:rPr>
                <w:sz w:val="20"/>
                <w:szCs w:val="20"/>
                <w:color w:val="auto"/>
              </w:rPr>
            </w:pPr>
            <w:r>
              <w:rPr>
                <w:rFonts w:ascii="Arial" w:cs="Arial" w:eastAsia="Arial" w:hAnsi="Arial"/>
                <w:sz w:val="11"/>
                <w:szCs w:val="11"/>
                <w:color w:val="auto"/>
              </w:rPr>
              <w:t>7.15 %</w:t>
            </w:r>
          </w:p>
        </w:tc>
        <w:tc>
          <w:tcPr>
            <w:tcW w:w="940" w:type="dxa"/>
            <w:vAlign w:val="bottom"/>
          </w:tcPr>
          <w:p>
            <w:pPr>
              <w:jc w:val="right"/>
              <w:spacing w:after="0" w:line="108" w:lineRule="exact"/>
              <w:rPr>
                <w:sz w:val="20"/>
                <w:szCs w:val="20"/>
                <w:color w:val="auto"/>
              </w:rPr>
            </w:pPr>
            <w:r>
              <w:rPr>
                <w:rFonts w:ascii="Arial" w:cs="Arial" w:eastAsia="Arial" w:hAnsi="Arial"/>
                <w:sz w:val="11"/>
                <w:szCs w:val="11"/>
                <w:color w:val="auto"/>
              </w:rPr>
              <w:t>1M L+550</w:t>
            </w:r>
          </w:p>
        </w:tc>
        <w:tc>
          <w:tcPr>
            <w:tcW w:w="940" w:type="dxa"/>
            <w:vAlign w:val="bottom"/>
            <w:gridSpan w:val="2"/>
          </w:tcPr>
          <w:p>
            <w:pPr>
              <w:jc w:val="right"/>
              <w:spacing w:after="0" w:line="108" w:lineRule="exact"/>
              <w:rPr>
                <w:sz w:val="20"/>
                <w:szCs w:val="20"/>
                <w:color w:val="auto"/>
              </w:rPr>
            </w:pPr>
            <w:r>
              <w:rPr>
                <w:rFonts w:ascii="Arial" w:cs="Arial" w:eastAsia="Arial" w:hAnsi="Arial"/>
                <w:sz w:val="11"/>
                <w:szCs w:val="11"/>
                <w:color w:val="auto"/>
              </w:rPr>
              <w:t>3,588</w:t>
            </w: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jc w:val="right"/>
              <w:spacing w:after="0" w:line="108" w:lineRule="exact"/>
              <w:rPr>
                <w:sz w:val="20"/>
                <w:szCs w:val="20"/>
                <w:color w:val="auto"/>
              </w:rPr>
            </w:pPr>
            <w:r>
              <w:rPr>
                <w:rFonts w:ascii="Arial" w:cs="Arial" w:eastAsia="Arial" w:hAnsi="Arial"/>
                <w:sz w:val="11"/>
                <w:szCs w:val="11"/>
                <w:color w:val="auto"/>
              </w:rPr>
              <w:t>3,559</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jc w:val="right"/>
              <w:spacing w:after="0" w:line="108" w:lineRule="exact"/>
              <w:rPr>
                <w:sz w:val="20"/>
                <w:szCs w:val="20"/>
                <w:color w:val="auto"/>
              </w:rPr>
            </w:pPr>
            <w:r>
              <w:rPr>
                <w:rFonts w:ascii="Arial" w:cs="Arial" w:eastAsia="Arial" w:hAnsi="Arial"/>
                <w:sz w:val="11"/>
                <w:szCs w:val="11"/>
                <w:color w:val="auto"/>
              </w:rPr>
              <w:t>3,552</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3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86"/>
              </w:rPr>
              <w:t>Components</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3180" w:type="dxa"/>
            <w:vAlign w:val="bottom"/>
            <w:shd w:val="clear" w:color="auto" w:fill="CCECFF"/>
          </w:tcPr>
          <w:p>
            <w:pPr>
              <w:ind w:left="20"/>
              <w:spacing w:after="0" w:line="103" w:lineRule="exact"/>
              <w:rPr>
                <w:sz w:val="20"/>
                <w:szCs w:val="20"/>
                <w:color w:val="auto"/>
              </w:rPr>
            </w:pPr>
            <w:r>
              <w:rPr>
                <w:rFonts w:ascii="Arial" w:cs="Arial" w:eastAsia="Arial" w:hAnsi="Arial"/>
                <w:sz w:val="11"/>
                <w:szCs w:val="11"/>
                <w:color w:val="auto"/>
              </w:rPr>
              <w:t>Sargent &amp; Greenleaf Inc. (Revolver)</w:t>
            </w:r>
          </w:p>
        </w:tc>
        <w:tc>
          <w:tcPr>
            <w:tcW w:w="760" w:type="dxa"/>
            <w:vAlign w:val="bottom"/>
            <w:gridSpan w:val="2"/>
            <w:shd w:val="clear" w:color="auto" w:fill="CCECFF"/>
          </w:tcPr>
          <w:p>
            <w:pPr>
              <w:jc w:val="center"/>
              <w:ind w:left="86"/>
              <w:spacing w:after="0" w:line="103" w:lineRule="exact"/>
              <w:rPr>
                <w:sz w:val="20"/>
                <w:szCs w:val="20"/>
                <w:color w:val="auto"/>
              </w:rPr>
            </w:pPr>
            <w:r>
              <w:rPr>
                <w:rFonts w:ascii="Arial" w:cs="Arial" w:eastAsia="Arial" w:hAnsi="Arial"/>
                <w:sz w:val="11"/>
                <w:szCs w:val="11"/>
                <w:color w:val="auto"/>
                <w:w w:val="90"/>
              </w:rPr>
              <w:t>12/20/2024</w:t>
            </w:r>
          </w:p>
        </w:tc>
        <w:tc>
          <w:tcPr>
            <w:tcW w:w="140" w:type="dxa"/>
            <w:vAlign w:val="bottom"/>
            <w:shd w:val="clear" w:color="auto" w:fill="CCECFF"/>
          </w:tcPr>
          <w:p>
            <w:pPr>
              <w:spacing w:after="0"/>
              <w:rPr>
                <w:sz w:val="8"/>
                <w:szCs w:val="8"/>
                <w:color w:val="auto"/>
              </w:rPr>
            </w:pPr>
          </w:p>
        </w:tc>
        <w:tc>
          <w:tcPr>
            <w:tcW w:w="2240" w:type="dxa"/>
            <w:vAlign w:val="bottom"/>
            <w:shd w:val="clear" w:color="auto" w:fill="CCECFF"/>
          </w:tcPr>
          <w:p>
            <w:pPr>
              <w:jc w:val="center"/>
              <w:spacing w:after="0" w:line="103" w:lineRule="exact"/>
              <w:rPr>
                <w:sz w:val="20"/>
                <w:szCs w:val="20"/>
                <w:color w:val="auto"/>
              </w:rPr>
            </w:pPr>
            <w:r>
              <w:rPr>
                <w:rFonts w:ascii="Arial" w:cs="Arial" w:eastAsia="Arial" w:hAnsi="Arial"/>
                <w:sz w:val="11"/>
                <w:szCs w:val="11"/>
                <w:color w:val="auto"/>
                <w:w w:val="89"/>
              </w:rPr>
              <w:t>Electronic Equipment, Instruments, and</w:t>
            </w:r>
          </w:p>
        </w:tc>
        <w:tc>
          <w:tcPr>
            <w:tcW w:w="1080" w:type="dxa"/>
            <w:vAlign w:val="bottom"/>
            <w:gridSpan w:val="3"/>
            <w:shd w:val="clear" w:color="auto" w:fill="CCECFF"/>
          </w:tcPr>
          <w:p>
            <w:pPr>
              <w:jc w:val="right"/>
              <w:ind w:right="86"/>
              <w:spacing w:after="0" w:line="103" w:lineRule="exact"/>
              <w:rPr>
                <w:sz w:val="20"/>
                <w:szCs w:val="20"/>
                <w:color w:val="auto"/>
              </w:rPr>
            </w:pPr>
            <w:r>
              <w:rPr>
                <w:rFonts w:ascii="Arial" w:cs="Arial" w:eastAsia="Arial" w:hAnsi="Arial"/>
                <w:sz w:val="11"/>
                <w:szCs w:val="11"/>
                <w:color w:val="auto"/>
              </w:rPr>
              <w:t>7.00 %</w:t>
            </w:r>
          </w:p>
        </w:tc>
        <w:tc>
          <w:tcPr>
            <w:tcW w:w="940" w:type="dxa"/>
            <w:vAlign w:val="bottom"/>
            <w:shd w:val="clear" w:color="auto" w:fill="CCECFF"/>
          </w:tcPr>
          <w:p>
            <w:pPr>
              <w:jc w:val="right"/>
              <w:spacing w:after="0" w:line="103" w:lineRule="exact"/>
              <w:rPr>
                <w:sz w:val="20"/>
                <w:szCs w:val="20"/>
                <w:color w:val="auto"/>
              </w:rPr>
            </w:pPr>
            <w:r>
              <w:rPr>
                <w:rFonts w:ascii="Arial" w:cs="Arial" w:eastAsia="Arial" w:hAnsi="Arial"/>
                <w:sz w:val="11"/>
                <w:szCs w:val="11"/>
                <w:color w:val="auto"/>
              </w:rPr>
              <w:t>1M L+550</w:t>
            </w:r>
          </w:p>
        </w:tc>
        <w:tc>
          <w:tcPr>
            <w:tcW w:w="940" w:type="dxa"/>
            <w:vAlign w:val="bottom"/>
            <w:gridSpan w:val="2"/>
            <w:shd w:val="clear" w:color="auto" w:fill="CCECFF"/>
          </w:tcPr>
          <w:p>
            <w:pPr>
              <w:jc w:val="right"/>
              <w:spacing w:after="0" w:line="103" w:lineRule="exact"/>
              <w:rPr>
                <w:sz w:val="20"/>
                <w:szCs w:val="20"/>
                <w:color w:val="auto"/>
              </w:rPr>
            </w:pPr>
            <w:r>
              <w:rPr>
                <w:rFonts w:ascii="Arial" w:cs="Arial" w:eastAsia="Arial" w:hAnsi="Arial"/>
                <w:sz w:val="11"/>
                <w:szCs w:val="11"/>
                <w:color w:val="auto"/>
              </w:rPr>
              <w:t>1,056</w:t>
            </w:r>
          </w:p>
        </w:tc>
        <w:tc>
          <w:tcPr>
            <w:tcW w:w="240" w:type="dxa"/>
            <w:vAlign w:val="bottom"/>
            <w:shd w:val="clear" w:color="auto" w:fill="CCECFF"/>
          </w:tcPr>
          <w:p>
            <w:pPr>
              <w:spacing w:after="0"/>
              <w:rPr>
                <w:sz w:val="8"/>
                <w:szCs w:val="8"/>
                <w:color w:val="auto"/>
              </w:rPr>
            </w:pPr>
          </w:p>
        </w:tc>
        <w:tc>
          <w:tcPr>
            <w:tcW w:w="140" w:type="dxa"/>
            <w:vAlign w:val="bottom"/>
            <w:shd w:val="clear" w:color="auto" w:fill="CCECFF"/>
          </w:tcPr>
          <w:p>
            <w:pPr>
              <w:spacing w:after="0"/>
              <w:rPr>
                <w:sz w:val="8"/>
                <w:szCs w:val="8"/>
                <w:color w:val="auto"/>
              </w:rPr>
            </w:pPr>
          </w:p>
        </w:tc>
        <w:tc>
          <w:tcPr>
            <w:tcW w:w="560" w:type="dxa"/>
            <w:vAlign w:val="bottom"/>
            <w:shd w:val="clear" w:color="auto" w:fill="CCECFF"/>
          </w:tcPr>
          <w:p>
            <w:pPr>
              <w:jc w:val="right"/>
              <w:spacing w:after="0" w:line="103" w:lineRule="exact"/>
              <w:rPr>
                <w:sz w:val="20"/>
                <w:szCs w:val="20"/>
                <w:color w:val="auto"/>
              </w:rPr>
            </w:pPr>
            <w:r>
              <w:rPr>
                <w:rFonts w:ascii="Arial" w:cs="Arial" w:eastAsia="Arial" w:hAnsi="Arial"/>
                <w:sz w:val="11"/>
                <w:szCs w:val="11"/>
                <w:color w:val="auto"/>
              </w:rPr>
              <w:t>1,056</w:t>
            </w:r>
          </w:p>
        </w:tc>
        <w:tc>
          <w:tcPr>
            <w:tcW w:w="220" w:type="dxa"/>
            <w:vAlign w:val="bottom"/>
            <w:shd w:val="clear" w:color="auto" w:fill="CCECFF"/>
          </w:tcPr>
          <w:p>
            <w:pPr>
              <w:spacing w:after="0"/>
              <w:rPr>
                <w:sz w:val="8"/>
                <w:szCs w:val="8"/>
                <w:color w:val="auto"/>
              </w:rPr>
            </w:pPr>
          </w:p>
        </w:tc>
        <w:tc>
          <w:tcPr>
            <w:tcW w:w="200" w:type="dxa"/>
            <w:vAlign w:val="bottom"/>
            <w:shd w:val="clear" w:color="auto" w:fill="CCECFF"/>
          </w:tcPr>
          <w:p>
            <w:pPr>
              <w:spacing w:after="0"/>
              <w:rPr>
                <w:sz w:val="8"/>
                <w:szCs w:val="8"/>
                <w:color w:val="auto"/>
              </w:rPr>
            </w:pPr>
          </w:p>
        </w:tc>
        <w:tc>
          <w:tcPr>
            <w:tcW w:w="500" w:type="dxa"/>
            <w:vAlign w:val="bottom"/>
            <w:shd w:val="clear" w:color="auto" w:fill="CCECFF"/>
          </w:tcPr>
          <w:p>
            <w:pPr>
              <w:jc w:val="right"/>
              <w:spacing w:after="0" w:line="103" w:lineRule="exact"/>
              <w:rPr>
                <w:sz w:val="20"/>
                <w:szCs w:val="20"/>
                <w:color w:val="auto"/>
              </w:rPr>
            </w:pPr>
            <w:r>
              <w:rPr>
                <w:rFonts w:ascii="Arial" w:cs="Arial" w:eastAsia="Arial" w:hAnsi="Arial"/>
                <w:sz w:val="11"/>
                <w:szCs w:val="11"/>
                <w:color w:val="auto"/>
              </w:rPr>
              <w:t>1,046</w:t>
            </w:r>
          </w:p>
        </w:tc>
        <w:tc>
          <w:tcPr>
            <w:tcW w:w="10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45"/>
        </w:trPr>
        <w:tc>
          <w:tcPr>
            <w:tcW w:w="318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22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Components</w:t>
            </w:r>
          </w:p>
        </w:tc>
        <w:tc>
          <w:tcPr>
            <w:tcW w:w="12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9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6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5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3180" w:type="dxa"/>
            <w:vAlign w:val="bottom"/>
          </w:tcPr>
          <w:p>
            <w:pPr>
              <w:ind w:left="20"/>
              <w:spacing w:after="0" w:line="125" w:lineRule="exact"/>
              <w:rPr>
                <w:sz w:val="20"/>
                <w:szCs w:val="20"/>
                <w:color w:val="auto"/>
              </w:rPr>
            </w:pPr>
            <w:r>
              <w:rPr>
                <w:rFonts w:ascii="Arial" w:cs="Arial" w:eastAsia="Arial" w:hAnsi="Arial"/>
                <w:sz w:val="11"/>
                <w:szCs w:val="11"/>
                <w:color w:val="auto"/>
              </w:rPr>
              <w:t>Schlesinger Global, Inc.</w:t>
            </w:r>
          </w:p>
        </w:tc>
        <w:tc>
          <w:tcPr>
            <w:tcW w:w="760" w:type="dxa"/>
            <w:vAlign w:val="bottom"/>
            <w:gridSpan w:val="2"/>
          </w:tcPr>
          <w:p>
            <w:pPr>
              <w:jc w:val="center"/>
              <w:ind w:left="86"/>
              <w:spacing w:after="0" w:line="125" w:lineRule="exact"/>
              <w:rPr>
                <w:sz w:val="20"/>
                <w:szCs w:val="20"/>
                <w:color w:val="auto"/>
              </w:rPr>
            </w:pPr>
            <w:r>
              <w:rPr>
                <w:rFonts w:ascii="Arial" w:cs="Arial" w:eastAsia="Arial" w:hAnsi="Arial"/>
                <w:sz w:val="11"/>
                <w:szCs w:val="11"/>
                <w:color w:val="auto"/>
                <w:w w:val="90"/>
              </w:rPr>
              <w:t>07/14/2025</w:t>
            </w:r>
          </w:p>
        </w:tc>
        <w:tc>
          <w:tcPr>
            <w:tcW w:w="140" w:type="dxa"/>
            <w:vAlign w:val="bottom"/>
          </w:tcPr>
          <w:p>
            <w:pPr>
              <w:spacing w:after="0"/>
              <w:rPr>
                <w:sz w:val="10"/>
                <w:szCs w:val="10"/>
                <w:color w:val="auto"/>
              </w:rPr>
            </w:pPr>
          </w:p>
        </w:tc>
        <w:tc>
          <w:tcPr>
            <w:tcW w:w="2240" w:type="dxa"/>
            <w:vAlign w:val="bottom"/>
          </w:tcPr>
          <w:p>
            <w:pPr>
              <w:jc w:val="center"/>
              <w:spacing w:after="0" w:line="125" w:lineRule="exact"/>
              <w:rPr>
                <w:sz w:val="20"/>
                <w:szCs w:val="20"/>
                <w:color w:val="auto"/>
              </w:rPr>
            </w:pPr>
            <w:r>
              <w:rPr>
                <w:rFonts w:ascii="Arial" w:cs="Arial" w:eastAsia="Arial" w:hAnsi="Arial"/>
                <w:sz w:val="11"/>
                <w:szCs w:val="11"/>
                <w:color w:val="auto"/>
                <w:w w:val="88"/>
              </w:rPr>
              <w:t>Professional Services</w:t>
            </w:r>
          </w:p>
        </w:tc>
        <w:tc>
          <w:tcPr>
            <w:tcW w:w="1080" w:type="dxa"/>
            <w:vAlign w:val="bottom"/>
            <w:gridSpan w:val="3"/>
          </w:tcPr>
          <w:p>
            <w:pPr>
              <w:jc w:val="right"/>
              <w:ind w:right="86"/>
              <w:spacing w:after="0" w:line="125" w:lineRule="exact"/>
              <w:rPr>
                <w:sz w:val="20"/>
                <w:szCs w:val="20"/>
                <w:color w:val="auto"/>
              </w:rPr>
            </w:pPr>
            <w:r>
              <w:rPr>
                <w:rFonts w:ascii="Arial" w:cs="Arial" w:eastAsia="Arial" w:hAnsi="Arial"/>
                <w:sz w:val="11"/>
                <w:szCs w:val="11"/>
                <w:color w:val="auto"/>
              </w:rPr>
              <w:t>8.70 %</w:t>
            </w:r>
          </w:p>
        </w:tc>
        <w:tc>
          <w:tcPr>
            <w:tcW w:w="940" w:type="dxa"/>
            <w:vAlign w:val="bottom"/>
          </w:tcPr>
          <w:p>
            <w:pPr>
              <w:jc w:val="right"/>
              <w:spacing w:after="0" w:line="125" w:lineRule="exact"/>
              <w:rPr>
                <w:sz w:val="20"/>
                <w:szCs w:val="20"/>
                <w:color w:val="auto"/>
              </w:rPr>
            </w:pPr>
            <w:r>
              <w:rPr>
                <w:rFonts w:ascii="Arial" w:cs="Arial" w:eastAsia="Arial" w:hAnsi="Arial"/>
                <w:sz w:val="11"/>
                <w:szCs w:val="11"/>
                <w:color w:val="auto"/>
              </w:rPr>
              <w:t>SOFR + 500</w:t>
            </w:r>
          </w:p>
        </w:tc>
        <w:tc>
          <w:tcPr>
            <w:tcW w:w="940" w:type="dxa"/>
            <w:vAlign w:val="bottom"/>
            <w:gridSpan w:val="2"/>
          </w:tcPr>
          <w:p>
            <w:pPr>
              <w:jc w:val="right"/>
              <w:spacing w:after="0" w:line="125" w:lineRule="exact"/>
              <w:rPr>
                <w:sz w:val="20"/>
                <w:szCs w:val="20"/>
                <w:color w:val="auto"/>
              </w:rPr>
            </w:pPr>
            <w:r>
              <w:rPr>
                <w:rFonts w:ascii="Arial" w:cs="Arial" w:eastAsia="Arial" w:hAnsi="Arial"/>
                <w:sz w:val="11"/>
                <w:szCs w:val="11"/>
                <w:color w:val="auto"/>
              </w:rPr>
              <w:t>14,578</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jc w:val="right"/>
              <w:spacing w:after="0" w:line="125" w:lineRule="exact"/>
              <w:rPr>
                <w:sz w:val="20"/>
                <w:szCs w:val="20"/>
                <w:color w:val="auto"/>
              </w:rPr>
            </w:pPr>
            <w:r>
              <w:rPr>
                <w:rFonts w:ascii="Arial" w:cs="Arial" w:eastAsia="Arial" w:hAnsi="Arial"/>
                <w:sz w:val="11"/>
                <w:szCs w:val="11"/>
                <w:color w:val="auto"/>
              </w:rPr>
              <w:t>14,478</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jc w:val="right"/>
              <w:spacing w:after="0" w:line="125" w:lineRule="exact"/>
              <w:rPr>
                <w:sz w:val="20"/>
                <w:szCs w:val="20"/>
                <w:color w:val="auto"/>
              </w:rPr>
            </w:pPr>
            <w:r>
              <w:rPr>
                <w:rFonts w:ascii="Arial" w:cs="Arial" w:eastAsia="Arial" w:hAnsi="Arial"/>
                <w:sz w:val="11"/>
                <w:szCs w:val="11"/>
                <w:color w:val="auto"/>
              </w:rPr>
              <w:t>14,359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3180" w:type="dxa"/>
            <w:vAlign w:val="bottom"/>
          </w:tcPr>
          <w:p>
            <w:pPr>
              <w:ind w:left="20"/>
              <w:spacing w:after="0" w:line="115" w:lineRule="exact"/>
              <w:rPr>
                <w:sz w:val="20"/>
                <w:szCs w:val="20"/>
                <w:color w:val="auto"/>
              </w:rPr>
            </w:pPr>
            <w:r>
              <w:rPr>
                <w:rFonts w:ascii="Arial" w:cs="Arial" w:eastAsia="Arial" w:hAnsi="Arial"/>
                <w:sz w:val="11"/>
                <w:szCs w:val="11"/>
                <w:color w:val="auto"/>
              </w:rPr>
              <w:t>Schlesinger Global, Inc. (Revolver)</w:t>
            </w:r>
          </w:p>
        </w:tc>
        <w:tc>
          <w:tcPr>
            <w:tcW w:w="760" w:type="dxa"/>
            <w:vAlign w:val="bottom"/>
            <w:gridSpan w:val="2"/>
          </w:tcPr>
          <w:p>
            <w:pPr>
              <w:jc w:val="center"/>
              <w:ind w:left="86"/>
              <w:spacing w:after="0" w:line="115" w:lineRule="exact"/>
              <w:rPr>
                <w:sz w:val="20"/>
                <w:szCs w:val="20"/>
                <w:color w:val="auto"/>
              </w:rPr>
            </w:pPr>
            <w:r>
              <w:rPr>
                <w:rFonts w:ascii="Arial" w:cs="Arial" w:eastAsia="Arial" w:hAnsi="Arial"/>
                <w:sz w:val="11"/>
                <w:szCs w:val="11"/>
                <w:color w:val="auto"/>
                <w:w w:val="90"/>
              </w:rPr>
              <w:t>07/14/2025</w:t>
            </w:r>
          </w:p>
        </w:tc>
        <w:tc>
          <w:tcPr>
            <w:tcW w:w="140" w:type="dxa"/>
            <w:vAlign w:val="bottom"/>
          </w:tcPr>
          <w:p>
            <w:pPr>
              <w:spacing w:after="0"/>
              <w:rPr>
                <w:sz w:val="9"/>
                <w:szCs w:val="9"/>
                <w:color w:val="auto"/>
              </w:rPr>
            </w:pPr>
          </w:p>
        </w:tc>
        <w:tc>
          <w:tcPr>
            <w:tcW w:w="2240" w:type="dxa"/>
            <w:vAlign w:val="bottom"/>
          </w:tcPr>
          <w:p>
            <w:pPr>
              <w:jc w:val="center"/>
              <w:spacing w:after="0" w:line="115" w:lineRule="exact"/>
              <w:rPr>
                <w:sz w:val="20"/>
                <w:szCs w:val="20"/>
                <w:color w:val="auto"/>
              </w:rPr>
            </w:pPr>
            <w:r>
              <w:rPr>
                <w:rFonts w:ascii="Arial" w:cs="Arial" w:eastAsia="Arial" w:hAnsi="Arial"/>
                <w:sz w:val="11"/>
                <w:szCs w:val="11"/>
                <w:color w:val="auto"/>
                <w:w w:val="88"/>
              </w:rPr>
              <w:t>Professional Services</w:t>
            </w:r>
          </w:p>
        </w:tc>
        <w:tc>
          <w:tcPr>
            <w:tcW w:w="1080" w:type="dxa"/>
            <w:vAlign w:val="bottom"/>
            <w:gridSpan w:val="3"/>
          </w:tcPr>
          <w:p>
            <w:pPr>
              <w:jc w:val="right"/>
              <w:ind w:right="86"/>
              <w:spacing w:after="0" w:line="115" w:lineRule="exact"/>
              <w:rPr>
                <w:sz w:val="20"/>
                <w:szCs w:val="20"/>
                <w:color w:val="auto"/>
              </w:rPr>
            </w:pPr>
            <w:r>
              <w:rPr>
                <w:rFonts w:ascii="Arial" w:cs="Arial" w:eastAsia="Arial" w:hAnsi="Arial"/>
                <w:sz w:val="11"/>
                <w:szCs w:val="11"/>
                <w:color w:val="auto"/>
              </w:rPr>
              <w:t>8.58 %</w:t>
            </w:r>
          </w:p>
        </w:tc>
        <w:tc>
          <w:tcPr>
            <w:tcW w:w="940" w:type="dxa"/>
            <w:vAlign w:val="bottom"/>
          </w:tcPr>
          <w:p>
            <w:pPr>
              <w:jc w:val="right"/>
              <w:spacing w:after="0" w:line="115" w:lineRule="exact"/>
              <w:rPr>
                <w:sz w:val="20"/>
                <w:szCs w:val="20"/>
                <w:color w:val="auto"/>
              </w:rPr>
            </w:pPr>
            <w:r>
              <w:rPr>
                <w:rFonts w:ascii="Arial" w:cs="Arial" w:eastAsia="Arial" w:hAnsi="Arial"/>
                <w:sz w:val="11"/>
                <w:szCs w:val="11"/>
                <w:color w:val="auto"/>
              </w:rPr>
              <w:t>1M L+600</w:t>
            </w:r>
          </w:p>
        </w:tc>
        <w:tc>
          <w:tcPr>
            <w:tcW w:w="94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1,485</w:t>
            </w: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jc w:val="right"/>
              <w:spacing w:after="0" w:line="115" w:lineRule="exact"/>
              <w:rPr>
                <w:sz w:val="20"/>
                <w:szCs w:val="20"/>
                <w:color w:val="auto"/>
              </w:rPr>
            </w:pPr>
            <w:r>
              <w:rPr>
                <w:rFonts w:ascii="Arial" w:cs="Arial" w:eastAsia="Arial" w:hAnsi="Arial"/>
                <w:sz w:val="11"/>
                <w:szCs w:val="11"/>
                <w:color w:val="auto"/>
              </w:rPr>
              <w:t>1,485</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jc w:val="right"/>
              <w:spacing w:after="0" w:line="115" w:lineRule="exact"/>
              <w:rPr>
                <w:sz w:val="20"/>
                <w:szCs w:val="20"/>
                <w:color w:val="auto"/>
              </w:rPr>
            </w:pPr>
            <w:r>
              <w:rPr>
                <w:rFonts w:ascii="Arial" w:cs="Arial" w:eastAsia="Arial" w:hAnsi="Arial"/>
                <w:sz w:val="11"/>
                <w:szCs w:val="11"/>
                <w:color w:val="auto"/>
              </w:rPr>
              <w:t>1,463</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318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Schlesinger Global, Inc. (Revolver) </w:t>
            </w:r>
            <w:r>
              <w:rPr>
                <w:rFonts w:ascii="Arial" w:cs="Arial" w:eastAsia="Arial" w:hAnsi="Arial"/>
                <w:sz w:val="14"/>
                <w:szCs w:val="14"/>
                <w:color w:val="auto"/>
                <w:vertAlign w:val="superscript"/>
              </w:rPr>
              <w:t>(7), (9)</w:t>
            </w:r>
          </w:p>
        </w:tc>
        <w:tc>
          <w:tcPr>
            <w:tcW w:w="76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07/14/2025</w:t>
            </w:r>
          </w:p>
        </w:tc>
        <w:tc>
          <w:tcPr>
            <w:tcW w:w="140" w:type="dxa"/>
            <w:vAlign w:val="bottom"/>
          </w:tcPr>
          <w:p>
            <w:pPr>
              <w:spacing w:after="0"/>
              <w:rPr>
                <w:sz w:val="13"/>
                <w:szCs w:val="13"/>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88"/>
              </w:rPr>
              <w:t>Professional Services</w:t>
            </w:r>
          </w:p>
        </w:tc>
        <w:tc>
          <w:tcPr>
            <w:tcW w:w="120" w:type="dxa"/>
            <w:vAlign w:val="bottom"/>
          </w:tcPr>
          <w:p>
            <w:pPr>
              <w:spacing w:after="0"/>
              <w:rPr>
                <w:sz w:val="13"/>
                <w:szCs w:val="13"/>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385</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1"/>
                <w:szCs w:val="11"/>
                <w:color w:val="auto"/>
              </w:rPr>
              <w:t>(6 )</w:t>
            </w:r>
          </w:p>
        </w:tc>
        <w:tc>
          <w:tcPr>
            <w:tcW w:w="0" w:type="dxa"/>
            <w:vAlign w:val="bottom"/>
          </w:tcPr>
          <w:p>
            <w:pPr>
              <w:spacing w:after="0"/>
              <w:rPr>
                <w:sz w:val="1"/>
                <w:szCs w:val="1"/>
                <w:color w:val="auto"/>
              </w:rPr>
            </w:pPr>
          </w:p>
        </w:tc>
      </w:tr>
      <w:tr>
        <w:trPr>
          <w:trHeight w:val="115"/>
        </w:trPr>
        <w:tc>
          <w:tcPr>
            <w:tcW w:w="3180" w:type="dxa"/>
            <w:vAlign w:val="bottom"/>
          </w:tcPr>
          <w:p>
            <w:pPr>
              <w:ind w:left="20"/>
              <w:spacing w:after="0" w:line="115" w:lineRule="exact"/>
              <w:rPr>
                <w:sz w:val="20"/>
                <w:szCs w:val="20"/>
                <w:color w:val="auto"/>
              </w:rPr>
            </w:pPr>
            <w:r>
              <w:rPr>
                <w:rFonts w:ascii="Arial" w:cs="Arial" w:eastAsia="Arial" w:hAnsi="Arial"/>
                <w:sz w:val="11"/>
                <w:szCs w:val="11"/>
                <w:color w:val="auto"/>
              </w:rPr>
              <w:t>Sigma Defense Systems, LLC</w:t>
            </w:r>
          </w:p>
        </w:tc>
        <w:tc>
          <w:tcPr>
            <w:tcW w:w="760" w:type="dxa"/>
            <w:vAlign w:val="bottom"/>
            <w:gridSpan w:val="2"/>
          </w:tcPr>
          <w:p>
            <w:pPr>
              <w:jc w:val="center"/>
              <w:ind w:left="86"/>
              <w:spacing w:after="0" w:line="115" w:lineRule="exact"/>
              <w:rPr>
                <w:sz w:val="20"/>
                <w:szCs w:val="20"/>
                <w:color w:val="auto"/>
              </w:rPr>
            </w:pPr>
            <w:r>
              <w:rPr>
                <w:rFonts w:ascii="Arial" w:cs="Arial" w:eastAsia="Arial" w:hAnsi="Arial"/>
                <w:sz w:val="11"/>
                <w:szCs w:val="11"/>
                <w:color w:val="auto"/>
                <w:w w:val="90"/>
              </w:rPr>
              <w:t>12/18/2025</w:t>
            </w:r>
          </w:p>
        </w:tc>
        <w:tc>
          <w:tcPr>
            <w:tcW w:w="140" w:type="dxa"/>
            <w:vAlign w:val="bottom"/>
          </w:tcPr>
          <w:p>
            <w:pPr>
              <w:spacing w:after="0"/>
              <w:rPr>
                <w:sz w:val="9"/>
                <w:szCs w:val="9"/>
                <w:color w:val="auto"/>
              </w:rPr>
            </w:pPr>
          </w:p>
        </w:tc>
        <w:tc>
          <w:tcPr>
            <w:tcW w:w="2240" w:type="dxa"/>
            <w:vAlign w:val="bottom"/>
          </w:tcPr>
          <w:p>
            <w:pPr>
              <w:jc w:val="center"/>
              <w:spacing w:after="0" w:line="115" w:lineRule="exact"/>
              <w:rPr>
                <w:sz w:val="20"/>
                <w:szCs w:val="20"/>
                <w:color w:val="auto"/>
              </w:rPr>
            </w:pPr>
            <w:r>
              <w:rPr>
                <w:rFonts w:ascii="Arial" w:cs="Arial" w:eastAsia="Arial" w:hAnsi="Arial"/>
                <w:sz w:val="11"/>
                <w:szCs w:val="11"/>
                <w:color w:val="auto"/>
                <w:w w:val="90"/>
              </w:rPr>
              <w:t>IT Services</w:t>
            </w:r>
          </w:p>
        </w:tc>
        <w:tc>
          <w:tcPr>
            <w:tcW w:w="1080" w:type="dxa"/>
            <w:vAlign w:val="bottom"/>
            <w:gridSpan w:val="3"/>
          </w:tcPr>
          <w:p>
            <w:pPr>
              <w:jc w:val="right"/>
              <w:ind w:right="86"/>
              <w:spacing w:after="0" w:line="115" w:lineRule="exact"/>
              <w:rPr>
                <w:sz w:val="20"/>
                <w:szCs w:val="20"/>
                <w:color w:val="auto"/>
              </w:rPr>
            </w:pPr>
            <w:r>
              <w:rPr>
                <w:rFonts w:ascii="Arial" w:cs="Arial" w:eastAsia="Arial" w:hAnsi="Arial"/>
                <w:sz w:val="11"/>
                <w:szCs w:val="11"/>
                <w:color w:val="auto"/>
              </w:rPr>
              <w:t>10.75 %</w:t>
            </w:r>
          </w:p>
        </w:tc>
        <w:tc>
          <w:tcPr>
            <w:tcW w:w="940" w:type="dxa"/>
            <w:vAlign w:val="bottom"/>
          </w:tcPr>
          <w:p>
            <w:pPr>
              <w:jc w:val="right"/>
              <w:spacing w:after="0" w:line="115" w:lineRule="exact"/>
              <w:rPr>
                <w:sz w:val="20"/>
                <w:szCs w:val="20"/>
                <w:color w:val="auto"/>
              </w:rPr>
            </w:pPr>
            <w:r>
              <w:rPr>
                <w:rFonts w:ascii="Arial" w:cs="Arial" w:eastAsia="Arial" w:hAnsi="Arial"/>
                <w:sz w:val="11"/>
                <w:szCs w:val="11"/>
                <w:color w:val="auto"/>
              </w:rPr>
              <w:t>3M L+850</w:t>
            </w:r>
          </w:p>
        </w:tc>
        <w:tc>
          <w:tcPr>
            <w:tcW w:w="94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11,040</w:t>
            </w: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jc w:val="right"/>
              <w:spacing w:after="0" w:line="115" w:lineRule="exact"/>
              <w:rPr>
                <w:sz w:val="20"/>
                <w:szCs w:val="20"/>
                <w:color w:val="auto"/>
              </w:rPr>
            </w:pPr>
            <w:r>
              <w:rPr>
                <w:rFonts w:ascii="Arial" w:cs="Arial" w:eastAsia="Arial" w:hAnsi="Arial"/>
                <w:sz w:val="11"/>
                <w:szCs w:val="11"/>
                <w:color w:val="auto"/>
              </w:rPr>
              <w:t>10,796</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jc w:val="right"/>
              <w:spacing w:after="0" w:line="115" w:lineRule="exact"/>
              <w:rPr>
                <w:sz w:val="20"/>
                <w:szCs w:val="20"/>
                <w:color w:val="auto"/>
              </w:rPr>
            </w:pPr>
            <w:r>
              <w:rPr>
                <w:rFonts w:ascii="Arial" w:cs="Arial" w:eastAsia="Arial" w:hAnsi="Arial"/>
                <w:sz w:val="11"/>
                <w:szCs w:val="11"/>
                <w:color w:val="auto"/>
              </w:rPr>
              <w:t>10,874</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18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Sigma Defense Systems, LLC (Revolver) </w:t>
            </w:r>
            <w:r>
              <w:rPr>
                <w:rFonts w:ascii="Arial" w:cs="Arial" w:eastAsia="Arial" w:hAnsi="Arial"/>
                <w:sz w:val="14"/>
                <w:szCs w:val="14"/>
                <w:color w:val="auto"/>
                <w:vertAlign w:val="superscript"/>
              </w:rPr>
              <w:t>(7)</w:t>
            </w:r>
          </w:p>
        </w:tc>
        <w:tc>
          <w:tcPr>
            <w:tcW w:w="76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12/18/2025</w:t>
            </w:r>
          </w:p>
        </w:tc>
        <w:tc>
          <w:tcPr>
            <w:tcW w:w="140" w:type="dxa"/>
            <w:vAlign w:val="bottom"/>
          </w:tcPr>
          <w:p>
            <w:pPr>
              <w:spacing w:after="0"/>
              <w:rPr>
                <w:sz w:val="11"/>
                <w:szCs w:val="11"/>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90"/>
              </w:rPr>
              <w:t>IT Services</w:t>
            </w:r>
          </w:p>
        </w:tc>
        <w:tc>
          <w:tcPr>
            <w:tcW w:w="1080" w:type="dxa"/>
            <w:vAlign w:val="bottom"/>
            <w:gridSpan w:val="3"/>
          </w:tcPr>
          <w:p>
            <w:pPr>
              <w:jc w:val="right"/>
              <w:ind w:right="86"/>
              <w:spacing w:after="0"/>
              <w:rPr>
                <w:sz w:val="20"/>
                <w:szCs w:val="20"/>
                <w:color w:val="auto"/>
              </w:rPr>
            </w:pPr>
            <w:r>
              <w:rPr>
                <w:rFonts w:ascii="Arial" w:cs="Arial" w:eastAsia="Arial" w:hAnsi="Arial"/>
                <w:sz w:val="11"/>
                <w:szCs w:val="11"/>
                <w:color w:val="auto"/>
              </w:rPr>
              <w:t>10.75 %</w:t>
            </w:r>
          </w:p>
        </w:tc>
        <w:tc>
          <w:tcPr>
            <w:tcW w:w="940" w:type="dxa"/>
            <w:vAlign w:val="bottom"/>
          </w:tcPr>
          <w:p>
            <w:pPr>
              <w:jc w:val="right"/>
              <w:spacing w:after="0"/>
              <w:rPr>
                <w:sz w:val="20"/>
                <w:szCs w:val="20"/>
                <w:color w:val="auto"/>
              </w:rPr>
            </w:pPr>
            <w:r>
              <w:rPr>
                <w:rFonts w:ascii="Arial" w:cs="Arial" w:eastAsia="Arial" w:hAnsi="Arial"/>
                <w:sz w:val="11"/>
                <w:szCs w:val="11"/>
                <w:color w:val="auto"/>
              </w:rPr>
              <w:t>3M L+850</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996</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996</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981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18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Sigma Defense Systems, LLC (Revolver) </w:t>
            </w:r>
            <w:r>
              <w:rPr>
                <w:rFonts w:ascii="Arial" w:cs="Arial" w:eastAsia="Arial" w:hAnsi="Arial"/>
                <w:sz w:val="14"/>
                <w:szCs w:val="14"/>
                <w:color w:val="auto"/>
                <w:vertAlign w:val="superscript"/>
              </w:rPr>
              <w:t>(7), (9)</w:t>
            </w:r>
          </w:p>
        </w:tc>
        <w:tc>
          <w:tcPr>
            <w:tcW w:w="76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12/18/2025</w:t>
            </w:r>
          </w:p>
        </w:tc>
        <w:tc>
          <w:tcPr>
            <w:tcW w:w="140" w:type="dxa"/>
            <w:vAlign w:val="bottom"/>
          </w:tcPr>
          <w:p>
            <w:pPr>
              <w:spacing w:after="0"/>
              <w:rPr>
                <w:sz w:val="13"/>
                <w:szCs w:val="13"/>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90"/>
              </w:rPr>
              <w:t>IT Services</w:t>
            </w:r>
          </w:p>
        </w:tc>
        <w:tc>
          <w:tcPr>
            <w:tcW w:w="120" w:type="dxa"/>
            <w:vAlign w:val="bottom"/>
          </w:tcPr>
          <w:p>
            <w:pPr>
              <w:spacing w:after="0"/>
              <w:rPr>
                <w:sz w:val="13"/>
                <w:szCs w:val="13"/>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940" w:type="dxa"/>
            <w:vAlign w:val="bottom"/>
          </w:tcPr>
          <w:p>
            <w:pPr>
              <w:spacing w:after="0"/>
              <w:rPr>
                <w:sz w:val="13"/>
                <w:szCs w:val="13"/>
                <w:color w:val="auto"/>
              </w:rPr>
            </w:pP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1,625</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1"/>
                <w:szCs w:val="11"/>
                <w:color w:val="auto"/>
              </w:rPr>
              <w:t>(24 )</w:t>
            </w:r>
          </w:p>
        </w:tc>
        <w:tc>
          <w:tcPr>
            <w:tcW w:w="0" w:type="dxa"/>
            <w:vAlign w:val="bottom"/>
          </w:tcPr>
          <w:p>
            <w:pPr>
              <w:spacing w:after="0"/>
              <w:rPr>
                <w:sz w:val="1"/>
                <w:szCs w:val="1"/>
                <w:color w:val="auto"/>
              </w:rPr>
            </w:pPr>
          </w:p>
        </w:tc>
      </w:tr>
      <w:tr>
        <w:trPr>
          <w:trHeight w:val="135"/>
        </w:trPr>
        <w:tc>
          <w:tcPr>
            <w:tcW w:w="3180" w:type="dxa"/>
            <w:vAlign w:val="bottom"/>
          </w:tcPr>
          <w:p>
            <w:pPr>
              <w:ind w:left="20"/>
              <w:spacing w:after="0"/>
              <w:rPr>
                <w:sz w:val="20"/>
                <w:szCs w:val="20"/>
                <w:color w:val="auto"/>
              </w:rPr>
            </w:pPr>
            <w:r>
              <w:rPr>
                <w:rFonts w:ascii="Arial" w:cs="Arial" w:eastAsia="Arial" w:hAnsi="Arial"/>
                <w:sz w:val="11"/>
                <w:szCs w:val="11"/>
                <w:color w:val="auto"/>
              </w:rPr>
              <w:t>Signature Systems Holding Company</w:t>
            </w:r>
          </w:p>
        </w:tc>
        <w:tc>
          <w:tcPr>
            <w:tcW w:w="76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05/03/2024</w:t>
            </w:r>
          </w:p>
        </w:tc>
        <w:tc>
          <w:tcPr>
            <w:tcW w:w="140" w:type="dxa"/>
            <w:vAlign w:val="bottom"/>
          </w:tcPr>
          <w:p>
            <w:pPr>
              <w:spacing w:after="0"/>
              <w:rPr>
                <w:sz w:val="11"/>
                <w:szCs w:val="11"/>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90"/>
              </w:rPr>
              <w:t>Commercial Services &amp; Supplies</w:t>
            </w:r>
          </w:p>
        </w:tc>
        <w:tc>
          <w:tcPr>
            <w:tcW w:w="1080" w:type="dxa"/>
            <w:vAlign w:val="bottom"/>
            <w:gridSpan w:val="3"/>
          </w:tcPr>
          <w:p>
            <w:pPr>
              <w:jc w:val="right"/>
              <w:ind w:right="86"/>
              <w:spacing w:after="0"/>
              <w:rPr>
                <w:sz w:val="20"/>
                <w:szCs w:val="20"/>
                <w:color w:val="auto"/>
              </w:rPr>
            </w:pPr>
            <w:r>
              <w:rPr>
                <w:rFonts w:ascii="Arial" w:cs="Arial" w:eastAsia="Arial" w:hAnsi="Arial"/>
                <w:sz w:val="11"/>
                <w:szCs w:val="11"/>
                <w:color w:val="auto"/>
              </w:rPr>
              <w:t>8.75 %</w:t>
            </w:r>
          </w:p>
        </w:tc>
        <w:tc>
          <w:tcPr>
            <w:tcW w:w="940" w:type="dxa"/>
            <w:vAlign w:val="bottom"/>
          </w:tcPr>
          <w:p>
            <w:pPr>
              <w:jc w:val="right"/>
              <w:spacing w:after="0"/>
              <w:rPr>
                <w:sz w:val="20"/>
                <w:szCs w:val="20"/>
                <w:color w:val="auto"/>
              </w:rPr>
            </w:pPr>
            <w:r>
              <w:rPr>
                <w:rFonts w:ascii="Arial" w:cs="Arial" w:eastAsia="Arial" w:hAnsi="Arial"/>
                <w:sz w:val="11"/>
                <w:szCs w:val="11"/>
                <w:color w:val="auto"/>
              </w:rPr>
              <w:t>1M L+650</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10,520</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10,454</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10,467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3180" w:type="dxa"/>
            <w:vAlign w:val="bottom"/>
          </w:tcPr>
          <w:p>
            <w:pPr>
              <w:ind w:left="20"/>
              <w:spacing w:after="0" w:line="115" w:lineRule="exact"/>
              <w:rPr>
                <w:sz w:val="20"/>
                <w:szCs w:val="20"/>
                <w:color w:val="auto"/>
              </w:rPr>
            </w:pPr>
            <w:r>
              <w:rPr>
                <w:rFonts w:ascii="Arial" w:cs="Arial" w:eastAsia="Arial" w:hAnsi="Arial"/>
                <w:sz w:val="11"/>
                <w:szCs w:val="11"/>
                <w:color w:val="auto"/>
              </w:rPr>
              <w:t>Signature Systems Holding Company (Revolver)</w:t>
            </w:r>
          </w:p>
        </w:tc>
        <w:tc>
          <w:tcPr>
            <w:tcW w:w="760" w:type="dxa"/>
            <w:vAlign w:val="bottom"/>
            <w:gridSpan w:val="2"/>
          </w:tcPr>
          <w:p>
            <w:pPr>
              <w:jc w:val="center"/>
              <w:ind w:left="86"/>
              <w:spacing w:after="0" w:line="115" w:lineRule="exact"/>
              <w:rPr>
                <w:sz w:val="20"/>
                <w:szCs w:val="20"/>
                <w:color w:val="auto"/>
              </w:rPr>
            </w:pPr>
            <w:r>
              <w:rPr>
                <w:rFonts w:ascii="Arial" w:cs="Arial" w:eastAsia="Arial" w:hAnsi="Arial"/>
                <w:sz w:val="11"/>
                <w:szCs w:val="11"/>
                <w:color w:val="auto"/>
                <w:w w:val="90"/>
              </w:rPr>
              <w:t>05/03/2024</w:t>
            </w:r>
          </w:p>
        </w:tc>
        <w:tc>
          <w:tcPr>
            <w:tcW w:w="140" w:type="dxa"/>
            <w:vAlign w:val="bottom"/>
          </w:tcPr>
          <w:p>
            <w:pPr>
              <w:spacing w:after="0"/>
              <w:rPr>
                <w:sz w:val="9"/>
                <w:szCs w:val="9"/>
                <w:color w:val="auto"/>
              </w:rPr>
            </w:pPr>
          </w:p>
        </w:tc>
        <w:tc>
          <w:tcPr>
            <w:tcW w:w="2240" w:type="dxa"/>
            <w:vAlign w:val="bottom"/>
          </w:tcPr>
          <w:p>
            <w:pPr>
              <w:jc w:val="center"/>
              <w:spacing w:after="0" w:line="115" w:lineRule="exact"/>
              <w:rPr>
                <w:sz w:val="20"/>
                <w:szCs w:val="20"/>
                <w:color w:val="auto"/>
              </w:rPr>
            </w:pPr>
            <w:r>
              <w:rPr>
                <w:rFonts w:ascii="Arial" w:cs="Arial" w:eastAsia="Arial" w:hAnsi="Arial"/>
                <w:sz w:val="11"/>
                <w:szCs w:val="11"/>
                <w:color w:val="auto"/>
                <w:w w:val="90"/>
              </w:rPr>
              <w:t>Commercial Services &amp; Supplies</w:t>
            </w:r>
          </w:p>
        </w:tc>
        <w:tc>
          <w:tcPr>
            <w:tcW w:w="1080" w:type="dxa"/>
            <w:vAlign w:val="bottom"/>
            <w:gridSpan w:val="3"/>
          </w:tcPr>
          <w:p>
            <w:pPr>
              <w:jc w:val="right"/>
              <w:ind w:right="86"/>
              <w:spacing w:after="0" w:line="115" w:lineRule="exact"/>
              <w:rPr>
                <w:sz w:val="20"/>
                <w:szCs w:val="20"/>
                <w:color w:val="auto"/>
              </w:rPr>
            </w:pPr>
            <w:r>
              <w:rPr>
                <w:rFonts w:ascii="Arial" w:cs="Arial" w:eastAsia="Arial" w:hAnsi="Arial"/>
                <w:sz w:val="11"/>
                <w:szCs w:val="11"/>
                <w:color w:val="auto"/>
              </w:rPr>
              <w:t>8.75 %</w:t>
            </w:r>
          </w:p>
        </w:tc>
        <w:tc>
          <w:tcPr>
            <w:tcW w:w="940" w:type="dxa"/>
            <w:vAlign w:val="bottom"/>
          </w:tcPr>
          <w:p>
            <w:pPr>
              <w:jc w:val="right"/>
              <w:spacing w:after="0" w:line="115" w:lineRule="exact"/>
              <w:rPr>
                <w:sz w:val="20"/>
                <w:szCs w:val="20"/>
                <w:color w:val="auto"/>
              </w:rPr>
            </w:pPr>
            <w:r>
              <w:rPr>
                <w:rFonts w:ascii="Arial" w:cs="Arial" w:eastAsia="Arial" w:hAnsi="Arial"/>
                <w:sz w:val="11"/>
                <w:szCs w:val="11"/>
                <w:color w:val="auto"/>
              </w:rPr>
              <w:t>1M L+650</w:t>
            </w:r>
          </w:p>
        </w:tc>
        <w:tc>
          <w:tcPr>
            <w:tcW w:w="94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978</w:t>
            </w: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jc w:val="right"/>
              <w:spacing w:after="0" w:line="115" w:lineRule="exact"/>
              <w:rPr>
                <w:sz w:val="20"/>
                <w:szCs w:val="20"/>
                <w:color w:val="auto"/>
              </w:rPr>
            </w:pPr>
            <w:r>
              <w:rPr>
                <w:rFonts w:ascii="Arial" w:cs="Arial" w:eastAsia="Arial" w:hAnsi="Arial"/>
                <w:sz w:val="11"/>
                <w:szCs w:val="11"/>
                <w:color w:val="auto"/>
              </w:rPr>
              <w:t>978</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jc w:val="right"/>
              <w:spacing w:after="0" w:line="115" w:lineRule="exact"/>
              <w:rPr>
                <w:sz w:val="20"/>
                <w:szCs w:val="20"/>
                <w:color w:val="auto"/>
              </w:rPr>
            </w:pPr>
            <w:r>
              <w:rPr>
                <w:rFonts w:ascii="Arial" w:cs="Arial" w:eastAsia="Arial" w:hAnsi="Arial"/>
                <w:sz w:val="11"/>
                <w:szCs w:val="11"/>
                <w:color w:val="auto"/>
              </w:rPr>
              <w:t>974</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318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Signature Systems Holding Company (Revolver) </w:t>
            </w:r>
            <w:r>
              <w:rPr>
                <w:rFonts w:ascii="Arial" w:cs="Arial" w:eastAsia="Arial" w:hAnsi="Arial"/>
                <w:sz w:val="14"/>
                <w:szCs w:val="14"/>
                <w:color w:val="auto"/>
                <w:vertAlign w:val="superscript"/>
              </w:rPr>
              <w:t>(9)</w:t>
            </w:r>
          </w:p>
        </w:tc>
        <w:tc>
          <w:tcPr>
            <w:tcW w:w="76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05/03/2024</w:t>
            </w:r>
          </w:p>
        </w:tc>
        <w:tc>
          <w:tcPr>
            <w:tcW w:w="140" w:type="dxa"/>
            <w:vAlign w:val="bottom"/>
          </w:tcPr>
          <w:p>
            <w:pPr>
              <w:spacing w:after="0"/>
              <w:rPr>
                <w:sz w:val="13"/>
                <w:szCs w:val="13"/>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90"/>
              </w:rPr>
              <w:t>Commercial Services &amp; Supplies</w:t>
            </w:r>
          </w:p>
        </w:tc>
        <w:tc>
          <w:tcPr>
            <w:tcW w:w="120" w:type="dxa"/>
            <w:vAlign w:val="bottom"/>
          </w:tcPr>
          <w:p>
            <w:pPr>
              <w:spacing w:after="0"/>
              <w:rPr>
                <w:sz w:val="13"/>
                <w:szCs w:val="13"/>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769</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1"/>
                <w:szCs w:val="11"/>
                <w:color w:val="auto"/>
              </w:rPr>
              <w:t>(4 )</w:t>
            </w:r>
          </w:p>
        </w:tc>
        <w:tc>
          <w:tcPr>
            <w:tcW w:w="0" w:type="dxa"/>
            <w:vAlign w:val="bottom"/>
          </w:tcPr>
          <w:p>
            <w:pPr>
              <w:spacing w:after="0"/>
              <w:rPr>
                <w:sz w:val="1"/>
                <w:szCs w:val="1"/>
                <w:color w:val="auto"/>
              </w:rPr>
            </w:pPr>
          </w:p>
        </w:tc>
      </w:tr>
      <w:tr>
        <w:trPr>
          <w:trHeight w:val="115"/>
        </w:trPr>
        <w:tc>
          <w:tcPr>
            <w:tcW w:w="3180" w:type="dxa"/>
            <w:vAlign w:val="bottom"/>
          </w:tcPr>
          <w:p>
            <w:pPr>
              <w:ind w:left="20"/>
              <w:spacing w:after="0" w:line="115" w:lineRule="exact"/>
              <w:rPr>
                <w:sz w:val="20"/>
                <w:szCs w:val="20"/>
                <w:color w:val="auto"/>
              </w:rPr>
            </w:pPr>
            <w:r>
              <w:rPr>
                <w:rFonts w:ascii="Arial" w:cs="Arial" w:eastAsia="Arial" w:hAnsi="Arial"/>
                <w:sz w:val="11"/>
                <w:szCs w:val="11"/>
                <w:color w:val="auto"/>
              </w:rPr>
              <w:t>Smile Brands Inc.</w:t>
            </w:r>
          </w:p>
        </w:tc>
        <w:tc>
          <w:tcPr>
            <w:tcW w:w="760" w:type="dxa"/>
            <w:vAlign w:val="bottom"/>
            <w:gridSpan w:val="2"/>
          </w:tcPr>
          <w:p>
            <w:pPr>
              <w:jc w:val="center"/>
              <w:ind w:left="86"/>
              <w:spacing w:after="0" w:line="115" w:lineRule="exact"/>
              <w:rPr>
                <w:sz w:val="20"/>
                <w:szCs w:val="20"/>
                <w:color w:val="auto"/>
              </w:rPr>
            </w:pPr>
            <w:r>
              <w:rPr>
                <w:rFonts w:ascii="Arial" w:cs="Arial" w:eastAsia="Arial" w:hAnsi="Arial"/>
                <w:sz w:val="11"/>
                <w:szCs w:val="11"/>
                <w:color w:val="auto"/>
                <w:w w:val="90"/>
              </w:rPr>
              <w:t>10/14/2025</w:t>
            </w:r>
          </w:p>
        </w:tc>
        <w:tc>
          <w:tcPr>
            <w:tcW w:w="140" w:type="dxa"/>
            <w:vAlign w:val="bottom"/>
          </w:tcPr>
          <w:p>
            <w:pPr>
              <w:spacing w:after="0"/>
              <w:rPr>
                <w:sz w:val="9"/>
                <w:szCs w:val="9"/>
                <w:color w:val="auto"/>
              </w:rPr>
            </w:pPr>
          </w:p>
        </w:tc>
        <w:tc>
          <w:tcPr>
            <w:tcW w:w="2240" w:type="dxa"/>
            <w:vAlign w:val="bottom"/>
          </w:tcPr>
          <w:p>
            <w:pPr>
              <w:jc w:val="center"/>
              <w:spacing w:after="0" w:line="115" w:lineRule="exact"/>
              <w:rPr>
                <w:sz w:val="20"/>
                <w:szCs w:val="20"/>
                <w:color w:val="auto"/>
              </w:rPr>
            </w:pPr>
            <w:r>
              <w:rPr>
                <w:rFonts w:ascii="Arial" w:cs="Arial" w:eastAsia="Arial" w:hAnsi="Arial"/>
                <w:sz w:val="11"/>
                <w:szCs w:val="11"/>
                <w:color w:val="auto"/>
                <w:w w:val="86"/>
              </w:rPr>
              <w:t>Healthcare and Pharmaceuticals</w:t>
            </w:r>
          </w:p>
        </w:tc>
        <w:tc>
          <w:tcPr>
            <w:tcW w:w="1080" w:type="dxa"/>
            <w:vAlign w:val="bottom"/>
            <w:gridSpan w:val="3"/>
          </w:tcPr>
          <w:p>
            <w:pPr>
              <w:jc w:val="right"/>
              <w:ind w:right="86"/>
              <w:spacing w:after="0" w:line="115" w:lineRule="exact"/>
              <w:rPr>
                <w:sz w:val="20"/>
                <w:szCs w:val="20"/>
                <w:color w:val="auto"/>
              </w:rPr>
            </w:pPr>
            <w:r>
              <w:rPr>
                <w:rFonts w:ascii="Arial" w:cs="Arial" w:eastAsia="Arial" w:hAnsi="Arial"/>
                <w:sz w:val="11"/>
                <w:szCs w:val="11"/>
                <w:color w:val="auto"/>
              </w:rPr>
              <w:t>6.32 %</w:t>
            </w:r>
          </w:p>
        </w:tc>
        <w:tc>
          <w:tcPr>
            <w:tcW w:w="940" w:type="dxa"/>
            <w:vAlign w:val="bottom"/>
          </w:tcPr>
          <w:p>
            <w:pPr>
              <w:jc w:val="right"/>
              <w:spacing w:after="0" w:line="115" w:lineRule="exact"/>
              <w:rPr>
                <w:sz w:val="20"/>
                <w:szCs w:val="20"/>
                <w:color w:val="auto"/>
              </w:rPr>
            </w:pPr>
            <w:r>
              <w:rPr>
                <w:rFonts w:ascii="Arial" w:cs="Arial" w:eastAsia="Arial" w:hAnsi="Arial"/>
                <w:sz w:val="11"/>
                <w:szCs w:val="11"/>
                <w:color w:val="auto"/>
              </w:rPr>
              <w:t>1M L+450</w:t>
            </w:r>
          </w:p>
        </w:tc>
        <w:tc>
          <w:tcPr>
            <w:tcW w:w="94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1,936</w:t>
            </w: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jc w:val="right"/>
              <w:spacing w:after="0" w:line="115" w:lineRule="exact"/>
              <w:rPr>
                <w:sz w:val="20"/>
                <w:szCs w:val="20"/>
                <w:color w:val="auto"/>
              </w:rPr>
            </w:pPr>
            <w:r>
              <w:rPr>
                <w:rFonts w:ascii="Arial" w:cs="Arial" w:eastAsia="Arial" w:hAnsi="Arial"/>
                <w:sz w:val="11"/>
                <w:szCs w:val="11"/>
                <w:color w:val="auto"/>
              </w:rPr>
              <w:t>1,936</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jc w:val="right"/>
              <w:spacing w:after="0" w:line="115" w:lineRule="exact"/>
              <w:rPr>
                <w:sz w:val="20"/>
                <w:szCs w:val="20"/>
                <w:color w:val="auto"/>
              </w:rPr>
            </w:pPr>
            <w:r>
              <w:rPr>
                <w:rFonts w:ascii="Arial" w:cs="Arial" w:eastAsia="Arial" w:hAnsi="Arial"/>
                <w:sz w:val="11"/>
                <w:szCs w:val="11"/>
                <w:color w:val="auto"/>
              </w:rPr>
              <w:t>1,882</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18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Smile Brands Inc. (Revolver) </w:t>
            </w:r>
            <w:r>
              <w:rPr>
                <w:rFonts w:ascii="Arial" w:cs="Arial" w:eastAsia="Arial" w:hAnsi="Arial"/>
                <w:sz w:val="14"/>
                <w:szCs w:val="14"/>
                <w:color w:val="auto"/>
                <w:vertAlign w:val="superscript"/>
              </w:rPr>
              <w:t>(7), (9)</w:t>
            </w:r>
          </w:p>
        </w:tc>
        <w:tc>
          <w:tcPr>
            <w:tcW w:w="76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10/14/2025</w:t>
            </w:r>
          </w:p>
        </w:tc>
        <w:tc>
          <w:tcPr>
            <w:tcW w:w="140" w:type="dxa"/>
            <w:vAlign w:val="bottom"/>
          </w:tcPr>
          <w:p>
            <w:pPr>
              <w:spacing w:after="0"/>
              <w:rPr>
                <w:sz w:val="11"/>
                <w:szCs w:val="11"/>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86"/>
              </w:rPr>
              <w:t>Healthcare and Pharmaceuticals</w:t>
            </w:r>
          </w:p>
        </w:tc>
        <w:tc>
          <w:tcPr>
            <w:tcW w:w="120" w:type="dxa"/>
            <w:vAlign w:val="bottom"/>
          </w:tcPr>
          <w:p>
            <w:pPr>
              <w:spacing w:after="0"/>
              <w:rPr>
                <w:sz w:val="11"/>
                <w:szCs w:val="11"/>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1,508</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1"/>
                <w:szCs w:val="11"/>
                <w:color w:val="auto"/>
              </w:rPr>
              <w:t>(41 )</w:t>
            </w:r>
          </w:p>
        </w:tc>
        <w:tc>
          <w:tcPr>
            <w:tcW w:w="0" w:type="dxa"/>
            <w:vAlign w:val="bottom"/>
          </w:tcPr>
          <w:p>
            <w:pPr>
              <w:spacing w:after="0"/>
              <w:rPr>
                <w:sz w:val="1"/>
                <w:szCs w:val="1"/>
                <w:color w:val="auto"/>
              </w:rPr>
            </w:pPr>
          </w:p>
        </w:tc>
      </w:tr>
      <w:tr>
        <w:trPr>
          <w:trHeight w:val="155"/>
        </w:trPr>
        <w:tc>
          <w:tcPr>
            <w:tcW w:w="318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Smile Brands Inc. LC (Revolver) </w:t>
            </w:r>
            <w:r>
              <w:rPr>
                <w:rFonts w:ascii="Arial" w:cs="Arial" w:eastAsia="Arial" w:hAnsi="Arial"/>
                <w:sz w:val="14"/>
                <w:szCs w:val="14"/>
                <w:color w:val="auto"/>
                <w:vertAlign w:val="superscript"/>
              </w:rPr>
              <w:t>(7), (9)</w:t>
            </w:r>
          </w:p>
        </w:tc>
        <w:tc>
          <w:tcPr>
            <w:tcW w:w="76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10/14/2025</w:t>
            </w:r>
          </w:p>
        </w:tc>
        <w:tc>
          <w:tcPr>
            <w:tcW w:w="140" w:type="dxa"/>
            <w:vAlign w:val="bottom"/>
          </w:tcPr>
          <w:p>
            <w:pPr>
              <w:spacing w:after="0"/>
              <w:rPr>
                <w:sz w:val="13"/>
                <w:szCs w:val="13"/>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86"/>
              </w:rPr>
              <w:t>Healthcare and Pharmaceuticals</w:t>
            </w:r>
          </w:p>
        </w:tc>
        <w:tc>
          <w:tcPr>
            <w:tcW w:w="120" w:type="dxa"/>
            <w:vAlign w:val="bottom"/>
          </w:tcPr>
          <w:p>
            <w:pPr>
              <w:spacing w:after="0"/>
              <w:rPr>
                <w:sz w:val="13"/>
                <w:szCs w:val="13"/>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108</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1"/>
                <w:szCs w:val="11"/>
                <w:color w:val="auto"/>
              </w:rPr>
              <w:t>(3 )</w:t>
            </w:r>
          </w:p>
        </w:tc>
        <w:tc>
          <w:tcPr>
            <w:tcW w:w="0" w:type="dxa"/>
            <w:vAlign w:val="bottom"/>
          </w:tcPr>
          <w:p>
            <w:pPr>
              <w:spacing w:after="0"/>
              <w:rPr>
                <w:sz w:val="1"/>
                <w:szCs w:val="1"/>
                <w:color w:val="auto"/>
              </w:rPr>
            </w:pPr>
          </w:p>
        </w:tc>
      </w:tr>
      <w:tr>
        <w:trPr>
          <w:trHeight w:val="115"/>
        </w:trPr>
        <w:tc>
          <w:tcPr>
            <w:tcW w:w="3180" w:type="dxa"/>
            <w:vAlign w:val="bottom"/>
          </w:tcPr>
          <w:p>
            <w:pPr>
              <w:ind w:left="20"/>
              <w:spacing w:after="0" w:line="115" w:lineRule="exact"/>
              <w:rPr>
                <w:sz w:val="20"/>
                <w:szCs w:val="20"/>
                <w:color w:val="auto"/>
              </w:rPr>
            </w:pPr>
            <w:r>
              <w:rPr>
                <w:rFonts w:ascii="Arial" w:cs="Arial" w:eastAsia="Arial" w:hAnsi="Arial"/>
                <w:sz w:val="11"/>
                <w:szCs w:val="11"/>
                <w:color w:val="auto"/>
              </w:rPr>
              <w:t>Solutionreach, Inc.</w:t>
            </w:r>
          </w:p>
        </w:tc>
        <w:tc>
          <w:tcPr>
            <w:tcW w:w="760" w:type="dxa"/>
            <w:vAlign w:val="bottom"/>
            <w:gridSpan w:val="2"/>
          </w:tcPr>
          <w:p>
            <w:pPr>
              <w:jc w:val="center"/>
              <w:ind w:left="86"/>
              <w:spacing w:after="0" w:line="115" w:lineRule="exact"/>
              <w:rPr>
                <w:sz w:val="20"/>
                <w:szCs w:val="20"/>
                <w:color w:val="auto"/>
              </w:rPr>
            </w:pPr>
            <w:r>
              <w:rPr>
                <w:rFonts w:ascii="Arial" w:cs="Arial" w:eastAsia="Arial" w:hAnsi="Arial"/>
                <w:sz w:val="11"/>
                <w:szCs w:val="11"/>
                <w:color w:val="auto"/>
                <w:w w:val="90"/>
              </w:rPr>
              <w:t>01/17/2024</w:t>
            </w:r>
          </w:p>
        </w:tc>
        <w:tc>
          <w:tcPr>
            <w:tcW w:w="140" w:type="dxa"/>
            <w:vAlign w:val="bottom"/>
          </w:tcPr>
          <w:p>
            <w:pPr>
              <w:spacing w:after="0"/>
              <w:rPr>
                <w:sz w:val="9"/>
                <w:szCs w:val="9"/>
                <w:color w:val="auto"/>
              </w:rPr>
            </w:pPr>
          </w:p>
        </w:tc>
        <w:tc>
          <w:tcPr>
            <w:tcW w:w="2240" w:type="dxa"/>
            <w:vAlign w:val="bottom"/>
          </w:tcPr>
          <w:p>
            <w:pPr>
              <w:jc w:val="center"/>
              <w:spacing w:after="0" w:line="115" w:lineRule="exact"/>
              <w:rPr>
                <w:sz w:val="20"/>
                <w:szCs w:val="20"/>
                <w:color w:val="auto"/>
              </w:rPr>
            </w:pPr>
            <w:r>
              <w:rPr>
                <w:rFonts w:ascii="Arial" w:cs="Arial" w:eastAsia="Arial" w:hAnsi="Arial"/>
                <w:sz w:val="11"/>
                <w:szCs w:val="11"/>
                <w:color w:val="auto"/>
                <w:w w:val="88"/>
              </w:rPr>
              <w:t>Healthcare Technology</w:t>
            </w:r>
          </w:p>
        </w:tc>
        <w:tc>
          <w:tcPr>
            <w:tcW w:w="1080" w:type="dxa"/>
            <w:vAlign w:val="bottom"/>
            <w:gridSpan w:val="3"/>
          </w:tcPr>
          <w:p>
            <w:pPr>
              <w:jc w:val="right"/>
              <w:ind w:right="86"/>
              <w:spacing w:after="0" w:line="115" w:lineRule="exact"/>
              <w:rPr>
                <w:sz w:val="20"/>
                <w:szCs w:val="20"/>
                <w:color w:val="auto"/>
              </w:rPr>
            </w:pPr>
            <w:r>
              <w:rPr>
                <w:rFonts w:ascii="Arial" w:cs="Arial" w:eastAsia="Arial" w:hAnsi="Arial"/>
                <w:sz w:val="11"/>
                <w:szCs w:val="11"/>
                <w:color w:val="auto"/>
              </w:rPr>
              <w:t>7.42 %</w:t>
            </w:r>
          </w:p>
        </w:tc>
        <w:tc>
          <w:tcPr>
            <w:tcW w:w="940" w:type="dxa"/>
            <w:vAlign w:val="bottom"/>
          </w:tcPr>
          <w:p>
            <w:pPr>
              <w:jc w:val="right"/>
              <w:spacing w:after="0" w:line="115" w:lineRule="exact"/>
              <w:rPr>
                <w:sz w:val="20"/>
                <w:szCs w:val="20"/>
                <w:color w:val="auto"/>
              </w:rPr>
            </w:pPr>
            <w:r>
              <w:rPr>
                <w:rFonts w:ascii="Arial" w:cs="Arial" w:eastAsia="Arial" w:hAnsi="Arial"/>
                <w:sz w:val="11"/>
                <w:szCs w:val="11"/>
                <w:color w:val="auto"/>
              </w:rPr>
              <w:t>3M L+575</w:t>
            </w:r>
          </w:p>
        </w:tc>
        <w:tc>
          <w:tcPr>
            <w:tcW w:w="94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5,757</w:t>
            </w: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jc w:val="right"/>
              <w:spacing w:after="0" w:line="115" w:lineRule="exact"/>
              <w:rPr>
                <w:sz w:val="20"/>
                <w:szCs w:val="20"/>
                <w:color w:val="auto"/>
              </w:rPr>
            </w:pPr>
            <w:r>
              <w:rPr>
                <w:rFonts w:ascii="Arial" w:cs="Arial" w:eastAsia="Arial" w:hAnsi="Arial"/>
                <w:sz w:val="11"/>
                <w:szCs w:val="11"/>
                <w:color w:val="auto"/>
              </w:rPr>
              <w:t>5,716</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jc w:val="right"/>
              <w:spacing w:after="0" w:line="115" w:lineRule="exact"/>
              <w:rPr>
                <w:sz w:val="20"/>
                <w:szCs w:val="20"/>
                <w:color w:val="auto"/>
              </w:rPr>
            </w:pPr>
            <w:r>
              <w:rPr>
                <w:rFonts w:ascii="Arial" w:cs="Arial" w:eastAsia="Arial" w:hAnsi="Arial"/>
                <w:sz w:val="11"/>
                <w:szCs w:val="11"/>
                <w:color w:val="auto"/>
              </w:rPr>
              <w:t>5,538</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318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Solutionreach, Inc. (Revolver) </w:t>
            </w:r>
            <w:r>
              <w:rPr>
                <w:rFonts w:ascii="Arial" w:cs="Arial" w:eastAsia="Arial" w:hAnsi="Arial"/>
                <w:sz w:val="14"/>
                <w:szCs w:val="14"/>
                <w:color w:val="auto"/>
                <w:vertAlign w:val="superscript"/>
              </w:rPr>
              <w:t>(7), (9)</w:t>
            </w:r>
          </w:p>
        </w:tc>
        <w:tc>
          <w:tcPr>
            <w:tcW w:w="76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01/17/2024</w:t>
            </w:r>
          </w:p>
        </w:tc>
        <w:tc>
          <w:tcPr>
            <w:tcW w:w="140" w:type="dxa"/>
            <w:vAlign w:val="bottom"/>
          </w:tcPr>
          <w:p>
            <w:pPr>
              <w:spacing w:after="0"/>
              <w:rPr>
                <w:sz w:val="13"/>
                <w:szCs w:val="13"/>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88"/>
              </w:rPr>
              <w:t>Healthcare Technology</w:t>
            </w:r>
          </w:p>
        </w:tc>
        <w:tc>
          <w:tcPr>
            <w:tcW w:w="120" w:type="dxa"/>
            <w:vAlign w:val="bottom"/>
          </w:tcPr>
          <w:p>
            <w:pPr>
              <w:spacing w:after="0"/>
              <w:rPr>
                <w:sz w:val="13"/>
                <w:szCs w:val="13"/>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1,665</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1"/>
                <w:szCs w:val="11"/>
                <w:color w:val="auto"/>
              </w:rPr>
              <w:t>(63 )</w:t>
            </w:r>
          </w:p>
        </w:tc>
        <w:tc>
          <w:tcPr>
            <w:tcW w:w="0" w:type="dxa"/>
            <w:vAlign w:val="bottom"/>
          </w:tcPr>
          <w:p>
            <w:pPr>
              <w:spacing w:after="0"/>
              <w:rPr>
                <w:sz w:val="1"/>
                <w:szCs w:val="1"/>
                <w:color w:val="auto"/>
              </w:rPr>
            </w:pPr>
          </w:p>
        </w:tc>
      </w:tr>
      <w:tr>
        <w:trPr>
          <w:trHeight w:val="135"/>
        </w:trPr>
        <w:tc>
          <w:tcPr>
            <w:tcW w:w="3180" w:type="dxa"/>
            <w:vAlign w:val="bottom"/>
          </w:tcPr>
          <w:p>
            <w:pPr>
              <w:ind w:left="20"/>
              <w:spacing w:after="0"/>
              <w:rPr>
                <w:sz w:val="20"/>
                <w:szCs w:val="20"/>
                <w:color w:val="auto"/>
              </w:rPr>
            </w:pPr>
            <w:r>
              <w:rPr>
                <w:rFonts w:ascii="Arial" w:cs="Arial" w:eastAsia="Arial" w:hAnsi="Arial"/>
                <w:sz w:val="11"/>
                <w:szCs w:val="11"/>
                <w:color w:val="auto"/>
              </w:rPr>
              <w:t>Spear Education, LLC</w:t>
            </w:r>
          </w:p>
        </w:tc>
        <w:tc>
          <w:tcPr>
            <w:tcW w:w="76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02/26/2025</w:t>
            </w:r>
          </w:p>
        </w:tc>
        <w:tc>
          <w:tcPr>
            <w:tcW w:w="140" w:type="dxa"/>
            <w:vAlign w:val="bottom"/>
          </w:tcPr>
          <w:p>
            <w:pPr>
              <w:spacing w:after="0"/>
              <w:rPr>
                <w:sz w:val="11"/>
                <w:szCs w:val="11"/>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88"/>
              </w:rPr>
              <w:t>Professional Services</w:t>
            </w:r>
          </w:p>
        </w:tc>
        <w:tc>
          <w:tcPr>
            <w:tcW w:w="1080" w:type="dxa"/>
            <w:vAlign w:val="bottom"/>
            <w:gridSpan w:val="3"/>
          </w:tcPr>
          <w:p>
            <w:pPr>
              <w:jc w:val="right"/>
              <w:ind w:right="86"/>
              <w:spacing w:after="0"/>
              <w:rPr>
                <w:sz w:val="20"/>
                <w:szCs w:val="20"/>
                <w:color w:val="auto"/>
              </w:rPr>
            </w:pPr>
            <w:r>
              <w:rPr>
                <w:rFonts w:ascii="Arial" w:cs="Arial" w:eastAsia="Arial" w:hAnsi="Arial"/>
                <w:sz w:val="11"/>
                <w:szCs w:val="11"/>
                <w:color w:val="auto"/>
              </w:rPr>
              <w:t>6.75 %</w:t>
            </w:r>
          </w:p>
        </w:tc>
        <w:tc>
          <w:tcPr>
            <w:tcW w:w="940" w:type="dxa"/>
            <w:vAlign w:val="bottom"/>
          </w:tcPr>
          <w:p>
            <w:pPr>
              <w:jc w:val="right"/>
              <w:spacing w:after="0"/>
              <w:rPr>
                <w:sz w:val="20"/>
                <w:szCs w:val="20"/>
                <w:color w:val="auto"/>
              </w:rPr>
            </w:pPr>
            <w:r>
              <w:rPr>
                <w:rFonts w:ascii="Arial" w:cs="Arial" w:eastAsia="Arial" w:hAnsi="Arial"/>
                <w:sz w:val="11"/>
                <w:szCs w:val="11"/>
                <w:color w:val="auto"/>
              </w:rPr>
              <w:t>3M L+525</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14,785</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14,671</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14,785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3180" w:type="dxa"/>
            <w:vAlign w:val="bottom"/>
          </w:tcPr>
          <w:p>
            <w:pPr>
              <w:ind w:left="20"/>
              <w:spacing w:after="0" w:line="115" w:lineRule="exact"/>
              <w:rPr>
                <w:sz w:val="20"/>
                <w:szCs w:val="20"/>
                <w:color w:val="auto"/>
              </w:rPr>
            </w:pPr>
            <w:r>
              <w:rPr>
                <w:rFonts w:ascii="Arial" w:cs="Arial" w:eastAsia="Arial" w:hAnsi="Arial"/>
                <w:sz w:val="11"/>
                <w:szCs w:val="11"/>
                <w:color w:val="auto"/>
              </w:rPr>
              <w:t>Spendmend Holdings LLC</w:t>
            </w:r>
          </w:p>
        </w:tc>
        <w:tc>
          <w:tcPr>
            <w:tcW w:w="760" w:type="dxa"/>
            <w:vAlign w:val="bottom"/>
            <w:gridSpan w:val="2"/>
          </w:tcPr>
          <w:p>
            <w:pPr>
              <w:jc w:val="center"/>
              <w:ind w:left="86"/>
              <w:spacing w:after="0" w:line="115" w:lineRule="exact"/>
              <w:rPr>
                <w:sz w:val="20"/>
                <w:szCs w:val="20"/>
                <w:color w:val="auto"/>
              </w:rPr>
            </w:pPr>
            <w:r>
              <w:rPr>
                <w:rFonts w:ascii="Arial" w:cs="Arial" w:eastAsia="Arial" w:hAnsi="Arial"/>
                <w:sz w:val="11"/>
                <w:szCs w:val="11"/>
                <w:color w:val="auto"/>
                <w:w w:val="90"/>
              </w:rPr>
              <w:t>03/01/2028</w:t>
            </w:r>
          </w:p>
        </w:tc>
        <w:tc>
          <w:tcPr>
            <w:tcW w:w="140" w:type="dxa"/>
            <w:vAlign w:val="bottom"/>
          </w:tcPr>
          <w:p>
            <w:pPr>
              <w:spacing w:after="0"/>
              <w:rPr>
                <w:sz w:val="9"/>
                <w:szCs w:val="9"/>
                <w:color w:val="auto"/>
              </w:rPr>
            </w:pPr>
          </w:p>
        </w:tc>
        <w:tc>
          <w:tcPr>
            <w:tcW w:w="2240" w:type="dxa"/>
            <w:vAlign w:val="bottom"/>
          </w:tcPr>
          <w:p>
            <w:pPr>
              <w:jc w:val="center"/>
              <w:spacing w:after="0" w:line="115" w:lineRule="exact"/>
              <w:rPr>
                <w:sz w:val="20"/>
                <w:szCs w:val="20"/>
                <w:color w:val="auto"/>
              </w:rPr>
            </w:pPr>
            <w:r>
              <w:rPr>
                <w:rFonts w:ascii="Arial" w:cs="Arial" w:eastAsia="Arial" w:hAnsi="Arial"/>
                <w:sz w:val="11"/>
                <w:szCs w:val="11"/>
                <w:color w:val="auto"/>
                <w:w w:val="88"/>
              </w:rPr>
              <w:t>Healthcare Technology</w:t>
            </w:r>
          </w:p>
        </w:tc>
        <w:tc>
          <w:tcPr>
            <w:tcW w:w="1080" w:type="dxa"/>
            <w:vAlign w:val="bottom"/>
            <w:gridSpan w:val="3"/>
          </w:tcPr>
          <w:p>
            <w:pPr>
              <w:jc w:val="right"/>
              <w:ind w:right="86"/>
              <w:spacing w:after="0" w:line="115" w:lineRule="exact"/>
              <w:rPr>
                <w:sz w:val="20"/>
                <w:szCs w:val="20"/>
                <w:color w:val="auto"/>
              </w:rPr>
            </w:pPr>
            <w:r>
              <w:rPr>
                <w:rFonts w:ascii="Arial" w:cs="Arial" w:eastAsia="Arial" w:hAnsi="Arial"/>
                <w:sz w:val="11"/>
                <w:szCs w:val="11"/>
                <w:color w:val="auto"/>
              </w:rPr>
              <w:t>7.38 %</w:t>
            </w:r>
          </w:p>
        </w:tc>
        <w:tc>
          <w:tcPr>
            <w:tcW w:w="940" w:type="dxa"/>
            <w:vAlign w:val="bottom"/>
          </w:tcPr>
          <w:p>
            <w:pPr>
              <w:jc w:val="right"/>
              <w:spacing w:after="0" w:line="115" w:lineRule="exact"/>
              <w:rPr>
                <w:sz w:val="20"/>
                <w:szCs w:val="20"/>
                <w:color w:val="auto"/>
              </w:rPr>
            </w:pPr>
            <w:r>
              <w:rPr>
                <w:rFonts w:ascii="Arial" w:cs="Arial" w:eastAsia="Arial" w:hAnsi="Arial"/>
                <w:sz w:val="11"/>
                <w:szCs w:val="11"/>
                <w:color w:val="auto"/>
              </w:rPr>
              <w:t>SOFR + 575</w:t>
            </w:r>
          </w:p>
        </w:tc>
        <w:tc>
          <w:tcPr>
            <w:tcW w:w="94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2,024</w:t>
            </w: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jc w:val="right"/>
              <w:spacing w:after="0" w:line="115" w:lineRule="exact"/>
              <w:rPr>
                <w:sz w:val="20"/>
                <w:szCs w:val="20"/>
                <w:color w:val="auto"/>
              </w:rPr>
            </w:pPr>
            <w:r>
              <w:rPr>
                <w:rFonts w:ascii="Arial" w:cs="Arial" w:eastAsia="Arial" w:hAnsi="Arial"/>
                <w:sz w:val="11"/>
                <w:szCs w:val="11"/>
                <w:color w:val="auto"/>
              </w:rPr>
              <w:t>1,995</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jc w:val="right"/>
              <w:spacing w:after="0" w:line="115" w:lineRule="exact"/>
              <w:rPr>
                <w:sz w:val="20"/>
                <w:szCs w:val="20"/>
                <w:color w:val="auto"/>
              </w:rPr>
            </w:pPr>
            <w:r>
              <w:rPr>
                <w:rFonts w:ascii="Arial" w:cs="Arial" w:eastAsia="Arial" w:hAnsi="Arial"/>
                <w:sz w:val="11"/>
                <w:szCs w:val="11"/>
                <w:color w:val="auto"/>
              </w:rPr>
              <w:t>1,971</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318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Spendmend Holdings LLC </w:t>
            </w:r>
            <w:r>
              <w:rPr>
                <w:rFonts w:ascii="Arial" w:cs="Arial" w:eastAsia="Arial" w:hAnsi="Arial"/>
                <w:sz w:val="14"/>
                <w:szCs w:val="14"/>
                <w:color w:val="auto"/>
                <w:vertAlign w:val="superscript"/>
              </w:rPr>
              <w:t>(9)</w:t>
            </w:r>
          </w:p>
        </w:tc>
        <w:tc>
          <w:tcPr>
            <w:tcW w:w="76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03/01/2023</w:t>
            </w:r>
          </w:p>
        </w:tc>
        <w:tc>
          <w:tcPr>
            <w:tcW w:w="140" w:type="dxa"/>
            <w:vAlign w:val="bottom"/>
          </w:tcPr>
          <w:p>
            <w:pPr>
              <w:spacing w:after="0"/>
              <w:rPr>
                <w:sz w:val="13"/>
                <w:szCs w:val="13"/>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88"/>
              </w:rPr>
              <w:t>Healthcare Technology</w:t>
            </w:r>
          </w:p>
        </w:tc>
        <w:tc>
          <w:tcPr>
            <w:tcW w:w="120" w:type="dxa"/>
            <w:vAlign w:val="bottom"/>
          </w:tcPr>
          <w:p>
            <w:pPr>
              <w:spacing w:after="0"/>
              <w:rPr>
                <w:sz w:val="13"/>
                <w:szCs w:val="13"/>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940" w:type="dxa"/>
            <w:vAlign w:val="bottom"/>
          </w:tcPr>
          <w:p>
            <w:pPr>
              <w:spacing w:after="0"/>
              <w:rPr>
                <w:sz w:val="13"/>
                <w:szCs w:val="13"/>
                <w:color w:val="auto"/>
              </w:rPr>
            </w:pP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2,971</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1"/>
                <w:szCs w:val="11"/>
                <w:color w:val="auto"/>
              </w:rPr>
              <w:t>(55 )</w:t>
            </w:r>
          </w:p>
        </w:tc>
        <w:tc>
          <w:tcPr>
            <w:tcW w:w="0" w:type="dxa"/>
            <w:vAlign w:val="bottom"/>
          </w:tcPr>
          <w:p>
            <w:pPr>
              <w:spacing w:after="0"/>
              <w:rPr>
                <w:sz w:val="1"/>
                <w:szCs w:val="1"/>
                <w:color w:val="auto"/>
              </w:rPr>
            </w:pPr>
          </w:p>
        </w:tc>
      </w:tr>
      <w:tr>
        <w:trPr>
          <w:trHeight w:val="115"/>
        </w:trPr>
        <w:tc>
          <w:tcPr>
            <w:tcW w:w="3180" w:type="dxa"/>
            <w:vAlign w:val="bottom"/>
          </w:tcPr>
          <w:p>
            <w:pPr>
              <w:ind w:left="20"/>
              <w:spacing w:after="0" w:line="115" w:lineRule="exact"/>
              <w:rPr>
                <w:sz w:val="20"/>
                <w:szCs w:val="20"/>
                <w:color w:val="auto"/>
              </w:rPr>
            </w:pPr>
            <w:r>
              <w:rPr>
                <w:rFonts w:ascii="Arial" w:cs="Arial" w:eastAsia="Arial" w:hAnsi="Arial"/>
                <w:sz w:val="11"/>
                <w:szCs w:val="11"/>
                <w:color w:val="auto"/>
              </w:rPr>
              <w:t>Spendmend Holdings LLC (Revolver)</w:t>
            </w:r>
          </w:p>
        </w:tc>
        <w:tc>
          <w:tcPr>
            <w:tcW w:w="760" w:type="dxa"/>
            <w:vAlign w:val="bottom"/>
            <w:gridSpan w:val="2"/>
          </w:tcPr>
          <w:p>
            <w:pPr>
              <w:jc w:val="center"/>
              <w:ind w:left="86"/>
              <w:spacing w:after="0" w:line="115" w:lineRule="exact"/>
              <w:rPr>
                <w:sz w:val="20"/>
                <w:szCs w:val="20"/>
                <w:color w:val="auto"/>
              </w:rPr>
            </w:pPr>
            <w:r>
              <w:rPr>
                <w:rFonts w:ascii="Arial" w:cs="Arial" w:eastAsia="Arial" w:hAnsi="Arial"/>
                <w:sz w:val="11"/>
                <w:szCs w:val="11"/>
                <w:color w:val="auto"/>
                <w:w w:val="90"/>
              </w:rPr>
              <w:t>03/01/2028</w:t>
            </w:r>
          </w:p>
        </w:tc>
        <w:tc>
          <w:tcPr>
            <w:tcW w:w="140" w:type="dxa"/>
            <w:vAlign w:val="bottom"/>
          </w:tcPr>
          <w:p>
            <w:pPr>
              <w:spacing w:after="0"/>
              <w:rPr>
                <w:sz w:val="9"/>
                <w:szCs w:val="9"/>
                <w:color w:val="auto"/>
              </w:rPr>
            </w:pPr>
          </w:p>
        </w:tc>
        <w:tc>
          <w:tcPr>
            <w:tcW w:w="2240" w:type="dxa"/>
            <w:vAlign w:val="bottom"/>
          </w:tcPr>
          <w:p>
            <w:pPr>
              <w:jc w:val="center"/>
              <w:spacing w:after="0" w:line="115" w:lineRule="exact"/>
              <w:rPr>
                <w:sz w:val="20"/>
                <w:szCs w:val="20"/>
                <w:color w:val="auto"/>
              </w:rPr>
            </w:pPr>
            <w:r>
              <w:rPr>
                <w:rFonts w:ascii="Arial" w:cs="Arial" w:eastAsia="Arial" w:hAnsi="Arial"/>
                <w:sz w:val="11"/>
                <w:szCs w:val="11"/>
                <w:color w:val="auto"/>
                <w:w w:val="88"/>
              </w:rPr>
              <w:t>Healthcare Technology</w:t>
            </w:r>
          </w:p>
        </w:tc>
        <w:tc>
          <w:tcPr>
            <w:tcW w:w="1080" w:type="dxa"/>
            <w:vAlign w:val="bottom"/>
            <w:gridSpan w:val="3"/>
          </w:tcPr>
          <w:p>
            <w:pPr>
              <w:jc w:val="right"/>
              <w:ind w:right="86"/>
              <w:spacing w:after="0" w:line="115" w:lineRule="exact"/>
              <w:rPr>
                <w:sz w:val="20"/>
                <w:szCs w:val="20"/>
                <w:color w:val="auto"/>
              </w:rPr>
            </w:pPr>
            <w:r>
              <w:rPr>
                <w:rFonts w:ascii="Arial" w:cs="Arial" w:eastAsia="Arial" w:hAnsi="Arial"/>
                <w:sz w:val="11"/>
                <w:szCs w:val="11"/>
                <w:color w:val="auto"/>
              </w:rPr>
              <w:t>7.38 %</w:t>
            </w:r>
          </w:p>
        </w:tc>
        <w:tc>
          <w:tcPr>
            <w:tcW w:w="940" w:type="dxa"/>
            <w:vAlign w:val="bottom"/>
          </w:tcPr>
          <w:p>
            <w:pPr>
              <w:jc w:val="right"/>
              <w:spacing w:after="0" w:line="115" w:lineRule="exact"/>
              <w:rPr>
                <w:sz w:val="20"/>
                <w:szCs w:val="20"/>
                <w:color w:val="auto"/>
              </w:rPr>
            </w:pPr>
            <w:r>
              <w:rPr>
                <w:rFonts w:ascii="Arial" w:cs="Arial" w:eastAsia="Arial" w:hAnsi="Arial"/>
                <w:sz w:val="11"/>
                <w:szCs w:val="11"/>
                <w:color w:val="auto"/>
              </w:rPr>
              <w:t>3M L+575</w:t>
            </w:r>
          </w:p>
        </w:tc>
        <w:tc>
          <w:tcPr>
            <w:tcW w:w="94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119</w:t>
            </w: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jc w:val="right"/>
              <w:spacing w:after="0" w:line="115" w:lineRule="exact"/>
              <w:rPr>
                <w:sz w:val="20"/>
                <w:szCs w:val="20"/>
                <w:color w:val="auto"/>
              </w:rPr>
            </w:pPr>
            <w:r>
              <w:rPr>
                <w:rFonts w:ascii="Arial" w:cs="Arial" w:eastAsia="Arial" w:hAnsi="Arial"/>
                <w:sz w:val="11"/>
                <w:szCs w:val="11"/>
                <w:color w:val="auto"/>
              </w:rPr>
              <w:t>119</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jc w:val="right"/>
              <w:spacing w:after="0" w:line="115" w:lineRule="exact"/>
              <w:rPr>
                <w:sz w:val="20"/>
                <w:szCs w:val="20"/>
                <w:color w:val="auto"/>
              </w:rPr>
            </w:pPr>
            <w:r>
              <w:rPr>
                <w:rFonts w:ascii="Arial" w:cs="Arial" w:eastAsia="Arial" w:hAnsi="Arial"/>
                <w:sz w:val="11"/>
                <w:szCs w:val="11"/>
                <w:color w:val="auto"/>
              </w:rPr>
              <w:t>116</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3180" w:type="dxa"/>
            <w:vAlign w:val="bottom"/>
          </w:tcPr>
          <w:p>
            <w:pPr>
              <w:ind w:left="20"/>
              <w:spacing w:after="0"/>
              <w:rPr>
                <w:sz w:val="20"/>
                <w:szCs w:val="20"/>
                <w:color w:val="auto"/>
              </w:rPr>
            </w:pPr>
            <w:r>
              <w:rPr>
                <w:rFonts w:ascii="Arial" w:cs="Arial" w:eastAsia="Arial" w:hAnsi="Arial"/>
                <w:sz w:val="11"/>
                <w:szCs w:val="11"/>
                <w:color w:val="auto"/>
              </w:rPr>
              <w:t xml:space="preserve">Spendmend Holdings LLC (Revolver) </w:t>
            </w:r>
            <w:r>
              <w:rPr>
                <w:rFonts w:ascii="Arial" w:cs="Arial" w:eastAsia="Arial" w:hAnsi="Arial"/>
                <w:sz w:val="14"/>
                <w:szCs w:val="14"/>
                <w:color w:val="auto"/>
                <w:vertAlign w:val="superscript"/>
              </w:rPr>
              <w:t>(9)</w:t>
            </w:r>
          </w:p>
        </w:tc>
        <w:tc>
          <w:tcPr>
            <w:tcW w:w="76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03/01/2028</w:t>
            </w:r>
          </w:p>
        </w:tc>
        <w:tc>
          <w:tcPr>
            <w:tcW w:w="140" w:type="dxa"/>
            <w:vAlign w:val="bottom"/>
          </w:tcPr>
          <w:p>
            <w:pPr>
              <w:spacing w:after="0"/>
              <w:rPr>
                <w:sz w:val="14"/>
                <w:szCs w:val="14"/>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88"/>
              </w:rPr>
              <w:t>Healthcare Technology</w:t>
            </w:r>
          </w:p>
        </w:tc>
        <w:tc>
          <w:tcPr>
            <w:tcW w:w="120" w:type="dxa"/>
            <w:vAlign w:val="bottom"/>
          </w:tcPr>
          <w:p>
            <w:pPr>
              <w:spacing w:after="0"/>
              <w:rPr>
                <w:sz w:val="14"/>
                <w:szCs w:val="14"/>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94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772</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1"/>
                <w:szCs w:val="11"/>
                <w:color w:val="auto"/>
              </w:rPr>
              <w:t>(20 )</w:t>
            </w:r>
          </w:p>
        </w:tc>
        <w:tc>
          <w:tcPr>
            <w:tcW w:w="0" w:type="dxa"/>
            <w:vAlign w:val="bottom"/>
          </w:tcPr>
          <w:p>
            <w:pPr>
              <w:spacing w:after="0"/>
              <w:rPr>
                <w:sz w:val="1"/>
                <w:szCs w:val="1"/>
                <w:color w:val="auto"/>
              </w:rPr>
            </w:pPr>
          </w:p>
        </w:tc>
      </w:tr>
      <w:tr>
        <w:trPr>
          <w:trHeight w:val="135"/>
        </w:trPr>
        <w:tc>
          <w:tcPr>
            <w:tcW w:w="3180" w:type="dxa"/>
            <w:vAlign w:val="bottom"/>
            <w:shd w:val="clear" w:color="auto" w:fill="CCECFF"/>
          </w:tcPr>
          <w:p>
            <w:pPr>
              <w:ind w:left="20"/>
              <w:spacing w:after="0"/>
              <w:rPr>
                <w:sz w:val="20"/>
                <w:szCs w:val="20"/>
                <w:color w:val="auto"/>
              </w:rPr>
            </w:pPr>
            <w:r>
              <w:rPr>
                <w:rFonts w:ascii="Arial" w:cs="Arial" w:eastAsia="Arial" w:hAnsi="Arial"/>
                <w:sz w:val="11"/>
                <w:szCs w:val="11"/>
                <w:color w:val="auto"/>
              </w:rPr>
              <w:t>STV Group Incorporated</w:t>
            </w:r>
          </w:p>
        </w:tc>
        <w:tc>
          <w:tcPr>
            <w:tcW w:w="76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12/11/2026</w:t>
            </w:r>
          </w:p>
        </w:tc>
        <w:tc>
          <w:tcPr>
            <w:tcW w:w="140" w:type="dxa"/>
            <w:vAlign w:val="bottom"/>
            <w:shd w:val="clear" w:color="auto" w:fill="CCECFF"/>
          </w:tcPr>
          <w:p>
            <w:pPr>
              <w:spacing w:after="0"/>
              <w:rPr>
                <w:sz w:val="11"/>
                <w:szCs w:val="11"/>
                <w:color w:val="auto"/>
              </w:rPr>
            </w:pPr>
          </w:p>
        </w:tc>
        <w:tc>
          <w:tcPr>
            <w:tcW w:w="22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1"/>
              </w:rPr>
              <w:t>Construction &amp; Engineering</w:t>
            </w:r>
          </w:p>
        </w:tc>
        <w:tc>
          <w:tcPr>
            <w:tcW w:w="1080" w:type="dxa"/>
            <w:vAlign w:val="bottom"/>
            <w:gridSpan w:val="3"/>
            <w:shd w:val="clear" w:color="auto" w:fill="CCECFF"/>
          </w:tcPr>
          <w:p>
            <w:pPr>
              <w:jc w:val="right"/>
              <w:ind w:right="86"/>
              <w:spacing w:after="0"/>
              <w:rPr>
                <w:sz w:val="20"/>
                <w:szCs w:val="20"/>
                <w:color w:val="auto"/>
              </w:rPr>
            </w:pPr>
            <w:r>
              <w:rPr>
                <w:rFonts w:ascii="Arial" w:cs="Arial" w:eastAsia="Arial" w:hAnsi="Arial"/>
                <w:sz w:val="11"/>
                <w:szCs w:val="11"/>
                <w:color w:val="auto"/>
              </w:rPr>
              <w:t>6.92 %</w:t>
            </w:r>
          </w:p>
        </w:tc>
        <w:tc>
          <w:tcPr>
            <w:tcW w:w="9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L+525</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4,752</w:t>
            </w:r>
          </w:p>
        </w:tc>
        <w:tc>
          <w:tcPr>
            <w:tcW w:w="24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4,717</w:t>
            </w:r>
          </w:p>
        </w:tc>
        <w:tc>
          <w:tcPr>
            <w:tcW w:w="2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5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4,681</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3180" w:type="dxa"/>
            <w:vAlign w:val="bottom"/>
          </w:tcPr>
          <w:p>
            <w:pPr>
              <w:ind w:left="20"/>
              <w:spacing w:after="0" w:line="99" w:lineRule="exact"/>
              <w:rPr>
                <w:sz w:val="20"/>
                <w:szCs w:val="20"/>
                <w:color w:val="auto"/>
              </w:rPr>
            </w:pPr>
            <w:r>
              <w:rPr>
                <w:rFonts w:ascii="Arial" w:cs="Arial" w:eastAsia="Arial" w:hAnsi="Arial"/>
                <w:sz w:val="11"/>
                <w:szCs w:val="11"/>
                <w:color w:val="auto"/>
              </w:rPr>
              <w:t>System Planning and Analysis, Inc.</w:t>
            </w:r>
          </w:p>
        </w:tc>
        <w:tc>
          <w:tcPr>
            <w:tcW w:w="760" w:type="dxa"/>
            <w:vAlign w:val="bottom"/>
            <w:gridSpan w:val="2"/>
          </w:tcPr>
          <w:p>
            <w:pPr>
              <w:jc w:val="center"/>
              <w:ind w:left="86"/>
              <w:spacing w:after="0" w:line="99" w:lineRule="exact"/>
              <w:rPr>
                <w:sz w:val="20"/>
                <w:szCs w:val="20"/>
                <w:color w:val="auto"/>
              </w:rPr>
            </w:pPr>
            <w:r>
              <w:rPr>
                <w:rFonts w:ascii="Arial" w:cs="Arial" w:eastAsia="Arial" w:hAnsi="Arial"/>
                <w:sz w:val="11"/>
                <w:szCs w:val="11"/>
                <w:color w:val="auto"/>
                <w:w w:val="90"/>
              </w:rPr>
              <w:t>08/16/2027</w:t>
            </w:r>
          </w:p>
        </w:tc>
        <w:tc>
          <w:tcPr>
            <w:tcW w:w="140" w:type="dxa"/>
            <w:vAlign w:val="bottom"/>
          </w:tcPr>
          <w:p>
            <w:pPr>
              <w:spacing w:after="0"/>
              <w:rPr>
                <w:sz w:val="8"/>
                <w:szCs w:val="8"/>
                <w:color w:val="auto"/>
              </w:rPr>
            </w:pPr>
          </w:p>
        </w:tc>
        <w:tc>
          <w:tcPr>
            <w:tcW w:w="2240" w:type="dxa"/>
            <w:vAlign w:val="bottom"/>
          </w:tcPr>
          <w:p>
            <w:pPr>
              <w:jc w:val="center"/>
              <w:spacing w:after="0" w:line="99" w:lineRule="exact"/>
              <w:rPr>
                <w:sz w:val="20"/>
                <w:szCs w:val="20"/>
                <w:color w:val="auto"/>
              </w:rPr>
            </w:pPr>
            <w:r>
              <w:rPr>
                <w:rFonts w:ascii="Arial" w:cs="Arial" w:eastAsia="Arial" w:hAnsi="Arial"/>
                <w:sz w:val="11"/>
                <w:szCs w:val="11"/>
                <w:color w:val="auto"/>
                <w:w w:val="86"/>
              </w:rPr>
              <w:t>Aerospace and Defense</w:t>
            </w:r>
          </w:p>
        </w:tc>
        <w:tc>
          <w:tcPr>
            <w:tcW w:w="1080" w:type="dxa"/>
            <w:vAlign w:val="bottom"/>
            <w:gridSpan w:val="3"/>
          </w:tcPr>
          <w:p>
            <w:pPr>
              <w:jc w:val="right"/>
              <w:ind w:right="86"/>
              <w:spacing w:after="0" w:line="99" w:lineRule="exact"/>
              <w:rPr>
                <w:sz w:val="20"/>
                <w:szCs w:val="20"/>
                <w:color w:val="auto"/>
              </w:rPr>
            </w:pPr>
            <w:r>
              <w:rPr>
                <w:rFonts w:ascii="Arial" w:cs="Arial" w:eastAsia="Arial" w:hAnsi="Arial"/>
                <w:sz w:val="11"/>
                <w:szCs w:val="11"/>
                <w:color w:val="auto"/>
              </w:rPr>
              <w:t>8.83 %</w:t>
            </w:r>
          </w:p>
        </w:tc>
        <w:tc>
          <w:tcPr>
            <w:tcW w:w="940" w:type="dxa"/>
            <w:vAlign w:val="bottom"/>
          </w:tcPr>
          <w:p>
            <w:pPr>
              <w:jc w:val="right"/>
              <w:spacing w:after="0" w:line="99" w:lineRule="exact"/>
              <w:rPr>
                <w:sz w:val="20"/>
                <w:szCs w:val="20"/>
                <w:color w:val="auto"/>
              </w:rPr>
            </w:pPr>
            <w:r>
              <w:rPr>
                <w:rFonts w:ascii="Arial" w:cs="Arial" w:eastAsia="Arial" w:hAnsi="Arial"/>
                <w:sz w:val="11"/>
                <w:szCs w:val="11"/>
                <w:color w:val="auto"/>
              </w:rPr>
              <w:t>SOFR+600</w:t>
            </w:r>
          </w:p>
        </w:tc>
        <w:tc>
          <w:tcPr>
            <w:tcW w:w="940" w:type="dxa"/>
            <w:vAlign w:val="bottom"/>
            <w:gridSpan w:val="2"/>
          </w:tcPr>
          <w:p>
            <w:pPr>
              <w:jc w:val="right"/>
              <w:spacing w:after="0" w:line="99" w:lineRule="exact"/>
              <w:rPr>
                <w:sz w:val="20"/>
                <w:szCs w:val="20"/>
                <w:color w:val="auto"/>
              </w:rPr>
            </w:pPr>
            <w:r>
              <w:rPr>
                <w:rFonts w:ascii="Arial" w:cs="Arial" w:eastAsia="Arial" w:hAnsi="Arial"/>
                <w:sz w:val="11"/>
                <w:szCs w:val="11"/>
                <w:color w:val="auto"/>
              </w:rPr>
              <w:t>18,607</w:t>
            </w: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jc w:val="right"/>
              <w:spacing w:after="0" w:line="99" w:lineRule="exact"/>
              <w:rPr>
                <w:sz w:val="20"/>
                <w:szCs w:val="20"/>
                <w:color w:val="auto"/>
              </w:rPr>
            </w:pPr>
            <w:r>
              <w:rPr>
                <w:rFonts w:ascii="Arial" w:cs="Arial" w:eastAsia="Arial" w:hAnsi="Arial"/>
                <w:sz w:val="11"/>
                <w:szCs w:val="11"/>
                <w:color w:val="auto"/>
              </w:rPr>
              <w:t>18,269</w:t>
            </w: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jc w:val="right"/>
              <w:spacing w:after="0" w:line="99" w:lineRule="exact"/>
              <w:rPr>
                <w:sz w:val="20"/>
                <w:szCs w:val="20"/>
                <w:color w:val="auto"/>
              </w:rPr>
            </w:pPr>
            <w:r>
              <w:rPr>
                <w:rFonts w:ascii="Arial" w:cs="Arial" w:eastAsia="Arial" w:hAnsi="Arial"/>
                <w:sz w:val="11"/>
                <w:szCs w:val="11"/>
                <w:color w:val="auto"/>
              </w:rPr>
              <w:t>18,309</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3180" w:type="dxa"/>
            <w:vAlign w:val="bottom"/>
          </w:tcPr>
          <w:p>
            <w:pPr>
              <w:ind w:left="120"/>
              <w:spacing w:after="0"/>
              <w:rPr>
                <w:sz w:val="20"/>
                <w:szCs w:val="20"/>
                <w:color w:val="auto"/>
              </w:rPr>
            </w:pPr>
            <w:r>
              <w:rPr>
                <w:rFonts w:ascii="Arial" w:cs="Arial" w:eastAsia="Arial" w:hAnsi="Arial"/>
                <w:sz w:val="11"/>
                <w:szCs w:val="11"/>
                <w:color w:val="auto"/>
              </w:rPr>
              <w:t>(f/k/a Management Consulting &amp; Research, LLC)</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3180" w:type="dxa"/>
            <w:vAlign w:val="bottom"/>
            <w:shd w:val="clear" w:color="auto" w:fill="CCECFF"/>
          </w:tcPr>
          <w:p>
            <w:pPr>
              <w:ind w:left="20"/>
              <w:spacing w:after="0" w:line="103" w:lineRule="exact"/>
              <w:rPr>
                <w:sz w:val="20"/>
                <w:szCs w:val="20"/>
                <w:color w:val="auto"/>
              </w:rPr>
            </w:pPr>
            <w:r>
              <w:rPr>
                <w:rFonts w:ascii="Arial" w:cs="Arial" w:eastAsia="Arial" w:hAnsi="Arial"/>
                <w:sz w:val="11"/>
                <w:szCs w:val="11"/>
                <w:color w:val="auto"/>
              </w:rPr>
              <w:t>System Planning and Analysis, Inc. (Revolver)</w:t>
            </w:r>
          </w:p>
        </w:tc>
        <w:tc>
          <w:tcPr>
            <w:tcW w:w="760" w:type="dxa"/>
            <w:vAlign w:val="bottom"/>
            <w:gridSpan w:val="2"/>
            <w:shd w:val="clear" w:color="auto" w:fill="CCECFF"/>
          </w:tcPr>
          <w:p>
            <w:pPr>
              <w:jc w:val="center"/>
              <w:ind w:left="86"/>
              <w:spacing w:after="0" w:line="103" w:lineRule="exact"/>
              <w:rPr>
                <w:sz w:val="20"/>
                <w:szCs w:val="20"/>
                <w:color w:val="auto"/>
              </w:rPr>
            </w:pPr>
            <w:r>
              <w:rPr>
                <w:rFonts w:ascii="Arial" w:cs="Arial" w:eastAsia="Arial" w:hAnsi="Arial"/>
                <w:sz w:val="11"/>
                <w:szCs w:val="11"/>
                <w:color w:val="auto"/>
                <w:w w:val="90"/>
              </w:rPr>
              <w:t>08/16/2027</w:t>
            </w:r>
          </w:p>
        </w:tc>
        <w:tc>
          <w:tcPr>
            <w:tcW w:w="140" w:type="dxa"/>
            <w:vAlign w:val="bottom"/>
            <w:shd w:val="clear" w:color="auto" w:fill="CCECFF"/>
          </w:tcPr>
          <w:p>
            <w:pPr>
              <w:spacing w:after="0"/>
              <w:rPr>
                <w:sz w:val="8"/>
                <w:szCs w:val="8"/>
                <w:color w:val="auto"/>
              </w:rPr>
            </w:pPr>
          </w:p>
        </w:tc>
        <w:tc>
          <w:tcPr>
            <w:tcW w:w="2240" w:type="dxa"/>
            <w:vAlign w:val="bottom"/>
            <w:shd w:val="clear" w:color="auto" w:fill="CCECFF"/>
          </w:tcPr>
          <w:p>
            <w:pPr>
              <w:jc w:val="center"/>
              <w:spacing w:after="0" w:line="103" w:lineRule="exact"/>
              <w:rPr>
                <w:sz w:val="20"/>
                <w:szCs w:val="20"/>
                <w:color w:val="auto"/>
              </w:rPr>
            </w:pPr>
            <w:r>
              <w:rPr>
                <w:rFonts w:ascii="Arial" w:cs="Arial" w:eastAsia="Arial" w:hAnsi="Arial"/>
                <w:sz w:val="11"/>
                <w:szCs w:val="11"/>
                <w:color w:val="auto"/>
                <w:w w:val="86"/>
              </w:rPr>
              <w:t>Aerospace and Defense</w:t>
            </w:r>
          </w:p>
        </w:tc>
        <w:tc>
          <w:tcPr>
            <w:tcW w:w="120" w:type="dxa"/>
            <w:vAlign w:val="bottom"/>
            <w:shd w:val="clear" w:color="auto" w:fill="CCECFF"/>
          </w:tcPr>
          <w:p>
            <w:pPr>
              <w:spacing w:after="0"/>
              <w:rPr>
                <w:sz w:val="8"/>
                <w:szCs w:val="8"/>
                <w:color w:val="auto"/>
              </w:rPr>
            </w:pPr>
          </w:p>
        </w:tc>
        <w:tc>
          <w:tcPr>
            <w:tcW w:w="960" w:type="dxa"/>
            <w:vAlign w:val="bottom"/>
            <w:gridSpan w:val="2"/>
            <w:shd w:val="clear" w:color="auto" w:fill="CCECFF"/>
          </w:tcPr>
          <w:p>
            <w:pPr>
              <w:jc w:val="right"/>
              <w:ind w:right="206"/>
              <w:spacing w:after="0" w:line="103" w:lineRule="exact"/>
              <w:rPr>
                <w:sz w:val="20"/>
                <w:szCs w:val="20"/>
                <w:color w:val="auto"/>
              </w:rPr>
            </w:pPr>
            <w:r>
              <w:rPr>
                <w:rFonts w:ascii="Arial" w:cs="Arial" w:eastAsia="Arial" w:hAnsi="Arial"/>
                <w:sz w:val="11"/>
                <w:szCs w:val="11"/>
                <w:color w:val="auto"/>
              </w:rPr>
              <w:t>—</w:t>
            </w:r>
          </w:p>
        </w:tc>
        <w:tc>
          <w:tcPr>
            <w:tcW w:w="940" w:type="dxa"/>
            <w:vAlign w:val="bottom"/>
            <w:shd w:val="clear" w:color="auto" w:fill="CCECFF"/>
          </w:tcPr>
          <w:p>
            <w:pPr>
              <w:jc w:val="right"/>
              <w:spacing w:after="0" w:line="103" w:lineRule="exact"/>
              <w:rPr>
                <w:sz w:val="20"/>
                <w:szCs w:val="20"/>
                <w:color w:val="auto"/>
              </w:rPr>
            </w:pPr>
            <w:r>
              <w:rPr>
                <w:rFonts w:ascii="Arial" w:cs="Arial" w:eastAsia="Arial" w:hAnsi="Arial"/>
                <w:sz w:val="11"/>
                <w:szCs w:val="11"/>
                <w:color w:val="auto"/>
              </w:rPr>
              <w:t>—</w:t>
            </w:r>
          </w:p>
        </w:tc>
        <w:tc>
          <w:tcPr>
            <w:tcW w:w="940" w:type="dxa"/>
            <w:vAlign w:val="bottom"/>
            <w:gridSpan w:val="2"/>
            <w:shd w:val="clear" w:color="auto" w:fill="CCECFF"/>
          </w:tcPr>
          <w:p>
            <w:pPr>
              <w:jc w:val="right"/>
              <w:spacing w:after="0" w:line="103" w:lineRule="exact"/>
              <w:rPr>
                <w:sz w:val="20"/>
                <w:szCs w:val="20"/>
                <w:color w:val="auto"/>
              </w:rPr>
            </w:pPr>
            <w:r>
              <w:rPr>
                <w:rFonts w:ascii="Arial" w:cs="Arial" w:eastAsia="Arial" w:hAnsi="Arial"/>
                <w:sz w:val="11"/>
                <w:szCs w:val="11"/>
                <w:color w:val="auto"/>
              </w:rPr>
              <w:t>5,188</w:t>
            </w:r>
          </w:p>
        </w:tc>
        <w:tc>
          <w:tcPr>
            <w:tcW w:w="240" w:type="dxa"/>
            <w:vAlign w:val="bottom"/>
            <w:shd w:val="clear" w:color="auto" w:fill="CCECFF"/>
          </w:tcPr>
          <w:p>
            <w:pPr>
              <w:spacing w:after="0"/>
              <w:rPr>
                <w:sz w:val="8"/>
                <w:szCs w:val="8"/>
                <w:color w:val="auto"/>
              </w:rPr>
            </w:pPr>
          </w:p>
        </w:tc>
        <w:tc>
          <w:tcPr>
            <w:tcW w:w="140" w:type="dxa"/>
            <w:vAlign w:val="bottom"/>
            <w:shd w:val="clear" w:color="auto" w:fill="CCECFF"/>
          </w:tcPr>
          <w:p>
            <w:pPr>
              <w:spacing w:after="0"/>
              <w:rPr>
                <w:sz w:val="8"/>
                <w:szCs w:val="8"/>
                <w:color w:val="auto"/>
              </w:rPr>
            </w:pPr>
          </w:p>
        </w:tc>
        <w:tc>
          <w:tcPr>
            <w:tcW w:w="560" w:type="dxa"/>
            <w:vAlign w:val="bottom"/>
            <w:shd w:val="clear" w:color="auto" w:fill="CCECFF"/>
          </w:tcPr>
          <w:p>
            <w:pPr>
              <w:jc w:val="right"/>
              <w:spacing w:after="0" w:line="103" w:lineRule="exact"/>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8"/>
                <w:szCs w:val="8"/>
                <w:color w:val="auto"/>
              </w:rPr>
            </w:pPr>
          </w:p>
        </w:tc>
        <w:tc>
          <w:tcPr>
            <w:tcW w:w="200" w:type="dxa"/>
            <w:vAlign w:val="bottom"/>
            <w:shd w:val="clear" w:color="auto" w:fill="CCECFF"/>
          </w:tcPr>
          <w:p>
            <w:pPr>
              <w:spacing w:after="0"/>
              <w:rPr>
                <w:sz w:val="8"/>
                <w:szCs w:val="8"/>
                <w:color w:val="auto"/>
              </w:rPr>
            </w:pPr>
          </w:p>
        </w:tc>
        <w:tc>
          <w:tcPr>
            <w:tcW w:w="600" w:type="dxa"/>
            <w:vAlign w:val="bottom"/>
            <w:gridSpan w:val="2"/>
            <w:shd w:val="clear" w:color="auto" w:fill="CCECFF"/>
          </w:tcPr>
          <w:p>
            <w:pPr>
              <w:jc w:val="right"/>
              <w:ind w:right="60"/>
              <w:spacing w:after="0" w:line="103" w:lineRule="exact"/>
              <w:rPr>
                <w:sz w:val="20"/>
                <w:szCs w:val="20"/>
                <w:color w:val="auto"/>
              </w:rPr>
            </w:pPr>
            <w:r>
              <w:rPr>
                <w:rFonts w:ascii="Arial" w:cs="Arial" w:eastAsia="Arial" w:hAnsi="Arial"/>
                <w:sz w:val="11"/>
                <w:szCs w:val="11"/>
                <w:color w:val="auto"/>
              </w:rPr>
              <w:t>(83 )</w:t>
            </w:r>
          </w:p>
        </w:tc>
        <w:tc>
          <w:tcPr>
            <w:tcW w:w="0" w:type="dxa"/>
            <w:vAlign w:val="bottom"/>
          </w:tcPr>
          <w:p>
            <w:pPr>
              <w:spacing w:after="0"/>
              <w:rPr>
                <w:sz w:val="1"/>
                <w:szCs w:val="1"/>
                <w:color w:val="auto"/>
              </w:rPr>
            </w:pPr>
          </w:p>
        </w:tc>
      </w:tr>
      <w:tr>
        <w:trPr>
          <w:trHeight w:val="145"/>
        </w:trPr>
        <w:tc>
          <w:tcPr>
            <w:tcW w:w="3180" w:type="dxa"/>
            <w:vAlign w:val="bottom"/>
            <w:shd w:val="clear" w:color="auto" w:fill="CCECFF"/>
          </w:tcPr>
          <w:p>
            <w:pPr>
              <w:ind w:left="120"/>
              <w:spacing w:after="0"/>
              <w:rPr>
                <w:sz w:val="20"/>
                <w:szCs w:val="20"/>
                <w:color w:val="auto"/>
              </w:rPr>
            </w:pPr>
            <w:r>
              <w:rPr>
                <w:rFonts w:ascii="Arial" w:cs="Arial" w:eastAsia="Arial" w:hAnsi="Arial"/>
                <w:sz w:val="11"/>
                <w:szCs w:val="11"/>
                <w:color w:val="auto"/>
              </w:rPr>
              <w:t>(f/k/a Management Consulting &amp; Research, LLC)</w:t>
            </w:r>
          </w:p>
        </w:tc>
        <w:tc>
          <w:tcPr>
            <w:tcW w:w="14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22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9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6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5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3180" w:type="dxa"/>
            <w:vAlign w:val="bottom"/>
          </w:tcPr>
          <w:p>
            <w:pPr>
              <w:ind w:left="20"/>
              <w:spacing w:after="0" w:line="105" w:lineRule="exact"/>
              <w:rPr>
                <w:sz w:val="20"/>
                <w:szCs w:val="20"/>
                <w:color w:val="auto"/>
              </w:rPr>
            </w:pPr>
            <w:r>
              <w:rPr>
                <w:rFonts w:ascii="Arial" w:cs="Arial" w:eastAsia="Arial" w:hAnsi="Arial"/>
                <w:sz w:val="11"/>
                <w:szCs w:val="11"/>
                <w:color w:val="auto"/>
              </w:rPr>
              <w:t>TAC LifePort Purchaser, LLC</w:t>
            </w:r>
          </w:p>
        </w:tc>
        <w:tc>
          <w:tcPr>
            <w:tcW w:w="760" w:type="dxa"/>
            <w:vAlign w:val="bottom"/>
            <w:gridSpan w:val="2"/>
          </w:tcPr>
          <w:p>
            <w:pPr>
              <w:jc w:val="center"/>
              <w:ind w:left="86"/>
              <w:spacing w:after="0" w:line="105" w:lineRule="exact"/>
              <w:rPr>
                <w:sz w:val="20"/>
                <w:szCs w:val="20"/>
                <w:color w:val="auto"/>
              </w:rPr>
            </w:pPr>
            <w:r>
              <w:rPr>
                <w:rFonts w:ascii="Arial" w:cs="Arial" w:eastAsia="Arial" w:hAnsi="Arial"/>
                <w:sz w:val="11"/>
                <w:szCs w:val="11"/>
                <w:color w:val="auto"/>
                <w:w w:val="90"/>
              </w:rPr>
              <w:t>03/01/2026</w:t>
            </w:r>
          </w:p>
        </w:tc>
        <w:tc>
          <w:tcPr>
            <w:tcW w:w="140" w:type="dxa"/>
            <w:vAlign w:val="bottom"/>
          </w:tcPr>
          <w:p>
            <w:pPr>
              <w:spacing w:after="0"/>
              <w:rPr>
                <w:sz w:val="9"/>
                <w:szCs w:val="9"/>
                <w:color w:val="auto"/>
              </w:rPr>
            </w:pPr>
          </w:p>
        </w:tc>
        <w:tc>
          <w:tcPr>
            <w:tcW w:w="2240" w:type="dxa"/>
            <w:vAlign w:val="bottom"/>
          </w:tcPr>
          <w:p>
            <w:pPr>
              <w:jc w:val="center"/>
              <w:spacing w:after="0" w:line="105" w:lineRule="exact"/>
              <w:rPr>
                <w:sz w:val="20"/>
                <w:szCs w:val="20"/>
                <w:color w:val="auto"/>
              </w:rPr>
            </w:pPr>
            <w:r>
              <w:rPr>
                <w:rFonts w:ascii="Arial" w:cs="Arial" w:eastAsia="Arial" w:hAnsi="Arial"/>
                <w:sz w:val="11"/>
                <w:szCs w:val="11"/>
                <w:color w:val="auto"/>
                <w:w w:val="86"/>
              </w:rPr>
              <w:t>Aerospace and Defense</w:t>
            </w:r>
          </w:p>
        </w:tc>
        <w:tc>
          <w:tcPr>
            <w:tcW w:w="1080" w:type="dxa"/>
            <w:vAlign w:val="bottom"/>
            <w:gridSpan w:val="3"/>
          </w:tcPr>
          <w:p>
            <w:pPr>
              <w:jc w:val="right"/>
              <w:ind w:right="86"/>
              <w:spacing w:after="0" w:line="105" w:lineRule="exact"/>
              <w:rPr>
                <w:sz w:val="20"/>
                <w:szCs w:val="20"/>
                <w:color w:val="auto"/>
              </w:rPr>
            </w:pPr>
            <w:r>
              <w:rPr>
                <w:rFonts w:ascii="Arial" w:cs="Arial" w:eastAsia="Arial" w:hAnsi="Arial"/>
                <w:sz w:val="11"/>
                <w:szCs w:val="11"/>
                <w:color w:val="auto"/>
              </w:rPr>
              <w:t>8.25 %</w:t>
            </w:r>
          </w:p>
        </w:tc>
        <w:tc>
          <w:tcPr>
            <w:tcW w:w="940" w:type="dxa"/>
            <w:vAlign w:val="bottom"/>
          </w:tcPr>
          <w:p>
            <w:pPr>
              <w:jc w:val="right"/>
              <w:spacing w:after="0" w:line="105" w:lineRule="exact"/>
              <w:rPr>
                <w:sz w:val="20"/>
                <w:szCs w:val="20"/>
                <w:color w:val="auto"/>
              </w:rPr>
            </w:pPr>
            <w:r>
              <w:rPr>
                <w:rFonts w:ascii="Arial" w:cs="Arial" w:eastAsia="Arial" w:hAnsi="Arial"/>
                <w:sz w:val="11"/>
                <w:szCs w:val="11"/>
                <w:color w:val="auto"/>
              </w:rPr>
              <w:t>3M L+600</w:t>
            </w:r>
          </w:p>
        </w:tc>
        <w:tc>
          <w:tcPr>
            <w:tcW w:w="940" w:type="dxa"/>
            <w:vAlign w:val="bottom"/>
            <w:gridSpan w:val="2"/>
          </w:tcPr>
          <w:p>
            <w:pPr>
              <w:jc w:val="right"/>
              <w:spacing w:after="0" w:line="105" w:lineRule="exact"/>
              <w:rPr>
                <w:sz w:val="20"/>
                <w:szCs w:val="20"/>
                <w:color w:val="auto"/>
              </w:rPr>
            </w:pPr>
            <w:r>
              <w:rPr>
                <w:rFonts w:ascii="Arial" w:cs="Arial" w:eastAsia="Arial" w:hAnsi="Arial"/>
                <w:sz w:val="11"/>
                <w:szCs w:val="11"/>
                <w:color w:val="auto"/>
              </w:rPr>
              <w:t>475</w:t>
            </w: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jc w:val="right"/>
              <w:spacing w:after="0" w:line="105" w:lineRule="exact"/>
              <w:rPr>
                <w:sz w:val="20"/>
                <w:szCs w:val="20"/>
                <w:color w:val="auto"/>
              </w:rPr>
            </w:pPr>
            <w:r>
              <w:rPr>
                <w:rFonts w:ascii="Arial" w:cs="Arial" w:eastAsia="Arial" w:hAnsi="Arial"/>
                <w:sz w:val="11"/>
                <w:szCs w:val="11"/>
                <w:color w:val="auto"/>
              </w:rPr>
              <w:t>467</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jc w:val="right"/>
              <w:spacing w:after="0" w:line="105" w:lineRule="exact"/>
              <w:rPr>
                <w:sz w:val="20"/>
                <w:szCs w:val="20"/>
                <w:color w:val="auto"/>
              </w:rPr>
            </w:pPr>
            <w:r>
              <w:rPr>
                <w:rFonts w:ascii="Arial" w:cs="Arial" w:eastAsia="Arial" w:hAnsi="Arial"/>
                <w:sz w:val="11"/>
                <w:szCs w:val="11"/>
                <w:color w:val="auto"/>
              </w:rPr>
              <w:t>473</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318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TAC LifePort Purchaser, LLC (Revolver) </w:t>
            </w:r>
            <w:r>
              <w:rPr>
                <w:rFonts w:ascii="Arial" w:cs="Arial" w:eastAsia="Arial" w:hAnsi="Arial"/>
                <w:sz w:val="14"/>
                <w:szCs w:val="14"/>
                <w:color w:val="auto"/>
                <w:vertAlign w:val="superscript"/>
              </w:rPr>
              <w:t>(7), (9)</w:t>
            </w:r>
          </w:p>
        </w:tc>
        <w:tc>
          <w:tcPr>
            <w:tcW w:w="76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03/01/2026</w:t>
            </w:r>
          </w:p>
        </w:tc>
        <w:tc>
          <w:tcPr>
            <w:tcW w:w="140" w:type="dxa"/>
            <w:vAlign w:val="bottom"/>
          </w:tcPr>
          <w:p>
            <w:pPr>
              <w:spacing w:after="0"/>
              <w:rPr>
                <w:sz w:val="13"/>
                <w:szCs w:val="13"/>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86"/>
              </w:rPr>
              <w:t>Aerospace and Defense</w:t>
            </w:r>
          </w:p>
        </w:tc>
        <w:tc>
          <w:tcPr>
            <w:tcW w:w="120" w:type="dxa"/>
            <w:vAlign w:val="bottom"/>
          </w:tcPr>
          <w:p>
            <w:pPr>
              <w:spacing w:after="0"/>
              <w:rPr>
                <w:sz w:val="13"/>
                <w:szCs w:val="13"/>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1,302</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1"/>
                <w:szCs w:val="11"/>
                <w:color w:val="auto"/>
              </w:rPr>
              <w:t>(5 )</w:t>
            </w:r>
          </w:p>
        </w:tc>
        <w:tc>
          <w:tcPr>
            <w:tcW w:w="0" w:type="dxa"/>
            <w:vAlign w:val="bottom"/>
          </w:tcPr>
          <w:p>
            <w:pPr>
              <w:spacing w:after="0"/>
              <w:rPr>
                <w:sz w:val="1"/>
                <w:szCs w:val="1"/>
                <w:color w:val="auto"/>
              </w:rPr>
            </w:pPr>
          </w:p>
        </w:tc>
      </w:tr>
      <w:tr>
        <w:trPr>
          <w:trHeight w:val="140"/>
        </w:trPr>
        <w:tc>
          <w:tcPr>
            <w:tcW w:w="3180" w:type="dxa"/>
            <w:vAlign w:val="bottom"/>
          </w:tcPr>
          <w:p>
            <w:pPr>
              <w:ind w:left="20"/>
              <w:spacing w:after="0"/>
              <w:rPr>
                <w:sz w:val="20"/>
                <w:szCs w:val="20"/>
                <w:color w:val="auto"/>
              </w:rPr>
            </w:pPr>
            <w:r>
              <w:rPr>
                <w:rFonts w:ascii="Arial" w:cs="Arial" w:eastAsia="Arial" w:hAnsi="Arial"/>
                <w:sz w:val="11"/>
                <w:szCs w:val="11"/>
                <w:color w:val="auto"/>
              </w:rPr>
              <w:t>TeleGuam Holdings, LLC</w:t>
            </w:r>
          </w:p>
        </w:tc>
        <w:tc>
          <w:tcPr>
            <w:tcW w:w="76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11/20/2025</w:t>
            </w:r>
          </w:p>
        </w:tc>
        <w:tc>
          <w:tcPr>
            <w:tcW w:w="140" w:type="dxa"/>
            <w:vAlign w:val="bottom"/>
          </w:tcPr>
          <w:p>
            <w:pPr>
              <w:spacing w:after="0"/>
              <w:rPr>
                <w:sz w:val="12"/>
                <w:szCs w:val="12"/>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89"/>
              </w:rPr>
              <w:t>Wireless Telecommunication Services</w:t>
            </w:r>
          </w:p>
        </w:tc>
        <w:tc>
          <w:tcPr>
            <w:tcW w:w="1080" w:type="dxa"/>
            <w:vAlign w:val="bottom"/>
            <w:gridSpan w:val="3"/>
          </w:tcPr>
          <w:p>
            <w:pPr>
              <w:jc w:val="right"/>
              <w:ind w:right="86"/>
              <w:spacing w:after="0"/>
              <w:rPr>
                <w:sz w:val="20"/>
                <w:szCs w:val="20"/>
                <w:color w:val="auto"/>
              </w:rPr>
            </w:pPr>
            <w:r>
              <w:rPr>
                <w:rFonts w:ascii="Arial" w:cs="Arial" w:eastAsia="Arial" w:hAnsi="Arial"/>
                <w:sz w:val="11"/>
                <w:szCs w:val="11"/>
                <w:color w:val="auto"/>
              </w:rPr>
              <w:t>8.25 %</w:t>
            </w:r>
          </w:p>
        </w:tc>
        <w:tc>
          <w:tcPr>
            <w:tcW w:w="940" w:type="dxa"/>
            <w:vAlign w:val="bottom"/>
          </w:tcPr>
          <w:p>
            <w:pPr>
              <w:jc w:val="right"/>
              <w:spacing w:after="0"/>
              <w:rPr>
                <w:sz w:val="20"/>
                <w:szCs w:val="20"/>
                <w:color w:val="auto"/>
              </w:rPr>
            </w:pPr>
            <w:r>
              <w:rPr>
                <w:rFonts w:ascii="Arial" w:cs="Arial" w:eastAsia="Arial" w:hAnsi="Arial"/>
                <w:sz w:val="11"/>
                <w:szCs w:val="11"/>
                <w:color w:val="auto"/>
              </w:rPr>
              <w:t>1M L+350</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3,100</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3,080</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3,100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180" w:type="dxa"/>
            <w:vAlign w:val="bottom"/>
            <w:shd w:val="clear" w:color="auto" w:fill="CCECFF"/>
          </w:tcPr>
          <w:p>
            <w:pPr>
              <w:ind w:left="20"/>
              <w:spacing w:after="0"/>
              <w:rPr>
                <w:sz w:val="20"/>
                <w:szCs w:val="20"/>
                <w:color w:val="auto"/>
              </w:rPr>
            </w:pPr>
            <w:r>
              <w:rPr>
                <w:rFonts w:ascii="Arial" w:cs="Arial" w:eastAsia="Arial" w:hAnsi="Arial"/>
                <w:sz w:val="11"/>
                <w:szCs w:val="11"/>
                <w:color w:val="auto"/>
              </w:rPr>
              <w:t>Teneo Holdings LLC</w:t>
            </w:r>
          </w:p>
        </w:tc>
        <w:tc>
          <w:tcPr>
            <w:tcW w:w="76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07/18/2025</w:t>
            </w:r>
          </w:p>
        </w:tc>
        <w:tc>
          <w:tcPr>
            <w:tcW w:w="140" w:type="dxa"/>
            <w:vAlign w:val="bottom"/>
            <w:shd w:val="clear" w:color="auto" w:fill="CCECFF"/>
          </w:tcPr>
          <w:p>
            <w:pPr>
              <w:spacing w:after="0"/>
              <w:rPr>
                <w:sz w:val="12"/>
                <w:szCs w:val="12"/>
                <w:color w:val="auto"/>
              </w:rPr>
            </w:pPr>
          </w:p>
        </w:tc>
        <w:tc>
          <w:tcPr>
            <w:tcW w:w="22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Diversified Financial Services</w:t>
            </w:r>
          </w:p>
        </w:tc>
        <w:tc>
          <w:tcPr>
            <w:tcW w:w="1080" w:type="dxa"/>
            <w:vAlign w:val="bottom"/>
            <w:gridSpan w:val="3"/>
            <w:shd w:val="clear" w:color="auto" w:fill="CCECFF"/>
          </w:tcPr>
          <w:p>
            <w:pPr>
              <w:jc w:val="right"/>
              <w:ind w:right="86"/>
              <w:spacing w:after="0"/>
              <w:rPr>
                <w:sz w:val="20"/>
                <w:szCs w:val="20"/>
                <w:color w:val="auto"/>
              </w:rPr>
            </w:pPr>
            <w:r>
              <w:rPr>
                <w:rFonts w:ascii="Arial" w:cs="Arial" w:eastAsia="Arial" w:hAnsi="Arial"/>
                <w:sz w:val="11"/>
                <w:szCs w:val="11"/>
                <w:color w:val="auto"/>
              </w:rPr>
              <w:t>6.85 %</w:t>
            </w:r>
          </w:p>
        </w:tc>
        <w:tc>
          <w:tcPr>
            <w:tcW w:w="9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L+525</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5,808</w:t>
            </w:r>
          </w:p>
        </w:tc>
        <w:tc>
          <w:tcPr>
            <w:tcW w:w="24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5,727</w:t>
            </w:r>
          </w:p>
        </w:tc>
        <w:tc>
          <w:tcPr>
            <w:tcW w:w="22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5,692</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3180" w:type="dxa"/>
            <w:vAlign w:val="bottom"/>
          </w:tcPr>
          <w:p>
            <w:pPr>
              <w:ind w:left="20"/>
              <w:spacing w:after="0" w:line="125" w:lineRule="exact"/>
              <w:rPr>
                <w:sz w:val="20"/>
                <w:szCs w:val="20"/>
                <w:color w:val="auto"/>
              </w:rPr>
            </w:pPr>
            <w:r>
              <w:rPr>
                <w:rFonts w:ascii="Arial" w:cs="Arial" w:eastAsia="Arial" w:hAnsi="Arial"/>
                <w:sz w:val="11"/>
                <w:szCs w:val="11"/>
                <w:color w:val="auto"/>
              </w:rPr>
              <w:t>The Aegis Technologies Group, LLC</w:t>
            </w:r>
          </w:p>
        </w:tc>
        <w:tc>
          <w:tcPr>
            <w:tcW w:w="760" w:type="dxa"/>
            <w:vAlign w:val="bottom"/>
            <w:gridSpan w:val="2"/>
          </w:tcPr>
          <w:p>
            <w:pPr>
              <w:jc w:val="center"/>
              <w:ind w:left="86"/>
              <w:spacing w:after="0" w:line="125" w:lineRule="exact"/>
              <w:rPr>
                <w:sz w:val="20"/>
                <w:szCs w:val="20"/>
                <w:color w:val="auto"/>
              </w:rPr>
            </w:pPr>
            <w:r>
              <w:rPr>
                <w:rFonts w:ascii="Arial" w:cs="Arial" w:eastAsia="Arial" w:hAnsi="Arial"/>
                <w:sz w:val="11"/>
                <w:szCs w:val="11"/>
                <w:color w:val="auto"/>
                <w:w w:val="90"/>
              </w:rPr>
              <w:t>10/31/2025</w:t>
            </w:r>
          </w:p>
        </w:tc>
        <w:tc>
          <w:tcPr>
            <w:tcW w:w="140" w:type="dxa"/>
            <w:vAlign w:val="bottom"/>
          </w:tcPr>
          <w:p>
            <w:pPr>
              <w:spacing w:after="0"/>
              <w:rPr>
                <w:sz w:val="10"/>
                <w:szCs w:val="10"/>
                <w:color w:val="auto"/>
              </w:rPr>
            </w:pPr>
          </w:p>
        </w:tc>
        <w:tc>
          <w:tcPr>
            <w:tcW w:w="2240" w:type="dxa"/>
            <w:vAlign w:val="bottom"/>
          </w:tcPr>
          <w:p>
            <w:pPr>
              <w:jc w:val="center"/>
              <w:spacing w:after="0" w:line="125" w:lineRule="exact"/>
              <w:rPr>
                <w:sz w:val="20"/>
                <w:szCs w:val="20"/>
                <w:color w:val="auto"/>
              </w:rPr>
            </w:pPr>
            <w:r>
              <w:rPr>
                <w:rFonts w:ascii="Arial" w:cs="Arial" w:eastAsia="Arial" w:hAnsi="Arial"/>
                <w:sz w:val="11"/>
                <w:szCs w:val="11"/>
                <w:color w:val="auto"/>
                <w:w w:val="86"/>
              </w:rPr>
              <w:t>Aerospace and Defense</w:t>
            </w:r>
          </w:p>
        </w:tc>
        <w:tc>
          <w:tcPr>
            <w:tcW w:w="1080" w:type="dxa"/>
            <w:vAlign w:val="bottom"/>
            <w:gridSpan w:val="3"/>
          </w:tcPr>
          <w:p>
            <w:pPr>
              <w:jc w:val="right"/>
              <w:ind w:right="86"/>
              <w:spacing w:after="0" w:line="125" w:lineRule="exact"/>
              <w:rPr>
                <w:sz w:val="20"/>
                <w:szCs w:val="20"/>
                <w:color w:val="auto"/>
              </w:rPr>
            </w:pPr>
            <w:r>
              <w:rPr>
                <w:rFonts w:ascii="Arial" w:cs="Arial" w:eastAsia="Arial" w:hAnsi="Arial"/>
                <w:sz w:val="11"/>
                <w:szCs w:val="11"/>
                <w:color w:val="auto"/>
              </w:rPr>
              <w:t>8.12 %</w:t>
            </w:r>
          </w:p>
        </w:tc>
        <w:tc>
          <w:tcPr>
            <w:tcW w:w="940" w:type="dxa"/>
            <w:vAlign w:val="bottom"/>
          </w:tcPr>
          <w:p>
            <w:pPr>
              <w:jc w:val="right"/>
              <w:spacing w:after="0" w:line="125" w:lineRule="exact"/>
              <w:rPr>
                <w:sz w:val="20"/>
                <w:szCs w:val="20"/>
                <w:color w:val="auto"/>
              </w:rPr>
            </w:pPr>
            <w:r>
              <w:rPr>
                <w:rFonts w:ascii="Arial" w:cs="Arial" w:eastAsia="Arial" w:hAnsi="Arial"/>
                <w:sz w:val="11"/>
                <w:szCs w:val="11"/>
                <w:color w:val="auto"/>
              </w:rPr>
              <w:t>3M L+600</w:t>
            </w:r>
          </w:p>
        </w:tc>
        <w:tc>
          <w:tcPr>
            <w:tcW w:w="940" w:type="dxa"/>
            <w:vAlign w:val="bottom"/>
            <w:gridSpan w:val="2"/>
          </w:tcPr>
          <w:p>
            <w:pPr>
              <w:jc w:val="right"/>
              <w:spacing w:after="0" w:line="125" w:lineRule="exact"/>
              <w:rPr>
                <w:sz w:val="20"/>
                <w:szCs w:val="20"/>
                <w:color w:val="auto"/>
              </w:rPr>
            </w:pPr>
            <w:r>
              <w:rPr>
                <w:rFonts w:ascii="Arial" w:cs="Arial" w:eastAsia="Arial" w:hAnsi="Arial"/>
                <w:sz w:val="11"/>
                <w:szCs w:val="11"/>
                <w:color w:val="auto"/>
              </w:rPr>
              <w:t>4,934</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jc w:val="right"/>
              <w:spacing w:after="0" w:line="125" w:lineRule="exact"/>
              <w:rPr>
                <w:sz w:val="20"/>
                <w:szCs w:val="20"/>
                <w:color w:val="auto"/>
              </w:rPr>
            </w:pPr>
            <w:r>
              <w:rPr>
                <w:rFonts w:ascii="Arial" w:cs="Arial" w:eastAsia="Arial" w:hAnsi="Arial"/>
                <w:sz w:val="11"/>
                <w:szCs w:val="11"/>
                <w:color w:val="auto"/>
              </w:rPr>
              <w:t>4,876</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jc w:val="right"/>
              <w:spacing w:after="0" w:line="125" w:lineRule="exact"/>
              <w:rPr>
                <w:sz w:val="20"/>
                <w:szCs w:val="20"/>
                <w:color w:val="auto"/>
              </w:rPr>
            </w:pPr>
            <w:r>
              <w:rPr>
                <w:rFonts w:ascii="Arial" w:cs="Arial" w:eastAsia="Arial" w:hAnsi="Arial"/>
                <w:sz w:val="11"/>
                <w:szCs w:val="11"/>
                <w:color w:val="auto"/>
              </w:rPr>
              <w:t>4,884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3180" w:type="dxa"/>
            <w:vAlign w:val="bottom"/>
          </w:tcPr>
          <w:p>
            <w:pPr>
              <w:ind w:left="20"/>
              <w:spacing w:after="0" w:line="115" w:lineRule="exact"/>
              <w:rPr>
                <w:sz w:val="20"/>
                <w:szCs w:val="20"/>
                <w:color w:val="auto"/>
              </w:rPr>
            </w:pPr>
            <w:r>
              <w:rPr>
                <w:rFonts w:ascii="Arial" w:cs="Arial" w:eastAsia="Arial" w:hAnsi="Arial"/>
                <w:sz w:val="11"/>
                <w:szCs w:val="11"/>
                <w:color w:val="auto"/>
              </w:rPr>
              <w:t>The Bluebird Group LLC</w:t>
            </w:r>
          </w:p>
        </w:tc>
        <w:tc>
          <w:tcPr>
            <w:tcW w:w="760" w:type="dxa"/>
            <w:vAlign w:val="bottom"/>
            <w:gridSpan w:val="2"/>
          </w:tcPr>
          <w:p>
            <w:pPr>
              <w:jc w:val="center"/>
              <w:ind w:left="86"/>
              <w:spacing w:after="0" w:line="115" w:lineRule="exact"/>
              <w:rPr>
                <w:sz w:val="20"/>
                <w:szCs w:val="20"/>
                <w:color w:val="auto"/>
              </w:rPr>
            </w:pPr>
            <w:r>
              <w:rPr>
                <w:rFonts w:ascii="Arial" w:cs="Arial" w:eastAsia="Arial" w:hAnsi="Arial"/>
                <w:sz w:val="11"/>
                <w:szCs w:val="11"/>
                <w:color w:val="auto"/>
                <w:w w:val="90"/>
              </w:rPr>
              <w:t>07/27/2026</w:t>
            </w:r>
          </w:p>
        </w:tc>
        <w:tc>
          <w:tcPr>
            <w:tcW w:w="140" w:type="dxa"/>
            <w:vAlign w:val="bottom"/>
          </w:tcPr>
          <w:p>
            <w:pPr>
              <w:spacing w:after="0"/>
              <w:rPr>
                <w:sz w:val="9"/>
                <w:szCs w:val="9"/>
                <w:color w:val="auto"/>
              </w:rPr>
            </w:pPr>
          </w:p>
        </w:tc>
        <w:tc>
          <w:tcPr>
            <w:tcW w:w="2240" w:type="dxa"/>
            <w:vAlign w:val="bottom"/>
          </w:tcPr>
          <w:p>
            <w:pPr>
              <w:jc w:val="center"/>
              <w:spacing w:after="0" w:line="115" w:lineRule="exact"/>
              <w:rPr>
                <w:sz w:val="20"/>
                <w:szCs w:val="20"/>
                <w:color w:val="auto"/>
              </w:rPr>
            </w:pPr>
            <w:r>
              <w:rPr>
                <w:rFonts w:ascii="Arial" w:cs="Arial" w:eastAsia="Arial" w:hAnsi="Arial"/>
                <w:sz w:val="11"/>
                <w:szCs w:val="11"/>
                <w:color w:val="auto"/>
                <w:w w:val="88"/>
              </w:rPr>
              <w:t>Professional Services</w:t>
            </w:r>
          </w:p>
        </w:tc>
        <w:tc>
          <w:tcPr>
            <w:tcW w:w="1080" w:type="dxa"/>
            <w:vAlign w:val="bottom"/>
            <w:gridSpan w:val="3"/>
          </w:tcPr>
          <w:p>
            <w:pPr>
              <w:jc w:val="right"/>
              <w:ind w:right="86"/>
              <w:spacing w:after="0" w:line="115" w:lineRule="exact"/>
              <w:rPr>
                <w:sz w:val="20"/>
                <w:szCs w:val="20"/>
                <w:color w:val="auto"/>
              </w:rPr>
            </w:pPr>
            <w:r>
              <w:rPr>
                <w:rFonts w:ascii="Arial" w:cs="Arial" w:eastAsia="Arial" w:hAnsi="Arial"/>
                <w:sz w:val="11"/>
                <w:szCs w:val="11"/>
                <w:color w:val="auto"/>
              </w:rPr>
              <w:t>8.75 %</w:t>
            </w:r>
          </w:p>
        </w:tc>
        <w:tc>
          <w:tcPr>
            <w:tcW w:w="940" w:type="dxa"/>
            <w:vAlign w:val="bottom"/>
          </w:tcPr>
          <w:p>
            <w:pPr>
              <w:jc w:val="right"/>
              <w:spacing w:after="0" w:line="115" w:lineRule="exact"/>
              <w:rPr>
                <w:sz w:val="20"/>
                <w:szCs w:val="20"/>
                <w:color w:val="auto"/>
              </w:rPr>
            </w:pPr>
            <w:r>
              <w:rPr>
                <w:rFonts w:ascii="Arial" w:cs="Arial" w:eastAsia="Arial" w:hAnsi="Arial"/>
                <w:sz w:val="11"/>
                <w:szCs w:val="11"/>
                <w:color w:val="auto"/>
              </w:rPr>
              <w:t>3M L+650</w:t>
            </w:r>
          </w:p>
        </w:tc>
        <w:tc>
          <w:tcPr>
            <w:tcW w:w="94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6,297</w:t>
            </w: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jc w:val="right"/>
              <w:spacing w:after="0" w:line="115" w:lineRule="exact"/>
              <w:rPr>
                <w:sz w:val="20"/>
                <w:szCs w:val="20"/>
                <w:color w:val="auto"/>
              </w:rPr>
            </w:pPr>
            <w:r>
              <w:rPr>
                <w:rFonts w:ascii="Arial" w:cs="Arial" w:eastAsia="Arial" w:hAnsi="Arial"/>
                <w:sz w:val="11"/>
                <w:szCs w:val="11"/>
                <w:color w:val="auto"/>
              </w:rPr>
              <w:t>6,187</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jc w:val="right"/>
              <w:spacing w:after="0" w:line="115" w:lineRule="exact"/>
              <w:rPr>
                <w:sz w:val="20"/>
                <w:szCs w:val="20"/>
                <w:color w:val="auto"/>
              </w:rPr>
            </w:pPr>
            <w:r>
              <w:rPr>
                <w:rFonts w:ascii="Arial" w:cs="Arial" w:eastAsia="Arial" w:hAnsi="Arial"/>
                <w:sz w:val="11"/>
                <w:szCs w:val="11"/>
                <w:color w:val="auto"/>
              </w:rPr>
              <w:t>6,360</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318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The Bluebird Group LLC (Revolver) </w:t>
            </w:r>
            <w:r>
              <w:rPr>
                <w:rFonts w:ascii="Arial" w:cs="Arial" w:eastAsia="Arial" w:hAnsi="Arial"/>
                <w:sz w:val="14"/>
                <w:szCs w:val="14"/>
                <w:color w:val="auto"/>
                <w:vertAlign w:val="superscript"/>
              </w:rPr>
              <w:t>(7), (9)</w:t>
            </w:r>
          </w:p>
        </w:tc>
        <w:tc>
          <w:tcPr>
            <w:tcW w:w="76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07/27/2026</w:t>
            </w:r>
          </w:p>
        </w:tc>
        <w:tc>
          <w:tcPr>
            <w:tcW w:w="140" w:type="dxa"/>
            <w:vAlign w:val="bottom"/>
          </w:tcPr>
          <w:p>
            <w:pPr>
              <w:spacing w:after="0"/>
              <w:rPr>
                <w:sz w:val="13"/>
                <w:szCs w:val="13"/>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88"/>
              </w:rPr>
              <w:t>Professional Services</w:t>
            </w:r>
          </w:p>
        </w:tc>
        <w:tc>
          <w:tcPr>
            <w:tcW w:w="120" w:type="dxa"/>
            <w:vAlign w:val="bottom"/>
          </w:tcPr>
          <w:p>
            <w:pPr>
              <w:spacing w:after="0"/>
              <w:rPr>
                <w:sz w:val="13"/>
                <w:szCs w:val="13"/>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862</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3180" w:type="dxa"/>
            <w:vAlign w:val="bottom"/>
          </w:tcPr>
          <w:p>
            <w:pPr>
              <w:ind w:left="20"/>
              <w:spacing w:after="0" w:line="115" w:lineRule="exact"/>
              <w:rPr>
                <w:sz w:val="20"/>
                <w:szCs w:val="20"/>
                <w:color w:val="auto"/>
              </w:rPr>
            </w:pPr>
            <w:r>
              <w:rPr>
                <w:rFonts w:ascii="Arial" w:cs="Arial" w:eastAsia="Arial" w:hAnsi="Arial"/>
                <w:sz w:val="11"/>
                <w:szCs w:val="11"/>
                <w:color w:val="auto"/>
              </w:rPr>
              <w:t>The Infosoft Group, LLC</w:t>
            </w:r>
          </w:p>
        </w:tc>
        <w:tc>
          <w:tcPr>
            <w:tcW w:w="760" w:type="dxa"/>
            <w:vAlign w:val="bottom"/>
            <w:gridSpan w:val="2"/>
          </w:tcPr>
          <w:p>
            <w:pPr>
              <w:jc w:val="center"/>
              <w:ind w:left="86"/>
              <w:spacing w:after="0" w:line="115" w:lineRule="exact"/>
              <w:rPr>
                <w:sz w:val="20"/>
                <w:szCs w:val="20"/>
                <w:color w:val="auto"/>
              </w:rPr>
            </w:pPr>
            <w:r>
              <w:rPr>
                <w:rFonts w:ascii="Arial" w:cs="Arial" w:eastAsia="Arial" w:hAnsi="Arial"/>
                <w:sz w:val="11"/>
                <w:szCs w:val="11"/>
                <w:color w:val="auto"/>
                <w:w w:val="90"/>
              </w:rPr>
              <w:t>09/16/2024</w:t>
            </w:r>
          </w:p>
        </w:tc>
        <w:tc>
          <w:tcPr>
            <w:tcW w:w="140" w:type="dxa"/>
            <w:vAlign w:val="bottom"/>
          </w:tcPr>
          <w:p>
            <w:pPr>
              <w:spacing w:after="0"/>
              <w:rPr>
                <w:sz w:val="9"/>
                <w:szCs w:val="9"/>
                <w:color w:val="auto"/>
              </w:rPr>
            </w:pPr>
          </w:p>
        </w:tc>
        <w:tc>
          <w:tcPr>
            <w:tcW w:w="2240" w:type="dxa"/>
            <w:vAlign w:val="bottom"/>
          </w:tcPr>
          <w:p>
            <w:pPr>
              <w:jc w:val="center"/>
              <w:spacing w:after="0" w:line="115" w:lineRule="exact"/>
              <w:rPr>
                <w:sz w:val="20"/>
                <w:szCs w:val="20"/>
                <w:color w:val="auto"/>
              </w:rPr>
            </w:pPr>
            <w:r>
              <w:rPr>
                <w:rFonts w:ascii="Arial" w:cs="Arial" w:eastAsia="Arial" w:hAnsi="Arial"/>
                <w:sz w:val="11"/>
                <w:szCs w:val="11"/>
                <w:color w:val="auto"/>
                <w:w w:val="89"/>
              </w:rPr>
              <w:t>Media: Broadcasting and Subscription</w:t>
            </w:r>
          </w:p>
        </w:tc>
        <w:tc>
          <w:tcPr>
            <w:tcW w:w="1080" w:type="dxa"/>
            <w:vAlign w:val="bottom"/>
            <w:gridSpan w:val="3"/>
          </w:tcPr>
          <w:p>
            <w:pPr>
              <w:jc w:val="right"/>
              <w:ind w:right="86"/>
              <w:spacing w:after="0" w:line="115" w:lineRule="exact"/>
              <w:rPr>
                <w:sz w:val="20"/>
                <w:szCs w:val="20"/>
                <w:color w:val="auto"/>
              </w:rPr>
            </w:pPr>
            <w:r>
              <w:rPr>
                <w:rFonts w:ascii="Arial" w:cs="Arial" w:eastAsia="Arial" w:hAnsi="Arial"/>
                <w:sz w:val="11"/>
                <w:szCs w:val="11"/>
                <w:color w:val="auto"/>
              </w:rPr>
              <w:t>7.22 %</w:t>
            </w:r>
          </w:p>
        </w:tc>
        <w:tc>
          <w:tcPr>
            <w:tcW w:w="940" w:type="dxa"/>
            <w:vAlign w:val="bottom"/>
          </w:tcPr>
          <w:p>
            <w:pPr>
              <w:jc w:val="right"/>
              <w:spacing w:after="0" w:line="115" w:lineRule="exact"/>
              <w:rPr>
                <w:sz w:val="20"/>
                <w:szCs w:val="20"/>
                <w:color w:val="auto"/>
              </w:rPr>
            </w:pPr>
            <w:r>
              <w:rPr>
                <w:rFonts w:ascii="Arial" w:cs="Arial" w:eastAsia="Arial" w:hAnsi="Arial"/>
                <w:sz w:val="11"/>
                <w:szCs w:val="11"/>
                <w:color w:val="auto"/>
              </w:rPr>
              <w:t>3M L+575</w:t>
            </w:r>
          </w:p>
        </w:tc>
        <w:tc>
          <w:tcPr>
            <w:tcW w:w="94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15,316</w:t>
            </w: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jc w:val="right"/>
              <w:spacing w:after="0" w:line="115" w:lineRule="exact"/>
              <w:rPr>
                <w:sz w:val="20"/>
                <w:szCs w:val="20"/>
                <w:color w:val="auto"/>
              </w:rPr>
            </w:pPr>
            <w:r>
              <w:rPr>
                <w:rFonts w:ascii="Arial" w:cs="Arial" w:eastAsia="Arial" w:hAnsi="Arial"/>
                <w:sz w:val="11"/>
                <w:szCs w:val="11"/>
                <w:color w:val="auto"/>
              </w:rPr>
              <w:t>15,208</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jc w:val="right"/>
              <w:spacing w:after="0" w:line="115" w:lineRule="exact"/>
              <w:rPr>
                <w:sz w:val="20"/>
                <w:szCs w:val="20"/>
                <w:color w:val="auto"/>
              </w:rPr>
            </w:pPr>
            <w:r>
              <w:rPr>
                <w:rFonts w:ascii="Arial" w:cs="Arial" w:eastAsia="Arial" w:hAnsi="Arial"/>
                <w:sz w:val="11"/>
                <w:szCs w:val="11"/>
                <w:color w:val="auto"/>
              </w:rPr>
              <w:t>15,163</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18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The Vertex Companies, LLC </w:t>
            </w:r>
            <w:r>
              <w:rPr>
                <w:rFonts w:ascii="Arial" w:cs="Arial" w:eastAsia="Arial" w:hAnsi="Arial"/>
                <w:sz w:val="14"/>
                <w:szCs w:val="14"/>
                <w:color w:val="auto"/>
                <w:vertAlign w:val="superscript"/>
              </w:rPr>
              <w:t>(7)</w:t>
            </w:r>
          </w:p>
        </w:tc>
        <w:tc>
          <w:tcPr>
            <w:tcW w:w="76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08/30/2027</w:t>
            </w:r>
          </w:p>
        </w:tc>
        <w:tc>
          <w:tcPr>
            <w:tcW w:w="140" w:type="dxa"/>
            <w:vAlign w:val="bottom"/>
          </w:tcPr>
          <w:p>
            <w:pPr>
              <w:spacing w:after="0"/>
              <w:rPr>
                <w:sz w:val="11"/>
                <w:szCs w:val="11"/>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91"/>
              </w:rPr>
              <w:t>Construction &amp; Engineering</w:t>
            </w:r>
          </w:p>
        </w:tc>
        <w:tc>
          <w:tcPr>
            <w:tcW w:w="1080" w:type="dxa"/>
            <w:vAlign w:val="bottom"/>
            <w:gridSpan w:val="3"/>
          </w:tcPr>
          <w:p>
            <w:pPr>
              <w:jc w:val="right"/>
              <w:ind w:right="86"/>
              <w:spacing w:after="0"/>
              <w:rPr>
                <w:sz w:val="20"/>
                <w:szCs w:val="20"/>
                <w:color w:val="auto"/>
              </w:rPr>
            </w:pPr>
            <w:r>
              <w:rPr>
                <w:rFonts w:ascii="Arial" w:cs="Arial" w:eastAsia="Arial" w:hAnsi="Arial"/>
                <w:sz w:val="11"/>
                <w:szCs w:val="11"/>
                <w:color w:val="auto"/>
              </w:rPr>
              <w:t>7.01 %</w:t>
            </w:r>
          </w:p>
        </w:tc>
        <w:tc>
          <w:tcPr>
            <w:tcW w:w="940" w:type="dxa"/>
            <w:vAlign w:val="bottom"/>
          </w:tcPr>
          <w:p>
            <w:pPr>
              <w:jc w:val="right"/>
              <w:spacing w:after="0"/>
              <w:rPr>
                <w:sz w:val="20"/>
                <w:szCs w:val="20"/>
                <w:color w:val="auto"/>
              </w:rPr>
            </w:pPr>
            <w:r>
              <w:rPr>
                <w:rFonts w:ascii="Arial" w:cs="Arial" w:eastAsia="Arial" w:hAnsi="Arial"/>
                <w:sz w:val="11"/>
                <w:szCs w:val="11"/>
                <w:color w:val="auto"/>
              </w:rPr>
              <w:t>1M L+550</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2,094</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2,073</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2,056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The Vertex Companies, LLC </w:t>
            </w:r>
            <w:r>
              <w:rPr>
                <w:rFonts w:ascii="Arial" w:cs="Arial" w:eastAsia="Arial" w:hAnsi="Arial"/>
                <w:sz w:val="14"/>
                <w:szCs w:val="14"/>
                <w:color w:val="auto"/>
                <w:vertAlign w:val="superscript"/>
              </w:rPr>
              <w:t>(7), (9)</w:t>
            </w:r>
          </w:p>
        </w:tc>
        <w:tc>
          <w:tcPr>
            <w:tcW w:w="76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08/30/2027</w:t>
            </w:r>
          </w:p>
        </w:tc>
        <w:tc>
          <w:tcPr>
            <w:tcW w:w="140" w:type="dxa"/>
            <w:vAlign w:val="bottom"/>
          </w:tcPr>
          <w:p>
            <w:pPr>
              <w:spacing w:after="0"/>
              <w:rPr>
                <w:sz w:val="11"/>
                <w:szCs w:val="11"/>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91"/>
              </w:rPr>
              <w:t>Construction &amp; Engineering</w:t>
            </w:r>
          </w:p>
        </w:tc>
        <w:tc>
          <w:tcPr>
            <w:tcW w:w="120" w:type="dxa"/>
            <w:vAlign w:val="bottom"/>
          </w:tcPr>
          <w:p>
            <w:pPr>
              <w:spacing w:after="0"/>
              <w:rPr>
                <w:sz w:val="11"/>
                <w:szCs w:val="11"/>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940" w:type="dxa"/>
            <w:vAlign w:val="bottom"/>
          </w:tcPr>
          <w:p>
            <w:pPr>
              <w:spacing w:after="0"/>
              <w:rPr>
                <w:sz w:val="11"/>
                <w:szCs w:val="11"/>
                <w:color w:val="auto"/>
              </w:rPr>
            </w:pP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640</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1"/>
                <w:szCs w:val="11"/>
                <w:color w:val="auto"/>
              </w:rPr>
              <w:t>(5 )</w:t>
            </w:r>
          </w:p>
        </w:tc>
        <w:tc>
          <w:tcPr>
            <w:tcW w:w="0" w:type="dxa"/>
            <w:vAlign w:val="bottom"/>
          </w:tcPr>
          <w:p>
            <w:pPr>
              <w:spacing w:after="0"/>
              <w:rPr>
                <w:sz w:val="1"/>
                <w:szCs w:val="1"/>
                <w:color w:val="auto"/>
              </w:rPr>
            </w:pPr>
          </w:p>
        </w:tc>
      </w:tr>
      <w:tr>
        <w:trPr>
          <w:trHeight w:val="135"/>
        </w:trPr>
        <w:tc>
          <w:tcPr>
            <w:tcW w:w="318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The Vertex Companies, LLC (Revolver) </w:t>
            </w:r>
            <w:r>
              <w:rPr>
                <w:rFonts w:ascii="Arial" w:cs="Arial" w:eastAsia="Arial" w:hAnsi="Arial"/>
                <w:sz w:val="14"/>
                <w:szCs w:val="14"/>
                <w:color w:val="auto"/>
                <w:vertAlign w:val="superscript"/>
              </w:rPr>
              <w:t>(7), (9)</w:t>
            </w:r>
          </w:p>
        </w:tc>
        <w:tc>
          <w:tcPr>
            <w:tcW w:w="76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08/30/2027</w:t>
            </w:r>
          </w:p>
        </w:tc>
        <w:tc>
          <w:tcPr>
            <w:tcW w:w="140" w:type="dxa"/>
            <w:vAlign w:val="bottom"/>
          </w:tcPr>
          <w:p>
            <w:pPr>
              <w:spacing w:after="0"/>
              <w:rPr>
                <w:sz w:val="11"/>
                <w:szCs w:val="11"/>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91"/>
              </w:rPr>
              <w:t>Construction &amp; Engineering</w:t>
            </w:r>
          </w:p>
        </w:tc>
        <w:tc>
          <w:tcPr>
            <w:tcW w:w="120" w:type="dxa"/>
            <w:vAlign w:val="bottom"/>
          </w:tcPr>
          <w:p>
            <w:pPr>
              <w:spacing w:after="0"/>
              <w:rPr>
                <w:sz w:val="11"/>
                <w:szCs w:val="11"/>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911</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1"/>
                <w:szCs w:val="11"/>
                <w:color w:val="auto"/>
              </w:rPr>
              <w:t>(16 )</w:t>
            </w:r>
          </w:p>
        </w:tc>
        <w:tc>
          <w:tcPr>
            <w:tcW w:w="0" w:type="dxa"/>
            <w:vAlign w:val="bottom"/>
          </w:tcPr>
          <w:p>
            <w:pPr>
              <w:spacing w:after="0"/>
              <w:rPr>
                <w:sz w:val="1"/>
                <w:szCs w:val="1"/>
                <w:color w:val="auto"/>
              </w:rPr>
            </w:pPr>
          </w:p>
        </w:tc>
      </w:tr>
      <w:tr>
        <w:trPr>
          <w:trHeight w:val="155"/>
        </w:trPr>
        <w:tc>
          <w:tcPr>
            <w:tcW w:w="318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TPC Canada Parent, Inc. and TPC US Parent, LLC </w:t>
            </w:r>
            <w:r>
              <w:rPr>
                <w:rFonts w:ascii="Arial" w:cs="Arial" w:eastAsia="Arial" w:hAnsi="Arial"/>
                <w:sz w:val="14"/>
                <w:szCs w:val="14"/>
                <w:color w:val="auto"/>
                <w:vertAlign w:val="superscript"/>
              </w:rPr>
              <w:t>(5), (10)</w:t>
            </w:r>
          </w:p>
        </w:tc>
        <w:tc>
          <w:tcPr>
            <w:tcW w:w="76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11/24/2025</w:t>
            </w:r>
          </w:p>
        </w:tc>
        <w:tc>
          <w:tcPr>
            <w:tcW w:w="140" w:type="dxa"/>
            <w:vAlign w:val="bottom"/>
          </w:tcPr>
          <w:p>
            <w:pPr>
              <w:spacing w:after="0"/>
              <w:rPr>
                <w:sz w:val="13"/>
                <w:szCs w:val="13"/>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86"/>
              </w:rPr>
              <w:t>Food Products</w:t>
            </w:r>
          </w:p>
        </w:tc>
        <w:tc>
          <w:tcPr>
            <w:tcW w:w="1080" w:type="dxa"/>
            <w:vAlign w:val="bottom"/>
            <w:gridSpan w:val="3"/>
          </w:tcPr>
          <w:p>
            <w:pPr>
              <w:jc w:val="right"/>
              <w:ind w:right="86"/>
              <w:spacing w:after="0"/>
              <w:rPr>
                <w:sz w:val="20"/>
                <w:szCs w:val="20"/>
                <w:color w:val="auto"/>
              </w:rPr>
            </w:pPr>
            <w:r>
              <w:rPr>
                <w:rFonts w:ascii="Arial" w:cs="Arial" w:eastAsia="Arial" w:hAnsi="Arial"/>
                <w:sz w:val="11"/>
                <w:szCs w:val="11"/>
                <w:color w:val="auto"/>
              </w:rPr>
              <w:t>6.50 %</w:t>
            </w:r>
          </w:p>
        </w:tc>
        <w:tc>
          <w:tcPr>
            <w:tcW w:w="940" w:type="dxa"/>
            <w:vAlign w:val="bottom"/>
          </w:tcPr>
          <w:p>
            <w:pPr>
              <w:jc w:val="right"/>
              <w:spacing w:after="0"/>
              <w:rPr>
                <w:sz w:val="20"/>
                <w:szCs w:val="20"/>
                <w:color w:val="auto"/>
              </w:rPr>
            </w:pPr>
            <w:r>
              <w:rPr>
                <w:rFonts w:ascii="Arial" w:cs="Arial" w:eastAsia="Arial" w:hAnsi="Arial"/>
                <w:sz w:val="11"/>
                <w:szCs w:val="11"/>
                <w:color w:val="auto"/>
              </w:rPr>
              <w:t>3M L+550</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4,875</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4,845</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4,729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3180" w:type="dxa"/>
            <w:vAlign w:val="bottom"/>
          </w:tcPr>
          <w:p>
            <w:pPr>
              <w:ind w:left="20"/>
              <w:spacing w:after="0" w:line="115" w:lineRule="exact"/>
              <w:rPr>
                <w:sz w:val="20"/>
                <w:szCs w:val="20"/>
                <w:color w:val="auto"/>
              </w:rPr>
            </w:pPr>
            <w:r>
              <w:rPr>
                <w:rFonts w:ascii="Arial" w:cs="Arial" w:eastAsia="Arial" w:hAnsi="Arial"/>
                <w:sz w:val="11"/>
                <w:szCs w:val="11"/>
                <w:color w:val="auto"/>
              </w:rPr>
              <w:t>TVC Enterprises, LLC</w:t>
            </w:r>
          </w:p>
        </w:tc>
        <w:tc>
          <w:tcPr>
            <w:tcW w:w="760" w:type="dxa"/>
            <w:vAlign w:val="bottom"/>
            <w:gridSpan w:val="2"/>
          </w:tcPr>
          <w:p>
            <w:pPr>
              <w:jc w:val="center"/>
              <w:ind w:left="86"/>
              <w:spacing w:after="0" w:line="115" w:lineRule="exact"/>
              <w:rPr>
                <w:sz w:val="20"/>
                <w:szCs w:val="20"/>
                <w:color w:val="auto"/>
              </w:rPr>
            </w:pPr>
            <w:r>
              <w:rPr>
                <w:rFonts w:ascii="Arial" w:cs="Arial" w:eastAsia="Arial" w:hAnsi="Arial"/>
                <w:sz w:val="11"/>
                <w:szCs w:val="11"/>
                <w:color w:val="auto"/>
                <w:w w:val="90"/>
              </w:rPr>
              <w:t>03/26/2026</w:t>
            </w:r>
          </w:p>
        </w:tc>
        <w:tc>
          <w:tcPr>
            <w:tcW w:w="140" w:type="dxa"/>
            <w:vAlign w:val="bottom"/>
          </w:tcPr>
          <w:p>
            <w:pPr>
              <w:spacing w:after="0"/>
              <w:rPr>
                <w:sz w:val="9"/>
                <w:szCs w:val="9"/>
                <w:color w:val="auto"/>
              </w:rPr>
            </w:pPr>
          </w:p>
        </w:tc>
        <w:tc>
          <w:tcPr>
            <w:tcW w:w="2240" w:type="dxa"/>
            <w:vAlign w:val="bottom"/>
          </w:tcPr>
          <w:p>
            <w:pPr>
              <w:jc w:val="center"/>
              <w:spacing w:after="0" w:line="115" w:lineRule="exact"/>
              <w:rPr>
                <w:sz w:val="20"/>
                <w:szCs w:val="20"/>
                <w:color w:val="auto"/>
              </w:rPr>
            </w:pPr>
            <w:r>
              <w:rPr>
                <w:rFonts w:ascii="Arial" w:cs="Arial" w:eastAsia="Arial" w:hAnsi="Arial"/>
                <w:sz w:val="11"/>
                <w:szCs w:val="11"/>
                <w:color w:val="auto"/>
                <w:w w:val="90"/>
              </w:rPr>
              <w:t>Commercial Services &amp; Supplies</w:t>
            </w:r>
          </w:p>
        </w:tc>
        <w:tc>
          <w:tcPr>
            <w:tcW w:w="1080" w:type="dxa"/>
            <w:vAlign w:val="bottom"/>
            <w:gridSpan w:val="3"/>
          </w:tcPr>
          <w:p>
            <w:pPr>
              <w:jc w:val="right"/>
              <w:ind w:right="86"/>
              <w:spacing w:after="0" w:line="115" w:lineRule="exact"/>
              <w:rPr>
                <w:sz w:val="20"/>
                <w:szCs w:val="20"/>
                <w:color w:val="auto"/>
              </w:rPr>
            </w:pPr>
            <w:r>
              <w:rPr>
                <w:rFonts w:ascii="Arial" w:cs="Arial" w:eastAsia="Arial" w:hAnsi="Arial"/>
                <w:sz w:val="11"/>
                <w:szCs w:val="11"/>
                <w:color w:val="auto"/>
              </w:rPr>
              <w:t>7.67 %</w:t>
            </w:r>
          </w:p>
        </w:tc>
        <w:tc>
          <w:tcPr>
            <w:tcW w:w="940" w:type="dxa"/>
            <w:vAlign w:val="bottom"/>
          </w:tcPr>
          <w:p>
            <w:pPr>
              <w:jc w:val="right"/>
              <w:spacing w:after="0" w:line="115" w:lineRule="exact"/>
              <w:rPr>
                <w:sz w:val="20"/>
                <w:szCs w:val="20"/>
                <w:color w:val="auto"/>
              </w:rPr>
            </w:pPr>
            <w:r>
              <w:rPr>
                <w:rFonts w:ascii="Arial" w:cs="Arial" w:eastAsia="Arial" w:hAnsi="Arial"/>
                <w:sz w:val="11"/>
                <w:szCs w:val="11"/>
                <w:color w:val="auto"/>
              </w:rPr>
              <w:t>1M L+600</w:t>
            </w:r>
          </w:p>
        </w:tc>
        <w:tc>
          <w:tcPr>
            <w:tcW w:w="94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24,783</w:t>
            </w: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jc w:val="right"/>
              <w:spacing w:after="0" w:line="115" w:lineRule="exact"/>
              <w:rPr>
                <w:sz w:val="20"/>
                <w:szCs w:val="20"/>
                <w:color w:val="auto"/>
              </w:rPr>
            </w:pPr>
            <w:r>
              <w:rPr>
                <w:rFonts w:ascii="Arial" w:cs="Arial" w:eastAsia="Arial" w:hAnsi="Arial"/>
                <w:sz w:val="11"/>
                <w:szCs w:val="11"/>
                <w:color w:val="auto"/>
              </w:rPr>
              <w:t>24,422</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jc w:val="right"/>
              <w:spacing w:after="0" w:line="115" w:lineRule="exact"/>
              <w:rPr>
                <w:sz w:val="20"/>
                <w:szCs w:val="20"/>
                <w:color w:val="auto"/>
              </w:rPr>
            </w:pPr>
            <w:r>
              <w:rPr>
                <w:rFonts w:ascii="Arial" w:cs="Arial" w:eastAsia="Arial" w:hAnsi="Arial"/>
                <w:sz w:val="11"/>
                <w:szCs w:val="11"/>
                <w:color w:val="auto"/>
              </w:rPr>
              <w:t>24,287</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318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TVC Enterprises, LLC (Revolver) </w:t>
            </w:r>
            <w:r>
              <w:rPr>
                <w:rFonts w:ascii="Arial" w:cs="Arial" w:eastAsia="Arial" w:hAnsi="Arial"/>
                <w:sz w:val="14"/>
                <w:szCs w:val="14"/>
                <w:color w:val="auto"/>
                <w:vertAlign w:val="superscript"/>
              </w:rPr>
              <w:t>(7), (9)</w:t>
            </w:r>
          </w:p>
        </w:tc>
        <w:tc>
          <w:tcPr>
            <w:tcW w:w="76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03/26/2026</w:t>
            </w:r>
          </w:p>
        </w:tc>
        <w:tc>
          <w:tcPr>
            <w:tcW w:w="140" w:type="dxa"/>
            <w:vAlign w:val="bottom"/>
          </w:tcPr>
          <w:p>
            <w:pPr>
              <w:spacing w:after="0"/>
              <w:rPr>
                <w:sz w:val="13"/>
                <w:szCs w:val="13"/>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90"/>
              </w:rPr>
              <w:t>Commercial Services &amp; Supplies</w:t>
            </w:r>
          </w:p>
        </w:tc>
        <w:tc>
          <w:tcPr>
            <w:tcW w:w="120" w:type="dxa"/>
            <w:vAlign w:val="bottom"/>
          </w:tcPr>
          <w:p>
            <w:pPr>
              <w:spacing w:after="0"/>
              <w:rPr>
                <w:sz w:val="13"/>
                <w:szCs w:val="13"/>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661</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1"/>
                <w:szCs w:val="11"/>
                <w:color w:val="auto"/>
              </w:rPr>
              <w:t>(13 )</w:t>
            </w:r>
          </w:p>
        </w:tc>
        <w:tc>
          <w:tcPr>
            <w:tcW w:w="0" w:type="dxa"/>
            <w:vAlign w:val="bottom"/>
          </w:tcPr>
          <w:p>
            <w:pPr>
              <w:spacing w:after="0"/>
              <w:rPr>
                <w:sz w:val="1"/>
                <w:szCs w:val="1"/>
                <w:color w:val="auto"/>
              </w:rPr>
            </w:pPr>
          </w:p>
        </w:tc>
      </w:tr>
      <w:tr>
        <w:trPr>
          <w:trHeight w:val="115"/>
        </w:trPr>
        <w:tc>
          <w:tcPr>
            <w:tcW w:w="3180" w:type="dxa"/>
            <w:vAlign w:val="bottom"/>
          </w:tcPr>
          <w:p>
            <w:pPr>
              <w:ind w:left="20"/>
              <w:spacing w:after="0" w:line="115" w:lineRule="exact"/>
              <w:rPr>
                <w:sz w:val="20"/>
                <w:szCs w:val="20"/>
                <w:color w:val="auto"/>
              </w:rPr>
            </w:pPr>
            <w:r>
              <w:rPr>
                <w:rFonts w:ascii="Arial" w:cs="Arial" w:eastAsia="Arial" w:hAnsi="Arial"/>
                <w:sz w:val="11"/>
                <w:szCs w:val="11"/>
                <w:color w:val="auto"/>
              </w:rPr>
              <w:t>TWS Acquisition Corporation</w:t>
            </w:r>
          </w:p>
        </w:tc>
        <w:tc>
          <w:tcPr>
            <w:tcW w:w="760" w:type="dxa"/>
            <w:vAlign w:val="bottom"/>
            <w:gridSpan w:val="2"/>
          </w:tcPr>
          <w:p>
            <w:pPr>
              <w:jc w:val="center"/>
              <w:ind w:left="86"/>
              <w:spacing w:after="0" w:line="115" w:lineRule="exact"/>
              <w:rPr>
                <w:sz w:val="20"/>
                <w:szCs w:val="20"/>
                <w:color w:val="auto"/>
              </w:rPr>
            </w:pPr>
            <w:r>
              <w:rPr>
                <w:rFonts w:ascii="Arial" w:cs="Arial" w:eastAsia="Arial" w:hAnsi="Arial"/>
                <w:sz w:val="11"/>
                <w:szCs w:val="11"/>
                <w:color w:val="auto"/>
                <w:w w:val="90"/>
              </w:rPr>
              <w:t>06/16/2025</w:t>
            </w:r>
          </w:p>
        </w:tc>
        <w:tc>
          <w:tcPr>
            <w:tcW w:w="140" w:type="dxa"/>
            <w:vAlign w:val="bottom"/>
          </w:tcPr>
          <w:p>
            <w:pPr>
              <w:spacing w:after="0"/>
              <w:rPr>
                <w:sz w:val="9"/>
                <w:szCs w:val="9"/>
                <w:color w:val="auto"/>
              </w:rPr>
            </w:pPr>
          </w:p>
        </w:tc>
        <w:tc>
          <w:tcPr>
            <w:tcW w:w="2240" w:type="dxa"/>
            <w:vAlign w:val="bottom"/>
          </w:tcPr>
          <w:p>
            <w:pPr>
              <w:jc w:val="center"/>
              <w:spacing w:after="0" w:line="115" w:lineRule="exact"/>
              <w:rPr>
                <w:sz w:val="20"/>
                <w:szCs w:val="20"/>
                <w:color w:val="auto"/>
              </w:rPr>
            </w:pPr>
            <w:r>
              <w:rPr>
                <w:rFonts w:ascii="Arial" w:cs="Arial" w:eastAsia="Arial" w:hAnsi="Arial"/>
                <w:sz w:val="11"/>
                <w:szCs w:val="11"/>
                <w:color w:val="auto"/>
                <w:w w:val="89"/>
              </w:rPr>
              <w:t>Diversified Consumer Services</w:t>
            </w:r>
          </w:p>
        </w:tc>
        <w:tc>
          <w:tcPr>
            <w:tcW w:w="1080" w:type="dxa"/>
            <w:vAlign w:val="bottom"/>
            <w:gridSpan w:val="3"/>
          </w:tcPr>
          <w:p>
            <w:pPr>
              <w:jc w:val="right"/>
              <w:ind w:right="86"/>
              <w:spacing w:after="0" w:line="115" w:lineRule="exact"/>
              <w:rPr>
                <w:sz w:val="20"/>
                <w:szCs w:val="20"/>
                <w:color w:val="auto"/>
              </w:rPr>
            </w:pPr>
            <w:r>
              <w:rPr>
                <w:rFonts w:ascii="Arial" w:cs="Arial" w:eastAsia="Arial" w:hAnsi="Arial"/>
                <w:sz w:val="11"/>
                <w:szCs w:val="11"/>
                <w:color w:val="auto"/>
              </w:rPr>
              <w:t>8.76 %</w:t>
            </w:r>
          </w:p>
        </w:tc>
        <w:tc>
          <w:tcPr>
            <w:tcW w:w="940" w:type="dxa"/>
            <w:vAlign w:val="bottom"/>
          </w:tcPr>
          <w:p>
            <w:pPr>
              <w:jc w:val="right"/>
              <w:spacing w:after="0" w:line="115" w:lineRule="exact"/>
              <w:rPr>
                <w:sz w:val="20"/>
                <w:szCs w:val="20"/>
                <w:color w:val="auto"/>
              </w:rPr>
            </w:pPr>
            <w:r>
              <w:rPr>
                <w:rFonts w:ascii="Arial" w:cs="Arial" w:eastAsia="Arial" w:hAnsi="Arial"/>
                <w:sz w:val="11"/>
                <w:szCs w:val="11"/>
                <w:color w:val="auto"/>
              </w:rPr>
              <w:t>1M L+625</w:t>
            </w:r>
          </w:p>
        </w:tc>
        <w:tc>
          <w:tcPr>
            <w:tcW w:w="94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5,468</w:t>
            </w: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jc w:val="right"/>
              <w:spacing w:after="0" w:line="115" w:lineRule="exact"/>
              <w:rPr>
                <w:sz w:val="20"/>
                <w:szCs w:val="20"/>
                <w:color w:val="auto"/>
              </w:rPr>
            </w:pPr>
            <w:r>
              <w:rPr>
                <w:rFonts w:ascii="Arial" w:cs="Arial" w:eastAsia="Arial" w:hAnsi="Arial"/>
                <w:sz w:val="11"/>
                <w:szCs w:val="11"/>
                <w:color w:val="auto"/>
              </w:rPr>
              <w:t>5,392</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jc w:val="right"/>
              <w:spacing w:after="0" w:line="115" w:lineRule="exact"/>
              <w:rPr>
                <w:sz w:val="20"/>
                <w:szCs w:val="20"/>
                <w:color w:val="auto"/>
              </w:rPr>
            </w:pPr>
            <w:r>
              <w:rPr>
                <w:rFonts w:ascii="Arial" w:cs="Arial" w:eastAsia="Arial" w:hAnsi="Arial"/>
                <w:sz w:val="11"/>
                <w:szCs w:val="11"/>
                <w:color w:val="auto"/>
              </w:rPr>
              <w:t>5,441</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318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TWS Acquisition Corporation (Revolver) </w:t>
            </w:r>
            <w:r>
              <w:rPr>
                <w:rFonts w:ascii="Arial" w:cs="Arial" w:eastAsia="Arial" w:hAnsi="Arial"/>
                <w:sz w:val="14"/>
                <w:szCs w:val="14"/>
                <w:color w:val="auto"/>
                <w:vertAlign w:val="superscript"/>
              </w:rPr>
              <w:t>(7), (9)</w:t>
            </w:r>
          </w:p>
        </w:tc>
        <w:tc>
          <w:tcPr>
            <w:tcW w:w="76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06/16/2025</w:t>
            </w:r>
          </w:p>
        </w:tc>
        <w:tc>
          <w:tcPr>
            <w:tcW w:w="140" w:type="dxa"/>
            <w:vAlign w:val="bottom"/>
          </w:tcPr>
          <w:p>
            <w:pPr>
              <w:spacing w:after="0"/>
              <w:rPr>
                <w:sz w:val="13"/>
                <w:szCs w:val="13"/>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89"/>
              </w:rPr>
              <w:t>Diversified Consumer Services</w:t>
            </w:r>
          </w:p>
        </w:tc>
        <w:tc>
          <w:tcPr>
            <w:tcW w:w="120" w:type="dxa"/>
            <w:vAlign w:val="bottom"/>
          </w:tcPr>
          <w:p>
            <w:pPr>
              <w:spacing w:after="0"/>
              <w:rPr>
                <w:sz w:val="13"/>
                <w:szCs w:val="13"/>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2,628</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1"/>
                <w:szCs w:val="11"/>
                <w:color w:val="auto"/>
              </w:rPr>
              <w:t>(13 )</w:t>
            </w:r>
          </w:p>
        </w:tc>
        <w:tc>
          <w:tcPr>
            <w:tcW w:w="0" w:type="dxa"/>
            <w:vAlign w:val="bottom"/>
          </w:tcPr>
          <w:p>
            <w:pPr>
              <w:spacing w:after="0"/>
              <w:rPr>
                <w:sz w:val="1"/>
                <w:szCs w:val="1"/>
                <w:color w:val="auto"/>
              </w:rPr>
            </w:pPr>
          </w:p>
        </w:tc>
      </w:tr>
      <w:tr>
        <w:trPr>
          <w:trHeight w:val="115"/>
        </w:trPr>
        <w:tc>
          <w:tcPr>
            <w:tcW w:w="3180" w:type="dxa"/>
            <w:vAlign w:val="bottom"/>
          </w:tcPr>
          <w:p>
            <w:pPr>
              <w:ind w:left="20"/>
              <w:spacing w:after="0" w:line="115" w:lineRule="exact"/>
              <w:rPr>
                <w:sz w:val="20"/>
                <w:szCs w:val="20"/>
                <w:color w:val="auto"/>
              </w:rPr>
            </w:pPr>
            <w:r>
              <w:rPr>
                <w:rFonts w:ascii="Arial" w:cs="Arial" w:eastAsia="Arial" w:hAnsi="Arial"/>
                <w:sz w:val="11"/>
                <w:szCs w:val="11"/>
                <w:color w:val="auto"/>
              </w:rPr>
              <w:t>Tyto Athene, LLC</w:t>
            </w:r>
          </w:p>
        </w:tc>
        <w:tc>
          <w:tcPr>
            <w:tcW w:w="760" w:type="dxa"/>
            <w:vAlign w:val="bottom"/>
            <w:gridSpan w:val="2"/>
          </w:tcPr>
          <w:p>
            <w:pPr>
              <w:jc w:val="center"/>
              <w:ind w:left="86"/>
              <w:spacing w:after="0" w:line="115" w:lineRule="exact"/>
              <w:rPr>
                <w:sz w:val="20"/>
                <w:szCs w:val="20"/>
                <w:color w:val="auto"/>
              </w:rPr>
            </w:pPr>
            <w:r>
              <w:rPr>
                <w:rFonts w:ascii="Arial" w:cs="Arial" w:eastAsia="Arial" w:hAnsi="Arial"/>
                <w:sz w:val="11"/>
                <w:szCs w:val="11"/>
                <w:color w:val="auto"/>
                <w:w w:val="90"/>
              </w:rPr>
              <w:t>04/01/2028</w:t>
            </w:r>
          </w:p>
        </w:tc>
        <w:tc>
          <w:tcPr>
            <w:tcW w:w="140" w:type="dxa"/>
            <w:vAlign w:val="bottom"/>
          </w:tcPr>
          <w:p>
            <w:pPr>
              <w:spacing w:after="0"/>
              <w:rPr>
                <w:sz w:val="9"/>
                <w:szCs w:val="9"/>
                <w:color w:val="auto"/>
              </w:rPr>
            </w:pPr>
          </w:p>
        </w:tc>
        <w:tc>
          <w:tcPr>
            <w:tcW w:w="2240" w:type="dxa"/>
            <w:vAlign w:val="bottom"/>
          </w:tcPr>
          <w:p>
            <w:pPr>
              <w:jc w:val="center"/>
              <w:spacing w:after="0" w:line="115" w:lineRule="exact"/>
              <w:rPr>
                <w:sz w:val="20"/>
                <w:szCs w:val="20"/>
                <w:color w:val="auto"/>
              </w:rPr>
            </w:pPr>
            <w:r>
              <w:rPr>
                <w:rFonts w:ascii="Arial" w:cs="Arial" w:eastAsia="Arial" w:hAnsi="Arial"/>
                <w:sz w:val="11"/>
                <w:szCs w:val="11"/>
                <w:color w:val="auto"/>
                <w:w w:val="90"/>
              </w:rPr>
              <w:t>IT Services</w:t>
            </w:r>
          </w:p>
        </w:tc>
        <w:tc>
          <w:tcPr>
            <w:tcW w:w="1080" w:type="dxa"/>
            <w:vAlign w:val="bottom"/>
            <w:gridSpan w:val="3"/>
          </w:tcPr>
          <w:p>
            <w:pPr>
              <w:jc w:val="right"/>
              <w:ind w:right="86"/>
              <w:spacing w:after="0" w:line="115" w:lineRule="exact"/>
              <w:rPr>
                <w:sz w:val="20"/>
                <w:szCs w:val="20"/>
                <w:color w:val="auto"/>
              </w:rPr>
            </w:pPr>
            <w:r>
              <w:rPr>
                <w:rFonts w:ascii="Arial" w:cs="Arial" w:eastAsia="Arial" w:hAnsi="Arial"/>
                <w:sz w:val="11"/>
                <w:szCs w:val="11"/>
                <w:color w:val="auto"/>
              </w:rPr>
              <w:t>6.47 %</w:t>
            </w:r>
          </w:p>
        </w:tc>
        <w:tc>
          <w:tcPr>
            <w:tcW w:w="940" w:type="dxa"/>
            <w:vAlign w:val="bottom"/>
          </w:tcPr>
          <w:p>
            <w:pPr>
              <w:jc w:val="right"/>
              <w:spacing w:after="0" w:line="115" w:lineRule="exact"/>
              <w:rPr>
                <w:sz w:val="20"/>
                <w:szCs w:val="20"/>
                <w:color w:val="auto"/>
              </w:rPr>
            </w:pPr>
            <w:r>
              <w:rPr>
                <w:rFonts w:ascii="Arial" w:cs="Arial" w:eastAsia="Arial" w:hAnsi="Arial"/>
                <w:sz w:val="11"/>
                <w:szCs w:val="11"/>
                <w:color w:val="auto"/>
              </w:rPr>
              <w:t>1M L+550</w:t>
            </w:r>
          </w:p>
        </w:tc>
        <w:tc>
          <w:tcPr>
            <w:tcW w:w="94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12,676</w:t>
            </w: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jc w:val="right"/>
              <w:spacing w:after="0" w:line="115" w:lineRule="exact"/>
              <w:rPr>
                <w:sz w:val="20"/>
                <w:szCs w:val="20"/>
                <w:color w:val="auto"/>
              </w:rPr>
            </w:pPr>
            <w:r>
              <w:rPr>
                <w:rFonts w:ascii="Arial" w:cs="Arial" w:eastAsia="Arial" w:hAnsi="Arial"/>
                <w:sz w:val="11"/>
                <w:szCs w:val="11"/>
                <w:color w:val="auto"/>
              </w:rPr>
              <w:t>12,512</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jc w:val="right"/>
              <w:spacing w:after="0" w:line="115" w:lineRule="exact"/>
              <w:rPr>
                <w:sz w:val="20"/>
                <w:szCs w:val="20"/>
                <w:color w:val="auto"/>
              </w:rPr>
            </w:pPr>
            <w:r>
              <w:rPr>
                <w:rFonts w:ascii="Arial" w:cs="Arial" w:eastAsia="Arial" w:hAnsi="Arial"/>
                <w:sz w:val="11"/>
                <w:szCs w:val="11"/>
                <w:color w:val="auto"/>
              </w:rPr>
              <w:t>11,991</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318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Tyto Athene, LLC (Revolver) </w:t>
            </w:r>
            <w:r>
              <w:rPr>
                <w:rFonts w:ascii="Arial" w:cs="Arial" w:eastAsia="Arial" w:hAnsi="Arial"/>
                <w:sz w:val="14"/>
                <w:szCs w:val="14"/>
                <w:color w:val="auto"/>
                <w:vertAlign w:val="superscript"/>
              </w:rPr>
              <w:t>(7), (9)</w:t>
            </w:r>
          </w:p>
        </w:tc>
        <w:tc>
          <w:tcPr>
            <w:tcW w:w="76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04/01/2026</w:t>
            </w:r>
          </w:p>
        </w:tc>
        <w:tc>
          <w:tcPr>
            <w:tcW w:w="140" w:type="dxa"/>
            <w:vAlign w:val="bottom"/>
          </w:tcPr>
          <w:p>
            <w:pPr>
              <w:spacing w:after="0"/>
              <w:rPr>
                <w:sz w:val="13"/>
                <w:szCs w:val="13"/>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90"/>
              </w:rPr>
              <w:t>IT Services</w:t>
            </w:r>
          </w:p>
        </w:tc>
        <w:tc>
          <w:tcPr>
            <w:tcW w:w="120" w:type="dxa"/>
            <w:vAlign w:val="bottom"/>
          </w:tcPr>
          <w:p>
            <w:pPr>
              <w:spacing w:after="0"/>
              <w:rPr>
                <w:sz w:val="13"/>
                <w:szCs w:val="13"/>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1,040</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1"/>
                <w:szCs w:val="11"/>
                <w:color w:val="auto"/>
              </w:rPr>
              <w:t>(56 )</w:t>
            </w:r>
          </w:p>
        </w:tc>
        <w:tc>
          <w:tcPr>
            <w:tcW w:w="0" w:type="dxa"/>
            <w:vAlign w:val="bottom"/>
          </w:tcPr>
          <w:p>
            <w:pPr>
              <w:spacing w:after="0"/>
              <w:rPr>
                <w:sz w:val="1"/>
                <w:szCs w:val="1"/>
                <w:color w:val="auto"/>
              </w:rPr>
            </w:pPr>
          </w:p>
        </w:tc>
      </w:tr>
      <w:tr>
        <w:trPr>
          <w:trHeight w:val="115"/>
        </w:trPr>
        <w:tc>
          <w:tcPr>
            <w:tcW w:w="3180" w:type="dxa"/>
            <w:vAlign w:val="bottom"/>
          </w:tcPr>
          <w:p>
            <w:pPr>
              <w:ind w:left="20"/>
              <w:spacing w:after="0" w:line="115" w:lineRule="exact"/>
              <w:rPr>
                <w:sz w:val="20"/>
                <w:szCs w:val="20"/>
                <w:color w:val="auto"/>
              </w:rPr>
            </w:pPr>
            <w:r>
              <w:rPr>
                <w:rFonts w:ascii="Arial" w:cs="Arial" w:eastAsia="Arial" w:hAnsi="Arial"/>
                <w:sz w:val="11"/>
                <w:szCs w:val="11"/>
                <w:color w:val="auto"/>
              </w:rPr>
              <w:t>UBEO, LLC</w:t>
            </w:r>
          </w:p>
        </w:tc>
        <w:tc>
          <w:tcPr>
            <w:tcW w:w="760" w:type="dxa"/>
            <w:vAlign w:val="bottom"/>
            <w:gridSpan w:val="2"/>
          </w:tcPr>
          <w:p>
            <w:pPr>
              <w:jc w:val="center"/>
              <w:ind w:left="86"/>
              <w:spacing w:after="0" w:line="115" w:lineRule="exact"/>
              <w:rPr>
                <w:sz w:val="20"/>
                <w:szCs w:val="20"/>
                <w:color w:val="auto"/>
              </w:rPr>
            </w:pPr>
            <w:r>
              <w:rPr>
                <w:rFonts w:ascii="Arial" w:cs="Arial" w:eastAsia="Arial" w:hAnsi="Arial"/>
                <w:sz w:val="11"/>
                <w:szCs w:val="11"/>
                <w:color w:val="auto"/>
                <w:w w:val="90"/>
              </w:rPr>
              <w:t>04/03/2024</w:t>
            </w:r>
          </w:p>
        </w:tc>
        <w:tc>
          <w:tcPr>
            <w:tcW w:w="140" w:type="dxa"/>
            <w:vAlign w:val="bottom"/>
          </w:tcPr>
          <w:p>
            <w:pPr>
              <w:spacing w:after="0"/>
              <w:rPr>
                <w:sz w:val="9"/>
                <w:szCs w:val="9"/>
                <w:color w:val="auto"/>
              </w:rPr>
            </w:pPr>
          </w:p>
        </w:tc>
        <w:tc>
          <w:tcPr>
            <w:tcW w:w="2240" w:type="dxa"/>
            <w:vAlign w:val="bottom"/>
          </w:tcPr>
          <w:p>
            <w:pPr>
              <w:jc w:val="center"/>
              <w:spacing w:after="0" w:line="115" w:lineRule="exact"/>
              <w:rPr>
                <w:sz w:val="20"/>
                <w:szCs w:val="20"/>
                <w:color w:val="auto"/>
              </w:rPr>
            </w:pPr>
            <w:r>
              <w:rPr>
                <w:rFonts w:ascii="Arial" w:cs="Arial" w:eastAsia="Arial" w:hAnsi="Arial"/>
                <w:sz w:val="11"/>
                <w:szCs w:val="11"/>
                <w:color w:val="auto"/>
                <w:w w:val="91"/>
              </w:rPr>
              <w:t>Capital Equipment</w:t>
            </w:r>
          </w:p>
        </w:tc>
        <w:tc>
          <w:tcPr>
            <w:tcW w:w="1080" w:type="dxa"/>
            <w:vAlign w:val="bottom"/>
            <w:gridSpan w:val="3"/>
          </w:tcPr>
          <w:p>
            <w:pPr>
              <w:jc w:val="right"/>
              <w:ind w:right="86"/>
              <w:spacing w:after="0" w:line="115" w:lineRule="exact"/>
              <w:rPr>
                <w:sz w:val="20"/>
                <w:szCs w:val="20"/>
                <w:color w:val="auto"/>
              </w:rPr>
            </w:pPr>
            <w:r>
              <w:rPr>
                <w:rFonts w:ascii="Arial" w:cs="Arial" w:eastAsia="Arial" w:hAnsi="Arial"/>
                <w:sz w:val="11"/>
                <w:szCs w:val="11"/>
                <w:color w:val="auto"/>
              </w:rPr>
              <w:t>6.75 %</w:t>
            </w:r>
          </w:p>
        </w:tc>
        <w:tc>
          <w:tcPr>
            <w:tcW w:w="940" w:type="dxa"/>
            <w:vAlign w:val="bottom"/>
          </w:tcPr>
          <w:p>
            <w:pPr>
              <w:jc w:val="right"/>
              <w:spacing w:after="0" w:line="115" w:lineRule="exact"/>
              <w:rPr>
                <w:sz w:val="20"/>
                <w:szCs w:val="20"/>
                <w:color w:val="auto"/>
              </w:rPr>
            </w:pPr>
            <w:r>
              <w:rPr>
                <w:rFonts w:ascii="Arial" w:cs="Arial" w:eastAsia="Arial" w:hAnsi="Arial"/>
                <w:sz w:val="11"/>
                <w:szCs w:val="11"/>
                <w:color w:val="auto"/>
              </w:rPr>
              <w:t>3M L+450</w:t>
            </w:r>
          </w:p>
        </w:tc>
        <w:tc>
          <w:tcPr>
            <w:tcW w:w="94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17,972</w:t>
            </w: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jc w:val="right"/>
              <w:spacing w:after="0" w:line="115" w:lineRule="exact"/>
              <w:rPr>
                <w:sz w:val="20"/>
                <w:szCs w:val="20"/>
                <w:color w:val="auto"/>
              </w:rPr>
            </w:pPr>
            <w:r>
              <w:rPr>
                <w:rFonts w:ascii="Arial" w:cs="Arial" w:eastAsia="Arial" w:hAnsi="Arial"/>
                <w:sz w:val="11"/>
                <w:szCs w:val="11"/>
                <w:color w:val="auto"/>
              </w:rPr>
              <w:t>17,888</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jc w:val="right"/>
              <w:spacing w:after="0" w:line="115" w:lineRule="exact"/>
              <w:rPr>
                <w:sz w:val="20"/>
                <w:szCs w:val="20"/>
                <w:color w:val="auto"/>
              </w:rPr>
            </w:pPr>
            <w:r>
              <w:rPr>
                <w:rFonts w:ascii="Arial" w:cs="Arial" w:eastAsia="Arial" w:hAnsi="Arial"/>
                <w:sz w:val="11"/>
                <w:szCs w:val="11"/>
                <w:color w:val="auto"/>
              </w:rPr>
              <w:t>17,613</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318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UBEO, LLC (Revolver) </w:t>
            </w:r>
            <w:r>
              <w:rPr>
                <w:rFonts w:ascii="Arial" w:cs="Arial" w:eastAsia="Arial" w:hAnsi="Arial"/>
                <w:sz w:val="14"/>
                <w:szCs w:val="14"/>
                <w:color w:val="auto"/>
                <w:vertAlign w:val="superscript"/>
              </w:rPr>
              <w:t>(9)</w:t>
            </w:r>
          </w:p>
        </w:tc>
        <w:tc>
          <w:tcPr>
            <w:tcW w:w="76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04/03/2024</w:t>
            </w:r>
          </w:p>
        </w:tc>
        <w:tc>
          <w:tcPr>
            <w:tcW w:w="140" w:type="dxa"/>
            <w:vAlign w:val="bottom"/>
          </w:tcPr>
          <w:p>
            <w:pPr>
              <w:spacing w:after="0"/>
              <w:rPr>
                <w:sz w:val="13"/>
                <w:szCs w:val="13"/>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91"/>
              </w:rPr>
              <w:t>Capital Equipment</w:t>
            </w:r>
          </w:p>
        </w:tc>
        <w:tc>
          <w:tcPr>
            <w:tcW w:w="120" w:type="dxa"/>
            <w:vAlign w:val="bottom"/>
          </w:tcPr>
          <w:p>
            <w:pPr>
              <w:spacing w:after="0"/>
              <w:rPr>
                <w:sz w:val="13"/>
                <w:szCs w:val="13"/>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2,933</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1"/>
                <w:szCs w:val="11"/>
                <w:color w:val="auto"/>
              </w:rPr>
              <w:t>(73 )</w:t>
            </w:r>
          </w:p>
        </w:tc>
        <w:tc>
          <w:tcPr>
            <w:tcW w:w="0" w:type="dxa"/>
            <w:vAlign w:val="bottom"/>
          </w:tcPr>
          <w:p>
            <w:pPr>
              <w:spacing w:after="0"/>
              <w:rPr>
                <w:sz w:val="1"/>
                <w:szCs w:val="1"/>
                <w:color w:val="auto"/>
              </w:rPr>
            </w:pPr>
          </w:p>
        </w:tc>
      </w:tr>
      <w:tr>
        <w:trPr>
          <w:trHeight w:val="115"/>
        </w:trPr>
        <w:tc>
          <w:tcPr>
            <w:tcW w:w="3180" w:type="dxa"/>
            <w:vAlign w:val="bottom"/>
          </w:tcPr>
          <w:p>
            <w:pPr>
              <w:ind w:left="20"/>
              <w:spacing w:after="0" w:line="115" w:lineRule="exact"/>
              <w:rPr>
                <w:sz w:val="20"/>
                <w:szCs w:val="20"/>
                <w:color w:val="auto"/>
              </w:rPr>
            </w:pPr>
            <w:r>
              <w:rPr>
                <w:rFonts w:ascii="Arial" w:cs="Arial" w:eastAsia="Arial" w:hAnsi="Arial"/>
                <w:sz w:val="11"/>
                <w:szCs w:val="11"/>
                <w:color w:val="auto"/>
              </w:rPr>
              <w:t>Unique Indoor Comfort, LLC</w:t>
            </w:r>
          </w:p>
        </w:tc>
        <w:tc>
          <w:tcPr>
            <w:tcW w:w="760" w:type="dxa"/>
            <w:vAlign w:val="bottom"/>
            <w:gridSpan w:val="2"/>
          </w:tcPr>
          <w:p>
            <w:pPr>
              <w:jc w:val="center"/>
              <w:ind w:left="86"/>
              <w:spacing w:after="0" w:line="115" w:lineRule="exact"/>
              <w:rPr>
                <w:sz w:val="20"/>
                <w:szCs w:val="20"/>
                <w:color w:val="auto"/>
              </w:rPr>
            </w:pPr>
            <w:r>
              <w:rPr>
                <w:rFonts w:ascii="Arial" w:cs="Arial" w:eastAsia="Arial" w:hAnsi="Arial"/>
                <w:sz w:val="11"/>
                <w:szCs w:val="11"/>
                <w:color w:val="auto"/>
                <w:w w:val="90"/>
              </w:rPr>
              <w:t>05/24/2027</w:t>
            </w:r>
          </w:p>
        </w:tc>
        <w:tc>
          <w:tcPr>
            <w:tcW w:w="140" w:type="dxa"/>
            <w:vAlign w:val="bottom"/>
          </w:tcPr>
          <w:p>
            <w:pPr>
              <w:spacing w:after="0"/>
              <w:rPr>
                <w:sz w:val="9"/>
                <w:szCs w:val="9"/>
                <w:color w:val="auto"/>
              </w:rPr>
            </w:pPr>
          </w:p>
        </w:tc>
        <w:tc>
          <w:tcPr>
            <w:tcW w:w="2240" w:type="dxa"/>
            <w:vAlign w:val="bottom"/>
          </w:tcPr>
          <w:p>
            <w:pPr>
              <w:jc w:val="center"/>
              <w:spacing w:after="0" w:line="115" w:lineRule="exact"/>
              <w:rPr>
                <w:sz w:val="20"/>
                <w:szCs w:val="20"/>
                <w:color w:val="auto"/>
              </w:rPr>
            </w:pPr>
            <w:r>
              <w:rPr>
                <w:rFonts w:ascii="Arial" w:cs="Arial" w:eastAsia="Arial" w:hAnsi="Arial"/>
                <w:sz w:val="11"/>
                <w:szCs w:val="11"/>
                <w:color w:val="auto"/>
                <w:w w:val="89"/>
              </w:rPr>
              <w:t>Diversified Consumer Services</w:t>
            </w:r>
          </w:p>
        </w:tc>
        <w:tc>
          <w:tcPr>
            <w:tcW w:w="1080" w:type="dxa"/>
            <w:vAlign w:val="bottom"/>
            <w:gridSpan w:val="3"/>
          </w:tcPr>
          <w:p>
            <w:pPr>
              <w:jc w:val="right"/>
              <w:ind w:right="86"/>
              <w:spacing w:after="0" w:line="115" w:lineRule="exact"/>
              <w:rPr>
                <w:sz w:val="20"/>
                <w:szCs w:val="20"/>
                <w:color w:val="auto"/>
              </w:rPr>
            </w:pPr>
            <w:r>
              <w:rPr>
                <w:rFonts w:ascii="Arial" w:cs="Arial" w:eastAsia="Arial" w:hAnsi="Arial"/>
                <w:sz w:val="11"/>
                <w:szCs w:val="11"/>
                <w:color w:val="auto"/>
              </w:rPr>
              <w:t>7.45 %</w:t>
            </w:r>
          </w:p>
        </w:tc>
        <w:tc>
          <w:tcPr>
            <w:tcW w:w="940" w:type="dxa"/>
            <w:vAlign w:val="bottom"/>
          </w:tcPr>
          <w:p>
            <w:pPr>
              <w:jc w:val="right"/>
              <w:spacing w:after="0" w:line="115" w:lineRule="exact"/>
              <w:rPr>
                <w:sz w:val="20"/>
                <w:szCs w:val="20"/>
                <w:color w:val="auto"/>
              </w:rPr>
            </w:pPr>
            <w:r>
              <w:rPr>
                <w:rFonts w:ascii="Arial" w:cs="Arial" w:eastAsia="Arial" w:hAnsi="Arial"/>
                <w:sz w:val="11"/>
                <w:szCs w:val="11"/>
                <w:color w:val="auto"/>
              </w:rPr>
              <w:t>3M L + 525</w:t>
            </w:r>
          </w:p>
        </w:tc>
        <w:tc>
          <w:tcPr>
            <w:tcW w:w="94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4,988</w:t>
            </w: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jc w:val="right"/>
              <w:spacing w:after="0" w:line="115" w:lineRule="exact"/>
              <w:rPr>
                <w:sz w:val="20"/>
                <w:szCs w:val="20"/>
                <w:color w:val="auto"/>
              </w:rPr>
            </w:pPr>
            <w:r>
              <w:rPr>
                <w:rFonts w:ascii="Arial" w:cs="Arial" w:eastAsia="Arial" w:hAnsi="Arial"/>
                <w:sz w:val="11"/>
                <w:szCs w:val="11"/>
                <w:color w:val="auto"/>
              </w:rPr>
              <w:t>4,914</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jc w:val="right"/>
              <w:spacing w:after="0" w:line="115" w:lineRule="exact"/>
              <w:rPr>
                <w:sz w:val="20"/>
                <w:szCs w:val="20"/>
                <w:color w:val="auto"/>
              </w:rPr>
            </w:pPr>
            <w:r>
              <w:rPr>
                <w:rFonts w:ascii="Arial" w:cs="Arial" w:eastAsia="Arial" w:hAnsi="Arial"/>
                <w:sz w:val="11"/>
                <w:szCs w:val="11"/>
                <w:color w:val="auto"/>
              </w:rPr>
              <w:t>4,913</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18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Unique Indoor Comfort, LLC Term Loan </w:t>
            </w:r>
            <w:r>
              <w:rPr>
                <w:rFonts w:ascii="Arial" w:cs="Arial" w:eastAsia="Arial" w:hAnsi="Arial"/>
                <w:sz w:val="14"/>
                <w:szCs w:val="14"/>
                <w:color w:val="auto"/>
                <w:vertAlign w:val="superscript"/>
              </w:rPr>
              <w:t>(7)</w:t>
            </w:r>
          </w:p>
        </w:tc>
        <w:tc>
          <w:tcPr>
            <w:tcW w:w="76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05/24/2027</w:t>
            </w:r>
          </w:p>
        </w:tc>
        <w:tc>
          <w:tcPr>
            <w:tcW w:w="140" w:type="dxa"/>
            <w:vAlign w:val="bottom"/>
          </w:tcPr>
          <w:p>
            <w:pPr>
              <w:spacing w:after="0"/>
              <w:rPr>
                <w:sz w:val="11"/>
                <w:szCs w:val="11"/>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89"/>
              </w:rPr>
              <w:t>Diversified Consumer Services</w:t>
            </w:r>
          </w:p>
        </w:tc>
        <w:tc>
          <w:tcPr>
            <w:tcW w:w="120" w:type="dxa"/>
            <w:vAlign w:val="bottom"/>
          </w:tcPr>
          <w:p>
            <w:pPr>
              <w:spacing w:after="0"/>
              <w:rPr>
                <w:sz w:val="11"/>
                <w:szCs w:val="11"/>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940" w:type="dxa"/>
            <w:vAlign w:val="bottom"/>
          </w:tcPr>
          <w:p>
            <w:pPr>
              <w:spacing w:after="0"/>
              <w:rPr>
                <w:sz w:val="11"/>
                <w:szCs w:val="11"/>
                <w:color w:val="auto"/>
              </w:rPr>
            </w:pP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20,000</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1"/>
                <w:szCs w:val="11"/>
                <w:color w:val="auto"/>
              </w:rPr>
              <w:t>(100 )</w:t>
            </w:r>
          </w:p>
        </w:tc>
        <w:tc>
          <w:tcPr>
            <w:tcW w:w="0" w:type="dxa"/>
            <w:vAlign w:val="bottom"/>
          </w:tcPr>
          <w:p>
            <w:pPr>
              <w:spacing w:after="0"/>
              <w:rPr>
                <w:sz w:val="1"/>
                <w:szCs w:val="1"/>
                <w:color w:val="auto"/>
              </w:rPr>
            </w:pPr>
          </w:p>
        </w:tc>
      </w:tr>
      <w:tr>
        <w:trPr>
          <w:trHeight w:val="165"/>
        </w:trPr>
        <w:tc>
          <w:tcPr>
            <w:tcW w:w="3180" w:type="dxa"/>
            <w:vAlign w:val="bottom"/>
          </w:tcPr>
          <w:p>
            <w:pPr>
              <w:ind w:left="20"/>
              <w:spacing w:after="0"/>
              <w:rPr>
                <w:sz w:val="20"/>
                <w:szCs w:val="20"/>
                <w:color w:val="auto"/>
              </w:rPr>
            </w:pPr>
            <w:r>
              <w:rPr>
                <w:rFonts w:ascii="Arial" w:cs="Arial" w:eastAsia="Arial" w:hAnsi="Arial"/>
                <w:sz w:val="11"/>
                <w:szCs w:val="11"/>
                <w:color w:val="auto"/>
              </w:rPr>
              <w:t xml:space="preserve">Unique Indoor Comfort, LLC (Revolver) </w:t>
            </w:r>
            <w:r>
              <w:rPr>
                <w:rFonts w:ascii="Arial" w:cs="Arial" w:eastAsia="Arial" w:hAnsi="Arial"/>
                <w:sz w:val="14"/>
                <w:szCs w:val="14"/>
                <w:color w:val="auto"/>
                <w:vertAlign w:val="superscript"/>
              </w:rPr>
              <w:t>(7), (9)</w:t>
            </w:r>
          </w:p>
        </w:tc>
        <w:tc>
          <w:tcPr>
            <w:tcW w:w="76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05/24/2027</w:t>
            </w:r>
          </w:p>
        </w:tc>
        <w:tc>
          <w:tcPr>
            <w:tcW w:w="140" w:type="dxa"/>
            <w:vAlign w:val="bottom"/>
          </w:tcPr>
          <w:p>
            <w:pPr>
              <w:spacing w:after="0"/>
              <w:rPr>
                <w:sz w:val="14"/>
                <w:szCs w:val="14"/>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89"/>
              </w:rPr>
              <w:t>Diversified Consumer Services</w:t>
            </w:r>
          </w:p>
        </w:tc>
        <w:tc>
          <w:tcPr>
            <w:tcW w:w="120" w:type="dxa"/>
            <w:vAlign w:val="bottom"/>
          </w:tcPr>
          <w:p>
            <w:pPr>
              <w:spacing w:after="0"/>
              <w:rPr>
                <w:sz w:val="14"/>
                <w:szCs w:val="14"/>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94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2,000</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1"/>
                <w:szCs w:val="11"/>
                <w:color w:val="auto"/>
              </w:rPr>
              <w:t>(30 )</w:t>
            </w:r>
          </w:p>
        </w:tc>
        <w:tc>
          <w:tcPr>
            <w:tcW w:w="0" w:type="dxa"/>
            <w:vAlign w:val="bottom"/>
          </w:tcPr>
          <w:p>
            <w:pPr>
              <w:spacing w:after="0"/>
              <w:rPr>
                <w:sz w:val="1"/>
                <w:szCs w:val="1"/>
                <w:color w:val="auto"/>
              </w:rPr>
            </w:pPr>
          </w:p>
        </w:tc>
      </w:tr>
      <w:tr>
        <w:trPr>
          <w:trHeight w:val="135"/>
        </w:trPr>
        <w:tc>
          <w:tcPr>
            <w:tcW w:w="3180" w:type="dxa"/>
            <w:vAlign w:val="bottom"/>
            <w:shd w:val="clear" w:color="auto" w:fill="CCECFF"/>
          </w:tcPr>
          <w:p>
            <w:pPr>
              <w:ind w:left="20"/>
              <w:spacing w:after="0"/>
              <w:rPr>
                <w:sz w:val="20"/>
                <w:szCs w:val="20"/>
                <w:color w:val="auto"/>
              </w:rPr>
            </w:pPr>
            <w:r>
              <w:rPr>
                <w:rFonts w:ascii="Arial" w:cs="Arial" w:eastAsia="Arial" w:hAnsi="Arial"/>
                <w:sz w:val="11"/>
                <w:szCs w:val="11"/>
                <w:color w:val="auto"/>
              </w:rPr>
              <w:t>Walker Edison Furniture Company LLC</w:t>
            </w:r>
          </w:p>
        </w:tc>
        <w:tc>
          <w:tcPr>
            <w:tcW w:w="76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03/31/2027</w:t>
            </w:r>
          </w:p>
        </w:tc>
        <w:tc>
          <w:tcPr>
            <w:tcW w:w="140" w:type="dxa"/>
            <w:vAlign w:val="bottom"/>
            <w:shd w:val="clear" w:color="auto" w:fill="CCECFF"/>
          </w:tcPr>
          <w:p>
            <w:pPr>
              <w:spacing w:after="0"/>
              <w:rPr>
                <w:sz w:val="11"/>
                <w:szCs w:val="11"/>
                <w:color w:val="auto"/>
              </w:rPr>
            </w:pPr>
          </w:p>
        </w:tc>
        <w:tc>
          <w:tcPr>
            <w:tcW w:w="22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Wholesale</w:t>
            </w:r>
          </w:p>
        </w:tc>
        <w:tc>
          <w:tcPr>
            <w:tcW w:w="1080" w:type="dxa"/>
            <w:vAlign w:val="bottom"/>
            <w:gridSpan w:val="3"/>
            <w:shd w:val="clear" w:color="auto" w:fill="CCECFF"/>
          </w:tcPr>
          <w:p>
            <w:pPr>
              <w:jc w:val="right"/>
              <w:ind w:right="86"/>
              <w:spacing w:after="0"/>
              <w:rPr>
                <w:sz w:val="20"/>
                <w:szCs w:val="20"/>
                <w:color w:val="auto"/>
              </w:rPr>
            </w:pPr>
            <w:r>
              <w:rPr>
                <w:rFonts w:ascii="Arial" w:cs="Arial" w:eastAsia="Arial" w:hAnsi="Arial"/>
                <w:sz w:val="11"/>
                <w:szCs w:val="11"/>
                <w:color w:val="auto"/>
              </w:rPr>
              <w:t>11.00 %</w:t>
            </w:r>
          </w:p>
        </w:tc>
        <w:tc>
          <w:tcPr>
            <w:tcW w:w="9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L+875</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12,619</w:t>
            </w:r>
          </w:p>
        </w:tc>
        <w:tc>
          <w:tcPr>
            <w:tcW w:w="24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12,363</w:t>
            </w:r>
          </w:p>
        </w:tc>
        <w:tc>
          <w:tcPr>
            <w:tcW w:w="2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5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12,240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3180" w:type="dxa"/>
            <w:vAlign w:val="bottom"/>
          </w:tcPr>
          <w:p>
            <w:pPr>
              <w:ind w:left="20"/>
              <w:spacing w:after="0" w:line="99" w:lineRule="exact"/>
              <w:rPr>
                <w:sz w:val="20"/>
                <w:szCs w:val="20"/>
                <w:color w:val="auto"/>
              </w:rPr>
            </w:pPr>
            <w:r>
              <w:rPr>
                <w:rFonts w:ascii="Arial" w:cs="Arial" w:eastAsia="Arial" w:hAnsi="Arial"/>
                <w:sz w:val="11"/>
                <w:szCs w:val="11"/>
                <w:color w:val="auto"/>
              </w:rPr>
              <w:t>Wildcat Buyerco, Inc.</w:t>
            </w:r>
          </w:p>
        </w:tc>
        <w:tc>
          <w:tcPr>
            <w:tcW w:w="760" w:type="dxa"/>
            <w:vAlign w:val="bottom"/>
            <w:gridSpan w:val="2"/>
          </w:tcPr>
          <w:p>
            <w:pPr>
              <w:jc w:val="center"/>
              <w:ind w:left="86"/>
              <w:spacing w:after="0" w:line="99" w:lineRule="exact"/>
              <w:rPr>
                <w:sz w:val="20"/>
                <w:szCs w:val="20"/>
                <w:color w:val="auto"/>
              </w:rPr>
            </w:pPr>
            <w:r>
              <w:rPr>
                <w:rFonts w:ascii="Arial" w:cs="Arial" w:eastAsia="Arial" w:hAnsi="Arial"/>
                <w:sz w:val="11"/>
                <w:szCs w:val="11"/>
                <w:color w:val="auto"/>
                <w:w w:val="90"/>
              </w:rPr>
              <w:t>02/27/2026</w:t>
            </w:r>
          </w:p>
        </w:tc>
        <w:tc>
          <w:tcPr>
            <w:tcW w:w="140" w:type="dxa"/>
            <w:vAlign w:val="bottom"/>
          </w:tcPr>
          <w:p>
            <w:pPr>
              <w:spacing w:after="0"/>
              <w:rPr>
                <w:sz w:val="8"/>
                <w:szCs w:val="8"/>
                <w:color w:val="auto"/>
              </w:rPr>
            </w:pPr>
          </w:p>
        </w:tc>
        <w:tc>
          <w:tcPr>
            <w:tcW w:w="2240" w:type="dxa"/>
            <w:vAlign w:val="bottom"/>
          </w:tcPr>
          <w:p>
            <w:pPr>
              <w:jc w:val="center"/>
              <w:spacing w:after="0" w:line="99" w:lineRule="exact"/>
              <w:rPr>
                <w:sz w:val="20"/>
                <w:szCs w:val="20"/>
                <w:color w:val="auto"/>
              </w:rPr>
            </w:pPr>
            <w:r>
              <w:rPr>
                <w:rFonts w:ascii="Arial" w:cs="Arial" w:eastAsia="Arial" w:hAnsi="Arial"/>
                <w:sz w:val="11"/>
                <w:szCs w:val="11"/>
                <w:color w:val="auto"/>
                <w:w w:val="89"/>
              </w:rPr>
              <w:t>Electronic Equipment, Instruments, and</w:t>
            </w:r>
          </w:p>
        </w:tc>
        <w:tc>
          <w:tcPr>
            <w:tcW w:w="1080" w:type="dxa"/>
            <w:vAlign w:val="bottom"/>
            <w:gridSpan w:val="3"/>
          </w:tcPr>
          <w:p>
            <w:pPr>
              <w:jc w:val="right"/>
              <w:ind w:right="86"/>
              <w:spacing w:after="0" w:line="99" w:lineRule="exact"/>
              <w:rPr>
                <w:sz w:val="20"/>
                <w:szCs w:val="20"/>
                <w:color w:val="auto"/>
              </w:rPr>
            </w:pPr>
            <w:r>
              <w:rPr>
                <w:rFonts w:ascii="Arial" w:cs="Arial" w:eastAsia="Arial" w:hAnsi="Arial"/>
                <w:sz w:val="11"/>
                <w:szCs w:val="11"/>
                <w:color w:val="auto"/>
              </w:rPr>
              <w:t>7.83 %</w:t>
            </w:r>
          </w:p>
        </w:tc>
        <w:tc>
          <w:tcPr>
            <w:tcW w:w="940" w:type="dxa"/>
            <w:vAlign w:val="bottom"/>
          </w:tcPr>
          <w:p>
            <w:pPr>
              <w:jc w:val="right"/>
              <w:spacing w:after="0" w:line="99" w:lineRule="exact"/>
              <w:rPr>
                <w:sz w:val="20"/>
                <w:szCs w:val="20"/>
                <w:color w:val="auto"/>
              </w:rPr>
            </w:pPr>
            <w:r>
              <w:rPr>
                <w:rFonts w:ascii="Arial" w:cs="Arial" w:eastAsia="Arial" w:hAnsi="Arial"/>
                <w:sz w:val="11"/>
                <w:szCs w:val="11"/>
                <w:color w:val="auto"/>
              </w:rPr>
              <w:t>3M L+575</w:t>
            </w:r>
          </w:p>
        </w:tc>
        <w:tc>
          <w:tcPr>
            <w:tcW w:w="940" w:type="dxa"/>
            <w:vAlign w:val="bottom"/>
            <w:gridSpan w:val="2"/>
          </w:tcPr>
          <w:p>
            <w:pPr>
              <w:jc w:val="right"/>
              <w:spacing w:after="0" w:line="99" w:lineRule="exact"/>
              <w:rPr>
                <w:sz w:val="20"/>
                <w:szCs w:val="20"/>
                <w:color w:val="auto"/>
              </w:rPr>
            </w:pPr>
            <w:r>
              <w:rPr>
                <w:rFonts w:ascii="Arial" w:cs="Arial" w:eastAsia="Arial" w:hAnsi="Arial"/>
                <w:sz w:val="11"/>
                <w:szCs w:val="11"/>
                <w:color w:val="auto"/>
              </w:rPr>
              <w:t>9,020</w:t>
            </w: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jc w:val="right"/>
              <w:spacing w:after="0" w:line="99" w:lineRule="exact"/>
              <w:rPr>
                <w:sz w:val="20"/>
                <w:szCs w:val="20"/>
                <w:color w:val="auto"/>
              </w:rPr>
            </w:pPr>
            <w:r>
              <w:rPr>
                <w:rFonts w:ascii="Arial" w:cs="Arial" w:eastAsia="Arial" w:hAnsi="Arial"/>
                <w:sz w:val="11"/>
                <w:szCs w:val="11"/>
                <w:color w:val="auto"/>
              </w:rPr>
              <w:t>8,898</w:t>
            </w: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jc w:val="right"/>
              <w:spacing w:after="0" w:line="99" w:lineRule="exact"/>
              <w:rPr>
                <w:sz w:val="20"/>
                <w:szCs w:val="20"/>
                <w:color w:val="auto"/>
              </w:rPr>
            </w:pPr>
            <w:r>
              <w:rPr>
                <w:rFonts w:ascii="Arial" w:cs="Arial" w:eastAsia="Arial" w:hAnsi="Arial"/>
                <w:sz w:val="11"/>
                <w:szCs w:val="11"/>
                <w:color w:val="auto"/>
              </w:rPr>
              <w:t>8,778</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3180" w:type="dxa"/>
            <w:vAlign w:val="bottom"/>
            <w:vMerge w:val="restart"/>
          </w:tcPr>
          <w:p>
            <w:pPr>
              <w:ind w:left="20"/>
              <w:spacing w:after="0"/>
              <w:rPr>
                <w:sz w:val="20"/>
                <w:szCs w:val="20"/>
                <w:color w:val="auto"/>
              </w:rPr>
            </w:pPr>
            <w:r>
              <w:rPr>
                <w:rFonts w:ascii="Arial" w:cs="Arial" w:eastAsia="Arial" w:hAnsi="Arial"/>
                <w:sz w:val="11"/>
                <w:szCs w:val="11"/>
                <w:color w:val="auto"/>
              </w:rPr>
              <w:t xml:space="preserve">Wildcat Buyerco, Inc. Term Loan C </w:t>
            </w:r>
            <w:r>
              <w:rPr>
                <w:rFonts w:ascii="Arial" w:cs="Arial" w:eastAsia="Arial" w:hAnsi="Arial"/>
                <w:sz w:val="14"/>
                <w:szCs w:val="14"/>
                <w:color w:val="auto"/>
                <w:vertAlign w:val="superscript"/>
              </w:rPr>
              <w:t>(9)</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86"/>
              </w:rPr>
              <w:t>Components</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180" w:type="dxa"/>
            <w:vAlign w:val="bottom"/>
            <w:vMerge w:val="continue"/>
          </w:tcPr>
          <w:p>
            <w:pPr>
              <w:spacing w:after="0"/>
              <w:rPr>
                <w:sz w:val="9"/>
                <w:szCs w:val="9"/>
                <w:color w:val="auto"/>
              </w:rPr>
            </w:pPr>
          </w:p>
        </w:tc>
        <w:tc>
          <w:tcPr>
            <w:tcW w:w="760" w:type="dxa"/>
            <w:vAlign w:val="bottom"/>
            <w:gridSpan w:val="2"/>
          </w:tcPr>
          <w:p>
            <w:pPr>
              <w:jc w:val="center"/>
              <w:ind w:left="86"/>
              <w:spacing w:after="0" w:line="108" w:lineRule="exact"/>
              <w:rPr>
                <w:sz w:val="20"/>
                <w:szCs w:val="20"/>
                <w:color w:val="auto"/>
              </w:rPr>
            </w:pPr>
            <w:r>
              <w:rPr>
                <w:rFonts w:ascii="Arial" w:cs="Arial" w:eastAsia="Arial" w:hAnsi="Arial"/>
                <w:sz w:val="11"/>
                <w:szCs w:val="11"/>
                <w:color w:val="auto"/>
                <w:w w:val="90"/>
              </w:rPr>
              <w:t>05/11/2023</w:t>
            </w:r>
          </w:p>
        </w:tc>
        <w:tc>
          <w:tcPr>
            <w:tcW w:w="140" w:type="dxa"/>
            <w:vAlign w:val="bottom"/>
          </w:tcPr>
          <w:p>
            <w:pPr>
              <w:spacing w:after="0"/>
              <w:rPr>
                <w:sz w:val="9"/>
                <w:szCs w:val="9"/>
                <w:color w:val="auto"/>
              </w:rPr>
            </w:pPr>
          </w:p>
        </w:tc>
        <w:tc>
          <w:tcPr>
            <w:tcW w:w="2240" w:type="dxa"/>
            <w:vAlign w:val="bottom"/>
          </w:tcPr>
          <w:p>
            <w:pPr>
              <w:jc w:val="center"/>
              <w:spacing w:after="0" w:line="108" w:lineRule="exact"/>
              <w:rPr>
                <w:sz w:val="20"/>
                <w:szCs w:val="20"/>
                <w:color w:val="auto"/>
              </w:rPr>
            </w:pPr>
            <w:r>
              <w:rPr>
                <w:rFonts w:ascii="Arial" w:cs="Arial" w:eastAsia="Arial" w:hAnsi="Arial"/>
                <w:sz w:val="11"/>
                <w:szCs w:val="11"/>
                <w:color w:val="auto"/>
                <w:w w:val="89"/>
              </w:rPr>
              <w:t>Electronic Equipment, Instruments, and</w:t>
            </w:r>
          </w:p>
        </w:tc>
        <w:tc>
          <w:tcPr>
            <w:tcW w:w="120" w:type="dxa"/>
            <w:vAlign w:val="bottom"/>
          </w:tcPr>
          <w:p>
            <w:pPr>
              <w:spacing w:after="0"/>
              <w:rPr>
                <w:sz w:val="9"/>
                <w:szCs w:val="9"/>
                <w:color w:val="auto"/>
              </w:rPr>
            </w:pPr>
          </w:p>
        </w:tc>
        <w:tc>
          <w:tcPr>
            <w:tcW w:w="960" w:type="dxa"/>
            <w:vAlign w:val="bottom"/>
            <w:gridSpan w:val="2"/>
          </w:tcPr>
          <w:p>
            <w:pPr>
              <w:jc w:val="right"/>
              <w:ind w:right="206"/>
              <w:spacing w:after="0" w:line="108" w:lineRule="exact"/>
              <w:rPr>
                <w:sz w:val="20"/>
                <w:szCs w:val="20"/>
                <w:color w:val="auto"/>
              </w:rPr>
            </w:pPr>
            <w:r>
              <w:rPr>
                <w:rFonts w:ascii="Arial" w:cs="Arial" w:eastAsia="Arial" w:hAnsi="Arial"/>
                <w:sz w:val="11"/>
                <w:szCs w:val="11"/>
                <w:color w:val="auto"/>
              </w:rPr>
              <w:t>—</w:t>
            </w:r>
          </w:p>
        </w:tc>
        <w:tc>
          <w:tcPr>
            <w:tcW w:w="940" w:type="dxa"/>
            <w:vAlign w:val="bottom"/>
          </w:tcPr>
          <w:p>
            <w:pPr>
              <w:jc w:val="right"/>
              <w:spacing w:after="0" w:line="108" w:lineRule="exact"/>
              <w:rPr>
                <w:sz w:val="20"/>
                <w:szCs w:val="20"/>
                <w:color w:val="auto"/>
              </w:rPr>
            </w:pPr>
            <w:r>
              <w:rPr>
                <w:rFonts w:ascii="Arial" w:cs="Arial" w:eastAsia="Arial" w:hAnsi="Arial"/>
                <w:sz w:val="11"/>
                <w:szCs w:val="11"/>
                <w:color w:val="auto"/>
              </w:rPr>
              <w:t>—</w:t>
            </w:r>
          </w:p>
        </w:tc>
        <w:tc>
          <w:tcPr>
            <w:tcW w:w="940" w:type="dxa"/>
            <w:vAlign w:val="bottom"/>
            <w:gridSpan w:val="2"/>
          </w:tcPr>
          <w:p>
            <w:pPr>
              <w:jc w:val="right"/>
              <w:spacing w:after="0" w:line="108" w:lineRule="exact"/>
              <w:rPr>
                <w:sz w:val="20"/>
                <w:szCs w:val="20"/>
                <w:color w:val="auto"/>
              </w:rPr>
            </w:pPr>
            <w:r>
              <w:rPr>
                <w:rFonts w:ascii="Arial" w:cs="Arial" w:eastAsia="Arial" w:hAnsi="Arial"/>
                <w:sz w:val="11"/>
                <w:szCs w:val="11"/>
                <w:color w:val="auto"/>
              </w:rPr>
              <w:t>937</w:t>
            </w: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jc w:val="right"/>
              <w:spacing w:after="0" w:line="108" w:lineRule="exact"/>
              <w:rPr>
                <w:sz w:val="20"/>
                <w:szCs w:val="20"/>
                <w:color w:val="auto"/>
              </w:rPr>
            </w:pPr>
            <w:r>
              <w:rPr>
                <w:rFonts w:ascii="Arial" w:cs="Arial" w:eastAsia="Arial" w:hAnsi="Arial"/>
                <w:sz w:val="11"/>
                <w:szCs w:val="11"/>
                <w:color w:val="auto"/>
              </w:rPr>
              <w:t>—</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gridSpan w:val="2"/>
          </w:tcPr>
          <w:p>
            <w:pPr>
              <w:jc w:val="right"/>
              <w:ind w:right="60"/>
              <w:spacing w:after="0" w:line="108" w:lineRule="exact"/>
              <w:rPr>
                <w:sz w:val="20"/>
                <w:szCs w:val="20"/>
                <w:color w:val="auto"/>
              </w:rPr>
            </w:pPr>
            <w:r>
              <w:rPr>
                <w:rFonts w:ascii="Arial" w:cs="Arial" w:eastAsia="Arial" w:hAnsi="Arial"/>
                <w:sz w:val="11"/>
                <w:szCs w:val="11"/>
                <w:color w:val="auto"/>
              </w:rPr>
              <w:t>(4 )</w:t>
            </w:r>
          </w:p>
        </w:tc>
        <w:tc>
          <w:tcPr>
            <w:tcW w:w="0" w:type="dxa"/>
            <w:vAlign w:val="bottom"/>
          </w:tcPr>
          <w:p>
            <w:pPr>
              <w:spacing w:after="0"/>
              <w:rPr>
                <w:sz w:val="1"/>
                <w:szCs w:val="1"/>
                <w:color w:val="auto"/>
              </w:rPr>
            </w:pPr>
          </w:p>
        </w:tc>
      </w:tr>
      <w:tr>
        <w:trPr>
          <w:trHeight w:val="135"/>
        </w:trPr>
        <w:tc>
          <w:tcPr>
            <w:tcW w:w="3180" w:type="dxa"/>
            <w:vAlign w:val="bottom"/>
            <w:vMerge w:val="restart"/>
          </w:tcPr>
          <w:p>
            <w:pPr>
              <w:ind w:left="20"/>
              <w:spacing w:after="0"/>
              <w:rPr>
                <w:sz w:val="20"/>
                <w:szCs w:val="20"/>
                <w:color w:val="auto"/>
              </w:rPr>
            </w:pPr>
            <w:r>
              <w:rPr>
                <w:rFonts w:ascii="Arial" w:cs="Arial" w:eastAsia="Arial" w:hAnsi="Arial"/>
                <w:sz w:val="11"/>
                <w:szCs w:val="11"/>
                <w:color w:val="auto"/>
              </w:rPr>
              <w:t xml:space="preserve">Wildcat Buyerco, Inc. (Revolver) </w:t>
            </w:r>
            <w:r>
              <w:rPr>
                <w:rFonts w:ascii="Arial" w:cs="Arial" w:eastAsia="Arial" w:hAnsi="Arial"/>
                <w:sz w:val="14"/>
                <w:szCs w:val="14"/>
                <w:color w:val="auto"/>
                <w:vertAlign w:val="superscript"/>
              </w:rPr>
              <w:t>(7)</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86"/>
              </w:rPr>
              <w:t>Components</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180" w:type="dxa"/>
            <w:vAlign w:val="bottom"/>
            <w:vMerge w:val="continue"/>
          </w:tcPr>
          <w:p>
            <w:pPr>
              <w:spacing w:after="0"/>
              <w:rPr>
                <w:sz w:val="9"/>
                <w:szCs w:val="9"/>
                <w:color w:val="auto"/>
              </w:rPr>
            </w:pPr>
          </w:p>
        </w:tc>
        <w:tc>
          <w:tcPr>
            <w:tcW w:w="760" w:type="dxa"/>
            <w:vAlign w:val="bottom"/>
            <w:gridSpan w:val="2"/>
          </w:tcPr>
          <w:p>
            <w:pPr>
              <w:jc w:val="center"/>
              <w:ind w:left="86"/>
              <w:spacing w:after="0" w:line="108" w:lineRule="exact"/>
              <w:rPr>
                <w:sz w:val="20"/>
                <w:szCs w:val="20"/>
                <w:color w:val="auto"/>
              </w:rPr>
            </w:pPr>
            <w:r>
              <w:rPr>
                <w:rFonts w:ascii="Arial" w:cs="Arial" w:eastAsia="Arial" w:hAnsi="Arial"/>
                <w:sz w:val="11"/>
                <w:szCs w:val="11"/>
                <w:color w:val="auto"/>
                <w:w w:val="90"/>
              </w:rPr>
              <w:t>02/27/2026</w:t>
            </w:r>
          </w:p>
        </w:tc>
        <w:tc>
          <w:tcPr>
            <w:tcW w:w="140" w:type="dxa"/>
            <w:vAlign w:val="bottom"/>
          </w:tcPr>
          <w:p>
            <w:pPr>
              <w:spacing w:after="0"/>
              <w:rPr>
                <w:sz w:val="9"/>
                <w:szCs w:val="9"/>
                <w:color w:val="auto"/>
              </w:rPr>
            </w:pPr>
          </w:p>
        </w:tc>
        <w:tc>
          <w:tcPr>
            <w:tcW w:w="2240" w:type="dxa"/>
            <w:vAlign w:val="bottom"/>
          </w:tcPr>
          <w:p>
            <w:pPr>
              <w:jc w:val="center"/>
              <w:spacing w:after="0" w:line="108" w:lineRule="exact"/>
              <w:rPr>
                <w:sz w:val="20"/>
                <w:szCs w:val="20"/>
                <w:color w:val="auto"/>
              </w:rPr>
            </w:pPr>
            <w:r>
              <w:rPr>
                <w:rFonts w:ascii="Arial" w:cs="Arial" w:eastAsia="Arial" w:hAnsi="Arial"/>
                <w:sz w:val="11"/>
                <w:szCs w:val="11"/>
                <w:color w:val="auto"/>
                <w:w w:val="89"/>
              </w:rPr>
              <w:t>Electronic Equipment, Instruments, and</w:t>
            </w:r>
          </w:p>
        </w:tc>
        <w:tc>
          <w:tcPr>
            <w:tcW w:w="1080" w:type="dxa"/>
            <w:vAlign w:val="bottom"/>
            <w:gridSpan w:val="3"/>
          </w:tcPr>
          <w:p>
            <w:pPr>
              <w:jc w:val="right"/>
              <w:ind w:right="86"/>
              <w:spacing w:after="0" w:line="108" w:lineRule="exact"/>
              <w:rPr>
                <w:sz w:val="20"/>
                <w:szCs w:val="20"/>
                <w:color w:val="auto"/>
              </w:rPr>
            </w:pPr>
            <w:r>
              <w:rPr>
                <w:rFonts w:ascii="Arial" w:cs="Arial" w:eastAsia="Arial" w:hAnsi="Arial"/>
                <w:sz w:val="11"/>
                <w:szCs w:val="11"/>
                <w:color w:val="auto"/>
              </w:rPr>
              <w:t>6.99 %</w:t>
            </w:r>
          </w:p>
        </w:tc>
        <w:tc>
          <w:tcPr>
            <w:tcW w:w="940" w:type="dxa"/>
            <w:vAlign w:val="bottom"/>
          </w:tcPr>
          <w:p>
            <w:pPr>
              <w:jc w:val="right"/>
              <w:spacing w:after="0" w:line="108" w:lineRule="exact"/>
              <w:rPr>
                <w:sz w:val="20"/>
                <w:szCs w:val="20"/>
                <w:color w:val="auto"/>
              </w:rPr>
            </w:pPr>
            <w:r>
              <w:rPr>
                <w:rFonts w:ascii="Arial" w:cs="Arial" w:eastAsia="Arial" w:hAnsi="Arial"/>
                <w:sz w:val="11"/>
                <w:szCs w:val="11"/>
                <w:color w:val="auto"/>
              </w:rPr>
              <w:t>3M L+575</w:t>
            </w:r>
          </w:p>
        </w:tc>
        <w:tc>
          <w:tcPr>
            <w:tcW w:w="940" w:type="dxa"/>
            <w:vAlign w:val="bottom"/>
            <w:gridSpan w:val="2"/>
          </w:tcPr>
          <w:p>
            <w:pPr>
              <w:jc w:val="right"/>
              <w:spacing w:after="0" w:line="108" w:lineRule="exact"/>
              <w:rPr>
                <w:sz w:val="20"/>
                <w:szCs w:val="20"/>
                <w:color w:val="auto"/>
              </w:rPr>
            </w:pPr>
            <w:r>
              <w:rPr>
                <w:rFonts w:ascii="Arial" w:cs="Arial" w:eastAsia="Arial" w:hAnsi="Arial"/>
                <w:sz w:val="11"/>
                <w:szCs w:val="11"/>
                <w:color w:val="auto"/>
              </w:rPr>
              <w:t>64</w:t>
            </w: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jc w:val="right"/>
              <w:spacing w:after="0" w:line="108" w:lineRule="exact"/>
              <w:rPr>
                <w:sz w:val="20"/>
                <w:szCs w:val="20"/>
                <w:color w:val="auto"/>
              </w:rPr>
            </w:pPr>
            <w:r>
              <w:rPr>
                <w:rFonts w:ascii="Arial" w:cs="Arial" w:eastAsia="Arial" w:hAnsi="Arial"/>
                <w:sz w:val="11"/>
                <w:szCs w:val="11"/>
                <w:color w:val="auto"/>
              </w:rPr>
              <w:t>64</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jc w:val="right"/>
              <w:spacing w:after="0" w:line="108" w:lineRule="exact"/>
              <w:rPr>
                <w:sz w:val="20"/>
                <w:szCs w:val="20"/>
                <w:color w:val="auto"/>
              </w:rPr>
            </w:pPr>
            <w:r>
              <w:rPr>
                <w:rFonts w:ascii="Arial" w:cs="Arial" w:eastAsia="Arial" w:hAnsi="Arial"/>
                <w:sz w:val="11"/>
                <w:szCs w:val="11"/>
                <w:color w:val="auto"/>
              </w:rPr>
              <w:t>60</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180" w:type="dxa"/>
            <w:vAlign w:val="bottom"/>
            <w:vMerge w:val="restart"/>
          </w:tcPr>
          <w:p>
            <w:pPr>
              <w:ind w:left="20"/>
              <w:spacing w:after="0"/>
              <w:rPr>
                <w:sz w:val="20"/>
                <w:szCs w:val="20"/>
                <w:color w:val="auto"/>
              </w:rPr>
            </w:pPr>
            <w:r>
              <w:rPr>
                <w:rFonts w:ascii="Arial" w:cs="Arial" w:eastAsia="Arial" w:hAnsi="Arial"/>
                <w:sz w:val="11"/>
                <w:szCs w:val="11"/>
                <w:color w:val="auto"/>
              </w:rPr>
              <w:t xml:space="preserve">Wildcat Buyerco, Inc. (Revolver) </w:t>
            </w:r>
            <w:r>
              <w:rPr>
                <w:rFonts w:ascii="Arial" w:cs="Arial" w:eastAsia="Arial" w:hAnsi="Arial"/>
                <w:sz w:val="14"/>
                <w:szCs w:val="14"/>
                <w:color w:val="auto"/>
                <w:vertAlign w:val="superscript"/>
              </w:rPr>
              <w:t>(7), (9)</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86"/>
              </w:rPr>
              <w:t>Components</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180" w:type="dxa"/>
            <w:vAlign w:val="bottom"/>
            <w:vMerge w:val="continue"/>
          </w:tcPr>
          <w:p>
            <w:pPr>
              <w:spacing w:after="0"/>
              <w:rPr>
                <w:sz w:val="9"/>
                <w:szCs w:val="9"/>
                <w:color w:val="auto"/>
              </w:rPr>
            </w:pPr>
          </w:p>
        </w:tc>
        <w:tc>
          <w:tcPr>
            <w:tcW w:w="760" w:type="dxa"/>
            <w:vAlign w:val="bottom"/>
            <w:gridSpan w:val="2"/>
          </w:tcPr>
          <w:p>
            <w:pPr>
              <w:jc w:val="center"/>
              <w:ind w:left="86"/>
              <w:spacing w:after="0" w:line="108" w:lineRule="exact"/>
              <w:rPr>
                <w:sz w:val="20"/>
                <w:szCs w:val="20"/>
                <w:color w:val="auto"/>
              </w:rPr>
            </w:pPr>
            <w:r>
              <w:rPr>
                <w:rFonts w:ascii="Arial" w:cs="Arial" w:eastAsia="Arial" w:hAnsi="Arial"/>
                <w:sz w:val="11"/>
                <w:szCs w:val="11"/>
                <w:color w:val="auto"/>
                <w:w w:val="90"/>
              </w:rPr>
              <w:t>02/27/2026</w:t>
            </w:r>
          </w:p>
        </w:tc>
        <w:tc>
          <w:tcPr>
            <w:tcW w:w="140" w:type="dxa"/>
            <w:vAlign w:val="bottom"/>
          </w:tcPr>
          <w:p>
            <w:pPr>
              <w:spacing w:after="0"/>
              <w:rPr>
                <w:sz w:val="9"/>
                <w:szCs w:val="9"/>
                <w:color w:val="auto"/>
              </w:rPr>
            </w:pPr>
          </w:p>
        </w:tc>
        <w:tc>
          <w:tcPr>
            <w:tcW w:w="2240" w:type="dxa"/>
            <w:vAlign w:val="bottom"/>
          </w:tcPr>
          <w:p>
            <w:pPr>
              <w:jc w:val="center"/>
              <w:spacing w:after="0" w:line="108" w:lineRule="exact"/>
              <w:rPr>
                <w:sz w:val="20"/>
                <w:szCs w:val="20"/>
                <w:color w:val="auto"/>
              </w:rPr>
            </w:pPr>
            <w:r>
              <w:rPr>
                <w:rFonts w:ascii="Arial" w:cs="Arial" w:eastAsia="Arial" w:hAnsi="Arial"/>
                <w:sz w:val="11"/>
                <w:szCs w:val="11"/>
                <w:color w:val="auto"/>
                <w:w w:val="89"/>
              </w:rPr>
              <w:t>Electronic Equipment, Instruments, and</w:t>
            </w:r>
          </w:p>
        </w:tc>
        <w:tc>
          <w:tcPr>
            <w:tcW w:w="120" w:type="dxa"/>
            <w:vAlign w:val="bottom"/>
          </w:tcPr>
          <w:p>
            <w:pPr>
              <w:spacing w:after="0"/>
              <w:rPr>
                <w:sz w:val="9"/>
                <w:szCs w:val="9"/>
                <w:color w:val="auto"/>
              </w:rPr>
            </w:pPr>
          </w:p>
        </w:tc>
        <w:tc>
          <w:tcPr>
            <w:tcW w:w="960" w:type="dxa"/>
            <w:vAlign w:val="bottom"/>
            <w:gridSpan w:val="2"/>
          </w:tcPr>
          <w:p>
            <w:pPr>
              <w:jc w:val="right"/>
              <w:ind w:right="206"/>
              <w:spacing w:after="0" w:line="108" w:lineRule="exact"/>
              <w:rPr>
                <w:sz w:val="20"/>
                <w:szCs w:val="20"/>
                <w:color w:val="auto"/>
              </w:rPr>
            </w:pPr>
            <w:r>
              <w:rPr>
                <w:rFonts w:ascii="Arial" w:cs="Arial" w:eastAsia="Arial" w:hAnsi="Arial"/>
                <w:sz w:val="11"/>
                <w:szCs w:val="11"/>
                <w:color w:val="auto"/>
              </w:rPr>
              <w:t>—</w:t>
            </w:r>
          </w:p>
        </w:tc>
        <w:tc>
          <w:tcPr>
            <w:tcW w:w="940" w:type="dxa"/>
            <w:vAlign w:val="bottom"/>
          </w:tcPr>
          <w:p>
            <w:pPr>
              <w:spacing w:after="0"/>
              <w:rPr>
                <w:sz w:val="9"/>
                <w:szCs w:val="9"/>
                <w:color w:val="auto"/>
              </w:rPr>
            </w:pPr>
          </w:p>
        </w:tc>
        <w:tc>
          <w:tcPr>
            <w:tcW w:w="940" w:type="dxa"/>
            <w:vAlign w:val="bottom"/>
            <w:gridSpan w:val="2"/>
          </w:tcPr>
          <w:p>
            <w:pPr>
              <w:jc w:val="right"/>
              <w:spacing w:after="0" w:line="108" w:lineRule="exact"/>
              <w:rPr>
                <w:sz w:val="20"/>
                <w:szCs w:val="20"/>
                <w:color w:val="auto"/>
              </w:rPr>
            </w:pPr>
            <w:r>
              <w:rPr>
                <w:rFonts w:ascii="Arial" w:cs="Arial" w:eastAsia="Arial" w:hAnsi="Arial"/>
                <w:sz w:val="11"/>
                <w:szCs w:val="11"/>
                <w:color w:val="auto"/>
              </w:rPr>
              <w:t>470</w:t>
            </w: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jc w:val="right"/>
              <w:spacing w:after="0" w:line="108" w:lineRule="exact"/>
              <w:rPr>
                <w:sz w:val="20"/>
                <w:szCs w:val="20"/>
                <w:color w:val="auto"/>
              </w:rPr>
            </w:pPr>
            <w:r>
              <w:rPr>
                <w:rFonts w:ascii="Arial" w:cs="Arial" w:eastAsia="Arial" w:hAnsi="Arial"/>
                <w:sz w:val="11"/>
                <w:szCs w:val="11"/>
                <w:color w:val="auto"/>
              </w:rPr>
              <w:t>—</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gridSpan w:val="2"/>
          </w:tcPr>
          <w:p>
            <w:pPr>
              <w:jc w:val="right"/>
              <w:ind w:right="60"/>
              <w:spacing w:after="0" w:line="108" w:lineRule="exact"/>
              <w:rPr>
                <w:sz w:val="20"/>
                <w:szCs w:val="20"/>
                <w:color w:val="auto"/>
              </w:rPr>
            </w:pPr>
            <w:r>
              <w:rPr>
                <w:rFonts w:ascii="Arial" w:cs="Arial" w:eastAsia="Arial" w:hAnsi="Arial"/>
                <w:sz w:val="11"/>
                <w:szCs w:val="11"/>
                <w:color w:val="auto"/>
              </w:rPr>
              <w:t>(27 )</w:t>
            </w:r>
          </w:p>
        </w:tc>
        <w:tc>
          <w:tcPr>
            <w:tcW w:w="0" w:type="dxa"/>
            <w:vAlign w:val="bottom"/>
          </w:tcPr>
          <w:p>
            <w:pPr>
              <w:spacing w:after="0"/>
              <w:rPr>
                <w:sz w:val="1"/>
                <w:szCs w:val="1"/>
                <w:color w:val="auto"/>
              </w:rPr>
            </w:pPr>
          </w:p>
        </w:tc>
      </w:tr>
      <w:tr>
        <w:trPr>
          <w:trHeight w:val="135"/>
        </w:trPr>
        <w:tc>
          <w:tcPr>
            <w:tcW w:w="3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86"/>
              </w:rPr>
              <w:t>Components</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3180" w:type="dxa"/>
            <w:vAlign w:val="bottom"/>
          </w:tcPr>
          <w:p>
            <w:pPr>
              <w:ind w:left="20"/>
              <w:spacing w:after="0" w:line="115" w:lineRule="exact"/>
              <w:rPr>
                <w:sz w:val="20"/>
                <w:szCs w:val="20"/>
                <w:color w:val="auto"/>
              </w:rPr>
            </w:pPr>
            <w:r>
              <w:rPr>
                <w:rFonts w:ascii="Arial" w:cs="Arial" w:eastAsia="Arial" w:hAnsi="Arial"/>
                <w:sz w:val="11"/>
                <w:szCs w:val="11"/>
                <w:color w:val="auto"/>
              </w:rPr>
              <w:t>Zips Car Wash, LLC</w:t>
            </w:r>
          </w:p>
        </w:tc>
        <w:tc>
          <w:tcPr>
            <w:tcW w:w="760" w:type="dxa"/>
            <w:vAlign w:val="bottom"/>
            <w:gridSpan w:val="2"/>
          </w:tcPr>
          <w:p>
            <w:pPr>
              <w:jc w:val="center"/>
              <w:ind w:left="86"/>
              <w:spacing w:after="0" w:line="115" w:lineRule="exact"/>
              <w:rPr>
                <w:sz w:val="20"/>
                <w:szCs w:val="20"/>
                <w:color w:val="auto"/>
              </w:rPr>
            </w:pPr>
            <w:r>
              <w:rPr>
                <w:rFonts w:ascii="Arial" w:cs="Arial" w:eastAsia="Arial" w:hAnsi="Arial"/>
                <w:sz w:val="11"/>
                <w:szCs w:val="11"/>
                <w:color w:val="auto"/>
                <w:w w:val="90"/>
              </w:rPr>
              <w:t>03/01/2024</w:t>
            </w:r>
          </w:p>
        </w:tc>
        <w:tc>
          <w:tcPr>
            <w:tcW w:w="140" w:type="dxa"/>
            <w:vAlign w:val="bottom"/>
          </w:tcPr>
          <w:p>
            <w:pPr>
              <w:spacing w:after="0"/>
              <w:rPr>
                <w:sz w:val="9"/>
                <w:szCs w:val="9"/>
                <w:color w:val="auto"/>
              </w:rPr>
            </w:pPr>
          </w:p>
        </w:tc>
        <w:tc>
          <w:tcPr>
            <w:tcW w:w="2240" w:type="dxa"/>
            <w:vAlign w:val="bottom"/>
          </w:tcPr>
          <w:p>
            <w:pPr>
              <w:jc w:val="center"/>
              <w:spacing w:after="0" w:line="115" w:lineRule="exact"/>
              <w:rPr>
                <w:sz w:val="20"/>
                <w:szCs w:val="20"/>
                <w:color w:val="auto"/>
              </w:rPr>
            </w:pPr>
            <w:r>
              <w:rPr>
                <w:rFonts w:ascii="Arial" w:cs="Arial" w:eastAsia="Arial" w:hAnsi="Arial"/>
                <w:sz w:val="11"/>
                <w:szCs w:val="11"/>
                <w:color w:val="auto"/>
                <w:w w:val="92"/>
              </w:rPr>
              <w:t>Automobiles</w:t>
            </w:r>
          </w:p>
        </w:tc>
        <w:tc>
          <w:tcPr>
            <w:tcW w:w="1080" w:type="dxa"/>
            <w:vAlign w:val="bottom"/>
            <w:gridSpan w:val="3"/>
          </w:tcPr>
          <w:p>
            <w:pPr>
              <w:jc w:val="right"/>
              <w:ind w:right="86"/>
              <w:spacing w:after="0" w:line="115" w:lineRule="exact"/>
              <w:rPr>
                <w:sz w:val="20"/>
                <w:szCs w:val="20"/>
                <w:color w:val="auto"/>
              </w:rPr>
            </w:pPr>
            <w:r>
              <w:rPr>
                <w:rFonts w:ascii="Arial" w:cs="Arial" w:eastAsia="Arial" w:hAnsi="Arial"/>
                <w:sz w:val="11"/>
                <w:szCs w:val="11"/>
                <w:color w:val="auto"/>
              </w:rPr>
              <w:t>8.27 %</w:t>
            </w:r>
          </w:p>
        </w:tc>
        <w:tc>
          <w:tcPr>
            <w:tcW w:w="940" w:type="dxa"/>
            <w:vAlign w:val="bottom"/>
          </w:tcPr>
          <w:p>
            <w:pPr>
              <w:jc w:val="right"/>
              <w:spacing w:after="0" w:line="115" w:lineRule="exact"/>
              <w:rPr>
                <w:sz w:val="20"/>
                <w:szCs w:val="20"/>
                <w:color w:val="auto"/>
              </w:rPr>
            </w:pPr>
            <w:r>
              <w:rPr>
                <w:rFonts w:ascii="Arial" w:cs="Arial" w:eastAsia="Arial" w:hAnsi="Arial"/>
                <w:sz w:val="11"/>
                <w:szCs w:val="11"/>
                <w:color w:val="auto"/>
              </w:rPr>
              <w:t>3M L+725</w:t>
            </w:r>
          </w:p>
        </w:tc>
        <w:tc>
          <w:tcPr>
            <w:tcW w:w="94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20,857</w:t>
            </w: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jc w:val="right"/>
              <w:spacing w:after="0" w:line="115" w:lineRule="exact"/>
              <w:rPr>
                <w:sz w:val="20"/>
                <w:szCs w:val="20"/>
                <w:color w:val="auto"/>
              </w:rPr>
            </w:pPr>
            <w:r>
              <w:rPr>
                <w:rFonts w:ascii="Arial" w:cs="Arial" w:eastAsia="Arial" w:hAnsi="Arial"/>
                <w:sz w:val="11"/>
                <w:szCs w:val="11"/>
                <w:color w:val="auto"/>
              </w:rPr>
              <w:t>20,635</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jc w:val="right"/>
              <w:spacing w:after="0" w:line="115" w:lineRule="exact"/>
              <w:rPr>
                <w:sz w:val="20"/>
                <w:szCs w:val="20"/>
                <w:color w:val="auto"/>
              </w:rPr>
            </w:pPr>
            <w:r>
              <w:rPr>
                <w:rFonts w:ascii="Arial" w:cs="Arial" w:eastAsia="Arial" w:hAnsi="Arial"/>
                <w:sz w:val="11"/>
                <w:szCs w:val="11"/>
                <w:color w:val="auto"/>
              </w:rPr>
              <w:t>20,439</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3180" w:type="dxa"/>
            <w:vAlign w:val="bottom"/>
          </w:tcPr>
          <w:p>
            <w:pPr>
              <w:ind w:left="20"/>
              <w:spacing w:after="0"/>
              <w:rPr>
                <w:sz w:val="20"/>
                <w:szCs w:val="20"/>
                <w:color w:val="auto"/>
              </w:rPr>
            </w:pPr>
            <w:r>
              <w:rPr>
                <w:rFonts w:ascii="Arial" w:cs="Arial" w:eastAsia="Arial" w:hAnsi="Arial"/>
                <w:sz w:val="11"/>
                <w:szCs w:val="11"/>
                <w:color w:val="auto"/>
              </w:rPr>
              <w:t xml:space="preserve">Zips Car Wash, LLC </w:t>
            </w:r>
            <w:r>
              <w:rPr>
                <w:rFonts w:ascii="Arial" w:cs="Arial" w:eastAsia="Arial" w:hAnsi="Arial"/>
                <w:sz w:val="14"/>
                <w:szCs w:val="14"/>
                <w:color w:val="auto"/>
                <w:vertAlign w:val="superscript"/>
              </w:rPr>
              <w:t>(9)</w:t>
            </w:r>
          </w:p>
        </w:tc>
        <w:tc>
          <w:tcPr>
            <w:tcW w:w="76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03/01/2024</w:t>
            </w:r>
          </w:p>
        </w:tc>
        <w:tc>
          <w:tcPr>
            <w:tcW w:w="140" w:type="dxa"/>
            <w:vAlign w:val="bottom"/>
          </w:tcPr>
          <w:p>
            <w:pPr>
              <w:spacing w:after="0"/>
              <w:rPr>
                <w:sz w:val="14"/>
                <w:szCs w:val="14"/>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92"/>
              </w:rPr>
              <w:t>Automobiles</w:t>
            </w:r>
          </w:p>
        </w:tc>
        <w:tc>
          <w:tcPr>
            <w:tcW w:w="120" w:type="dxa"/>
            <w:vAlign w:val="bottom"/>
          </w:tcPr>
          <w:p>
            <w:pPr>
              <w:spacing w:after="0"/>
              <w:rPr>
                <w:sz w:val="14"/>
                <w:szCs w:val="14"/>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104</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1"/>
                <w:szCs w:val="11"/>
                <w:color w:val="auto"/>
              </w:rPr>
              <w:t>(1 )</w:t>
            </w:r>
          </w:p>
        </w:tc>
        <w:tc>
          <w:tcPr>
            <w:tcW w:w="0" w:type="dxa"/>
            <w:vAlign w:val="bottom"/>
          </w:tcPr>
          <w:p>
            <w:pPr>
              <w:spacing w:after="0"/>
              <w:rPr>
                <w:sz w:val="1"/>
                <w:szCs w:val="1"/>
                <w:color w:val="auto"/>
              </w:rPr>
            </w:pPr>
          </w:p>
        </w:tc>
      </w:tr>
      <w:tr>
        <w:trPr>
          <w:trHeight w:val="129"/>
        </w:trPr>
        <w:tc>
          <w:tcPr>
            <w:tcW w:w="3180" w:type="dxa"/>
            <w:vAlign w:val="bottom"/>
          </w:tcPr>
          <w:p>
            <w:pPr>
              <w:ind w:left="20"/>
              <w:spacing w:after="0" w:line="121" w:lineRule="exact"/>
              <w:rPr>
                <w:sz w:val="20"/>
                <w:szCs w:val="20"/>
                <w:color w:val="auto"/>
              </w:rPr>
            </w:pPr>
            <w:r>
              <w:rPr>
                <w:rFonts w:ascii="Arial" w:cs="Arial" w:eastAsia="Arial" w:hAnsi="Arial"/>
                <w:sz w:val="11"/>
                <w:szCs w:val="11"/>
                <w:b w:val="1"/>
                <w:bCs w:val="1"/>
                <w:color w:val="auto"/>
              </w:rPr>
              <w:t>Total First Lien Secured Debt</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858,691</w:t>
            </w:r>
          </w:p>
        </w:tc>
        <w:tc>
          <w:tcPr>
            <w:tcW w:w="220" w:type="dxa"/>
            <w:vAlign w:val="bottom"/>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841,848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3180" w:type="dxa"/>
            <w:vAlign w:val="bottom"/>
          </w:tcPr>
          <w:p>
            <w:pPr>
              <w:ind w:left="20"/>
              <w:spacing w:after="0" w:line="99" w:lineRule="exact"/>
              <w:rPr>
                <w:sz w:val="20"/>
                <w:szCs w:val="20"/>
                <w:color w:val="auto"/>
              </w:rPr>
            </w:pPr>
            <w:r>
              <w:rPr>
                <w:rFonts w:ascii="Arial" w:cs="Arial" w:eastAsia="Arial" w:hAnsi="Arial"/>
                <w:sz w:val="11"/>
                <w:szCs w:val="11"/>
                <w:b w:val="1"/>
                <w:bCs w:val="1"/>
                <w:color w:val="auto"/>
              </w:rPr>
              <w:t>Second Lien Secured Debt—0.1%</w:t>
            </w: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40" w:type="dxa"/>
            <w:vAlign w:val="bottom"/>
          </w:tcPr>
          <w:p>
            <w:pPr>
              <w:spacing w:after="0"/>
              <w:rPr>
                <w:sz w:val="8"/>
                <w:szCs w:val="8"/>
                <w:color w:val="auto"/>
              </w:rPr>
            </w:pPr>
          </w:p>
        </w:tc>
        <w:tc>
          <w:tcPr>
            <w:tcW w:w="1080" w:type="dxa"/>
            <w:vAlign w:val="bottom"/>
            <w:gridSpan w:val="3"/>
            <w:vMerge w:val="restart"/>
          </w:tcPr>
          <w:p>
            <w:pPr>
              <w:jc w:val="right"/>
              <w:spacing w:after="0"/>
              <w:rPr>
                <w:sz w:val="20"/>
                <w:szCs w:val="20"/>
                <w:color w:val="auto"/>
              </w:rPr>
            </w:pPr>
            <w:r>
              <w:rPr>
                <w:rFonts w:ascii="Arial" w:cs="Arial" w:eastAsia="Arial" w:hAnsi="Arial"/>
                <w:sz w:val="11"/>
                <w:szCs w:val="11"/>
                <w:color w:val="auto"/>
              </w:rPr>
              <w:t xml:space="preserve">0.00 % </w:t>
            </w:r>
            <w:r>
              <w:rPr>
                <w:rFonts w:ascii="Arial" w:cs="Arial" w:eastAsia="Arial" w:hAnsi="Arial"/>
                <w:sz w:val="14"/>
                <w:szCs w:val="14"/>
                <w:color w:val="auto"/>
                <w:vertAlign w:val="superscript"/>
              </w:rPr>
              <w:t>(6)</w:t>
            </w:r>
          </w:p>
        </w:tc>
        <w:tc>
          <w:tcPr>
            <w:tcW w:w="9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5"/>
        </w:trPr>
        <w:tc>
          <w:tcPr>
            <w:tcW w:w="3180" w:type="dxa"/>
            <w:vAlign w:val="bottom"/>
          </w:tcPr>
          <w:p>
            <w:pPr>
              <w:ind w:left="20"/>
              <w:spacing w:after="0"/>
              <w:rPr>
                <w:sz w:val="20"/>
                <w:szCs w:val="20"/>
                <w:color w:val="auto"/>
              </w:rPr>
            </w:pPr>
            <w:r>
              <w:rPr>
                <w:rFonts w:ascii="Arial" w:cs="Arial" w:eastAsia="Arial" w:hAnsi="Arial"/>
                <w:sz w:val="11"/>
                <w:szCs w:val="11"/>
                <w:color w:val="auto"/>
              </w:rPr>
              <w:t xml:space="preserve">Mailsouth Inc. </w:t>
            </w:r>
            <w:r>
              <w:rPr>
                <w:rFonts w:ascii="Arial" w:cs="Arial" w:eastAsia="Arial" w:hAnsi="Arial"/>
                <w:sz w:val="14"/>
                <w:szCs w:val="14"/>
                <w:color w:val="auto"/>
                <w:vertAlign w:val="superscript"/>
              </w:rPr>
              <w:t>(7)</w:t>
            </w:r>
          </w:p>
        </w:tc>
        <w:tc>
          <w:tcPr>
            <w:tcW w:w="76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04/23/2025</w:t>
            </w:r>
          </w:p>
        </w:tc>
        <w:tc>
          <w:tcPr>
            <w:tcW w:w="140" w:type="dxa"/>
            <w:vAlign w:val="bottom"/>
          </w:tcPr>
          <w:p>
            <w:pPr>
              <w:spacing w:after="0"/>
              <w:rPr>
                <w:sz w:val="14"/>
                <w:szCs w:val="14"/>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91"/>
              </w:rPr>
              <w:t>Media: Advertising, Printing and Publishing</w:t>
            </w:r>
          </w:p>
        </w:tc>
        <w:tc>
          <w:tcPr>
            <w:tcW w:w="1080" w:type="dxa"/>
            <w:vAlign w:val="bottom"/>
            <w:gridSpan w:val="3"/>
            <w:vMerge w:val="continue"/>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965</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965</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512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18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1"/>
                <w:szCs w:val="11"/>
                <w:color w:val="auto"/>
              </w:rPr>
              <w:t>QuantiTech LLC</w:t>
            </w:r>
          </w:p>
        </w:tc>
        <w:tc>
          <w:tcPr>
            <w:tcW w:w="760" w:type="dxa"/>
            <w:vAlign w:val="bottom"/>
            <w:tcBorders>
              <w:bottom w:val="single" w:sz="8" w:color="CCECFF"/>
            </w:tcBorders>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02/04/2027</w:t>
            </w:r>
          </w:p>
        </w:tc>
        <w:tc>
          <w:tcPr>
            <w:tcW w:w="140" w:type="dxa"/>
            <w:vAlign w:val="bottom"/>
            <w:tcBorders>
              <w:bottom w:val="single" w:sz="8" w:color="CCECFF"/>
            </w:tcBorders>
            <w:shd w:val="clear" w:color="auto" w:fill="CCECFF"/>
          </w:tcPr>
          <w:p>
            <w:pPr>
              <w:spacing w:after="0"/>
              <w:rPr>
                <w:sz w:val="11"/>
                <w:szCs w:val="11"/>
                <w:color w:val="auto"/>
              </w:rPr>
            </w:pPr>
          </w:p>
        </w:tc>
        <w:tc>
          <w:tcPr>
            <w:tcW w:w="2240" w:type="dxa"/>
            <w:vAlign w:val="bottom"/>
            <w:tcBorders>
              <w:bottom w:val="single" w:sz="8" w:color="CCECFF"/>
            </w:tcBorders>
            <w:shd w:val="clear" w:color="auto" w:fill="CCECFF"/>
          </w:tcPr>
          <w:p>
            <w:pPr>
              <w:jc w:val="center"/>
              <w:spacing w:after="0"/>
              <w:rPr>
                <w:sz w:val="20"/>
                <w:szCs w:val="20"/>
                <w:color w:val="auto"/>
              </w:rPr>
            </w:pPr>
            <w:r>
              <w:rPr>
                <w:rFonts w:ascii="Arial" w:cs="Arial" w:eastAsia="Arial" w:hAnsi="Arial"/>
                <w:sz w:val="11"/>
                <w:szCs w:val="11"/>
                <w:color w:val="auto"/>
                <w:w w:val="86"/>
              </w:rPr>
              <w:t>Aerospace and Defense</w:t>
            </w:r>
          </w:p>
        </w:tc>
        <w:tc>
          <w:tcPr>
            <w:tcW w:w="1080" w:type="dxa"/>
            <w:vAlign w:val="bottom"/>
            <w:tcBorders>
              <w:bottom w:val="single" w:sz="8" w:color="CCECFF"/>
            </w:tcBorders>
            <w:gridSpan w:val="3"/>
            <w:shd w:val="clear" w:color="auto" w:fill="CCECFF"/>
          </w:tcPr>
          <w:p>
            <w:pPr>
              <w:jc w:val="right"/>
              <w:ind w:right="86"/>
              <w:spacing w:after="0"/>
              <w:rPr>
                <w:sz w:val="20"/>
                <w:szCs w:val="20"/>
                <w:color w:val="auto"/>
              </w:rPr>
            </w:pPr>
            <w:r>
              <w:rPr>
                <w:rFonts w:ascii="Arial" w:cs="Arial" w:eastAsia="Arial" w:hAnsi="Arial"/>
                <w:sz w:val="11"/>
                <w:szCs w:val="11"/>
                <w:color w:val="auto"/>
              </w:rPr>
              <w:t>11.12 %</w:t>
            </w:r>
          </w:p>
        </w:tc>
        <w:tc>
          <w:tcPr>
            <w:tcW w:w="94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1"/>
                <w:szCs w:val="11"/>
                <w:color w:val="auto"/>
              </w:rPr>
              <w:t>3M L+1,000</w:t>
            </w:r>
          </w:p>
        </w:tc>
        <w:tc>
          <w:tcPr>
            <w:tcW w:w="940" w:type="dxa"/>
            <w:vAlign w:val="bottom"/>
            <w:tcBorders>
              <w:bottom w:val="single" w:sz="8" w:color="CCECFF"/>
            </w:tcBorders>
            <w:gridSpan w:val="2"/>
            <w:shd w:val="clear" w:color="auto" w:fill="CCECFF"/>
          </w:tcPr>
          <w:p>
            <w:pPr>
              <w:jc w:val="right"/>
              <w:spacing w:after="0"/>
              <w:rPr>
                <w:sz w:val="20"/>
                <w:szCs w:val="20"/>
                <w:color w:val="auto"/>
              </w:rPr>
            </w:pPr>
            <w:r>
              <w:rPr>
                <w:rFonts w:ascii="Arial" w:cs="Arial" w:eastAsia="Arial" w:hAnsi="Arial"/>
                <w:sz w:val="11"/>
                <w:szCs w:val="11"/>
                <w:color w:val="auto"/>
              </w:rPr>
              <w:t>150</w:t>
            </w:r>
          </w:p>
        </w:tc>
        <w:tc>
          <w:tcPr>
            <w:tcW w:w="24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auto"/>
            </w:tcBorders>
            <w:shd w:val="clear" w:color="auto" w:fill="CCECFF"/>
          </w:tcPr>
          <w:p>
            <w:pPr>
              <w:spacing w:after="0"/>
              <w:rPr>
                <w:sz w:val="11"/>
                <w:szCs w:val="11"/>
                <w:color w:val="auto"/>
              </w:rPr>
            </w:pPr>
          </w:p>
        </w:tc>
        <w:tc>
          <w:tcPr>
            <w:tcW w:w="5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148</w:t>
            </w:r>
          </w:p>
        </w:tc>
        <w:tc>
          <w:tcPr>
            <w:tcW w:w="220" w:type="dxa"/>
            <w:vAlign w:val="bottom"/>
            <w:tcBorders>
              <w:bottom w:val="single" w:sz="8" w:color="CCECFF"/>
            </w:tcBorders>
            <w:shd w:val="clear" w:color="auto" w:fill="CCECFF"/>
          </w:tcPr>
          <w:p>
            <w:pPr>
              <w:spacing w:after="0"/>
              <w:rPr>
                <w:sz w:val="11"/>
                <w:szCs w:val="11"/>
                <w:color w:val="auto"/>
              </w:rPr>
            </w:pPr>
          </w:p>
        </w:tc>
        <w:tc>
          <w:tcPr>
            <w:tcW w:w="200" w:type="dxa"/>
            <w:vAlign w:val="bottom"/>
            <w:tcBorders>
              <w:bottom w:val="single" w:sz="8" w:color="auto"/>
            </w:tcBorders>
            <w:shd w:val="clear" w:color="auto" w:fill="CCECFF"/>
          </w:tcPr>
          <w:p>
            <w:pPr>
              <w:spacing w:after="0"/>
              <w:rPr>
                <w:sz w:val="11"/>
                <w:szCs w:val="11"/>
                <w:color w:val="auto"/>
              </w:rPr>
            </w:pPr>
          </w:p>
        </w:tc>
        <w:tc>
          <w:tcPr>
            <w:tcW w:w="5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149</w:t>
            </w:r>
          </w:p>
        </w:tc>
        <w:tc>
          <w:tcPr>
            <w:tcW w:w="10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180" w:type="dxa"/>
            <w:vAlign w:val="bottom"/>
          </w:tcPr>
          <w:p>
            <w:pPr>
              <w:ind w:left="20"/>
              <w:spacing w:after="0"/>
              <w:rPr>
                <w:sz w:val="20"/>
                <w:szCs w:val="20"/>
                <w:color w:val="auto"/>
              </w:rPr>
            </w:pPr>
            <w:r>
              <w:rPr>
                <w:rFonts w:ascii="Arial" w:cs="Arial" w:eastAsia="Arial" w:hAnsi="Arial"/>
                <w:sz w:val="11"/>
                <w:szCs w:val="11"/>
                <w:b w:val="1"/>
                <w:bCs w:val="1"/>
                <w:color w:val="auto"/>
              </w:rPr>
              <w:t>Total Second Lien Secured Debt</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1,113</w:t>
            </w:r>
          </w:p>
        </w:tc>
        <w:tc>
          <w:tcPr>
            <w:tcW w:w="2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661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-6591300</wp:posOffset>
            </wp:positionV>
            <wp:extent cx="7132320" cy="9398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-6411595</wp:posOffset>
            </wp:positionV>
            <wp:extent cx="7132320" cy="8572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-6240145</wp:posOffset>
            </wp:positionV>
            <wp:extent cx="7132320" cy="8572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-6068695</wp:posOffset>
            </wp:positionV>
            <wp:extent cx="7132320" cy="8572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-5725795</wp:posOffset>
            </wp:positionV>
            <wp:extent cx="7132320" cy="8572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-5245735</wp:posOffset>
            </wp:positionV>
            <wp:extent cx="7132320" cy="8572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-5074285</wp:posOffset>
            </wp:positionV>
            <wp:extent cx="7132320" cy="8572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-4902835</wp:posOffset>
            </wp:positionV>
            <wp:extent cx="7132320" cy="8572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-4731385</wp:posOffset>
            </wp:positionV>
            <wp:extent cx="7132320" cy="8572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-4559935</wp:posOffset>
            </wp:positionV>
            <wp:extent cx="7132320" cy="8572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-4388485</wp:posOffset>
            </wp:positionV>
            <wp:extent cx="7132320" cy="8572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-4217035</wp:posOffset>
            </wp:positionV>
            <wp:extent cx="7132320" cy="8572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-4045585</wp:posOffset>
            </wp:positionV>
            <wp:extent cx="7132320" cy="8572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-3874135</wp:posOffset>
            </wp:positionV>
            <wp:extent cx="7132320" cy="8572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-3222625</wp:posOffset>
            </wp:positionV>
            <wp:extent cx="7132320" cy="8572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-2879725</wp:posOffset>
            </wp:positionV>
            <wp:extent cx="7132320" cy="8572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-2708275</wp:posOffset>
            </wp:positionV>
            <wp:extent cx="7132320" cy="8572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-2536825</wp:posOffset>
            </wp:positionV>
            <wp:extent cx="7132320" cy="8572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-2365375</wp:posOffset>
            </wp:positionV>
            <wp:extent cx="7132320" cy="8572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-2193925</wp:posOffset>
            </wp:positionV>
            <wp:extent cx="7132320" cy="8572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-2022475</wp:posOffset>
            </wp:positionV>
            <wp:extent cx="7132320" cy="8572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-1851025</wp:posOffset>
            </wp:positionV>
            <wp:extent cx="7132320" cy="8572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-1679575</wp:posOffset>
            </wp:positionV>
            <wp:extent cx="7132320" cy="8572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-1508125</wp:posOffset>
            </wp:positionV>
            <wp:extent cx="7132320" cy="8572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-1096645</wp:posOffset>
            </wp:positionV>
            <wp:extent cx="7132320" cy="15430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-788035</wp:posOffset>
            </wp:positionV>
            <wp:extent cx="7132320" cy="15430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-548005</wp:posOffset>
            </wp:positionV>
            <wp:extent cx="7132320" cy="946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-359410</wp:posOffset>
            </wp:positionV>
            <wp:extent cx="7132320" cy="8572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-99060</wp:posOffset>
            </wp:positionV>
            <wp:extent cx="68580" cy="57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-99060</wp:posOffset>
            </wp:positionV>
            <wp:extent cx="68580" cy="57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SCHEDULE OF INVESTMENTS—(Continued)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JUNE 30, 2022</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6481445</wp:posOffset>
            </wp:positionH>
            <wp:positionV relativeFrom="paragraph">
              <wp:posOffset>-6985</wp:posOffset>
            </wp:positionV>
            <wp:extent cx="93980" cy="3257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93980" cy="32575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-6985</wp:posOffset>
            </wp:positionV>
            <wp:extent cx="93980" cy="3257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93980" cy="3257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82"/>
        </w:trPr>
        <w:tc>
          <w:tcPr>
            <w:tcW w:w="3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40" w:type="dxa"/>
            <w:vAlign w:val="bottom"/>
          </w:tcPr>
          <w:p>
            <w:pPr>
              <w:spacing w:after="0"/>
              <w:rPr>
                <w:sz w:val="7"/>
                <w:szCs w:val="7"/>
                <w:color w:val="auto"/>
              </w:rPr>
            </w:pPr>
          </w:p>
        </w:tc>
        <w:tc>
          <w:tcPr>
            <w:tcW w:w="920" w:type="dxa"/>
            <w:vAlign w:val="bottom"/>
          </w:tcPr>
          <w:p>
            <w:pPr>
              <w:jc w:val="center"/>
              <w:spacing w:after="0" w:line="82" w:lineRule="exact"/>
              <w:rPr>
                <w:sz w:val="20"/>
                <w:szCs w:val="20"/>
                <w:color w:val="auto"/>
              </w:rPr>
            </w:pPr>
            <w:r>
              <w:rPr>
                <w:rFonts w:ascii="Arial" w:cs="Arial" w:eastAsia="Arial" w:hAnsi="Arial"/>
                <w:sz w:val="9"/>
                <w:szCs w:val="9"/>
                <w:b w:val="1"/>
                <w:bCs w:val="1"/>
                <w:color w:val="auto"/>
              </w:rPr>
              <w:t>Basis Point</w:t>
            </w: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3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gridSpan w:val="2"/>
            <w:vMerge w:val="restart"/>
          </w:tcPr>
          <w:p>
            <w:pPr>
              <w:jc w:val="right"/>
              <w:ind w:right="420"/>
              <w:spacing w:after="0"/>
              <w:rPr>
                <w:sz w:val="20"/>
                <w:szCs w:val="20"/>
                <w:color w:val="auto"/>
              </w:rPr>
            </w:pPr>
            <w:r>
              <w:rPr>
                <w:rFonts w:ascii="Arial" w:cs="Arial" w:eastAsia="Arial" w:hAnsi="Arial"/>
                <w:sz w:val="11"/>
                <w:szCs w:val="11"/>
                <w:b w:val="1"/>
                <w:bCs w:val="1"/>
                <w:color w:val="auto"/>
              </w:rPr>
              <w:t>Current</w:t>
            </w:r>
          </w:p>
        </w:tc>
        <w:tc>
          <w:tcPr>
            <w:tcW w:w="92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91"/>
              </w:rPr>
              <w:t>Spread</w:t>
            </w:r>
          </w:p>
        </w:tc>
        <w:tc>
          <w:tcPr>
            <w:tcW w:w="220" w:type="dxa"/>
            <w:vAlign w:val="bottom"/>
          </w:tcPr>
          <w:p>
            <w:pPr>
              <w:spacing w:after="0"/>
              <w:rPr>
                <w:sz w:val="9"/>
                <w:szCs w:val="9"/>
                <w:color w:val="auto"/>
              </w:rPr>
            </w:pPr>
          </w:p>
        </w:tc>
        <w:tc>
          <w:tcPr>
            <w:tcW w:w="680" w:type="dxa"/>
            <w:vAlign w:val="bottom"/>
            <w:vMerge w:val="restart"/>
          </w:tcPr>
          <w:p>
            <w:pPr>
              <w:jc w:val="right"/>
              <w:ind w:right="166"/>
              <w:spacing w:after="0"/>
              <w:rPr>
                <w:sz w:val="20"/>
                <w:szCs w:val="20"/>
                <w:color w:val="auto"/>
              </w:rPr>
            </w:pPr>
            <w:r>
              <w:rPr>
                <w:rFonts w:ascii="Arial" w:cs="Arial" w:eastAsia="Arial" w:hAnsi="Arial"/>
                <w:sz w:val="11"/>
                <w:szCs w:val="11"/>
                <w:b w:val="1"/>
                <w:bCs w:val="1"/>
                <w:color w:val="auto"/>
              </w:rPr>
              <w:t>Par /</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92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89"/>
              </w:rPr>
              <w:t>Above</w:t>
            </w:r>
          </w:p>
        </w:tc>
        <w:tc>
          <w:tcPr>
            <w:tcW w:w="22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gridSpan w:val="3"/>
            <w:vMerge w:val="restart"/>
          </w:tcPr>
          <w:p>
            <w:pPr>
              <w:jc w:val="right"/>
              <w:ind w:right="160"/>
              <w:spacing w:after="0"/>
              <w:rPr>
                <w:sz w:val="20"/>
                <w:szCs w:val="20"/>
                <w:color w:val="auto"/>
              </w:rPr>
            </w:pPr>
            <w:r>
              <w:rPr>
                <w:rFonts w:ascii="Arial" w:cs="Arial" w:eastAsia="Arial" w:hAnsi="Arial"/>
                <w:sz w:val="11"/>
                <w:szCs w:val="11"/>
                <w:b w:val="1"/>
                <w:bCs w:val="1"/>
                <w:color w:val="auto"/>
                <w:w w:val="92"/>
              </w:rPr>
              <w:t xml:space="preserve">Fair Value </w:t>
            </w:r>
            <w:r>
              <w:rPr>
                <w:rFonts w:ascii="Arial" w:cs="Arial" w:eastAsia="Arial" w:hAnsi="Arial"/>
                <w:sz w:val="14"/>
                <w:szCs w:val="14"/>
                <w:b w:val="1"/>
                <w:bCs w:val="1"/>
                <w:color w:val="auto"/>
                <w:w w:val="92"/>
                <w:vertAlign w:val="superscript"/>
              </w:rPr>
              <w:t>(2)</w:t>
            </w:r>
          </w:p>
        </w:tc>
        <w:tc>
          <w:tcPr>
            <w:tcW w:w="0" w:type="dxa"/>
            <w:vAlign w:val="bottom"/>
          </w:tcPr>
          <w:p>
            <w:pPr>
              <w:spacing w:after="0"/>
              <w:rPr>
                <w:sz w:val="1"/>
                <w:szCs w:val="1"/>
                <w:color w:val="auto"/>
              </w:rPr>
            </w:pPr>
          </w:p>
        </w:tc>
      </w:tr>
      <w:tr>
        <w:trPr>
          <w:trHeight w:val="142"/>
        </w:trPr>
        <w:tc>
          <w:tcPr>
            <w:tcW w:w="3140" w:type="dxa"/>
            <w:vAlign w:val="bottom"/>
          </w:tcPr>
          <w:p>
            <w:pPr>
              <w:ind w:left="20"/>
              <w:spacing w:after="0"/>
              <w:rPr>
                <w:sz w:val="20"/>
                <w:szCs w:val="20"/>
                <w:color w:val="auto"/>
              </w:rPr>
            </w:pPr>
            <w:r>
              <w:rPr>
                <w:rFonts w:ascii="Arial" w:cs="Arial" w:eastAsia="Arial" w:hAnsi="Arial"/>
                <w:sz w:val="11"/>
                <w:szCs w:val="11"/>
                <w:b w:val="1"/>
                <w:bCs w:val="1"/>
                <w:color w:val="auto"/>
              </w:rPr>
              <w:t>Issuer Name</w:t>
            </w:r>
          </w:p>
        </w:tc>
        <w:tc>
          <w:tcPr>
            <w:tcW w:w="12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w w:val="98"/>
              </w:rPr>
              <w:t>Maturity</w:t>
            </w:r>
          </w:p>
        </w:tc>
        <w:tc>
          <w:tcPr>
            <w:tcW w:w="260" w:type="dxa"/>
            <w:vAlign w:val="bottom"/>
          </w:tcPr>
          <w:p>
            <w:pPr>
              <w:spacing w:after="0"/>
              <w:rPr>
                <w:sz w:val="12"/>
                <w:szCs w:val="12"/>
                <w:color w:val="auto"/>
              </w:rPr>
            </w:pPr>
          </w:p>
        </w:tc>
        <w:tc>
          <w:tcPr>
            <w:tcW w:w="2200" w:type="dxa"/>
            <w:vAlign w:val="bottom"/>
          </w:tcPr>
          <w:p>
            <w:pPr>
              <w:jc w:val="center"/>
              <w:spacing w:after="0"/>
              <w:rPr>
                <w:sz w:val="20"/>
                <w:szCs w:val="20"/>
                <w:color w:val="auto"/>
              </w:rPr>
            </w:pPr>
            <w:r>
              <w:rPr>
                <w:rFonts w:ascii="Arial" w:cs="Arial" w:eastAsia="Arial" w:hAnsi="Arial"/>
                <w:sz w:val="11"/>
                <w:szCs w:val="11"/>
                <w:b w:val="1"/>
                <w:bCs w:val="1"/>
                <w:color w:val="auto"/>
                <w:w w:val="92"/>
              </w:rPr>
              <w:t>Industry</w:t>
            </w:r>
          </w:p>
        </w:tc>
        <w:tc>
          <w:tcPr>
            <w:tcW w:w="120" w:type="dxa"/>
            <w:vAlign w:val="bottom"/>
          </w:tcPr>
          <w:p>
            <w:pPr>
              <w:spacing w:after="0"/>
              <w:rPr>
                <w:sz w:val="12"/>
                <w:szCs w:val="12"/>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1"/>
                <w:szCs w:val="11"/>
                <w:b w:val="1"/>
                <w:bCs w:val="1"/>
                <w:color w:val="auto"/>
              </w:rPr>
              <w:t>Coupon</w:t>
            </w:r>
          </w:p>
        </w:tc>
        <w:tc>
          <w:tcPr>
            <w:tcW w:w="920" w:type="dxa"/>
            <w:vAlign w:val="bottom"/>
          </w:tcPr>
          <w:p>
            <w:pPr>
              <w:jc w:val="center"/>
              <w:spacing w:after="0" w:line="130" w:lineRule="exact"/>
              <w:rPr>
                <w:sz w:val="20"/>
                <w:szCs w:val="20"/>
                <w:color w:val="auto"/>
              </w:rPr>
            </w:pPr>
            <w:r>
              <w:rPr>
                <w:rFonts w:ascii="Arial" w:cs="Arial" w:eastAsia="Arial" w:hAnsi="Arial"/>
                <w:sz w:val="11"/>
                <w:szCs w:val="11"/>
                <w:b w:val="1"/>
                <w:bCs w:val="1"/>
                <w:color w:val="auto"/>
                <w:w w:val="87"/>
              </w:rPr>
              <w:t xml:space="preserve">Index </w:t>
            </w:r>
            <w:r>
              <w:rPr>
                <w:rFonts w:ascii="Arial" w:cs="Arial" w:eastAsia="Arial" w:hAnsi="Arial"/>
                <w:sz w:val="14"/>
                <w:szCs w:val="14"/>
                <w:b w:val="1"/>
                <w:bCs w:val="1"/>
                <w:color w:val="auto"/>
                <w:w w:val="87"/>
                <w:vertAlign w:val="superscript"/>
              </w:rPr>
              <w:t>(1)</w:t>
            </w:r>
          </w:p>
        </w:tc>
        <w:tc>
          <w:tcPr>
            <w:tcW w:w="220" w:type="dxa"/>
            <w:vAlign w:val="bottom"/>
          </w:tcPr>
          <w:p>
            <w:pPr>
              <w:spacing w:after="0"/>
              <w:rPr>
                <w:sz w:val="12"/>
                <w:szCs w:val="12"/>
                <w:color w:val="auto"/>
              </w:rPr>
            </w:pPr>
          </w:p>
        </w:tc>
        <w:tc>
          <w:tcPr>
            <w:tcW w:w="680" w:type="dxa"/>
            <w:vAlign w:val="bottom"/>
          </w:tcPr>
          <w:p>
            <w:pPr>
              <w:jc w:val="right"/>
              <w:ind w:right="106"/>
              <w:spacing w:after="0"/>
              <w:rPr>
                <w:sz w:val="20"/>
                <w:szCs w:val="20"/>
                <w:color w:val="auto"/>
              </w:rPr>
            </w:pPr>
            <w:r>
              <w:rPr>
                <w:rFonts w:ascii="Arial" w:cs="Arial" w:eastAsia="Arial" w:hAnsi="Arial"/>
                <w:sz w:val="11"/>
                <w:szCs w:val="11"/>
                <w:b w:val="1"/>
                <w:bCs w:val="1"/>
                <w:color w:val="auto"/>
              </w:rPr>
              <w:t>Shares</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ind w:right="186"/>
              <w:spacing w:after="0"/>
              <w:rPr>
                <w:sz w:val="20"/>
                <w:szCs w:val="20"/>
                <w:color w:val="auto"/>
              </w:rPr>
            </w:pPr>
            <w:r>
              <w:rPr>
                <w:rFonts w:ascii="Arial" w:cs="Arial" w:eastAsia="Arial" w:hAnsi="Arial"/>
                <w:sz w:val="11"/>
                <w:szCs w:val="11"/>
                <w:b w:val="1"/>
                <w:bCs w:val="1"/>
                <w:color w:val="auto"/>
              </w:rPr>
              <w:t>Cost</w:t>
            </w:r>
          </w:p>
        </w:tc>
        <w:tc>
          <w:tcPr>
            <w:tcW w:w="22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3140" w:type="dxa"/>
            <w:vAlign w:val="bottom"/>
          </w:tcPr>
          <w:p>
            <w:pPr>
              <w:ind w:left="20"/>
              <w:spacing w:after="0" w:line="105" w:lineRule="exact"/>
              <w:rPr>
                <w:sz w:val="20"/>
                <w:szCs w:val="20"/>
                <w:color w:val="auto"/>
              </w:rPr>
            </w:pPr>
            <w:r>
              <w:rPr>
                <w:rFonts w:ascii="Arial" w:cs="Arial" w:eastAsia="Arial" w:hAnsi="Arial"/>
                <w:sz w:val="9"/>
                <w:szCs w:val="9"/>
                <w:b w:val="1"/>
                <w:bCs w:val="1"/>
                <w:color w:val="auto"/>
              </w:rPr>
              <w:t xml:space="preserve">Preferred Equity— 1.6% </w:t>
            </w:r>
            <w:r>
              <w:rPr>
                <w:rFonts w:ascii="Arial" w:cs="Arial" w:eastAsia="Arial" w:hAnsi="Arial"/>
                <w:sz w:val="12"/>
                <w:szCs w:val="12"/>
                <w:b w:val="1"/>
                <w:bCs w:val="1"/>
                <w:color w:val="auto"/>
                <w:vertAlign w:val="superscript"/>
              </w:rPr>
              <w:t>(6)</w:t>
            </w:r>
          </w:p>
        </w:tc>
        <w:tc>
          <w:tcPr>
            <w:tcW w:w="120" w:type="dxa"/>
            <w:vAlign w:val="bottom"/>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2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314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Ad.net Holdings, Inc. </w:t>
            </w:r>
            <w:r>
              <w:rPr>
                <w:rFonts w:ascii="Arial" w:cs="Arial" w:eastAsia="Arial" w:hAnsi="Arial"/>
                <w:sz w:val="14"/>
                <w:szCs w:val="14"/>
                <w:color w:val="auto"/>
                <w:vertAlign w:val="superscript"/>
              </w:rPr>
              <w:t>(7),(8)</w:t>
            </w:r>
          </w:p>
        </w:tc>
        <w:tc>
          <w:tcPr>
            <w:tcW w:w="120" w:type="dxa"/>
            <w:vAlign w:val="bottom"/>
          </w:tcPr>
          <w:p>
            <w:pPr>
              <w:spacing w:after="0"/>
              <w:rPr>
                <w:sz w:val="13"/>
                <w:szCs w:val="13"/>
                <w:color w:val="auto"/>
              </w:rPr>
            </w:pPr>
          </w:p>
        </w:tc>
        <w:tc>
          <w:tcPr>
            <w:tcW w:w="680" w:type="dxa"/>
            <w:vAlign w:val="bottom"/>
          </w:tcPr>
          <w:p>
            <w:pPr>
              <w:ind w:left="56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3"/>
                <w:szCs w:val="13"/>
                <w:color w:val="auto"/>
              </w:rPr>
            </w:pPr>
          </w:p>
        </w:tc>
        <w:tc>
          <w:tcPr>
            <w:tcW w:w="220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120" w:type="dxa"/>
            <w:vAlign w:val="bottom"/>
          </w:tcPr>
          <w:p>
            <w:pPr>
              <w:spacing w:after="0"/>
              <w:rPr>
                <w:sz w:val="13"/>
                <w:szCs w:val="13"/>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Pr>
          <w:p>
            <w:pPr>
              <w:ind w:left="800"/>
              <w:spacing w:after="0"/>
              <w:rPr>
                <w:sz w:val="20"/>
                <w:szCs w:val="20"/>
                <w:color w:val="auto"/>
              </w:rPr>
            </w:pPr>
            <w:r>
              <w:rPr>
                <w:rFonts w:ascii="Arial" w:cs="Arial" w:eastAsia="Arial" w:hAnsi="Arial"/>
                <w:sz w:val="11"/>
                <w:szCs w:val="11"/>
                <w:color w:val="auto"/>
                <w:w w:val="90"/>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6,720</w:t>
            </w:r>
          </w:p>
        </w:tc>
        <w:tc>
          <w:tcPr>
            <w:tcW w:w="38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672</w:t>
            </w:r>
          </w:p>
        </w:tc>
        <w:tc>
          <w:tcPr>
            <w:tcW w:w="440" w:type="dxa"/>
            <w:vAlign w:val="bottom"/>
            <w:gridSpan w:val="2"/>
          </w:tcPr>
          <w:p>
            <w:pPr>
              <w:jc w:val="right"/>
              <w:ind w:right="86"/>
              <w:spacing w:after="0"/>
              <w:rPr>
                <w:sz w:val="20"/>
                <w:szCs w:val="20"/>
                <w:color w:val="auto"/>
              </w:rPr>
            </w:pPr>
            <w:r>
              <w:rPr>
                <w:rFonts w:ascii="Arial" w:cs="Arial" w:eastAsia="Arial" w:hAnsi="Arial"/>
                <w:sz w:val="11"/>
                <w:szCs w:val="11"/>
                <w:color w:val="auto"/>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726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3140" w:type="dxa"/>
            <w:vAlign w:val="bottom"/>
          </w:tcPr>
          <w:p>
            <w:pPr>
              <w:ind w:left="20"/>
              <w:spacing w:after="0" w:line="115" w:lineRule="exact"/>
              <w:rPr>
                <w:sz w:val="20"/>
                <w:szCs w:val="20"/>
                <w:color w:val="auto"/>
              </w:rPr>
            </w:pPr>
            <w:r>
              <w:rPr>
                <w:rFonts w:ascii="Arial" w:cs="Arial" w:eastAsia="Arial" w:hAnsi="Arial"/>
                <w:sz w:val="11"/>
                <w:szCs w:val="11"/>
                <w:color w:val="auto"/>
              </w:rPr>
              <w:t>Imagine Topco, LP</w:t>
            </w:r>
          </w:p>
        </w:tc>
        <w:tc>
          <w:tcPr>
            <w:tcW w:w="120" w:type="dxa"/>
            <w:vAlign w:val="bottom"/>
          </w:tcPr>
          <w:p>
            <w:pPr>
              <w:spacing w:after="0"/>
              <w:rPr>
                <w:sz w:val="9"/>
                <w:szCs w:val="9"/>
                <w:color w:val="auto"/>
              </w:rPr>
            </w:pPr>
          </w:p>
        </w:tc>
        <w:tc>
          <w:tcPr>
            <w:tcW w:w="680" w:type="dxa"/>
            <w:vAlign w:val="bottom"/>
          </w:tcPr>
          <w:p>
            <w:pPr>
              <w:ind w:left="560"/>
              <w:spacing w:after="0" w:line="115" w:lineRule="exact"/>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9"/>
                <w:szCs w:val="9"/>
                <w:color w:val="auto"/>
              </w:rPr>
            </w:pPr>
          </w:p>
        </w:tc>
        <w:tc>
          <w:tcPr>
            <w:tcW w:w="2200" w:type="dxa"/>
            <w:vAlign w:val="bottom"/>
          </w:tcPr>
          <w:p>
            <w:pPr>
              <w:jc w:val="center"/>
              <w:spacing w:after="0" w:line="115" w:lineRule="exact"/>
              <w:rPr>
                <w:sz w:val="20"/>
                <w:szCs w:val="20"/>
                <w:color w:val="auto"/>
              </w:rPr>
            </w:pPr>
            <w:r>
              <w:rPr>
                <w:rFonts w:ascii="Arial" w:cs="Arial" w:eastAsia="Arial" w:hAnsi="Arial"/>
                <w:sz w:val="11"/>
                <w:szCs w:val="11"/>
                <w:color w:val="auto"/>
                <w:w w:val="92"/>
              </w:rPr>
              <w:t>Software</w:t>
            </w:r>
          </w:p>
        </w:tc>
        <w:tc>
          <w:tcPr>
            <w:tcW w:w="1080" w:type="dxa"/>
            <w:vAlign w:val="bottom"/>
            <w:gridSpan w:val="3"/>
          </w:tcPr>
          <w:p>
            <w:pPr>
              <w:jc w:val="right"/>
              <w:ind w:right="140"/>
              <w:spacing w:after="0" w:line="115" w:lineRule="exact"/>
              <w:rPr>
                <w:sz w:val="20"/>
                <w:szCs w:val="20"/>
                <w:color w:val="auto"/>
              </w:rPr>
            </w:pPr>
            <w:r>
              <w:rPr>
                <w:rFonts w:ascii="Arial" w:cs="Arial" w:eastAsia="Arial" w:hAnsi="Arial"/>
                <w:sz w:val="11"/>
                <w:szCs w:val="11"/>
                <w:color w:val="auto"/>
              </w:rPr>
              <w:t>8.00 %</w:t>
            </w:r>
          </w:p>
        </w:tc>
        <w:tc>
          <w:tcPr>
            <w:tcW w:w="920" w:type="dxa"/>
            <w:vAlign w:val="bottom"/>
          </w:tcPr>
          <w:p>
            <w:pPr>
              <w:ind w:left="800"/>
              <w:spacing w:after="0" w:line="115" w:lineRule="exact"/>
              <w:rPr>
                <w:sz w:val="20"/>
                <w:szCs w:val="20"/>
                <w:color w:val="auto"/>
              </w:rPr>
            </w:pPr>
            <w:r>
              <w:rPr>
                <w:rFonts w:ascii="Arial" w:cs="Arial" w:eastAsia="Arial" w:hAnsi="Arial"/>
                <w:sz w:val="11"/>
                <w:szCs w:val="11"/>
                <w:color w:val="auto"/>
                <w:w w:val="90"/>
              </w:rPr>
              <w:t>—</w:t>
            </w:r>
          </w:p>
        </w:tc>
        <w:tc>
          <w:tcPr>
            <w:tcW w:w="90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1,236,027</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jc w:val="right"/>
              <w:spacing w:after="0" w:line="115" w:lineRule="exact"/>
              <w:rPr>
                <w:sz w:val="20"/>
                <w:szCs w:val="20"/>
                <w:color w:val="auto"/>
              </w:rPr>
            </w:pPr>
            <w:r>
              <w:rPr>
                <w:rFonts w:ascii="Arial" w:cs="Arial" w:eastAsia="Arial" w:hAnsi="Arial"/>
                <w:sz w:val="11"/>
                <w:szCs w:val="11"/>
                <w:color w:val="auto"/>
              </w:rPr>
              <w:t>1,236</w:t>
            </w: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jc w:val="right"/>
              <w:spacing w:after="0" w:line="115" w:lineRule="exact"/>
              <w:rPr>
                <w:sz w:val="20"/>
                <w:szCs w:val="20"/>
                <w:color w:val="auto"/>
              </w:rPr>
            </w:pPr>
            <w:r>
              <w:rPr>
                <w:rFonts w:ascii="Arial" w:cs="Arial" w:eastAsia="Arial" w:hAnsi="Arial"/>
                <w:sz w:val="11"/>
                <w:szCs w:val="11"/>
                <w:color w:val="auto"/>
              </w:rPr>
              <w:t>1,148</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14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Mars Intermediate Holdings II, Inc. </w:t>
            </w:r>
            <w:r>
              <w:rPr>
                <w:rFonts w:ascii="Arial" w:cs="Arial" w:eastAsia="Arial" w:hAnsi="Arial"/>
                <w:sz w:val="14"/>
                <w:szCs w:val="14"/>
                <w:color w:val="auto"/>
                <w:vertAlign w:val="superscript"/>
              </w:rPr>
              <w:t>(7)</w:t>
            </w:r>
          </w:p>
        </w:tc>
        <w:tc>
          <w:tcPr>
            <w:tcW w:w="120" w:type="dxa"/>
            <w:vAlign w:val="bottom"/>
          </w:tcPr>
          <w:p>
            <w:pPr>
              <w:spacing w:after="0"/>
              <w:rPr>
                <w:sz w:val="11"/>
                <w:szCs w:val="11"/>
                <w:color w:val="auto"/>
              </w:rPr>
            </w:pPr>
          </w:p>
        </w:tc>
        <w:tc>
          <w:tcPr>
            <w:tcW w:w="680" w:type="dxa"/>
            <w:vAlign w:val="bottom"/>
          </w:tcPr>
          <w:p>
            <w:pPr>
              <w:ind w:left="56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1"/>
                <w:szCs w:val="11"/>
                <w:color w:val="auto"/>
              </w:rPr>
            </w:pPr>
          </w:p>
        </w:tc>
        <w:tc>
          <w:tcPr>
            <w:tcW w:w="220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120" w:type="dxa"/>
            <w:vAlign w:val="bottom"/>
          </w:tcPr>
          <w:p>
            <w:pPr>
              <w:spacing w:after="0"/>
              <w:rPr>
                <w:sz w:val="11"/>
                <w:szCs w:val="11"/>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Pr>
          <w:p>
            <w:pPr>
              <w:ind w:left="800"/>
              <w:spacing w:after="0"/>
              <w:rPr>
                <w:sz w:val="20"/>
                <w:szCs w:val="20"/>
                <w:color w:val="auto"/>
              </w:rPr>
            </w:pPr>
            <w:r>
              <w:rPr>
                <w:rFonts w:ascii="Arial" w:cs="Arial" w:eastAsia="Arial" w:hAnsi="Arial"/>
                <w:sz w:val="11"/>
                <w:szCs w:val="11"/>
                <w:color w:val="auto"/>
                <w:w w:val="90"/>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835</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835</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949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4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MeritDirect Holdings, LP </w:t>
            </w:r>
            <w:r>
              <w:rPr>
                <w:rFonts w:ascii="Arial" w:cs="Arial" w:eastAsia="Arial" w:hAnsi="Arial"/>
                <w:sz w:val="14"/>
                <w:szCs w:val="14"/>
                <w:color w:val="auto"/>
                <w:vertAlign w:val="superscript"/>
              </w:rPr>
              <w:t>(7), (8)</w:t>
            </w:r>
          </w:p>
        </w:tc>
        <w:tc>
          <w:tcPr>
            <w:tcW w:w="120" w:type="dxa"/>
            <w:vAlign w:val="bottom"/>
          </w:tcPr>
          <w:p>
            <w:pPr>
              <w:spacing w:after="0"/>
              <w:rPr>
                <w:sz w:val="11"/>
                <w:szCs w:val="11"/>
                <w:color w:val="auto"/>
              </w:rPr>
            </w:pPr>
          </w:p>
        </w:tc>
        <w:tc>
          <w:tcPr>
            <w:tcW w:w="680" w:type="dxa"/>
            <w:vAlign w:val="bottom"/>
          </w:tcPr>
          <w:p>
            <w:pPr>
              <w:ind w:left="56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1"/>
                <w:szCs w:val="11"/>
                <w:color w:val="auto"/>
              </w:rPr>
            </w:pPr>
          </w:p>
        </w:tc>
        <w:tc>
          <w:tcPr>
            <w:tcW w:w="220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120" w:type="dxa"/>
            <w:vAlign w:val="bottom"/>
          </w:tcPr>
          <w:p>
            <w:pPr>
              <w:spacing w:after="0"/>
              <w:rPr>
                <w:sz w:val="11"/>
                <w:szCs w:val="11"/>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Pr>
          <w:p>
            <w:pPr>
              <w:ind w:left="800"/>
              <w:spacing w:after="0"/>
              <w:rPr>
                <w:sz w:val="20"/>
                <w:szCs w:val="20"/>
                <w:color w:val="auto"/>
              </w:rPr>
            </w:pPr>
            <w:r>
              <w:rPr>
                <w:rFonts w:ascii="Arial" w:cs="Arial" w:eastAsia="Arial" w:hAnsi="Arial"/>
                <w:sz w:val="11"/>
                <w:szCs w:val="11"/>
                <w:color w:val="auto"/>
                <w:w w:val="90"/>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2,018</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2,018</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2,476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4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NXOF Holdings, Inc. (Tyto Athene, LLC) </w:t>
            </w:r>
            <w:r>
              <w:rPr>
                <w:rFonts w:ascii="Arial" w:cs="Arial" w:eastAsia="Arial" w:hAnsi="Arial"/>
                <w:sz w:val="14"/>
                <w:szCs w:val="14"/>
                <w:color w:val="auto"/>
                <w:vertAlign w:val="superscript"/>
              </w:rPr>
              <w:t>(7)</w:t>
            </w:r>
          </w:p>
        </w:tc>
        <w:tc>
          <w:tcPr>
            <w:tcW w:w="120" w:type="dxa"/>
            <w:vAlign w:val="bottom"/>
          </w:tcPr>
          <w:p>
            <w:pPr>
              <w:spacing w:after="0"/>
              <w:rPr>
                <w:sz w:val="11"/>
                <w:szCs w:val="11"/>
                <w:color w:val="auto"/>
              </w:rPr>
            </w:pPr>
          </w:p>
        </w:tc>
        <w:tc>
          <w:tcPr>
            <w:tcW w:w="680" w:type="dxa"/>
            <w:vAlign w:val="bottom"/>
          </w:tcPr>
          <w:p>
            <w:pPr>
              <w:ind w:left="56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1"/>
                <w:szCs w:val="11"/>
                <w:color w:val="auto"/>
              </w:rPr>
            </w:pPr>
          </w:p>
        </w:tc>
        <w:tc>
          <w:tcPr>
            <w:tcW w:w="2200" w:type="dxa"/>
            <w:vAlign w:val="bottom"/>
          </w:tcPr>
          <w:p>
            <w:pPr>
              <w:jc w:val="center"/>
              <w:spacing w:after="0"/>
              <w:rPr>
                <w:sz w:val="20"/>
                <w:szCs w:val="20"/>
                <w:color w:val="auto"/>
              </w:rPr>
            </w:pPr>
            <w:r>
              <w:rPr>
                <w:rFonts w:ascii="Arial" w:cs="Arial" w:eastAsia="Arial" w:hAnsi="Arial"/>
                <w:sz w:val="11"/>
                <w:szCs w:val="11"/>
                <w:color w:val="auto"/>
                <w:w w:val="87"/>
              </w:rPr>
              <w:t>IT Services</w:t>
            </w:r>
          </w:p>
        </w:tc>
        <w:tc>
          <w:tcPr>
            <w:tcW w:w="120" w:type="dxa"/>
            <w:vAlign w:val="bottom"/>
          </w:tcPr>
          <w:p>
            <w:pPr>
              <w:spacing w:after="0"/>
              <w:rPr>
                <w:sz w:val="11"/>
                <w:szCs w:val="11"/>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Pr>
          <w:p>
            <w:pPr>
              <w:ind w:left="800"/>
              <w:spacing w:after="0"/>
              <w:rPr>
                <w:sz w:val="20"/>
                <w:szCs w:val="20"/>
                <w:color w:val="auto"/>
              </w:rPr>
            </w:pPr>
            <w:r>
              <w:rPr>
                <w:rFonts w:ascii="Arial" w:cs="Arial" w:eastAsia="Arial" w:hAnsi="Arial"/>
                <w:sz w:val="11"/>
                <w:szCs w:val="11"/>
                <w:color w:val="auto"/>
                <w:w w:val="90"/>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733</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733</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1,011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4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ORL Holdco, Inc. </w:t>
            </w:r>
            <w:r>
              <w:rPr>
                <w:rFonts w:ascii="Arial" w:cs="Arial" w:eastAsia="Arial" w:hAnsi="Arial"/>
                <w:sz w:val="14"/>
                <w:szCs w:val="14"/>
                <w:color w:val="auto"/>
                <w:vertAlign w:val="superscript"/>
              </w:rPr>
              <w:t>(7)</w:t>
            </w:r>
          </w:p>
        </w:tc>
        <w:tc>
          <w:tcPr>
            <w:tcW w:w="120" w:type="dxa"/>
            <w:vAlign w:val="bottom"/>
          </w:tcPr>
          <w:p>
            <w:pPr>
              <w:spacing w:after="0"/>
              <w:rPr>
                <w:sz w:val="11"/>
                <w:szCs w:val="11"/>
                <w:color w:val="auto"/>
              </w:rPr>
            </w:pPr>
          </w:p>
        </w:tc>
        <w:tc>
          <w:tcPr>
            <w:tcW w:w="680" w:type="dxa"/>
            <w:vAlign w:val="bottom"/>
          </w:tcPr>
          <w:p>
            <w:pPr>
              <w:ind w:left="56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1"/>
                <w:szCs w:val="11"/>
                <w:color w:val="auto"/>
              </w:rPr>
            </w:pPr>
          </w:p>
        </w:tc>
        <w:tc>
          <w:tcPr>
            <w:tcW w:w="2200" w:type="dxa"/>
            <w:vAlign w:val="bottom"/>
          </w:tcPr>
          <w:p>
            <w:pPr>
              <w:jc w:val="center"/>
              <w:spacing w:after="0"/>
              <w:rPr>
                <w:sz w:val="20"/>
                <w:szCs w:val="20"/>
                <w:color w:val="auto"/>
              </w:rPr>
            </w:pPr>
            <w:r>
              <w:rPr>
                <w:rFonts w:ascii="Arial" w:cs="Arial" w:eastAsia="Arial" w:hAnsi="Arial"/>
                <w:sz w:val="11"/>
                <w:szCs w:val="11"/>
                <w:color w:val="auto"/>
                <w:w w:val="86"/>
              </w:rPr>
              <w:t>Consumer Finance</w:t>
            </w:r>
          </w:p>
        </w:tc>
        <w:tc>
          <w:tcPr>
            <w:tcW w:w="120" w:type="dxa"/>
            <w:vAlign w:val="bottom"/>
          </w:tcPr>
          <w:p>
            <w:pPr>
              <w:spacing w:after="0"/>
              <w:rPr>
                <w:sz w:val="11"/>
                <w:szCs w:val="11"/>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Pr>
          <w:p>
            <w:pPr>
              <w:ind w:left="800"/>
              <w:spacing w:after="0"/>
              <w:rPr>
                <w:sz w:val="20"/>
                <w:szCs w:val="20"/>
                <w:color w:val="auto"/>
              </w:rPr>
            </w:pPr>
            <w:r>
              <w:rPr>
                <w:rFonts w:ascii="Arial" w:cs="Arial" w:eastAsia="Arial" w:hAnsi="Arial"/>
                <w:sz w:val="11"/>
                <w:szCs w:val="11"/>
                <w:color w:val="auto"/>
                <w:w w:val="90"/>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1,327</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133</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141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4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Signature CR Intermediate Holdco, Inc. </w:t>
            </w:r>
            <w:r>
              <w:rPr>
                <w:rFonts w:ascii="Arial" w:cs="Arial" w:eastAsia="Arial" w:hAnsi="Arial"/>
                <w:sz w:val="14"/>
                <w:szCs w:val="14"/>
                <w:color w:val="auto"/>
                <w:vertAlign w:val="superscript"/>
              </w:rPr>
              <w:t>(7)</w:t>
            </w:r>
          </w:p>
        </w:tc>
        <w:tc>
          <w:tcPr>
            <w:tcW w:w="120" w:type="dxa"/>
            <w:vAlign w:val="bottom"/>
          </w:tcPr>
          <w:p>
            <w:pPr>
              <w:spacing w:after="0"/>
              <w:rPr>
                <w:sz w:val="11"/>
                <w:szCs w:val="11"/>
                <w:color w:val="auto"/>
              </w:rPr>
            </w:pPr>
          </w:p>
        </w:tc>
        <w:tc>
          <w:tcPr>
            <w:tcW w:w="680" w:type="dxa"/>
            <w:vAlign w:val="bottom"/>
          </w:tcPr>
          <w:p>
            <w:pPr>
              <w:ind w:left="56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1"/>
                <w:szCs w:val="11"/>
                <w:color w:val="auto"/>
              </w:rPr>
            </w:pPr>
          </w:p>
        </w:tc>
        <w:tc>
          <w:tcPr>
            <w:tcW w:w="2200" w:type="dxa"/>
            <w:vAlign w:val="bottom"/>
          </w:tcPr>
          <w:p>
            <w:pPr>
              <w:jc w:val="center"/>
              <w:spacing w:after="0"/>
              <w:rPr>
                <w:sz w:val="20"/>
                <w:szCs w:val="20"/>
                <w:color w:val="auto"/>
              </w:rPr>
            </w:pPr>
            <w:r>
              <w:rPr>
                <w:rFonts w:ascii="Arial" w:cs="Arial" w:eastAsia="Arial" w:hAnsi="Arial"/>
                <w:sz w:val="11"/>
                <w:szCs w:val="11"/>
                <w:color w:val="auto"/>
                <w:w w:val="90"/>
              </w:rPr>
              <w:t>Commercial Services &amp; Supplies</w:t>
            </w:r>
          </w:p>
        </w:tc>
        <w:tc>
          <w:tcPr>
            <w:tcW w:w="1080" w:type="dxa"/>
            <w:vAlign w:val="bottom"/>
            <w:gridSpan w:val="3"/>
          </w:tcPr>
          <w:p>
            <w:pPr>
              <w:jc w:val="right"/>
              <w:ind w:right="140"/>
              <w:spacing w:after="0"/>
              <w:rPr>
                <w:sz w:val="20"/>
                <w:szCs w:val="20"/>
                <w:color w:val="auto"/>
              </w:rPr>
            </w:pPr>
            <w:r>
              <w:rPr>
                <w:rFonts w:ascii="Arial" w:cs="Arial" w:eastAsia="Arial" w:hAnsi="Arial"/>
                <w:sz w:val="11"/>
                <w:szCs w:val="11"/>
                <w:color w:val="auto"/>
              </w:rPr>
              <w:t>12.00 %</w:t>
            </w:r>
          </w:p>
        </w:tc>
        <w:tc>
          <w:tcPr>
            <w:tcW w:w="920" w:type="dxa"/>
            <w:vAlign w:val="bottom"/>
          </w:tcPr>
          <w:p>
            <w:pPr>
              <w:ind w:left="800"/>
              <w:spacing w:after="0"/>
              <w:rPr>
                <w:sz w:val="20"/>
                <w:szCs w:val="20"/>
                <w:color w:val="auto"/>
              </w:rPr>
            </w:pPr>
            <w:r>
              <w:rPr>
                <w:rFonts w:ascii="Arial" w:cs="Arial" w:eastAsia="Arial" w:hAnsi="Arial"/>
                <w:sz w:val="11"/>
                <w:szCs w:val="11"/>
                <w:color w:val="auto"/>
                <w:w w:val="90"/>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1,323</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1,323</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1,727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4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TPC Holding Company, LP </w:t>
            </w:r>
            <w:r>
              <w:rPr>
                <w:rFonts w:ascii="Arial" w:cs="Arial" w:eastAsia="Arial" w:hAnsi="Arial"/>
                <w:sz w:val="14"/>
                <w:szCs w:val="14"/>
                <w:color w:val="auto"/>
                <w:vertAlign w:val="superscript"/>
              </w:rPr>
              <w:t>(5), (7), (10)</w:t>
            </w:r>
          </w:p>
        </w:tc>
        <w:tc>
          <w:tcPr>
            <w:tcW w:w="120" w:type="dxa"/>
            <w:vAlign w:val="bottom"/>
          </w:tcPr>
          <w:p>
            <w:pPr>
              <w:spacing w:after="0"/>
              <w:rPr>
                <w:sz w:val="11"/>
                <w:szCs w:val="11"/>
                <w:color w:val="auto"/>
              </w:rPr>
            </w:pPr>
          </w:p>
        </w:tc>
        <w:tc>
          <w:tcPr>
            <w:tcW w:w="680" w:type="dxa"/>
            <w:vAlign w:val="bottom"/>
          </w:tcPr>
          <w:p>
            <w:pPr>
              <w:ind w:left="56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1"/>
                <w:szCs w:val="11"/>
                <w:color w:val="auto"/>
              </w:rPr>
            </w:pPr>
          </w:p>
        </w:tc>
        <w:tc>
          <w:tcPr>
            <w:tcW w:w="2200" w:type="dxa"/>
            <w:vAlign w:val="bottom"/>
          </w:tcPr>
          <w:p>
            <w:pPr>
              <w:jc w:val="center"/>
              <w:spacing w:after="0"/>
              <w:rPr>
                <w:sz w:val="20"/>
                <w:szCs w:val="20"/>
                <w:color w:val="auto"/>
              </w:rPr>
            </w:pPr>
            <w:r>
              <w:rPr>
                <w:rFonts w:ascii="Arial" w:cs="Arial" w:eastAsia="Arial" w:hAnsi="Arial"/>
                <w:sz w:val="11"/>
                <w:szCs w:val="11"/>
                <w:color w:val="auto"/>
                <w:w w:val="89"/>
              </w:rPr>
              <w:t>Food Products</w:t>
            </w:r>
          </w:p>
        </w:tc>
        <w:tc>
          <w:tcPr>
            <w:tcW w:w="120" w:type="dxa"/>
            <w:vAlign w:val="bottom"/>
          </w:tcPr>
          <w:p>
            <w:pPr>
              <w:spacing w:after="0"/>
              <w:rPr>
                <w:sz w:val="11"/>
                <w:szCs w:val="11"/>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Pr>
          <w:p>
            <w:pPr>
              <w:ind w:left="800"/>
              <w:spacing w:after="0"/>
              <w:rPr>
                <w:sz w:val="20"/>
                <w:szCs w:val="20"/>
                <w:color w:val="auto"/>
              </w:rPr>
            </w:pPr>
            <w:r>
              <w:rPr>
                <w:rFonts w:ascii="Arial" w:cs="Arial" w:eastAsia="Arial" w:hAnsi="Arial"/>
                <w:sz w:val="11"/>
                <w:szCs w:val="11"/>
                <w:color w:val="auto"/>
                <w:w w:val="90"/>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409</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409</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112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14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TWD Parent Holdings, LLC (The Vertex Companies, LLC) </w:t>
            </w:r>
            <w:r>
              <w:rPr>
                <w:rFonts w:ascii="Arial" w:cs="Arial" w:eastAsia="Arial" w:hAnsi="Arial"/>
                <w:sz w:val="14"/>
                <w:szCs w:val="14"/>
                <w:color w:val="auto"/>
                <w:vertAlign w:val="superscript"/>
              </w:rPr>
              <w:t>(7)</w:t>
            </w:r>
          </w:p>
        </w:tc>
        <w:tc>
          <w:tcPr>
            <w:tcW w:w="120" w:type="dxa"/>
            <w:vAlign w:val="bottom"/>
          </w:tcPr>
          <w:p>
            <w:pPr>
              <w:spacing w:after="0"/>
              <w:rPr>
                <w:sz w:val="13"/>
                <w:szCs w:val="13"/>
                <w:color w:val="auto"/>
              </w:rPr>
            </w:pPr>
          </w:p>
        </w:tc>
        <w:tc>
          <w:tcPr>
            <w:tcW w:w="680" w:type="dxa"/>
            <w:vAlign w:val="bottom"/>
          </w:tcPr>
          <w:p>
            <w:pPr>
              <w:ind w:left="56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3"/>
                <w:szCs w:val="13"/>
                <w:color w:val="auto"/>
              </w:rPr>
            </w:pPr>
          </w:p>
        </w:tc>
        <w:tc>
          <w:tcPr>
            <w:tcW w:w="2200" w:type="dxa"/>
            <w:vAlign w:val="bottom"/>
          </w:tcPr>
          <w:p>
            <w:pPr>
              <w:jc w:val="center"/>
              <w:spacing w:after="0"/>
              <w:rPr>
                <w:sz w:val="20"/>
                <w:szCs w:val="20"/>
                <w:color w:val="auto"/>
              </w:rPr>
            </w:pPr>
            <w:r>
              <w:rPr>
                <w:rFonts w:ascii="Arial" w:cs="Arial" w:eastAsia="Arial" w:hAnsi="Arial"/>
                <w:sz w:val="11"/>
                <w:szCs w:val="11"/>
                <w:color w:val="auto"/>
                <w:w w:val="92"/>
              </w:rPr>
              <w:t>Construction &amp; Engineering</w:t>
            </w:r>
          </w:p>
        </w:tc>
        <w:tc>
          <w:tcPr>
            <w:tcW w:w="120" w:type="dxa"/>
            <w:vAlign w:val="bottom"/>
          </w:tcPr>
          <w:p>
            <w:pPr>
              <w:spacing w:after="0"/>
              <w:rPr>
                <w:sz w:val="13"/>
                <w:szCs w:val="13"/>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Pr>
          <w:p>
            <w:pPr>
              <w:ind w:left="800"/>
              <w:spacing w:after="0"/>
              <w:rPr>
                <w:sz w:val="20"/>
                <w:szCs w:val="20"/>
                <w:color w:val="auto"/>
              </w:rPr>
            </w:pPr>
            <w:r>
              <w:rPr>
                <w:rFonts w:ascii="Arial" w:cs="Arial" w:eastAsia="Arial" w:hAnsi="Arial"/>
                <w:sz w:val="11"/>
                <w:szCs w:val="11"/>
                <w:color w:val="auto"/>
                <w:w w:val="90"/>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37</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37</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40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3140" w:type="dxa"/>
            <w:vAlign w:val="bottom"/>
          </w:tcPr>
          <w:p>
            <w:pPr>
              <w:ind w:left="20"/>
              <w:spacing w:after="0" w:line="115" w:lineRule="exact"/>
              <w:rPr>
                <w:sz w:val="20"/>
                <w:szCs w:val="20"/>
                <w:color w:val="auto"/>
              </w:rPr>
            </w:pPr>
            <w:r>
              <w:rPr>
                <w:rFonts w:ascii="Arial" w:cs="Arial" w:eastAsia="Arial" w:hAnsi="Arial"/>
                <w:sz w:val="11"/>
                <w:szCs w:val="11"/>
                <w:color w:val="auto"/>
              </w:rPr>
              <w:t>UniTek Global Services, Inc. -</w:t>
            </w:r>
          </w:p>
        </w:tc>
        <w:tc>
          <w:tcPr>
            <w:tcW w:w="120" w:type="dxa"/>
            <w:vAlign w:val="bottom"/>
          </w:tcPr>
          <w:p>
            <w:pPr>
              <w:spacing w:after="0"/>
              <w:rPr>
                <w:sz w:val="9"/>
                <w:szCs w:val="9"/>
                <w:color w:val="auto"/>
              </w:rPr>
            </w:pPr>
          </w:p>
        </w:tc>
        <w:tc>
          <w:tcPr>
            <w:tcW w:w="680" w:type="dxa"/>
            <w:vAlign w:val="bottom"/>
          </w:tcPr>
          <w:p>
            <w:pPr>
              <w:ind w:left="560"/>
              <w:spacing w:after="0" w:line="115" w:lineRule="exact"/>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9"/>
                <w:szCs w:val="9"/>
                <w:color w:val="auto"/>
              </w:rPr>
            </w:pPr>
          </w:p>
        </w:tc>
        <w:tc>
          <w:tcPr>
            <w:tcW w:w="2200" w:type="dxa"/>
            <w:vAlign w:val="bottom"/>
          </w:tcPr>
          <w:p>
            <w:pPr>
              <w:jc w:val="center"/>
              <w:spacing w:after="0" w:line="115" w:lineRule="exact"/>
              <w:rPr>
                <w:sz w:val="20"/>
                <w:szCs w:val="20"/>
                <w:color w:val="auto"/>
              </w:rPr>
            </w:pPr>
            <w:r>
              <w:rPr>
                <w:rFonts w:ascii="Arial" w:cs="Arial" w:eastAsia="Arial" w:hAnsi="Arial"/>
                <w:sz w:val="11"/>
                <w:szCs w:val="11"/>
                <w:color w:val="auto"/>
                <w:w w:val="87"/>
              </w:rPr>
              <w:t>Telecommunications</w:t>
            </w:r>
          </w:p>
        </w:tc>
        <w:tc>
          <w:tcPr>
            <w:tcW w:w="1080" w:type="dxa"/>
            <w:vAlign w:val="bottom"/>
            <w:gridSpan w:val="3"/>
          </w:tcPr>
          <w:p>
            <w:pPr>
              <w:jc w:val="right"/>
              <w:ind w:right="140"/>
              <w:spacing w:after="0" w:line="115" w:lineRule="exact"/>
              <w:rPr>
                <w:sz w:val="20"/>
                <w:szCs w:val="20"/>
                <w:color w:val="auto"/>
              </w:rPr>
            </w:pPr>
            <w:r>
              <w:rPr>
                <w:rFonts w:ascii="Arial" w:cs="Arial" w:eastAsia="Arial" w:hAnsi="Arial"/>
                <w:sz w:val="11"/>
                <w:szCs w:val="11"/>
                <w:color w:val="auto"/>
              </w:rPr>
              <w:t>20.00 %</w:t>
            </w:r>
          </w:p>
        </w:tc>
        <w:tc>
          <w:tcPr>
            <w:tcW w:w="920" w:type="dxa"/>
            <w:vAlign w:val="bottom"/>
          </w:tcPr>
          <w:p>
            <w:pPr>
              <w:ind w:left="800"/>
              <w:spacing w:after="0" w:line="115" w:lineRule="exact"/>
              <w:rPr>
                <w:sz w:val="20"/>
                <w:szCs w:val="20"/>
                <w:color w:val="auto"/>
              </w:rPr>
            </w:pPr>
            <w:r>
              <w:rPr>
                <w:rFonts w:ascii="Arial" w:cs="Arial" w:eastAsia="Arial" w:hAnsi="Arial"/>
                <w:sz w:val="11"/>
                <w:szCs w:val="11"/>
                <w:color w:val="auto"/>
                <w:w w:val="90"/>
              </w:rPr>
              <w:t>—</w:t>
            </w:r>
          </w:p>
        </w:tc>
        <w:tc>
          <w:tcPr>
            <w:tcW w:w="90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343,861</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jc w:val="right"/>
              <w:spacing w:after="0" w:line="115" w:lineRule="exact"/>
              <w:rPr>
                <w:sz w:val="20"/>
                <w:szCs w:val="20"/>
                <w:color w:val="auto"/>
              </w:rPr>
            </w:pPr>
            <w:r>
              <w:rPr>
                <w:rFonts w:ascii="Arial" w:cs="Arial" w:eastAsia="Arial" w:hAnsi="Arial"/>
                <w:sz w:val="11"/>
                <w:szCs w:val="11"/>
                <w:color w:val="auto"/>
              </w:rPr>
              <w:t>344</w:t>
            </w: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gridSpan w:val="2"/>
          </w:tcPr>
          <w:p>
            <w:pPr>
              <w:jc w:val="right"/>
              <w:ind w:right="120"/>
              <w:spacing w:after="0" w:line="115"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3140" w:type="dxa"/>
            <w:vAlign w:val="bottom"/>
          </w:tcPr>
          <w:p>
            <w:pPr>
              <w:ind w:left="100"/>
              <w:spacing w:after="0" w:line="135" w:lineRule="exact"/>
              <w:rPr>
                <w:sz w:val="20"/>
                <w:szCs w:val="20"/>
                <w:color w:val="auto"/>
              </w:rPr>
            </w:pPr>
            <w:r>
              <w:rPr>
                <w:rFonts w:ascii="Arial" w:cs="Arial" w:eastAsia="Arial" w:hAnsi="Arial"/>
                <w:sz w:val="11"/>
                <w:szCs w:val="11"/>
                <w:color w:val="auto"/>
              </w:rPr>
              <w:t xml:space="preserve">Super Senior Preferred Equity </w:t>
            </w:r>
            <w:r>
              <w:rPr>
                <w:rFonts w:ascii="Arial" w:cs="Arial" w:eastAsia="Arial" w:hAnsi="Arial"/>
                <w:sz w:val="14"/>
                <w:szCs w:val="14"/>
                <w:color w:val="auto"/>
                <w:vertAlign w:val="superscript"/>
              </w:rPr>
              <w:t>(7)</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4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UniTek Global Services, Inc. - Senior Preferred Equity </w:t>
            </w:r>
            <w:r>
              <w:rPr>
                <w:rFonts w:ascii="Arial" w:cs="Arial" w:eastAsia="Arial" w:hAnsi="Arial"/>
                <w:sz w:val="14"/>
                <w:szCs w:val="14"/>
                <w:color w:val="auto"/>
                <w:vertAlign w:val="superscript"/>
              </w:rPr>
              <w:t>(7)</w:t>
            </w:r>
          </w:p>
        </w:tc>
        <w:tc>
          <w:tcPr>
            <w:tcW w:w="120" w:type="dxa"/>
            <w:vAlign w:val="bottom"/>
          </w:tcPr>
          <w:p>
            <w:pPr>
              <w:spacing w:after="0"/>
              <w:rPr>
                <w:sz w:val="11"/>
                <w:szCs w:val="11"/>
                <w:color w:val="auto"/>
              </w:rPr>
            </w:pPr>
          </w:p>
        </w:tc>
        <w:tc>
          <w:tcPr>
            <w:tcW w:w="680" w:type="dxa"/>
            <w:vAlign w:val="bottom"/>
          </w:tcPr>
          <w:p>
            <w:pPr>
              <w:ind w:left="56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1"/>
                <w:szCs w:val="11"/>
                <w:color w:val="auto"/>
              </w:rPr>
            </w:pPr>
          </w:p>
        </w:tc>
        <w:tc>
          <w:tcPr>
            <w:tcW w:w="2200" w:type="dxa"/>
            <w:vAlign w:val="bottom"/>
          </w:tcPr>
          <w:p>
            <w:pPr>
              <w:jc w:val="center"/>
              <w:spacing w:after="0"/>
              <w:rPr>
                <w:sz w:val="20"/>
                <w:szCs w:val="20"/>
                <w:color w:val="auto"/>
              </w:rPr>
            </w:pPr>
            <w:r>
              <w:rPr>
                <w:rFonts w:ascii="Arial" w:cs="Arial" w:eastAsia="Arial" w:hAnsi="Arial"/>
                <w:sz w:val="11"/>
                <w:szCs w:val="11"/>
                <w:color w:val="auto"/>
                <w:w w:val="87"/>
              </w:rPr>
              <w:t>Telecommunications</w:t>
            </w:r>
          </w:p>
        </w:tc>
        <w:tc>
          <w:tcPr>
            <w:tcW w:w="1080" w:type="dxa"/>
            <w:vAlign w:val="bottom"/>
            <w:gridSpan w:val="3"/>
          </w:tcPr>
          <w:p>
            <w:pPr>
              <w:jc w:val="right"/>
              <w:ind w:right="140"/>
              <w:spacing w:after="0"/>
              <w:rPr>
                <w:sz w:val="20"/>
                <w:szCs w:val="20"/>
                <w:color w:val="auto"/>
              </w:rPr>
            </w:pPr>
            <w:r>
              <w:rPr>
                <w:rFonts w:ascii="Arial" w:cs="Arial" w:eastAsia="Arial" w:hAnsi="Arial"/>
                <w:sz w:val="11"/>
                <w:szCs w:val="11"/>
                <w:color w:val="auto"/>
              </w:rPr>
              <w:t>19.00 %</w:t>
            </w:r>
          </w:p>
        </w:tc>
        <w:tc>
          <w:tcPr>
            <w:tcW w:w="920" w:type="dxa"/>
            <w:vAlign w:val="bottom"/>
          </w:tcPr>
          <w:p>
            <w:pPr>
              <w:ind w:left="800"/>
              <w:spacing w:after="0"/>
              <w:rPr>
                <w:sz w:val="20"/>
                <w:szCs w:val="20"/>
                <w:color w:val="auto"/>
              </w:rPr>
            </w:pPr>
            <w:r>
              <w:rPr>
                <w:rFonts w:ascii="Arial" w:cs="Arial" w:eastAsia="Arial" w:hAnsi="Arial"/>
                <w:sz w:val="11"/>
                <w:szCs w:val="11"/>
                <w:color w:val="auto"/>
                <w:w w:val="90"/>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448,851</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449</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5"/>
        </w:trPr>
        <w:tc>
          <w:tcPr>
            <w:tcW w:w="3140" w:type="dxa"/>
            <w:vAlign w:val="bottom"/>
          </w:tcPr>
          <w:p>
            <w:pPr>
              <w:ind w:left="20"/>
              <w:spacing w:after="0"/>
              <w:rPr>
                <w:sz w:val="20"/>
                <w:szCs w:val="20"/>
                <w:color w:val="auto"/>
              </w:rPr>
            </w:pPr>
            <w:r>
              <w:rPr>
                <w:rFonts w:ascii="Arial" w:cs="Arial" w:eastAsia="Arial" w:hAnsi="Arial"/>
                <w:sz w:val="11"/>
                <w:szCs w:val="11"/>
                <w:color w:val="auto"/>
              </w:rPr>
              <w:t xml:space="preserve">UniTek Global Services, Inc. </w:t>
            </w:r>
            <w:r>
              <w:rPr>
                <w:rFonts w:ascii="Arial" w:cs="Arial" w:eastAsia="Arial" w:hAnsi="Arial"/>
                <w:sz w:val="14"/>
                <w:szCs w:val="14"/>
                <w:color w:val="auto"/>
                <w:vertAlign w:val="superscript"/>
              </w:rPr>
              <w:t>(7)</w:t>
            </w:r>
          </w:p>
        </w:tc>
        <w:tc>
          <w:tcPr>
            <w:tcW w:w="120" w:type="dxa"/>
            <w:vAlign w:val="bottom"/>
          </w:tcPr>
          <w:p>
            <w:pPr>
              <w:spacing w:after="0"/>
              <w:rPr>
                <w:sz w:val="14"/>
                <w:szCs w:val="14"/>
                <w:color w:val="auto"/>
              </w:rPr>
            </w:pPr>
          </w:p>
        </w:tc>
        <w:tc>
          <w:tcPr>
            <w:tcW w:w="680" w:type="dxa"/>
            <w:vAlign w:val="bottom"/>
          </w:tcPr>
          <w:p>
            <w:pPr>
              <w:ind w:left="56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4"/>
                <w:szCs w:val="14"/>
                <w:color w:val="auto"/>
              </w:rPr>
            </w:pPr>
          </w:p>
        </w:tc>
        <w:tc>
          <w:tcPr>
            <w:tcW w:w="2200" w:type="dxa"/>
            <w:vAlign w:val="bottom"/>
          </w:tcPr>
          <w:p>
            <w:pPr>
              <w:jc w:val="center"/>
              <w:spacing w:after="0"/>
              <w:rPr>
                <w:sz w:val="20"/>
                <w:szCs w:val="20"/>
                <w:color w:val="auto"/>
              </w:rPr>
            </w:pPr>
            <w:r>
              <w:rPr>
                <w:rFonts w:ascii="Arial" w:cs="Arial" w:eastAsia="Arial" w:hAnsi="Arial"/>
                <w:sz w:val="11"/>
                <w:szCs w:val="11"/>
                <w:color w:val="auto"/>
                <w:w w:val="87"/>
              </w:rPr>
              <w:t>Telecommunications</w:t>
            </w:r>
          </w:p>
        </w:tc>
        <w:tc>
          <w:tcPr>
            <w:tcW w:w="1080" w:type="dxa"/>
            <w:vAlign w:val="bottom"/>
            <w:gridSpan w:val="3"/>
          </w:tcPr>
          <w:p>
            <w:pPr>
              <w:jc w:val="right"/>
              <w:ind w:right="140"/>
              <w:spacing w:after="0"/>
              <w:rPr>
                <w:sz w:val="20"/>
                <w:szCs w:val="20"/>
                <w:color w:val="auto"/>
              </w:rPr>
            </w:pPr>
            <w:r>
              <w:rPr>
                <w:rFonts w:ascii="Arial" w:cs="Arial" w:eastAsia="Arial" w:hAnsi="Arial"/>
                <w:sz w:val="11"/>
                <w:szCs w:val="11"/>
                <w:color w:val="auto"/>
              </w:rPr>
              <w:t>13.50 %</w:t>
            </w:r>
          </w:p>
        </w:tc>
        <w:tc>
          <w:tcPr>
            <w:tcW w:w="920" w:type="dxa"/>
            <w:vAlign w:val="bottom"/>
          </w:tcPr>
          <w:p>
            <w:pPr>
              <w:ind w:left="800"/>
              <w:spacing w:after="0"/>
              <w:rPr>
                <w:sz w:val="20"/>
                <w:szCs w:val="20"/>
                <w:color w:val="auto"/>
              </w:rPr>
            </w:pPr>
            <w:r>
              <w:rPr>
                <w:rFonts w:ascii="Arial" w:cs="Arial" w:eastAsia="Arial" w:hAnsi="Arial"/>
                <w:sz w:val="11"/>
                <w:szCs w:val="11"/>
                <w:color w:val="auto"/>
                <w:w w:val="90"/>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1,047,317</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670</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3140" w:type="dxa"/>
            <w:vAlign w:val="bottom"/>
          </w:tcPr>
          <w:p>
            <w:pPr>
              <w:ind w:left="20"/>
              <w:spacing w:after="0" w:line="110" w:lineRule="exact"/>
              <w:rPr>
                <w:sz w:val="20"/>
                <w:szCs w:val="20"/>
                <w:color w:val="auto"/>
              </w:rPr>
            </w:pPr>
            <w:r>
              <w:rPr>
                <w:rFonts w:ascii="Arial" w:cs="Arial" w:eastAsia="Arial" w:hAnsi="Arial"/>
                <w:sz w:val="11"/>
                <w:szCs w:val="11"/>
                <w:b w:val="1"/>
                <w:bCs w:val="1"/>
                <w:color w:val="auto"/>
              </w:rPr>
              <w:t>Total Preferred Equity</w:t>
            </w: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Borders>
              <w:top w:val="single" w:sz="8" w:color="auto"/>
              <w:bottom w:val="single" w:sz="8" w:color="auto"/>
            </w:tcBorders>
          </w:tcPr>
          <w:p>
            <w:pPr>
              <w:spacing w:after="0"/>
              <w:rPr>
                <w:sz w:val="10"/>
                <w:szCs w:val="10"/>
                <w:color w:val="auto"/>
              </w:rPr>
            </w:pPr>
          </w:p>
        </w:tc>
        <w:tc>
          <w:tcPr>
            <w:tcW w:w="540" w:type="dxa"/>
            <w:vAlign w:val="bottom"/>
            <w:tcBorders>
              <w:top w:val="single" w:sz="8" w:color="auto"/>
              <w:bottom w:val="single" w:sz="8" w:color="auto"/>
            </w:tcBorders>
          </w:tcPr>
          <w:p>
            <w:pPr>
              <w:jc w:val="right"/>
              <w:spacing w:after="0" w:line="110" w:lineRule="exact"/>
              <w:rPr>
                <w:sz w:val="20"/>
                <w:szCs w:val="20"/>
                <w:color w:val="auto"/>
              </w:rPr>
            </w:pPr>
            <w:r>
              <w:rPr>
                <w:rFonts w:ascii="Arial" w:cs="Arial" w:eastAsia="Arial" w:hAnsi="Arial"/>
                <w:sz w:val="11"/>
                <w:szCs w:val="11"/>
                <w:color w:val="auto"/>
              </w:rPr>
              <w:t>8,859</w:t>
            </w:r>
          </w:p>
        </w:tc>
        <w:tc>
          <w:tcPr>
            <w:tcW w:w="220" w:type="dxa"/>
            <w:vAlign w:val="bottom"/>
          </w:tcPr>
          <w:p>
            <w:pPr>
              <w:spacing w:after="0"/>
              <w:rPr>
                <w:sz w:val="10"/>
                <w:szCs w:val="10"/>
                <w:color w:val="auto"/>
              </w:rPr>
            </w:pPr>
          </w:p>
        </w:tc>
        <w:tc>
          <w:tcPr>
            <w:tcW w:w="220" w:type="dxa"/>
            <w:vAlign w:val="bottom"/>
            <w:tcBorders>
              <w:top w:val="single" w:sz="8" w:color="auto"/>
              <w:bottom w:val="single" w:sz="8" w:color="auto"/>
            </w:tcBorders>
          </w:tcPr>
          <w:p>
            <w:pPr>
              <w:spacing w:after="0"/>
              <w:rPr>
                <w:sz w:val="10"/>
                <w:szCs w:val="10"/>
                <w:color w:val="auto"/>
              </w:rPr>
            </w:pPr>
          </w:p>
        </w:tc>
        <w:tc>
          <w:tcPr>
            <w:tcW w:w="480" w:type="dxa"/>
            <w:vAlign w:val="bottom"/>
            <w:tcBorders>
              <w:top w:val="single" w:sz="8" w:color="auto"/>
              <w:bottom w:val="single" w:sz="8" w:color="auto"/>
            </w:tcBorders>
          </w:tcPr>
          <w:p>
            <w:pPr>
              <w:jc w:val="right"/>
              <w:spacing w:after="0" w:line="110" w:lineRule="exact"/>
              <w:rPr>
                <w:sz w:val="20"/>
                <w:szCs w:val="20"/>
                <w:color w:val="auto"/>
              </w:rPr>
            </w:pPr>
            <w:r>
              <w:rPr>
                <w:rFonts w:ascii="Arial" w:cs="Arial" w:eastAsia="Arial" w:hAnsi="Arial"/>
                <w:sz w:val="11"/>
                <w:szCs w:val="11"/>
                <w:color w:val="auto"/>
              </w:rPr>
              <w:t>8,330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3140" w:type="dxa"/>
            <w:vAlign w:val="bottom"/>
          </w:tcPr>
          <w:p>
            <w:pPr>
              <w:ind w:left="20"/>
              <w:spacing w:after="0" w:line="105" w:lineRule="exact"/>
              <w:rPr>
                <w:sz w:val="20"/>
                <w:szCs w:val="20"/>
                <w:color w:val="auto"/>
              </w:rPr>
            </w:pPr>
            <w:r>
              <w:rPr>
                <w:rFonts w:ascii="Arial" w:cs="Arial" w:eastAsia="Arial" w:hAnsi="Arial"/>
                <w:sz w:val="9"/>
                <w:szCs w:val="9"/>
                <w:b w:val="1"/>
                <w:bCs w:val="1"/>
                <w:color w:val="auto"/>
              </w:rPr>
              <w:t xml:space="preserve">Common Equity/Warrants— 18.6% </w:t>
            </w:r>
            <w:r>
              <w:rPr>
                <w:rFonts w:ascii="Arial" w:cs="Arial" w:eastAsia="Arial" w:hAnsi="Arial"/>
                <w:sz w:val="12"/>
                <w:szCs w:val="12"/>
                <w:b w:val="1"/>
                <w:bCs w:val="1"/>
                <w:color w:val="auto"/>
                <w:vertAlign w:val="superscript"/>
              </w:rPr>
              <w:t>(6)</w:t>
            </w: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14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Ad.net Holdings, Inc. </w:t>
            </w:r>
            <w:r>
              <w:rPr>
                <w:rFonts w:ascii="Arial" w:cs="Arial" w:eastAsia="Arial" w:hAnsi="Arial"/>
                <w:sz w:val="14"/>
                <w:szCs w:val="14"/>
                <w:color w:val="auto"/>
                <w:vertAlign w:val="superscript"/>
              </w:rPr>
              <w:t>(7),(8)</w:t>
            </w:r>
          </w:p>
        </w:tc>
        <w:tc>
          <w:tcPr>
            <w:tcW w:w="120" w:type="dxa"/>
            <w:vAlign w:val="bottom"/>
          </w:tcPr>
          <w:p>
            <w:pPr>
              <w:spacing w:after="0"/>
              <w:rPr>
                <w:sz w:val="11"/>
                <w:szCs w:val="11"/>
                <w:color w:val="auto"/>
              </w:rPr>
            </w:pPr>
          </w:p>
        </w:tc>
        <w:tc>
          <w:tcPr>
            <w:tcW w:w="680" w:type="dxa"/>
            <w:vAlign w:val="bottom"/>
          </w:tcPr>
          <w:p>
            <w:pPr>
              <w:ind w:left="56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1"/>
                <w:szCs w:val="11"/>
                <w:color w:val="auto"/>
              </w:rPr>
            </w:pPr>
          </w:p>
        </w:tc>
        <w:tc>
          <w:tcPr>
            <w:tcW w:w="220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120" w:type="dxa"/>
            <w:vAlign w:val="bottom"/>
          </w:tcPr>
          <w:p>
            <w:pPr>
              <w:spacing w:after="0"/>
              <w:rPr>
                <w:sz w:val="11"/>
                <w:szCs w:val="11"/>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Pr>
          <w:p>
            <w:pPr>
              <w:ind w:left="800"/>
              <w:spacing w:after="0"/>
              <w:rPr>
                <w:sz w:val="20"/>
                <w:szCs w:val="20"/>
                <w:color w:val="auto"/>
              </w:rPr>
            </w:pPr>
            <w:r>
              <w:rPr>
                <w:rFonts w:ascii="Arial" w:cs="Arial" w:eastAsia="Arial" w:hAnsi="Arial"/>
                <w:sz w:val="11"/>
                <w:szCs w:val="11"/>
                <w:color w:val="auto"/>
                <w:w w:val="90"/>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7,467</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75</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163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40" w:type="dxa"/>
            <w:vAlign w:val="bottom"/>
          </w:tcPr>
          <w:p>
            <w:pPr>
              <w:ind w:left="20"/>
              <w:spacing w:after="0" w:line="135" w:lineRule="exact"/>
              <w:rPr>
                <w:sz w:val="20"/>
                <w:szCs w:val="20"/>
                <w:color w:val="auto"/>
              </w:rPr>
            </w:pPr>
            <w:r>
              <w:rPr>
                <w:rFonts w:ascii="Arial" w:cs="Arial" w:eastAsia="Arial" w:hAnsi="Arial"/>
                <w:sz w:val="11"/>
                <w:szCs w:val="11"/>
                <w:color w:val="auto"/>
              </w:rPr>
              <w:t>Affinion Group Holdings, Inc. (Warrants)</w:t>
            </w:r>
            <w:r>
              <w:rPr>
                <w:rFonts w:ascii="Arial" w:cs="Arial" w:eastAsia="Arial" w:hAnsi="Arial"/>
                <w:sz w:val="14"/>
                <w:szCs w:val="14"/>
                <w:color w:val="auto"/>
                <w:vertAlign w:val="superscript"/>
              </w:rPr>
              <w:t>(7)</w:t>
            </w:r>
          </w:p>
        </w:tc>
        <w:tc>
          <w:tcPr>
            <w:tcW w:w="800" w:type="dxa"/>
            <w:vAlign w:val="bottom"/>
            <w:gridSpan w:val="2"/>
          </w:tcPr>
          <w:p>
            <w:pPr>
              <w:jc w:val="right"/>
              <w:ind w:right="26"/>
              <w:spacing w:after="0"/>
              <w:rPr>
                <w:sz w:val="20"/>
                <w:szCs w:val="20"/>
                <w:color w:val="auto"/>
              </w:rPr>
            </w:pPr>
            <w:r>
              <w:rPr>
                <w:rFonts w:ascii="Arial" w:cs="Arial" w:eastAsia="Arial" w:hAnsi="Arial"/>
                <w:sz w:val="11"/>
                <w:szCs w:val="11"/>
                <w:color w:val="auto"/>
              </w:rPr>
              <w:t>04/10/2024</w:t>
            </w:r>
          </w:p>
        </w:tc>
        <w:tc>
          <w:tcPr>
            <w:tcW w:w="260" w:type="dxa"/>
            <w:vAlign w:val="bottom"/>
          </w:tcPr>
          <w:p>
            <w:pPr>
              <w:spacing w:after="0"/>
              <w:rPr>
                <w:sz w:val="11"/>
                <w:szCs w:val="11"/>
                <w:color w:val="auto"/>
              </w:rPr>
            </w:pPr>
          </w:p>
        </w:tc>
        <w:tc>
          <w:tcPr>
            <w:tcW w:w="2200" w:type="dxa"/>
            <w:vAlign w:val="bottom"/>
          </w:tcPr>
          <w:p>
            <w:pPr>
              <w:jc w:val="center"/>
              <w:spacing w:after="0"/>
              <w:rPr>
                <w:sz w:val="20"/>
                <w:szCs w:val="20"/>
                <w:color w:val="auto"/>
              </w:rPr>
            </w:pPr>
            <w:r>
              <w:rPr>
                <w:rFonts w:ascii="Arial" w:cs="Arial" w:eastAsia="Arial" w:hAnsi="Arial"/>
                <w:sz w:val="11"/>
                <w:szCs w:val="11"/>
                <w:color w:val="auto"/>
                <w:w w:val="88"/>
              </w:rPr>
              <w:t>Consumer Goods: Durable</w:t>
            </w:r>
          </w:p>
        </w:tc>
        <w:tc>
          <w:tcPr>
            <w:tcW w:w="120" w:type="dxa"/>
            <w:vAlign w:val="bottom"/>
          </w:tcPr>
          <w:p>
            <w:pPr>
              <w:spacing w:after="0"/>
              <w:rPr>
                <w:sz w:val="11"/>
                <w:szCs w:val="11"/>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Pr>
          <w:p>
            <w:pPr>
              <w:ind w:left="800"/>
              <w:spacing w:after="0"/>
              <w:rPr>
                <w:sz w:val="20"/>
                <w:szCs w:val="20"/>
                <w:color w:val="auto"/>
              </w:rPr>
            </w:pPr>
            <w:r>
              <w:rPr>
                <w:rFonts w:ascii="Arial" w:cs="Arial" w:eastAsia="Arial" w:hAnsi="Arial"/>
                <w:sz w:val="11"/>
                <w:szCs w:val="11"/>
                <w:color w:val="auto"/>
                <w:w w:val="90"/>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8,893</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245</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314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AG Investco LP </w:t>
            </w:r>
            <w:r>
              <w:rPr>
                <w:rFonts w:ascii="Arial" w:cs="Arial" w:eastAsia="Arial" w:hAnsi="Arial"/>
                <w:sz w:val="14"/>
                <w:szCs w:val="14"/>
                <w:color w:val="auto"/>
                <w:vertAlign w:val="superscript"/>
              </w:rPr>
              <w:t>(7), (8)</w:t>
            </w:r>
          </w:p>
        </w:tc>
        <w:tc>
          <w:tcPr>
            <w:tcW w:w="120" w:type="dxa"/>
            <w:vAlign w:val="bottom"/>
          </w:tcPr>
          <w:p>
            <w:pPr>
              <w:spacing w:after="0"/>
              <w:rPr>
                <w:sz w:val="11"/>
                <w:szCs w:val="11"/>
                <w:color w:val="auto"/>
              </w:rPr>
            </w:pPr>
          </w:p>
        </w:tc>
        <w:tc>
          <w:tcPr>
            <w:tcW w:w="680" w:type="dxa"/>
            <w:vAlign w:val="bottom"/>
          </w:tcPr>
          <w:p>
            <w:pPr>
              <w:ind w:left="56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1"/>
                <w:szCs w:val="11"/>
                <w:color w:val="auto"/>
              </w:rPr>
            </w:pPr>
          </w:p>
        </w:tc>
        <w:tc>
          <w:tcPr>
            <w:tcW w:w="2200" w:type="dxa"/>
            <w:vAlign w:val="bottom"/>
          </w:tcPr>
          <w:p>
            <w:pPr>
              <w:jc w:val="center"/>
              <w:spacing w:after="0"/>
              <w:rPr>
                <w:sz w:val="20"/>
                <w:szCs w:val="20"/>
                <w:color w:val="auto"/>
              </w:rPr>
            </w:pPr>
            <w:r>
              <w:rPr>
                <w:rFonts w:ascii="Arial" w:cs="Arial" w:eastAsia="Arial" w:hAnsi="Arial"/>
                <w:sz w:val="11"/>
                <w:szCs w:val="11"/>
                <w:color w:val="auto"/>
                <w:w w:val="92"/>
              </w:rPr>
              <w:t>Software</w:t>
            </w:r>
          </w:p>
        </w:tc>
        <w:tc>
          <w:tcPr>
            <w:tcW w:w="120" w:type="dxa"/>
            <w:vAlign w:val="bottom"/>
          </w:tcPr>
          <w:p>
            <w:pPr>
              <w:spacing w:after="0"/>
              <w:rPr>
                <w:sz w:val="11"/>
                <w:szCs w:val="11"/>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Pr>
          <w:p>
            <w:pPr>
              <w:ind w:left="800"/>
              <w:spacing w:after="0"/>
              <w:rPr>
                <w:sz w:val="20"/>
                <w:szCs w:val="20"/>
                <w:color w:val="auto"/>
              </w:rPr>
            </w:pPr>
            <w:r>
              <w:rPr>
                <w:rFonts w:ascii="Arial" w:cs="Arial" w:eastAsia="Arial" w:hAnsi="Arial"/>
                <w:sz w:val="11"/>
                <w:szCs w:val="11"/>
                <w:color w:val="auto"/>
                <w:w w:val="90"/>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805,164</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805</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1,107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4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AG Investco LP </w:t>
            </w:r>
            <w:r>
              <w:rPr>
                <w:rFonts w:ascii="Arial" w:cs="Arial" w:eastAsia="Arial" w:hAnsi="Arial"/>
                <w:sz w:val="14"/>
                <w:szCs w:val="14"/>
                <w:color w:val="auto"/>
                <w:vertAlign w:val="superscript"/>
              </w:rPr>
              <w:t>(7), (8), (9)</w:t>
            </w:r>
          </w:p>
        </w:tc>
        <w:tc>
          <w:tcPr>
            <w:tcW w:w="120" w:type="dxa"/>
            <w:vAlign w:val="bottom"/>
          </w:tcPr>
          <w:p>
            <w:pPr>
              <w:spacing w:after="0"/>
              <w:rPr>
                <w:sz w:val="11"/>
                <w:szCs w:val="11"/>
                <w:color w:val="auto"/>
              </w:rPr>
            </w:pPr>
          </w:p>
        </w:tc>
        <w:tc>
          <w:tcPr>
            <w:tcW w:w="680" w:type="dxa"/>
            <w:vAlign w:val="bottom"/>
          </w:tcPr>
          <w:p>
            <w:pPr>
              <w:ind w:left="56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1"/>
                <w:szCs w:val="11"/>
                <w:color w:val="auto"/>
              </w:rPr>
            </w:pPr>
          </w:p>
        </w:tc>
        <w:tc>
          <w:tcPr>
            <w:tcW w:w="2200" w:type="dxa"/>
            <w:vAlign w:val="bottom"/>
          </w:tcPr>
          <w:p>
            <w:pPr>
              <w:jc w:val="center"/>
              <w:spacing w:after="0"/>
              <w:rPr>
                <w:sz w:val="20"/>
                <w:szCs w:val="20"/>
                <w:color w:val="auto"/>
              </w:rPr>
            </w:pPr>
            <w:r>
              <w:rPr>
                <w:rFonts w:ascii="Arial" w:cs="Arial" w:eastAsia="Arial" w:hAnsi="Arial"/>
                <w:sz w:val="11"/>
                <w:szCs w:val="11"/>
                <w:color w:val="auto"/>
                <w:w w:val="92"/>
              </w:rPr>
              <w:t>Software</w:t>
            </w:r>
          </w:p>
        </w:tc>
        <w:tc>
          <w:tcPr>
            <w:tcW w:w="120" w:type="dxa"/>
            <w:vAlign w:val="bottom"/>
          </w:tcPr>
          <w:p>
            <w:pPr>
              <w:spacing w:after="0"/>
              <w:rPr>
                <w:sz w:val="11"/>
                <w:szCs w:val="11"/>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Pr>
          <w:p>
            <w:pPr>
              <w:ind w:left="800"/>
              <w:spacing w:after="0"/>
              <w:rPr>
                <w:sz w:val="20"/>
                <w:szCs w:val="20"/>
                <w:color w:val="auto"/>
              </w:rPr>
            </w:pPr>
            <w:r>
              <w:rPr>
                <w:rFonts w:ascii="Arial" w:cs="Arial" w:eastAsia="Arial" w:hAnsi="Arial"/>
                <w:sz w:val="11"/>
                <w:szCs w:val="11"/>
                <w:color w:val="auto"/>
                <w:w w:val="90"/>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194,836</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5"/>
        </w:trPr>
        <w:tc>
          <w:tcPr>
            <w:tcW w:w="314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Altamira Intermediate Company II, Inc. </w:t>
            </w:r>
            <w:r>
              <w:rPr>
                <w:rFonts w:ascii="Arial" w:cs="Arial" w:eastAsia="Arial" w:hAnsi="Arial"/>
                <w:sz w:val="14"/>
                <w:szCs w:val="14"/>
                <w:color w:val="auto"/>
                <w:vertAlign w:val="superscript"/>
              </w:rPr>
              <w:t>(7)</w:t>
            </w:r>
          </w:p>
        </w:tc>
        <w:tc>
          <w:tcPr>
            <w:tcW w:w="120" w:type="dxa"/>
            <w:vAlign w:val="bottom"/>
          </w:tcPr>
          <w:p>
            <w:pPr>
              <w:spacing w:after="0"/>
              <w:rPr>
                <w:sz w:val="13"/>
                <w:szCs w:val="13"/>
                <w:color w:val="auto"/>
              </w:rPr>
            </w:pPr>
          </w:p>
        </w:tc>
        <w:tc>
          <w:tcPr>
            <w:tcW w:w="680" w:type="dxa"/>
            <w:vAlign w:val="bottom"/>
          </w:tcPr>
          <w:p>
            <w:pPr>
              <w:ind w:left="56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3"/>
                <w:szCs w:val="13"/>
                <w:color w:val="auto"/>
              </w:rPr>
            </w:pPr>
          </w:p>
        </w:tc>
        <w:tc>
          <w:tcPr>
            <w:tcW w:w="2200" w:type="dxa"/>
            <w:vAlign w:val="bottom"/>
          </w:tcPr>
          <w:p>
            <w:pPr>
              <w:jc w:val="center"/>
              <w:spacing w:after="0"/>
              <w:rPr>
                <w:sz w:val="20"/>
                <w:szCs w:val="20"/>
                <w:color w:val="auto"/>
              </w:rPr>
            </w:pPr>
            <w:r>
              <w:rPr>
                <w:rFonts w:ascii="Arial" w:cs="Arial" w:eastAsia="Arial" w:hAnsi="Arial"/>
                <w:sz w:val="11"/>
                <w:szCs w:val="11"/>
                <w:color w:val="auto"/>
                <w:w w:val="87"/>
              </w:rPr>
              <w:t>IT Services</w:t>
            </w:r>
          </w:p>
        </w:tc>
        <w:tc>
          <w:tcPr>
            <w:tcW w:w="120" w:type="dxa"/>
            <w:vAlign w:val="bottom"/>
          </w:tcPr>
          <w:p>
            <w:pPr>
              <w:spacing w:after="0"/>
              <w:rPr>
                <w:sz w:val="13"/>
                <w:szCs w:val="13"/>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Pr>
          <w:p>
            <w:pPr>
              <w:ind w:left="800"/>
              <w:spacing w:after="0"/>
              <w:rPr>
                <w:sz w:val="20"/>
                <w:szCs w:val="20"/>
                <w:color w:val="auto"/>
              </w:rPr>
            </w:pPr>
            <w:r>
              <w:rPr>
                <w:rFonts w:ascii="Arial" w:cs="Arial" w:eastAsia="Arial" w:hAnsi="Arial"/>
                <w:sz w:val="11"/>
                <w:szCs w:val="11"/>
                <w:color w:val="auto"/>
                <w:w w:val="90"/>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1,437,500</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1,438</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594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3140" w:type="dxa"/>
            <w:vAlign w:val="bottom"/>
          </w:tcPr>
          <w:p>
            <w:pPr>
              <w:ind w:left="20"/>
              <w:spacing w:after="0" w:line="115" w:lineRule="exact"/>
              <w:rPr>
                <w:sz w:val="20"/>
                <w:szCs w:val="20"/>
                <w:color w:val="auto"/>
              </w:rPr>
            </w:pPr>
            <w:r>
              <w:rPr>
                <w:rFonts w:ascii="Arial" w:cs="Arial" w:eastAsia="Arial" w:hAnsi="Arial"/>
                <w:sz w:val="11"/>
                <w:szCs w:val="11"/>
                <w:color w:val="auto"/>
              </w:rPr>
              <w:t>Athletico Holdings, LLC</w:t>
            </w:r>
          </w:p>
        </w:tc>
        <w:tc>
          <w:tcPr>
            <w:tcW w:w="120" w:type="dxa"/>
            <w:vAlign w:val="bottom"/>
          </w:tcPr>
          <w:p>
            <w:pPr>
              <w:spacing w:after="0"/>
              <w:rPr>
                <w:sz w:val="9"/>
                <w:szCs w:val="9"/>
                <w:color w:val="auto"/>
              </w:rPr>
            </w:pPr>
          </w:p>
        </w:tc>
        <w:tc>
          <w:tcPr>
            <w:tcW w:w="680" w:type="dxa"/>
            <w:vAlign w:val="bottom"/>
          </w:tcPr>
          <w:p>
            <w:pPr>
              <w:ind w:left="560"/>
              <w:spacing w:after="0" w:line="115" w:lineRule="exact"/>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9"/>
                <w:szCs w:val="9"/>
                <w:color w:val="auto"/>
              </w:rPr>
            </w:pPr>
          </w:p>
        </w:tc>
        <w:tc>
          <w:tcPr>
            <w:tcW w:w="2200" w:type="dxa"/>
            <w:vAlign w:val="bottom"/>
          </w:tcPr>
          <w:p>
            <w:pPr>
              <w:jc w:val="center"/>
              <w:spacing w:after="0" w:line="115" w:lineRule="exact"/>
              <w:rPr>
                <w:sz w:val="20"/>
                <w:szCs w:val="20"/>
                <w:color w:val="auto"/>
              </w:rPr>
            </w:pPr>
            <w:r>
              <w:rPr>
                <w:rFonts w:ascii="Arial" w:cs="Arial" w:eastAsia="Arial" w:hAnsi="Arial"/>
                <w:sz w:val="11"/>
                <w:szCs w:val="11"/>
                <w:color w:val="auto"/>
                <w:w w:val="87"/>
              </w:rPr>
              <w:t>Healthcare Providers and Services</w:t>
            </w:r>
          </w:p>
        </w:tc>
        <w:tc>
          <w:tcPr>
            <w:tcW w:w="120" w:type="dxa"/>
            <w:vAlign w:val="bottom"/>
          </w:tcPr>
          <w:p>
            <w:pPr>
              <w:spacing w:after="0"/>
              <w:rPr>
                <w:sz w:val="9"/>
                <w:szCs w:val="9"/>
                <w:color w:val="auto"/>
              </w:rPr>
            </w:pPr>
          </w:p>
        </w:tc>
        <w:tc>
          <w:tcPr>
            <w:tcW w:w="960" w:type="dxa"/>
            <w:vAlign w:val="bottom"/>
            <w:gridSpan w:val="2"/>
          </w:tcPr>
          <w:p>
            <w:pPr>
              <w:jc w:val="right"/>
              <w:ind w:right="260"/>
              <w:spacing w:after="0" w:line="115" w:lineRule="exact"/>
              <w:rPr>
                <w:sz w:val="20"/>
                <w:szCs w:val="20"/>
                <w:color w:val="auto"/>
              </w:rPr>
            </w:pPr>
            <w:r>
              <w:rPr>
                <w:rFonts w:ascii="Arial" w:cs="Arial" w:eastAsia="Arial" w:hAnsi="Arial"/>
                <w:sz w:val="11"/>
                <w:szCs w:val="11"/>
                <w:color w:val="auto"/>
              </w:rPr>
              <w:t>—</w:t>
            </w:r>
          </w:p>
        </w:tc>
        <w:tc>
          <w:tcPr>
            <w:tcW w:w="920" w:type="dxa"/>
            <w:vAlign w:val="bottom"/>
          </w:tcPr>
          <w:p>
            <w:pPr>
              <w:ind w:left="800"/>
              <w:spacing w:after="0" w:line="115" w:lineRule="exact"/>
              <w:rPr>
                <w:sz w:val="20"/>
                <w:szCs w:val="20"/>
                <w:color w:val="auto"/>
              </w:rPr>
            </w:pPr>
            <w:r>
              <w:rPr>
                <w:rFonts w:ascii="Arial" w:cs="Arial" w:eastAsia="Arial" w:hAnsi="Arial"/>
                <w:sz w:val="11"/>
                <w:szCs w:val="11"/>
                <w:color w:val="auto"/>
                <w:w w:val="90"/>
              </w:rPr>
              <w:t>—</w:t>
            </w:r>
          </w:p>
        </w:tc>
        <w:tc>
          <w:tcPr>
            <w:tcW w:w="90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4,678</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jc w:val="right"/>
              <w:spacing w:after="0" w:line="115" w:lineRule="exact"/>
              <w:rPr>
                <w:sz w:val="20"/>
                <w:szCs w:val="20"/>
                <w:color w:val="auto"/>
              </w:rPr>
            </w:pPr>
            <w:r>
              <w:rPr>
                <w:rFonts w:ascii="Arial" w:cs="Arial" w:eastAsia="Arial" w:hAnsi="Arial"/>
                <w:sz w:val="11"/>
                <w:szCs w:val="11"/>
                <w:color w:val="auto"/>
              </w:rPr>
              <w:t>5,000</w:t>
            </w: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jc w:val="right"/>
              <w:spacing w:after="0" w:line="115" w:lineRule="exact"/>
              <w:rPr>
                <w:sz w:val="20"/>
                <w:szCs w:val="20"/>
                <w:color w:val="auto"/>
              </w:rPr>
            </w:pPr>
            <w:r>
              <w:rPr>
                <w:rFonts w:ascii="Arial" w:cs="Arial" w:eastAsia="Arial" w:hAnsi="Arial"/>
                <w:sz w:val="11"/>
                <w:szCs w:val="11"/>
                <w:color w:val="auto"/>
              </w:rPr>
              <w:t>5,012</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14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By Light Investco LP </w:t>
            </w:r>
            <w:r>
              <w:rPr>
                <w:rFonts w:ascii="Arial" w:cs="Arial" w:eastAsia="Arial" w:hAnsi="Arial"/>
                <w:sz w:val="14"/>
                <w:szCs w:val="14"/>
                <w:color w:val="auto"/>
                <w:vertAlign w:val="superscript"/>
              </w:rPr>
              <w:t>(7), (8)</w:t>
            </w:r>
          </w:p>
        </w:tc>
        <w:tc>
          <w:tcPr>
            <w:tcW w:w="120" w:type="dxa"/>
            <w:vAlign w:val="bottom"/>
          </w:tcPr>
          <w:p>
            <w:pPr>
              <w:spacing w:after="0"/>
              <w:rPr>
                <w:sz w:val="11"/>
                <w:szCs w:val="11"/>
                <w:color w:val="auto"/>
              </w:rPr>
            </w:pPr>
          </w:p>
        </w:tc>
        <w:tc>
          <w:tcPr>
            <w:tcW w:w="680" w:type="dxa"/>
            <w:vAlign w:val="bottom"/>
          </w:tcPr>
          <w:p>
            <w:pPr>
              <w:ind w:left="56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1"/>
                <w:szCs w:val="11"/>
                <w:color w:val="auto"/>
              </w:rPr>
            </w:pPr>
          </w:p>
        </w:tc>
        <w:tc>
          <w:tcPr>
            <w:tcW w:w="2200" w:type="dxa"/>
            <w:vAlign w:val="bottom"/>
          </w:tcPr>
          <w:p>
            <w:pPr>
              <w:jc w:val="center"/>
              <w:spacing w:after="0"/>
              <w:rPr>
                <w:sz w:val="20"/>
                <w:szCs w:val="20"/>
                <w:color w:val="auto"/>
              </w:rPr>
            </w:pPr>
            <w:r>
              <w:rPr>
                <w:rFonts w:ascii="Arial" w:cs="Arial" w:eastAsia="Arial" w:hAnsi="Arial"/>
                <w:sz w:val="11"/>
                <w:szCs w:val="11"/>
                <w:color w:val="auto"/>
                <w:w w:val="91"/>
              </w:rPr>
              <w:t>High Tech Industries</w:t>
            </w:r>
          </w:p>
        </w:tc>
        <w:tc>
          <w:tcPr>
            <w:tcW w:w="120" w:type="dxa"/>
            <w:vAlign w:val="bottom"/>
          </w:tcPr>
          <w:p>
            <w:pPr>
              <w:spacing w:after="0"/>
              <w:rPr>
                <w:sz w:val="11"/>
                <w:szCs w:val="11"/>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Pr>
          <w:p>
            <w:pPr>
              <w:ind w:left="800"/>
              <w:spacing w:after="0"/>
              <w:rPr>
                <w:sz w:val="20"/>
                <w:szCs w:val="20"/>
                <w:color w:val="auto"/>
              </w:rPr>
            </w:pPr>
            <w:r>
              <w:rPr>
                <w:rFonts w:ascii="Arial" w:cs="Arial" w:eastAsia="Arial" w:hAnsi="Arial"/>
                <w:sz w:val="11"/>
                <w:szCs w:val="11"/>
                <w:color w:val="auto"/>
                <w:w w:val="90"/>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21,908</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17,197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3140" w:type="dxa"/>
            <w:vAlign w:val="bottom"/>
          </w:tcPr>
          <w:p>
            <w:pPr>
              <w:ind w:left="20"/>
              <w:spacing w:after="0"/>
              <w:rPr>
                <w:sz w:val="20"/>
                <w:szCs w:val="20"/>
                <w:color w:val="auto"/>
              </w:rPr>
            </w:pPr>
            <w:r>
              <w:rPr>
                <w:rFonts w:ascii="Arial" w:cs="Arial" w:eastAsia="Arial" w:hAnsi="Arial"/>
                <w:sz w:val="11"/>
                <w:szCs w:val="11"/>
                <w:color w:val="auto"/>
              </w:rPr>
              <w:t xml:space="preserve">By Light Investco LP </w:t>
            </w:r>
            <w:r>
              <w:rPr>
                <w:rFonts w:ascii="Arial" w:cs="Arial" w:eastAsia="Arial" w:hAnsi="Arial"/>
                <w:sz w:val="14"/>
                <w:szCs w:val="14"/>
                <w:color w:val="auto"/>
                <w:vertAlign w:val="superscript"/>
              </w:rPr>
              <w:t>(7), (8), (9)</w:t>
            </w:r>
          </w:p>
        </w:tc>
        <w:tc>
          <w:tcPr>
            <w:tcW w:w="120" w:type="dxa"/>
            <w:vAlign w:val="bottom"/>
          </w:tcPr>
          <w:p>
            <w:pPr>
              <w:spacing w:after="0"/>
              <w:rPr>
                <w:sz w:val="14"/>
                <w:szCs w:val="14"/>
                <w:color w:val="auto"/>
              </w:rPr>
            </w:pPr>
          </w:p>
        </w:tc>
        <w:tc>
          <w:tcPr>
            <w:tcW w:w="680" w:type="dxa"/>
            <w:vAlign w:val="bottom"/>
          </w:tcPr>
          <w:p>
            <w:pPr>
              <w:ind w:left="56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4"/>
                <w:szCs w:val="14"/>
                <w:color w:val="auto"/>
              </w:rPr>
            </w:pPr>
          </w:p>
        </w:tc>
        <w:tc>
          <w:tcPr>
            <w:tcW w:w="2200" w:type="dxa"/>
            <w:vAlign w:val="bottom"/>
          </w:tcPr>
          <w:p>
            <w:pPr>
              <w:jc w:val="center"/>
              <w:spacing w:after="0"/>
              <w:rPr>
                <w:sz w:val="20"/>
                <w:szCs w:val="20"/>
                <w:color w:val="auto"/>
              </w:rPr>
            </w:pPr>
            <w:r>
              <w:rPr>
                <w:rFonts w:ascii="Arial" w:cs="Arial" w:eastAsia="Arial" w:hAnsi="Arial"/>
                <w:sz w:val="11"/>
                <w:szCs w:val="11"/>
                <w:color w:val="auto"/>
                <w:w w:val="91"/>
              </w:rPr>
              <w:t>High Tech Industries</w:t>
            </w:r>
          </w:p>
        </w:tc>
        <w:tc>
          <w:tcPr>
            <w:tcW w:w="120" w:type="dxa"/>
            <w:vAlign w:val="bottom"/>
          </w:tcPr>
          <w:p>
            <w:pPr>
              <w:spacing w:after="0"/>
              <w:rPr>
                <w:sz w:val="14"/>
                <w:szCs w:val="14"/>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Pr>
          <w:p>
            <w:pPr>
              <w:ind w:left="800"/>
              <w:spacing w:after="0"/>
              <w:rPr>
                <w:sz w:val="20"/>
                <w:szCs w:val="20"/>
                <w:color w:val="auto"/>
              </w:rPr>
            </w:pPr>
            <w:r>
              <w:rPr>
                <w:rFonts w:ascii="Arial" w:cs="Arial" w:eastAsia="Arial" w:hAnsi="Arial"/>
                <w:sz w:val="11"/>
                <w:szCs w:val="11"/>
                <w:color w:val="auto"/>
                <w:w w:val="90"/>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7,401</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3140" w:type="dxa"/>
            <w:vAlign w:val="bottom"/>
            <w:shd w:val="clear" w:color="auto" w:fill="CCECFF"/>
          </w:tcPr>
          <w:p>
            <w:pPr>
              <w:ind w:left="20"/>
              <w:spacing w:after="0"/>
              <w:rPr>
                <w:sz w:val="20"/>
                <w:szCs w:val="20"/>
                <w:color w:val="auto"/>
              </w:rPr>
            </w:pPr>
            <w:r>
              <w:rPr>
                <w:rFonts w:ascii="Arial" w:cs="Arial" w:eastAsia="Arial" w:hAnsi="Arial"/>
                <w:sz w:val="11"/>
                <w:szCs w:val="11"/>
                <w:color w:val="auto"/>
              </w:rPr>
              <w:t>Cartessa Aesthetics, LLC</w:t>
            </w: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ind w:left="560"/>
              <w:spacing w:after="0"/>
              <w:rPr>
                <w:sz w:val="20"/>
                <w:szCs w:val="20"/>
                <w:color w:val="auto"/>
              </w:rPr>
            </w:pPr>
            <w:r>
              <w:rPr>
                <w:rFonts w:ascii="Arial" w:cs="Arial" w:eastAsia="Arial" w:hAnsi="Arial"/>
                <w:sz w:val="11"/>
                <w:szCs w:val="11"/>
                <w:color w:val="auto"/>
                <w:w w:val="90"/>
              </w:rPr>
              <w:t>—</w:t>
            </w:r>
          </w:p>
        </w:tc>
        <w:tc>
          <w:tcPr>
            <w:tcW w:w="260" w:type="dxa"/>
            <w:vAlign w:val="bottom"/>
            <w:shd w:val="clear" w:color="auto" w:fill="CCECFF"/>
          </w:tcPr>
          <w:p>
            <w:pPr>
              <w:spacing w:after="0"/>
              <w:rPr>
                <w:sz w:val="11"/>
                <w:szCs w:val="11"/>
                <w:color w:val="auto"/>
              </w:rPr>
            </w:pPr>
          </w:p>
        </w:tc>
        <w:tc>
          <w:tcPr>
            <w:tcW w:w="22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3"/>
              </w:rPr>
              <w:t>Distributors</w:t>
            </w:r>
          </w:p>
        </w:tc>
        <w:tc>
          <w:tcPr>
            <w:tcW w:w="12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shd w:val="clear" w:color="auto" w:fill="CCECFF"/>
          </w:tcPr>
          <w:p>
            <w:pPr>
              <w:ind w:left="800"/>
              <w:spacing w:after="0"/>
              <w:rPr>
                <w:sz w:val="20"/>
                <w:szCs w:val="20"/>
                <w:color w:val="auto"/>
              </w:rPr>
            </w:pPr>
            <w:r>
              <w:rPr>
                <w:rFonts w:ascii="Arial" w:cs="Arial" w:eastAsia="Arial" w:hAnsi="Arial"/>
                <w:sz w:val="11"/>
                <w:szCs w:val="11"/>
                <w:color w:val="auto"/>
                <w:w w:val="90"/>
              </w:rPr>
              <w:t>—</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1,437,500</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1,438</w:t>
            </w:r>
          </w:p>
        </w:tc>
        <w:tc>
          <w:tcPr>
            <w:tcW w:w="2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1,438</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3140" w:type="dxa"/>
            <w:vAlign w:val="bottom"/>
          </w:tcPr>
          <w:p>
            <w:pPr>
              <w:ind w:left="20"/>
              <w:spacing w:after="0" w:line="105" w:lineRule="exact"/>
              <w:rPr>
                <w:sz w:val="20"/>
                <w:szCs w:val="20"/>
                <w:color w:val="auto"/>
              </w:rPr>
            </w:pPr>
            <w:r>
              <w:rPr>
                <w:rFonts w:ascii="Arial" w:cs="Arial" w:eastAsia="Arial" w:hAnsi="Arial"/>
                <w:sz w:val="11"/>
                <w:szCs w:val="11"/>
                <w:color w:val="auto"/>
              </w:rPr>
              <w:t>CI (Allied) Investment Holdings, LLC</w:t>
            </w:r>
          </w:p>
        </w:tc>
        <w:tc>
          <w:tcPr>
            <w:tcW w:w="120" w:type="dxa"/>
            <w:vAlign w:val="bottom"/>
          </w:tcPr>
          <w:p>
            <w:pPr>
              <w:spacing w:after="0"/>
              <w:rPr>
                <w:sz w:val="9"/>
                <w:szCs w:val="9"/>
                <w:color w:val="auto"/>
              </w:rPr>
            </w:pPr>
          </w:p>
        </w:tc>
        <w:tc>
          <w:tcPr>
            <w:tcW w:w="680" w:type="dxa"/>
            <w:vAlign w:val="bottom"/>
          </w:tcPr>
          <w:p>
            <w:pPr>
              <w:ind w:left="560"/>
              <w:spacing w:after="0" w:line="105" w:lineRule="exact"/>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9"/>
                <w:szCs w:val="9"/>
                <w:color w:val="auto"/>
              </w:rPr>
            </w:pPr>
          </w:p>
        </w:tc>
        <w:tc>
          <w:tcPr>
            <w:tcW w:w="2200" w:type="dxa"/>
            <w:vAlign w:val="bottom"/>
          </w:tcPr>
          <w:p>
            <w:pPr>
              <w:jc w:val="center"/>
              <w:spacing w:after="0" w:line="105" w:lineRule="exact"/>
              <w:rPr>
                <w:sz w:val="20"/>
                <w:szCs w:val="20"/>
                <w:color w:val="auto"/>
              </w:rPr>
            </w:pPr>
            <w:r>
              <w:rPr>
                <w:rFonts w:ascii="Arial" w:cs="Arial" w:eastAsia="Arial" w:hAnsi="Arial"/>
                <w:sz w:val="11"/>
                <w:szCs w:val="11"/>
                <w:color w:val="auto"/>
                <w:w w:val="84"/>
              </w:rPr>
              <w:t>Business Services</w:t>
            </w:r>
          </w:p>
        </w:tc>
        <w:tc>
          <w:tcPr>
            <w:tcW w:w="120" w:type="dxa"/>
            <w:vAlign w:val="bottom"/>
          </w:tcPr>
          <w:p>
            <w:pPr>
              <w:spacing w:after="0"/>
              <w:rPr>
                <w:sz w:val="9"/>
                <w:szCs w:val="9"/>
                <w:color w:val="auto"/>
              </w:rPr>
            </w:pPr>
          </w:p>
        </w:tc>
        <w:tc>
          <w:tcPr>
            <w:tcW w:w="960" w:type="dxa"/>
            <w:vAlign w:val="bottom"/>
            <w:gridSpan w:val="2"/>
          </w:tcPr>
          <w:p>
            <w:pPr>
              <w:jc w:val="right"/>
              <w:ind w:right="260"/>
              <w:spacing w:after="0" w:line="105" w:lineRule="exact"/>
              <w:rPr>
                <w:sz w:val="20"/>
                <w:szCs w:val="20"/>
                <w:color w:val="auto"/>
              </w:rPr>
            </w:pPr>
            <w:r>
              <w:rPr>
                <w:rFonts w:ascii="Arial" w:cs="Arial" w:eastAsia="Arial" w:hAnsi="Arial"/>
                <w:sz w:val="11"/>
                <w:szCs w:val="11"/>
                <w:color w:val="auto"/>
              </w:rPr>
              <w:t>—</w:t>
            </w:r>
          </w:p>
        </w:tc>
        <w:tc>
          <w:tcPr>
            <w:tcW w:w="920" w:type="dxa"/>
            <w:vAlign w:val="bottom"/>
          </w:tcPr>
          <w:p>
            <w:pPr>
              <w:ind w:left="800"/>
              <w:spacing w:after="0" w:line="105" w:lineRule="exact"/>
              <w:rPr>
                <w:sz w:val="20"/>
                <w:szCs w:val="20"/>
                <w:color w:val="auto"/>
              </w:rPr>
            </w:pPr>
            <w:r>
              <w:rPr>
                <w:rFonts w:ascii="Arial" w:cs="Arial" w:eastAsia="Arial" w:hAnsi="Arial"/>
                <w:sz w:val="11"/>
                <w:szCs w:val="11"/>
                <w:color w:val="auto"/>
                <w:w w:val="90"/>
              </w:rPr>
              <w:t>—</w:t>
            </w:r>
          </w:p>
        </w:tc>
        <w:tc>
          <w:tcPr>
            <w:tcW w:w="900" w:type="dxa"/>
            <w:vAlign w:val="bottom"/>
            <w:gridSpan w:val="2"/>
          </w:tcPr>
          <w:p>
            <w:pPr>
              <w:jc w:val="right"/>
              <w:spacing w:after="0" w:line="105" w:lineRule="exact"/>
              <w:rPr>
                <w:sz w:val="20"/>
                <w:szCs w:val="20"/>
                <w:color w:val="auto"/>
              </w:rPr>
            </w:pPr>
            <w:r>
              <w:rPr>
                <w:rFonts w:ascii="Arial" w:cs="Arial" w:eastAsia="Arial" w:hAnsi="Arial"/>
                <w:sz w:val="11"/>
                <w:szCs w:val="11"/>
                <w:color w:val="auto"/>
              </w:rPr>
              <w:t>120,962</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jc w:val="right"/>
              <w:spacing w:after="0" w:line="105" w:lineRule="exact"/>
              <w:rPr>
                <w:sz w:val="20"/>
                <w:szCs w:val="20"/>
                <w:color w:val="auto"/>
              </w:rPr>
            </w:pPr>
            <w:r>
              <w:rPr>
                <w:rFonts w:ascii="Arial" w:cs="Arial" w:eastAsia="Arial" w:hAnsi="Arial"/>
                <w:sz w:val="11"/>
                <w:szCs w:val="11"/>
                <w:color w:val="auto"/>
              </w:rPr>
              <w:t>1,243</w:t>
            </w: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jc w:val="right"/>
              <w:spacing w:after="0" w:line="105" w:lineRule="exact"/>
              <w:rPr>
                <w:sz w:val="20"/>
                <w:szCs w:val="20"/>
                <w:color w:val="auto"/>
              </w:rPr>
            </w:pPr>
            <w:r>
              <w:rPr>
                <w:rFonts w:ascii="Arial" w:cs="Arial" w:eastAsia="Arial" w:hAnsi="Arial"/>
                <w:sz w:val="11"/>
                <w:szCs w:val="11"/>
                <w:color w:val="auto"/>
              </w:rPr>
              <w:t>882</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140" w:type="dxa"/>
            <w:vAlign w:val="bottom"/>
          </w:tcPr>
          <w:p>
            <w:pPr>
              <w:ind w:left="100"/>
              <w:spacing w:after="0" w:line="135" w:lineRule="exact"/>
              <w:rPr>
                <w:sz w:val="20"/>
                <w:szCs w:val="20"/>
                <w:color w:val="auto"/>
              </w:rPr>
            </w:pPr>
            <w:r>
              <w:rPr>
                <w:rFonts w:ascii="Arial" w:cs="Arial" w:eastAsia="Arial" w:hAnsi="Arial"/>
                <w:sz w:val="11"/>
                <w:szCs w:val="11"/>
                <w:color w:val="auto"/>
              </w:rPr>
              <w:t xml:space="preserve">(PRA Events, Inc.) </w:t>
            </w:r>
            <w:r>
              <w:rPr>
                <w:rFonts w:ascii="Arial" w:cs="Arial" w:eastAsia="Arial" w:hAnsi="Arial"/>
                <w:sz w:val="14"/>
                <w:szCs w:val="14"/>
                <w:color w:val="auto"/>
                <w:vertAlign w:val="superscript"/>
              </w:rPr>
              <w:t>(7), (8)</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4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Connatix Parent, LLC </w:t>
            </w:r>
            <w:r>
              <w:rPr>
                <w:rFonts w:ascii="Arial" w:cs="Arial" w:eastAsia="Arial" w:hAnsi="Arial"/>
                <w:sz w:val="14"/>
                <w:szCs w:val="14"/>
                <w:color w:val="auto"/>
                <w:vertAlign w:val="superscript"/>
              </w:rPr>
              <w:t>(7)</w:t>
            </w:r>
          </w:p>
        </w:tc>
        <w:tc>
          <w:tcPr>
            <w:tcW w:w="120" w:type="dxa"/>
            <w:vAlign w:val="bottom"/>
          </w:tcPr>
          <w:p>
            <w:pPr>
              <w:spacing w:after="0"/>
              <w:rPr>
                <w:sz w:val="11"/>
                <w:szCs w:val="11"/>
                <w:color w:val="auto"/>
              </w:rPr>
            </w:pPr>
          </w:p>
        </w:tc>
        <w:tc>
          <w:tcPr>
            <w:tcW w:w="680" w:type="dxa"/>
            <w:vAlign w:val="bottom"/>
          </w:tcPr>
          <w:p>
            <w:pPr>
              <w:ind w:left="56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1"/>
                <w:szCs w:val="11"/>
                <w:color w:val="auto"/>
              </w:rPr>
            </w:pPr>
          </w:p>
        </w:tc>
        <w:tc>
          <w:tcPr>
            <w:tcW w:w="220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120" w:type="dxa"/>
            <w:vAlign w:val="bottom"/>
          </w:tcPr>
          <w:p>
            <w:pPr>
              <w:spacing w:after="0"/>
              <w:rPr>
                <w:sz w:val="11"/>
                <w:szCs w:val="11"/>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Pr>
          <w:p>
            <w:pPr>
              <w:ind w:left="800"/>
              <w:spacing w:after="0"/>
              <w:rPr>
                <w:sz w:val="20"/>
                <w:szCs w:val="20"/>
                <w:color w:val="auto"/>
              </w:rPr>
            </w:pPr>
            <w:r>
              <w:rPr>
                <w:rFonts w:ascii="Arial" w:cs="Arial" w:eastAsia="Arial" w:hAnsi="Arial"/>
                <w:sz w:val="11"/>
                <w:szCs w:val="11"/>
                <w:color w:val="auto"/>
                <w:w w:val="90"/>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38,278</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421</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499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4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Crane 1 Acquisition Parent Holdings, L.P. </w:t>
            </w:r>
            <w:r>
              <w:rPr>
                <w:rFonts w:ascii="Arial" w:cs="Arial" w:eastAsia="Arial" w:hAnsi="Arial"/>
                <w:sz w:val="14"/>
                <w:szCs w:val="14"/>
                <w:color w:val="auto"/>
                <w:vertAlign w:val="superscript"/>
              </w:rPr>
              <w:t>(7)</w:t>
            </w:r>
          </w:p>
        </w:tc>
        <w:tc>
          <w:tcPr>
            <w:tcW w:w="120" w:type="dxa"/>
            <w:vAlign w:val="bottom"/>
          </w:tcPr>
          <w:p>
            <w:pPr>
              <w:spacing w:after="0"/>
              <w:rPr>
                <w:sz w:val="11"/>
                <w:szCs w:val="11"/>
                <w:color w:val="auto"/>
              </w:rPr>
            </w:pPr>
          </w:p>
        </w:tc>
        <w:tc>
          <w:tcPr>
            <w:tcW w:w="680" w:type="dxa"/>
            <w:vAlign w:val="bottom"/>
          </w:tcPr>
          <w:p>
            <w:pPr>
              <w:ind w:left="56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1"/>
                <w:szCs w:val="11"/>
                <w:color w:val="auto"/>
              </w:rPr>
            </w:pPr>
          </w:p>
        </w:tc>
        <w:tc>
          <w:tcPr>
            <w:tcW w:w="2200" w:type="dxa"/>
            <w:vAlign w:val="bottom"/>
          </w:tcPr>
          <w:p>
            <w:pPr>
              <w:jc w:val="center"/>
              <w:spacing w:after="0"/>
              <w:rPr>
                <w:sz w:val="20"/>
                <w:szCs w:val="20"/>
                <w:color w:val="auto"/>
              </w:rPr>
            </w:pPr>
            <w:r>
              <w:rPr>
                <w:rFonts w:ascii="Arial" w:cs="Arial" w:eastAsia="Arial" w:hAnsi="Arial"/>
                <w:sz w:val="11"/>
                <w:szCs w:val="11"/>
                <w:color w:val="auto"/>
                <w:w w:val="90"/>
              </w:rPr>
              <w:t>Commercial Services &amp; Supplies</w:t>
            </w:r>
          </w:p>
        </w:tc>
        <w:tc>
          <w:tcPr>
            <w:tcW w:w="120" w:type="dxa"/>
            <w:vAlign w:val="bottom"/>
          </w:tcPr>
          <w:p>
            <w:pPr>
              <w:spacing w:after="0"/>
              <w:rPr>
                <w:sz w:val="11"/>
                <w:szCs w:val="11"/>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Pr>
          <w:p>
            <w:pPr>
              <w:ind w:left="800"/>
              <w:spacing w:after="0"/>
              <w:rPr>
                <w:sz w:val="20"/>
                <w:szCs w:val="20"/>
                <w:color w:val="auto"/>
              </w:rPr>
            </w:pPr>
            <w:r>
              <w:rPr>
                <w:rFonts w:ascii="Arial" w:cs="Arial" w:eastAsia="Arial" w:hAnsi="Arial"/>
                <w:sz w:val="11"/>
                <w:szCs w:val="11"/>
                <w:color w:val="auto"/>
                <w:w w:val="90"/>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130</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120</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146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4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Crash Champions Holdings, LLC </w:t>
            </w:r>
            <w:r>
              <w:rPr>
                <w:rFonts w:ascii="Arial" w:cs="Arial" w:eastAsia="Arial" w:hAnsi="Arial"/>
                <w:sz w:val="14"/>
                <w:szCs w:val="14"/>
                <w:color w:val="auto"/>
                <w:vertAlign w:val="superscript"/>
              </w:rPr>
              <w:t>(7),(8)</w:t>
            </w:r>
          </w:p>
        </w:tc>
        <w:tc>
          <w:tcPr>
            <w:tcW w:w="120" w:type="dxa"/>
            <w:vAlign w:val="bottom"/>
          </w:tcPr>
          <w:p>
            <w:pPr>
              <w:spacing w:after="0"/>
              <w:rPr>
                <w:sz w:val="11"/>
                <w:szCs w:val="11"/>
                <w:color w:val="auto"/>
              </w:rPr>
            </w:pPr>
          </w:p>
        </w:tc>
        <w:tc>
          <w:tcPr>
            <w:tcW w:w="680" w:type="dxa"/>
            <w:vAlign w:val="bottom"/>
          </w:tcPr>
          <w:p>
            <w:pPr>
              <w:ind w:left="56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1"/>
                <w:szCs w:val="11"/>
                <w:color w:val="auto"/>
              </w:rPr>
            </w:pPr>
          </w:p>
        </w:tc>
        <w:tc>
          <w:tcPr>
            <w:tcW w:w="2200" w:type="dxa"/>
            <w:vAlign w:val="bottom"/>
          </w:tcPr>
          <w:p>
            <w:pPr>
              <w:jc w:val="center"/>
              <w:spacing w:after="0"/>
              <w:rPr>
                <w:sz w:val="20"/>
                <w:szCs w:val="20"/>
                <w:color w:val="auto"/>
              </w:rPr>
            </w:pPr>
            <w:r>
              <w:rPr>
                <w:rFonts w:ascii="Arial" w:cs="Arial" w:eastAsia="Arial" w:hAnsi="Arial"/>
                <w:sz w:val="11"/>
                <w:szCs w:val="11"/>
                <w:color w:val="auto"/>
                <w:w w:val="92"/>
              </w:rPr>
              <w:t>Automobiles</w:t>
            </w:r>
          </w:p>
        </w:tc>
        <w:tc>
          <w:tcPr>
            <w:tcW w:w="120" w:type="dxa"/>
            <w:vAlign w:val="bottom"/>
          </w:tcPr>
          <w:p>
            <w:pPr>
              <w:spacing w:after="0"/>
              <w:rPr>
                <w:sz w:val="11"/>
                <w:szCs w:val="11"/>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Pr>
          <w:p>
            <w:pPr>
              <w:ind w:left="800"/>
              <w:spacing w:after="0"/>
              <w:rPr>
                <w:sz w:val="20"/>
                <w:szCs w:val="20"/>
                <w:color w:val="auto"/>
              </w:rPr>
            </w:pPr>
            <w:r>
              <w:rPr>
                <w:rFonts w:ascii="Arial" w:cs="Arial" w:eastAsia="Arial" w:hAnsi="Arial"/>
                <w:sz w:val="11"/>
                <w:szCs w:val="11"/>
                <w:color w:val="auto"/>
                <w:w w:val="90"/>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75</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678</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1,321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4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Delta InvestCo LP (Sigma Defense Systems, LLC) </w:t>
            </w:r>
            <w:r>
              <w:rPr>
                <w:rFonts w:ascii="Arial" w:cs="Arial" w:eastAsia="Arial" w:hAnsi="Arial"/>
                <w:sz w:val="14"/>
                <w:szCs w:val="14"/>
                <w:color w:val="auto"/>
                <w:vertAlign w:val="superscript"/>
              </w:rPr>
              <w:t>(7), (8)</w:t>
            </w:r>
          </w:p>
        </w:tc>
        <w:tc>
          <w:tcPr>
            <w:tcW w:w="120" w:type="dxa"/>
            <w:vAlign w:val="bottom"/>
          </w:tcPr>
          <w:p>
            <w:pPr>
              <w:spacing w:after="0"/>
              <w:rPr>
                <w:sz w:val="11"/>
                <w:szCs w:val="11"/>
                <w:color w:val="auto"/>
              </w:rPr>
            </w:pPr>
          </w:p>
        </w:tc>
        <w:tc>
          <w:tcPr>
            <w:tcW w:w="680" w:type="dxa"/>
            <w:vAlign w:val="bottom"/>
          </w:tcPr>
          <w:p>
            <w:pPr>
              <w:ind w:left="56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1"/>
                <w:szCs w:val="11"/>
                <w:color w:val="auto"/>
              </w:rPr>
            </w:pPr>
          </w:p>
        </w:tc>
        <w:tc>
          <w:tcPr>
            <w:tcW w:w="2200" w:type="dxa"/>
            <w:vAlign w:val="bottom"/>
          </w:tcPr>
          <w:p>
            <w:pPr>
              <w:jc w:val="center"/>
              <w:spacing w:after="0"/>
              <w:rPr>
                <w:sz w:val="20"/>
                <w:szCs w:val="20"/>
                <w:color w:val="auto"/>
              </w:rPr>
            </w:pPr>
            <w:r>
              <w:rPr>
                <w:rFonts w:ascii="Arial" w:cs="Arial" w:eastAsia="Arial" w:hAnsi="Arial"/>
                <w:sz w:val="11"/>
                <w:szCs w:val="11"/>
                <w:color w:val="auto"/>
                <w:w w:val="87"/>
              </w:rPr>
              <w:t>IT Services</w:t>
            </w:r>
          </w:p>
        </w:tc>
        <w:tc>
          <w:tcPr>
            <w:tcW w:w="120" w:type="dxa"/>
            <w:vAlign w:val="bottom"/>
          </w:tcPr>
          <w:p>
            <w:pPr>
              <w:spacing w:after="0"/>
              <w:rPr>
                <w:sz w:val="11"/>
                <w:szCs w:val="11"/>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Pr>
          <w:p>
            <w:pPr>
              <w:ind w:left="800"/>
              <w:spacing w:after="0"/>
              <w:rPr>
                <w:sz w:val="20"/>
                <w:szCs w:val="20"/>
                <w:color w:val="auto"/>
              </w:rPr>
            </w:pPr>
            <w:r>
              <w:rPr>
                <w:rFonts w:ascii="Arial" w:cs="Arial" w:eastAsia="Arial" w:hAnsi="Arial"/>
                <w:sz w:val="11"/>
                <w:szCs w:val="11"/>
                <w:color w:val="auto"/>
                <w:w w:val="90"/>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615,484</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602</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1,120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4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Delta InvestCo LP (Sigma Defense Systems, LLC) </w:t>
            </w:r>
            <w:r>
              <w:rPr>
                <w:rFonts w:ascii="Arial" w:cs="Arial" w:eastAsia="Arial" w:hAnsi="Arial"/>
                <w:sz w:val="14"/>
                <w:szCs w:val="14"/>
                <w:color w:val="auto"/>
                <w:vertAlign w:val="superscript"/>
              </w:rPr>
              <w:t>(7), (8),(9)</w:t>
            </w:r>
          </w:p>
        </w:tc>
        <w:tc>
          <w:tcPr>
            <w:tcW w:w="120" w:type="dxa"/>
            <w:vAlign w:val="bottom"/>
          </w:tcPr>
          <w:p>
            <w:pPr>
              <w:spacing w:after="0"/>
              <w:rPr>
                <w:sz w:val="11"/>
                <w:szCs w:val="11"/>
                <w:color w:val="auto"/>
              </w:rPr>
            </w:pPr>
          </w:p>
        </w:tc>
        <w:tc>
          <w:tcPr>
            <w:tcW w:w="680" w:type="dxa"/>
            <w:vAlign w:val="bottom"/>
          </w:tcPr>
          <w:p>
            <w:pPr>
              <w:ind w:left="56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1"/>
                <w:szCs w:val="11"/>
                <w:color w:val="auto"/>
              </w:rPr>
            </w:pPr>
          </w:p>
        </w:tc>
        <w:tc>
          <w:tcPr>
            <w:tcW w:w="2200" w:type="dxa"/>
            <w:vAlign w:val="bottom"/>
          </w:tcPr>
          <w:p>
            <w:pPr>
              <w:jc w:val="center"/>
              <w:spacing w:after="0"/>
              <w:rPr>
                <w:sz w:val="20"/>
                <w:szCs w:val="20"/>
                <w:color w:val="auto"/>
              </w:rPr>
            </w:pPr>
            <w:r>
              <w:rPr>
                <w:rFonts w:ascii="Arial" w:cs="Arial" w:eastAsia="Arial" w:hAnsi="Arial"/>
                <w:sz w:val="11"/>
                <w:szCs w:val="11"/>
                <w:color w:val="auto"/>
                <w:w w:val="87"/>
              </w:rPr>
              <w:t>IT Services</w:t>
            </w:r>
          </w:p>
        </w:tc>
        <w:tc>
          <w:tcPr>
            <w:tcW w:w="120" w:type="dxa"/>
            <w:vAlign w:val="bottom"/>
          </w:tcPr>
          <w:p>
            <w:pPr>
              <w:spacing w:after="0"/>
              <w:rPr>
                <w:sz w:val="11"/>
                <w:szCs w:val="11"/>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Pr>
          <w:p>
            <w:pPr>
              <w:ind w:left="800"/>
              <w:spacing w:after="0"/>
              <w:rPr>
                <w:sz w:val="20"/>
                <w:szCs w:val="20"/>
                <w:color w:val="auto"/>
              </w:rPr>
            </w:pPr>
            <w:r>
              <w:rPr>
                <w:rFonts w:ascii="Arial" w:cs="Arial" w:eastAsia="Arial" w:hAnsi="Arial"/>
                <w:sz w:val="11"/>
                <w:szCs w:val="11"/>
                <w:color w:val="auto"/>
                <w:w w:val="90"/>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389,386</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8"/>
        </w:trPr>
        <w:tc>
          <w:tcPr>
            <w:tcW w:w="3140" w:type="dxa"/>
            <w:vAlign w:val="bottom"/>
          </w:tcPr>
          <w:p>
            <w:pPr>
              <w:ind w:left="20"/>
              <w:spacing w:after="0" w:line="129" w:lineRule="exact"/>
              <w:rPr>
                <w:sz w:val="20"/>
                <w:szCs w:val="20"/>
                <w:color w:val="auto"/>
              </w:rPr>
            </w:pPr>
            <w:r>
              <w:rPr>
                <w:rFonts w:ascii="Arial" w:cs="Arial" w:eastAsia="Arial" w:hAnsi="Arial"/>
                <w:sz w:val="11"/>
                <w:szCs w:val="11"/>
                <w:color w:val="auto"/>
              </w:rPr>
              <w:t xml:space="preserve">ECM Investors, LLC </w:t>
            </w:r>
            <w:r>
              <w:rPr>
                <w:rFonts w:ascii="Arial" w:cs="Arial" w:eastAsia="Arial" w:hAnsi="Arial"/>
                <w:sz w:val="14"/>
                <w:szCs w:val="14"/>
                <w:color w:val="auto"/>
                <w:vertAlign w:val="superscript"/>
              </w:rPr>
              <w:t>(7), (8)</w:t>
            </w:r>
          </w:p>
        </w:tc>
        <w:tc>
          <w:tcPr>
            <w:tcW w:w="120" w:type="dxa"/>
            <w:vAlign w:val="bottom"/>
          </w:tcPr>
          <w:p>
            <w:pPr>
              <w:spacing w:after="0"/>
              <w:rPr>
                <w:sz w:val="11"/>
                <w:szCs w:val="11"/>
                <w:color w:val="auto"/>
              </w:rPr>
            </w:pPr>
          </w:p>
        </w:tc>
        <w:tc>
          <w:tcPr>
            <w:tcW w:w="680" w:type="dxa"/>
            <w:vAlign w:val="bottom"/>
          </w:tcPr>
          <w:p>
            <w:pPr>
              <w:ind w:left="56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1"/>
                <w:szCs w:val="11"/>
                <w:color w:val="auto"/>
              </w:rPr>
            </w:pPr>
          </w:p>
        </w:tc>
        <w:tc>
          <w:tcPr>
            <w:tcW w:w="2200" w:type="dxa"/>
            <w:vAlign w:val="bottom"/>
          </w:tcPr>
          <w:p>
            <w:pPr>
              <w:jc w:val="center"/>
              <w:spacing w:after="0"/>
              <w:rPr>
                <w:sz w:val="20"/>
                <w:szCs w:val="20"/>
                <w:color w:val="auto"/>
              </w:rPr>
            </w:pPr>
            <w:r>
              <w:rPr>
                <w:rFonts w:ascii="Arial" w:cs="Arial" w:eastAsia="Arial" w:hAnsi="Arial"/>
                <w:sz w:val="11"/>
                <w:szCs w:val="11"/>
                <w:color w:val="auto"/>
                <w:w w:val="89"/>
              </w:rPr>
              <w:t>Electronic Equipment, Instruments, and</w:t>
            </w:r>
          </w:p>
        </w:tc>
        <w:tc>
          <w:tcPr>
            <w:tcW w:w="120" w:type="dxa"/>
            <w:vAlign w:val="bottom"/>
          </w:tcPr>
          <w:p>
            <w:pPr>
              <w:spacing w:after="0"/>
              <w:rPr>
                <w:sz w:val="11"/>
                <w:szCs w:val="11"/>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Pr>
          <w:p>
            <w:pPr>
              <w:ind w:left="800"/>
              <w:spacing w:after="0"/>
              <w:rPr>
                <w:sz w:val="20"/>
                <w:szCs w:val="20"/>
                <w:color w:val="auto"/>
              </w:rPr>
            </w:pPr>
            <w:r>
              <w:rPr>
                <w:rFonts w:ascii="Arial" w:cs="Arial" w:eastAsia="Arial" w:hAnsi="Arial"/>
                <w:sz w:val="11"/>
                <w:szCs w:val="11"/>
                <w:color w:val="auto"/>
                <w:w w:val="90"/>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295,982</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65</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737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40" w:type="dxa"/>
            <w:vAlign w:val="bottom"/>
            <w:vMerge w:val="restart"/>
          </w:tcPr>
          <w:p>
            <w:pPr>
              <w:ind w:left="20"/>
              <w:spacing w:after="0"/>
              <w:rPr>
                <w:sz w:val="20"/>
                <w:szCs w:val="20"/>
                <w:color w:val="auto"/>
              </w:rPr>
            </w:pPr>
            <w:r>
              <w:rPr>
                <w:rFonts w:ascii="Arial" w:cs="Arial" w:eastAsia="Arial" w:hAnsi="Arial"/>
                <w:sz w:val="11"/>
                <w:szCs w:val="11"/>
                <w:color w:val="auto"/>
              </w:rPr>
              <w:t xml:space="preserve">eCommission Holding Corporation </w:t>
            </w:r>
            <w:r>
              <w:rPr>
                <w:rFonts w:ascii="Arial" w:cs="Arial" w:eastAsia="Arial" w:hAnsi="Arial"/>
                <w:sz w:val="14"/>
                <w:szCs w:val="14"/>
                <w:color w:val="auto"/>
                <w:vertAlign w:val="superscript"/>
              </w:rPr>
              <w:t>(7), (10)</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0" w:type="dxa"/>
            <w:vAlign w:val="bottom"/>
          </w:tcPr>
          <w:p>
            <w:pPr>
              <w:jc w:val="center"/>
              <w:spacing w:after="0"/>
              <w:rPr>
                <w:sz w:val="20"/>
                <w:szCs w:val="20"/>
                <w:color w:val="auto"/>
              </w:rPr>
            </w:pPr>
            <w:r>
              <w:rPr>
                <w:rFonts w:ascii="Arial" w:cs="Arial" w:eastAsia="Arial" w:hAnsi="Arial"/>
                <w:sz w:val="11"/>
                <w:szCs w:val="11"/>
                <w:color w:val="auto"/>
                <w:w w:val="89"/>
              </w:rPr>
              <w:t>Components</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ind w:left="56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1"/>
                <w:szCs w:val="11"/>
                <w:color w:val="auto"/>
              </w:rPr>
            </w:pPr>
          </w:p>
        </w:tc>
        <w:tc>
          <w:tcPr>
            <w:tcW w:w="2200" w:type="dxa"/>
            <w:vAlign w:val="bottom"/>
          </w:tcPr>
          <w:p>
            <w:pPr>
              <w:jc w:val="center"/>
              <w:spacing w:after="0"/>
              <w:rPr>
                <w:sz w:val="20"/>
                <w:szCs w:val="20"/>
                <w:color w:val="auto"/>
              </w:rPr>
            </w:pPr>
            <w:r>
              <w:rPr>
                <w:rFonts w:ascii="Arial" w:cs="Arial" w:eastAsia="Arial" w:hAnsi="Arial"/>
                <w:sz w:val="11"/>
                <w:szCs w:val="11"/>
                <w:color w:val="auto"/>
                <w:w w:val="89"/>
              </w:rPr>
              <w:t>Banking, Finance, Insurance &amp; Real Estate</w:t>
            </w:r>
          </w:p>
        </w:tc>
        <w:tc>
          <w:tcPr>
            <w:tcW w:w="120" w:type="dxa"/>
            <w:vAlign w:val="bottom"/>
          </w:tcPr>
          <w:p>
            <w:pPr>
              <w:spacing w:after="0"/>
              <w:rPr>
                <w:sz w:val="11"/>
                <w:szCs w:val="11"/>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Pr>
          <w:p>
            <w:pPr>
              <w:ind w:left="800"/>
              <w:spacing w:after="0"/>
              <w:rPr>
                <w:sz w:val="20"/>
                <w:szCs w:val="20"/>
                <w:color w:val="auto"/>
              </w:rPr>
            </w:pPr>
            <w:r>
              <w:rPr>
                <w:rFonts w:ascii="Arial" w:cs="Arial" w:eastAsia="Arial" w:hAnsi="Arial"/>
                <w:sz w:val="11"/>
                <w:szCs w:val="11"/>
                <w:color w:val="auto"/>
                <w:w w:val="90"/>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20</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251</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331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3140" w:type="dxa"/>
            <w:vAlign w:val="bottom"/>
          </w:tcPr>
          <w:p>
            <w:pPr>
              <w:ind w:left="20"/>
              <w:spacing w:after="0" w:line="115" w:lineRule="exact"/>
              <w:rPr>
                <w:sz w:val="20"/>
                <w:szCs w:val="20"/>
                <w:color w:val="auto"/>
              </w:rPr>
            </w:pPr>
            <w:r>
              <w:rPr>
                <w:rFonts w:ascii="Arial" w:cs="Arial" w:eastAsia="Arial" w:hAnsi="Arial"/>
                <w:sz w:val="11"/>
                <w:szCs w:val="11"/>
                <w:color w:val="auto"/>
              </w:rPr>
              <w:t>Exigo, LLC</w:t>
            </w:r>
          </w:p>
        </w:tc>
        <w:tc>
          <w:tcPr>
            <w:tcW w:w="120" w:type="dxa"/>
            <w:vAlign w:val="bottom"/>
          </w:tcPr>
          <w:p>
            <w:pPr>
              <w:spacing w:after="0"/>
              <w:rPr>
                <w:sz w:val="9"/>
                <w:szCs w:val="9"/>
                <w:color w:val="auto"/>
              </w:rPr>
            </w:pPr>
          </w:p>
        </w:tc>
        <w:tc>
          <w:tcPr>
            <w:tcW w:w="680" w:type="dxa"/>
            <w:vAlign w:val="bottom"/>
          </w:tcPr>
          <w:p>
            <w:pPr>
              <w:ind w:left="560"/>
              <w:spacing w:after="0" w:line="115" w:lineRule="exact"/>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9"/>
                <w:szCs w:val="9"/>
                <w:color w:val="auto"/>
              </w:rPr>
            </w:pPr>
          </w:p>
        </w:tc>
        <w:tc>
          <w:tcPr>
            <w:tcW w:w="2200" w:type="dxa"/>
            <w:vAlign w:val="bottom"/>
          </w:tcPr>
          <w:p>
            <w:pPr>
              <w:jc w:val="center"/>
              <w:spacing w:after="0" w:line="115" w:lineRule="exact"/>
              <w:rPr>
                <w:sz w:val="20"/>
                <w:szCs w:val="20"/>
                <w:color w:val="auto"/>
              </w:rPr>
            </w:pPr>
            <w:r>
              <w:rPr>
                <w:rFonts w:ascii="Arial" w:cs="Arial" w:eastAsia="Arial" w:hAnsi="Arial"/>
                <w:sz w:val="11"/>
                <w:szCs w:val="11"/>
                <w:color w:val="auto"/>
                <w:w w:val="92"/>
              </w:rPr>
              <w:t>Software</w:t>
            </w:r>
          </w:p>
        </w:tc>
        <w:tc>
          <w:tcPr>
            <w:tcW w:w="120" w:type="dxa"/>
            <w:vAlign w:val="bottom"/>
          </w:tcPr>
          <w:p>
            <w:pPr>
              <w:spacing w:after="0"/>
              <w:rPr>
                <w:sz w:val="9"/>
                <w:szCs w:val="9"/>
                <w:color w:val="auto"/>
              </w:rPr>
            </w:pPr>
          </w:p>
        </w:tc>
        <w:tc>
          <w:tcPr>
            <w:tcW w:w="960" w:type="dxa"/>
            <w:vAlign w:val="bottom"/>
            <w:gridSpan w:val="2"/>
          </w:tcPr>
          <w:p>
            <w:pPr>
              <w:jc w:val="right"/>
              <w:ind w:right="260"/>
              <w:spacing w:after="0" w:line="115" w:lineRule="exact"/>
              <w:rPr>
                <w:sz w:val="20"/>
                <w:szCs w:val="20"/>
                <w:color w:val="auto"/>
              </w:rPr>
            </w:pPr>
            <w:r>
              <w:rPr>
                <w:rFonts w:ascii="Arial" w:cs="Arial" w:eastAsia="Arial" w:hAnsi="Arial"/>
                <w:sz w:val="11"/>
                <w:szCs w:val="11"/>
                <w:color w:val="auto"/>
              </w:rPr>
              <w:t>—</w:t>
            </w:r>
          </w:p>
        </w:tc>
        <w:tc>
          <w:tcPr>
            <w:tcW w:w="920" w:type="dxa"/>
            <w:vAlign w:val="bottom"/>
          </w:tcPr>
          <w:p>
            <w:pPr>
              <w:ind w:left="800"/>
              <w:spacing w:after="0" w:line="115" w:lineRule="exact"/>
              <w:rPr>
                <w:sz w:val="20"/>
                <w:szCs w:val="20"/>
                <w:color w:val="auto"/>
              </w:rPr>
            </w:pPr>
            <w:r>
              <w:rPr>
                <w:rFonts w:ascii="Arial" w:cs="Arial" w:eastAsia="Arial" w:hAnsi="Arial"/>
                <w:sz w:val="11"/>
                <w:szCs w:val="11"/>
                <w:color w:val="auto"/>
                <w:w w:val="90"/>
              </w:rPr>
              <w:t>—</w:t>
            </w:r>
          </w:p>
        </w:tc>
        <w:tc>
          <w:tcPr>
            <w:tcW w:w="90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541,667</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jc w:val="right"/>
              <w:spacing w:after="0" w:line="115" w:lineRule="exact"/>
              <w:rPr>
                <w:sz w:val="20"/>
                <w:szCs w:val="20"/>
                <w:color w:val="auto"/>
              </w:rPr>
            </w:pPr>
            <w:r>
              <w:rPr>
                <w:rFonts w:ascii="Arial" w:cs="Arial" w:eastAsia="Arial" w:hAnsi="Arial"/>
                <w:sz w:val="11"/>
                <w:szCs w:val="11"/>
                <w:color w:val="auto"/>
              </w:rPr>
              <w:t>542</w:t>
            </w: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jc w:val="right"/>
              <w:spacing w:after="0" w:line="115" w:lineRule="exact"/>
              <w:rPr>
                <w:sz w:val="20"/>
                <w:szCs w:val="20"/>
                <w:color w:val="auto"/>
              </w:rPr>
            </w:pPr>
            <w:r>
              <w:rPr>
                <w:rFonts w:ascii="Arial" w:cs="Arial" w:eastAsia="Arial" w:hAnsi="Arial"/>
                <w:sz w:val="11"/>
                <w:szCs w:val="11"/>
                <w:color w:val="auto"/>
              </w:rPr>
              <w:t>542</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14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FedHC InvestCo LP </w:t>
            </w:r>
            <w:r>
              <w:rPr>
                <w:rFonts w:ascii="Arial" w:cs="Arial" w:eastAsia="Arial" w:hAnsi="Arial"/>
                <w:sz w:val="14"/>
                <w:szCs w:val="14"/>
                <w:color w:val="auto"/>
                <w:vertAlign w:val="superscript"/>
              </w:rPr>
              <w:t>(7),(8)</w:t>
            </w:r>
          </w:p>
        </w:tc>
        <w:tc>
          <w:tcPr>
            <w:tcW w:w="120" w:type="dxa"/>
            <w:vAlign w:val="bottom"/>
          </w:tcPr>
          <w:p>
            <w:pPr>
              <w:spacing w:after="0"/>
              <w:rPr>
                <w:sz w:val="11"/>
                <w:szCs w:val="11"/>
                <w:color w:val="auto"/>
              </w:rPr>
            </w:pPr>
          </w:p>
        </w:tc>
        <w:tc>
          <w:tcPr>
            <w:tcW w:w="680" w:type="dxa"/>
            <w:vAlign w:val="bottom"/>
          </w:tcPr>
          <w:p>
            <w:pPr>
              <w:ind w:left="56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1"/>
                <w:szCs w:val="11"/>
                <w:color w:val="auto"/>
              </w:rPr>
            </w:pPr>
          </w:p>
        </w:tc>
        <w:tc>
          <w:tcPr>
            <w:tcW w:w="2200" w:type="dxa"/>
            <w:vAlign w:val="bottom"/>
          </w:tcPr>
          <w:p>
            <w:pPr>
              <w:jc w:val="center"/>
              <w:spacing w:after="0"/>
              <w:rPr>
                <w:sz w:val="20"/>
                <w:szCs w:val="20"/>
                <w:color w:val="auto"/>
              </w:rPr>
            </w:pPr>
            <w:r>
              <w:rPr>
                <w:rFonts w:ascii="Arial" w:cs="Arial" w:eastAsia="Arial" w:hAnsi="Arial"/>
                <w:sz w:val="11"/>
                <w:szCs w:val="11"/>
                <w:color w:val="auto"/>
                <w:w w:val="84"/>
              </w:rPr>
              <w:t>Aerospace and Defense</w:t>
            </w:r>
          </w:p>
        </w:tc>
        <w:tc>
          <w:tcPr>
            <w:tcW w:w="120" w:type="dxa"/>
            <w:vAlign w:val="bottom"/>
          </w:tcPr>
          <w:p>
            <w:pPr>
              <w:spacing w:after="0"/>
              <w:rPr>
                <w:sz w:val="11"/>
                <w:szCs w:val="11"/>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Pr>
          <w:p>
            <w:pPr>
              <w:ind w:left="800"/>
              <w:spacing w:after="0"/>
              <w:rPr>
                <w:sz w:val="20"/>
                <w:szCs w:val="20"/>
                <w:color w:val="auto"/>
              </w:rPr>
            </w:pPr>
            <w:r>
              <w:rPr>
                <w:rFonts w:ascii="Arial" w:cs="Arial" w:eastAsia="Arial" w:hAnsi="Arial"/>
                <w:sz w:val="11"/>
                <w:szCs w:val="11"/>
                <w:color w:val="auto"/>
                <w:w w:val="90"/>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21,083</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711</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2,428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14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FedHC InvestCo LP </w:t>
            </w:r>
            <w:r>
              <w:rPr>
                <w:rFonts w:ascii="Arial" w:cs="Arial" w:eastAsia="Arial" w:hAnsi="Arial"/>
                <w:sz w:val="14"/>
                <w:szCs w:val="14"/>
                <w:color w:val="auto"/>
                <w:vertAlign w:val="superscript"/>
              </w:rPr>
              <w:t>(7),(8),(9)</w:t>
            </w:r>
          </w:p>
        </w:tc>
        <w:tc>
          <w:tcPr>
            <w:tcW w:w="120" w:type="dxa"/>
            <w:vAlign w:val="bottom"/>
          </w:tcPr>
          <w:p>
            <w:pPr>
              <w:spacing w:after="0"/>
              <w:rPr>
                <w:sz w:val="13"/>
                <w:szCs w:val="13"/>
                <w:color w:val="auto"/>
              </w:rPr>
            </w:pPr>
          </w:p>
        </w:tc>
        <w:tc>
          <w:tcPr>
            <w:tcW w:w="680" w:type="dxa"/>
            <w:vAlign w:val="bottom"/>
          </w:tcPr>
          <w:p>
            <w:pPr>
              <w:ind w:left="56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3"/>
                <w:szCs w:val="13"/>
                <w:color w:val="auto"/>
              </w:rPr>
            </w:pPr>
          </w:p>
        </w:tc>
        <w:tc>
          <w:tcPr>
            <w:tcW w:w="2200" w:type="dxa"/>
            <w:vAlign w:val="bottom"/>
          </w:tcPr>
          <w:p>
            <w:pPr>
              <w:jc w:val="center"/>
              <w:spacing w:after="0"/>
              <w:rPr>
                <w:sz w:val="20"/>
                <w:szCs w:val="20"/>
                <w:color w:val="auto"/>
              </w:rPr>
            </w:pPr>
            <w:r>
              <w:rPr>
                <w:rFonts w:ascii="Arial" w:cs="Arial" w:eastAsia="Arial" w:hAnsi="Arial"/>
                <w:sz w:val="11"/>
                <w:szCs w:val="11"/>
                <w:color w:val="auto"/>
                <w:w w:val="84"/>
              </w:rPr>
              <w:t>Aerospace and Defense</w:t>
            </w:r>
          </w:p>
        </w:tc>
        <w:tc>
          <w:tcPr>
            <w:tcW w:w="120" w:type="dxa"/>
            <w:vAlign w:val="bottom"/>
          </w:tcPr>
          <w:p>
            <w:pPr>
              <w:spacing w:after="0"/>
              <w:rPr>
                <w:sz w:val="13"/>
                <w:szCs w:val="13"/>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Pr>
          <w:p>
            <w:pPr>
              <w:ind w:left="800"/>
              <w:spacing w:after="0"/>
              <w:rPr>
                <w:sz w:val="20"/>
                <w:szCs w:val="20"/>
                <w:color w:val="auto"/>
              </w:rPr>
            </w:pPr>
            <w:r>
              <w:rPr>
                <w:rFonts w:ascii="Arial" w:cs="Arial" w:eastAsia="Arial" w:hAnsi="Arial"/>
                <w:sz w:val="11"/>
                <w:szCs w:val="11"/>
                <w:color w:val="auto"/>
                <w:w w:val="90"/>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9,488</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5"/>
        </w:trPr>
        <w:tc>
          <w:tcPr>
            <w:tcW w:w="3140" w:type="dxa"/>
            <w:vAlign w:val="bottom"/>
          </w:tcPr>
          <w:p>
            <w:pPr>
              <w:ind w:left="20"/>
              <w:spacing w:after="0" w:line="115" w:lineRule="exact"/>
              <w:rPr>
                <w:sz w:val="20"/>
                <w:szCs w:val="20"/>
                <w:color w:val="auto"/>
              </w:rPr>
            </w:pPr>
            <w:r>
              <w:rPr>
                <w:rFonts w:ascii="Arial" w:cs="Arial" w:eastAsia="Arial" w:hAnsi="Arial"/>
                <w:sz w:val="11"/>
                <w:szCs w:val="11"/>
                <w:color w:val="auto"/>
              </w:rPr>
              <w:t>Gauge InfosoftCoInvest, LLC</w:t>
            </w:r>
          </w:p>
        </w:tc>
        <w:tc>
          <w:tcPr>
            <w:tcW w:w="120" w:type="dxa"/>
            <w:vAlign w:val="bottom"/>
          </w:tcPr>
          <w:p>
            <w:pPr>
              <w:spacing w:after="0"/>
              <w:rPr>
                <w:sz w:val="9"/>
                <w:szCs w:val="9"/>
                <w:color w:val="auto"/>
              </w:rPr>
            </w:pPr>
          </w:p>
        </w:tc>
        <w:tc>
          <w:tcPr>
            <w:tcW w:w="680" w:type="dxa"/>
            <w:vAlign w:val="bottom"/>
          </w:tcPr>
          <w:p>
            <w:pPr>
              <w:ind w:left="560"/>
              <w:spacing w:after="0" w:line="115" w:lineRule="exact"/>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9"/>
                <w:szCs w:val="9"/>
                <w:color w:val="auto"/>
              </w:rPr>
            </w:pPr>
          </w:p>
        </w:tc>
        <w:tc>
          <w:tcPr>
            <w:tcW w:w="2200" w:type="dxa"/>
            <w:vAlign w:val="bottom"/>
          </w:tcPr>
          <w:p>
            <w:pPr>
              <w:jc w:val="center"/>
              <w:spacing w:after="0" w:line="115" w:lineRule="exact"/>
              <w:rPr>
                <w:sz w:val="20"/>
                <w:szCs w:val="20"/>
                <w:color w:val="auto"/>
              </w:rPr>
            </w:pPr>
            <w:r>
              <w:rPr>
                <w:rFonts w:ascii="Arial" w:cs="Arial" w:eastAsia="Arial" w:hAnsi="Arial"/>
                <w:sz w:val="11"/>
                <w:szCs w:val="11"/>
                <w:color w:val="auto"/>
                <w:w w:val="88"/>
              </w:rPr>
              <w:t>Media: Broadcasting and Subscription</w:t>
            </w:r>
          </w:p>
        </w:tc>
        <w:tc>
          <w:tcPr>
            <w:tcW w:w="120" w:type="dxa"/>
            <w:vAlign w:val="bottom"/>
          </w:tcPr>
          <w:p>
            <w:pPr>
              <w:spacing w:after="0"/>
              <w:rPr>
                <w:sz w:val="9"/>
                <w:szCs w:val="9"/>
                <w:color w:val="auto"/>
              </w:rPr>
            </w:pPr>
          </w:p>
        </w:tc>
        <w:tc>
          <w:tcPr>
            <w:tcW w:w="960" w:type="dxa"/>
            <w:vAlign w:val="bottom"/>
            <w:gridSpan w:val="2"/>
          </w:tcPr>
          <w:p>
            <w:pPr>
              <w:jc w:val="right"/>
              <w:ind w:right="260"/>
              <w:spacing w:after="0" w:line="115" w:lineRule="exact"/>
              <w:rPr>
                <w:sz w:val="20"/>
                <w:szCs w:val="20"/>
                <w:color w:val="auto"/>
              </w:rPr>
            </w:pPr>
            <w:r>
              <w:rPr>
                <w:rFonts w:ascii="Arial" w:cs="Arial" w:eastAsia="Arial" w:hAnsi="Arial"/>
                <w:sz w:val="11"/>
                <w:szCs w:val="11"/>
                <w:color w:val="auto"/>
              </w:rPr>
              <w:t>—</w:t>
            </w:r>
          </w:p>
        </w:tc>
        <w:tc>
          <w:tcPr>
            <w:tcW w:w="920" w:type="dxa"/>
            <w:vAlign w:val="bottom"/>
          </w:tcPr>
          <w:p>
            <w:pPr>
              <w:ind w:left="800"/>
              <w:spacing w:after="0" w:line="115" w:lineRule="exact"/>
              <w:rPr>
                <w:sz w:val="20"/>
                <w:szCs w:val="20"/>
                <w:color w:val="auto"/>
              </w:rPr>
            </w:pPr>
            <w:r>
              <w:rPr>
                <w:rFonts w:ascii="Arial" w:cs="Arial" w:eastAsia="Arial" w:hAnsi="Arial"/>
                <w:sz w:val="11"/>
                <w:szCs w:val="11"/>
                <w:color w:val="auto"/>
                <w:w w:val="90"/>
              </w:rPr>
              <w:t>—</w:t>
            </w:r>
          </w:p>
        </w:tc>
        <w:tc>
          <w:tcPr>
            <w:tcW w:w="90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500</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jc w:val="right"/>
              <w:spacing w:after="0" w:line="115" w:lineRule="exact"/>
              <w:rPr>
                <w:sz w:val="20"/>
                <w:szCs w:val="20"/>
                <w:color w:val="auto"/>
              </w:rPr>
            </w:pPr>
            <w:r>
              <w:rPr>
                <w:rFonts w:ascii="Arial" w:cs="Arial" w:eastAsia="Arial" w:hAnsi="Arial"/>
                <w:sz w:val="11"/>
                <w:szCs w:val="11"/>
                <w:color w:val="auto"/>
              </w:rPr>
              <w:t>144</w:t>
            </w: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jc w:val="right"/>
              <w:spacing w:after="0" w:line="115" w:lineRule="exact"/>
              <w:rPr>
                <w:sz w:val="20"/>
                <w:szCs w:val="20"/>
                <w:color w:val="auto"/>
              </w:rPr>
            </w:pPr>
            <w:r>
              <w:rPr>
                <w:rFonts w:ascii="Arial" w:cs="Arial" w:eastAsia="Arial" w:hAnsi="Arial"/>
                <w:sz w:val="11"/>
                <w:szCs w:val="11"/>
                <w:color w:val="auto"/>
              </w:rPr>
              <w:t>2,659</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3140" w:type="dxa"/>
            <w:vAlign w:val="bottom"/>
            <w:vMerge w:val="restart"/>
          </w:tcPr>
          <w:p>
            <w:pPr>
              <w:ind w:left="100"/>
              <w:spacing w:after="0" w:line="135" w:lineRule="exact"/>
              <w:rPr>
                <w:sz w:val="20"/>
                <w:szCs w:val="20"/>
                <w:color w:val="auto"/>
              </w:rPr>
            </w:pPr>
            <w:r>
              <w:rPr>
                <w:rFonts w:ascii="Arial" w:cs="Arial" w:eastAsia="Arial" w:hAnsi="Arial"/>
                <w:sz w:val="11"/>
                <w:szCs w:val="11"/>
                <w:color w:val="auto"/>
              </w:rPr>
              <w:t xml:space="preserve">(The Infosoft Group, LLC) </w:t>
            </w:r>
            <w:r>
              <w:rPr>
                <w:rFonts w:ascii="Arial" w:cs="Arial" w:eastAsia="Arial" w:hAnsi="Arial"/>
                <w:sz w:val="14"/>
                <w:szCs w:val="14"/>
                <w:color w:val="auto"/>
                <w:vertAlign w:val="superscript"/>
              </w:rPr>
              <w:t>(7)</w:t>
            </w: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5"/>
        </w:trPr>
        <w:tc>
          <w:tcPr>
            <w:tcW w:w="3140" w:type="dxa"/>
            <w:vAlign w:val="bottom"/>
            <w:vMerge w:val="continue"/>
          </w:tcPr>
          <w:p>
            <w:pPr>
              <w:spacing w:after="0"/>
              <w:rPr>
                <w:sz w:val="10"/>
                <w:szCs w:val="10"/>
                <w:color w:val="auto"/>
              </w:rPr>
            </w:pPr>
          </w:p>
        </w:tc>
        <w:tc>
          <w:tcPr>
            <w:tcW w:w="120" w:type="dxa"/>
            <w:vAlign w:val="bottom"/>
            <w:tcBorders>
              <w:bottom w:val="single" w:sz="8" w:color="CCECFF"/>
            </w:tcBorders>
            <w:shd w:val="clear" w:color="auto" w:fill="CCECFF"/>
          </w:tcPr>
          <w:p>
            <w:pPr>
              <w:spacing w:after="0"/>
              <w:rPr>
                <w:sz w:val="10"/>
                <w:szCs w:val="10"/>
                <w:color w:val="auto"/>
              </w:rPr>
            </w:pPr>
          </w:p>
        </w:tc>
        <w:tc>
          <w:tcPr>
            <w:tcW w:w="680" w:type="dxa"/>
            <w:vAlign w:val="bottom"/>
            <w:tcBorders>
              <w:bottom w:val="single" w:sz="8" w:color="CCECFF"/>
            </w:tcBorders>
            <w:shd w:val="clear" w:color="auto" w:fill="CCECFF"/>
          </w:tcPr>
          <w:p>
            <w:pPr>
              <w:spacing w:after="0"/>
              <w:rPr>
                <w:sz w:val="10"/>
                <w:szCs w:val="10"/>
                <w:color w:val="auto"/>
              </w:rPr>
            </w:pPr>
          </w:p>
        </w:tc>
        <w:tc>
          <w:tcPr>
            <w:tcW w:w="260" w:type="dxa"/>
            <w:vAlign w:val="bottom"/>
            <w:tcBorders>
              <w:bottom w:val="single" w:sz="8" w:color="CCECFF"/>
            </w:tcBorders>
            <w:shd w:val="clear" w:color="auto" w:fill="CCECFF"/>
          </w:tcPr>
          <w:p>
            <w:pPr>
              <w:spacing w:after="0"/>
              <w:rPr>
                <w:sz w:val="10"/>
                <w:szCs w:val="10"/>
                <w:color w:val="auto"/>
              </w:rPr>
            </w:pPr>
          </w:p>
        </w:tc>
        <w:tc>
          <w:tcPr>
            <w:tcW w:w="2200" w:type="dxa"/>
            <w:vAlign w:val="bottom"/>
            <w:tcBorders>
              <w:bottom w:val="single" w:sz="8" w:color="CCECFF"/>
            </w:tcBorders>
            <w:shd w:val="clear" w:color="auto" w:fill="CCECFF"/>
          </w:tcPr>
          <w:p>
            <w:pPr>
              <w:spacing w:after="0"/>
              <w:rPr>
                <w:sz w:val="10"/>
                <w:szCs w:val="10"/>
                <w:color w:val="auto"/>
              </w:rPr>
            </w:pPr>
          </w:p>
        </w:tc>
        <w:tc>
          <w:tcPr>
            <w:tcW w:w="120" w:type="dxa"/>
            <w:vAlign w:val="bottom"/>
            <w:tcBorders>
              <w:bottom w:val="single" w:sz="8" w:color="CCECFF"/>
            </w:tcBorders>
            <w:shd w:val="clear" w:color="auto" w:fill="CCECFF"/>
          </w:tcPr>
          <w:p>
            <w:pPr>
              <w:spacing w:after="0"/>
              <w:rPr>
                <w:sz w:val="10"/>
                <w:szCs w:val="10"/>
                <w:color w:val="auto"/>
              </w:rPr>
            </w:pPr>
          </w:p>
        </w:tc>
        <w:tc>
          <w:tcPr>
            <w:tcW w:w="720" w:type="dxa"/>
            <w:vAlign w:val="bottom"/>
            <w:tcBorders>
              <w:bottom w:val="single" w:sz="8" w:color="CCECFF"/>
            </w:tcBorders>
            <w:shd w:val="clear" w:color="auto" w:fill="CCECFF"/>
          </w:tcPr>
          <w:p>
            <w:pPr>
              <w:spacing w:after="0"/>
              <w:rPr>
                <w:sz w:val="10"/>
                <w:szCs w:val="10"/>
                <w:color w:val="auto"/>
              </w:rPr>
            </w:pPr>
          </w:p>
        </w:tc>
        <w:tc>
          <w:tcPr>
            <w:tcW w:w="240" w:type="dxa"/>
            <w:vAlign w:val="bottom"/>
            <w:tcBorders>
              <w:bottom w:val="single" w:sz="8" w:color="CCECFF"/>
            </w:tcBorders>
            <w:shd w:val="clear" w:color="auto" w:fill="CCECFF"/>
          </w:tcPr>
          <w:p>
            <w:pPr>
              <w:spacing w:after="0"/>
              <w:rPr>
                <w:sz w:val="10"/>
                <w:szCs w:val="10"/>
                <w:color w:val="auto"/>
              </w:rPr>
            </w:pPr>
          </w:p>
        </w:tc>
        <w:tc>
          <w:tcPr>
            <w:tcW w:w="920" w:type="dxa"/>
            <w:vAlign w:val="bottom"/>
            <w:tcBorders>
              <w:bottom w:val="single" w:sz="8" w:color="CCECFF"/>
            </w:tcBorders>
            <w:shd w:val="clear" w:color="auto" w:fill="CCECFF"/>
          </w:tcPr>
          <w:p>
            <w:pPr>
              <w:spacing w:after="0"/>
              <w:rPr>
                <w:sz w:val="10"/>
                <w:szCs w:val="10"/>
                <w:color w:val="auto"/>
              </w:rPr>
            </w:pPr>
          </w:p>
        </w:tc>
        <w:tc>
          <w:tcPr>
            <w:tcW w:w="220" w:type="dxa"/>
            <w:vAlign w:val="bottom"/>
            <w:tcBorders>
              <w:bottom w:val="single" w:sz="8" w:color="CCECFF"/>
            </w:tcBorders>
            <w:shd w:val="clear" w:color="auto" w:fill="CCECFF"/>
          </w:tcPr>
          <w:p>
            <w:pPr>
              <w:spacing w:after="0"/>
              <w:rPr>
                <w:sz w:val="10"/>
                <w:szCs w:val="10"/>
                <w:color w:val="auto"/>
              </w:rPr>
            </w:pPr>
          </w:p>
        </w:tc>
        <w:tc>
          <w:tcPr>
            <w:tcW w:w="680" w:type="dxa"/>
            <w:vAlign w:val="bottom"/>
            <w:tcBorders>
              <w:bottom w:val="single" w:sz="8" w:color="CCECFF"/>
            </w:tcBorders>
            <w:shd w:val="clear" w:color="auto" w:fill="CCECFF"/>
          </w:tcPr>
          <w:p>
            <w:pPr>
              <w:spacing w:after="0"/>
              <w:rPr>
                <w:sz w:val="10"/>
                <w:szCs w:val="10"/>
                <w:color w:val="auto"/>
              </w:rPr>
            </w:pPr>
          </w:p>
        </w:tc>
        <w:tc>
          <w:tcPr>
            <w:tcW w:w="220" w:type="dxa"/>
            <w:vAlign w:val="bottom"/>
            <w:tcBorders>
              <w:bottom w:val="single" w:sz="8" w:color="CCECFF"/>
            </w:tcBorders>
            <w:shd w:val="clear" w:color="auto" w:fill="CCECFF"/>
          </w:tcPr>
          <w:p>
            <w:pPr>
              <w:spacing w:after="0"/>
              <w:rPr>
                <w:sz w:val="10"/>
                <w:szCs w:val="10"/>
                <w:color w:val="auto"/>
              </w:rPr>
            </w:pPr>
          </w:p>
        </w:tc>
        <w:tc>
          <w:tcPr>
            <w:tcW w:w="160" w:type="dxa"/>
            <w:vAlign w:val="bottom"/>
            <w:tcBorders>
              <w:bottom w:val="single" w:sz="8" w:color="CCECFF"/>
            </w:tcBorders>
            <w:shd w:val="clear" w:color="auto" w:fill="CCECFF"/>
          </w:tcPr>
          <w:p>
            <w:pPr>
              <w:spacing w:after="0"/>
              <w:rPr>
                <w:sz w:val="10"/>
                <w:szCs w:val="10"/>
                <w:color w:val="auto"/>
              </w:rPr>
            </w:pPr>
          </w:p>
        </w:tc>
        <w:tc>
          <w:tcPr>
            <w:tcW w:w="540" w:type="dxa"/>
            <w:vAlign w:val="bottom"/>
            <w:tcBorders>
              <w:bottom w:val="single" w:sz="8" w:color="CCECFF"/>
            </w:tcBorders>
            <w:shd w:val="clear" w:color="auto" w:fill="CCECFF"/>
          </w:tcPr>
          <w:p>
            <w:pPr>
              <w:jc w:val="right"/>
              <w:spacing w:after="0" w:line="105" w:lineRule="exact"/>
              <w:rPr>
                <w:sz w:val="20"/>
                <w:szCs w:val="20"/>
                <w:color w:val="auto"/>
              </w:rPr>
            </w:pPr>
            <w:r>
              <w:rPr>
                <w:rFonts w:ascii="Arial" w:cs="Arial" w:eastAsia="Arial" w:hAnsi="Arial"/>
                <w:sz w:val="11"/>
                <w:szCs w:val="11"/>
                <w:color w:val="auto"/>
              </w:rPr>
              <w:t>—</w:t>
            </w:r>
          </w:p>
        </w:tc>
        <w:tc>
          <w:tcPr>
            <w:tcW w:w="220" w:type="dxa"/>
            <w:vAlign w:val="bottom"/>
            <w:tcBorders>
              <w:bottom w:val="single" w:sz="8" w:color="CCECFF"/>
            </w:tcBorders>
            <w:shd w:val="clear" w:color="auto" w:fill="CCECFF"/>
          </w:tcPr>
          <w:p>
            <w:pPr>
              <w:spacing w:after="0"/>
              <w:rPr>
                <w:sz w:val="10"/>
                <w:szCs w:val="10"/>
                <w:color w:val="auto"/>
              </w:rPr>
            </w:pPr>
          </w:p>
        </w:tc>
        <w:tc>
          <w:tcPr>
            <w:tcW w:w="220" w:type="dxa"/>
            <w:vAlign w:val="bottom"/>
            <w:tcBorders>
              <w:bottom w:val="single" w:sz="8" w:color="CCECFF"/>
            </w:tcBorders>
            <w:shd w:val="clear" w:color="auto" w:fill="CCECFF"/>
          </w:tcPr>
          <w:p>
            <w:pPr>
              <w:spacing w:after="0"/>
              <w:rPr>
                <w:sz w:val="10"/>
                <w:szCs w:val="10"/>
                <w:color w:val="auto"/>
              </w:rPr>
            </w:pPr>
          </w:p>
        </w:tc>
        <w:tc>
          <w:tcPr>
            <w:tcW w:w="580" w:type="dxa"/>
            <w:vAlign w:val="bottom"/>
            <w:tcBorders>
              <w:bottom w:val="single" w:sz="8" w:color="CCECFF"/>
            </w:tcBorders>
            <w:gridSpan w:val="2"/>
            <w:shd w:val="clear" w:color="auto" w:fill="CCECFF"/>
          </w:tcPr>
          <w:p>
            <w:pPr>
              <w:jc w:val="right"/>
              <w:ind w:right="120"/>
              <w:spacing w:after="0" w:line="105"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05"/>
        </w:trPr>
        <w:tc>
          <w:tcPr>
            <w:tcW w:w="3140" w:type="dxa"/>
            <w:vAlign w:val="bottom"/>
          </w:tcPr>
          <w:p>
            <w:pPr>
              <w:ind w:left="20"/>
              <w:spacing w:after="0" w:line="105" w:lineRule="exact"/>
              <w:rPr>
                <w:sz w:val="20"/>
                <w:szCs w:val="20"/>
                <w:color w:val="auto"/>
              </w:rPr>
            </w:pPr>
            <w:r>
              <w:rPr>
                <w:rFonts w:ascii="Arial" w:cs="Arial" w:eastAsia="Arial" w:hAnsi="Arial"/>
                <w:sz w:val="9"/>
                <w:szCs w:val="9"/>
                <w:color w:val="auto"/>
              </w:rPr>
              <w:t xml:space="preserve">Gauge Lash Coinvest LLC </w:t>
            </w:r>
            <w:r>
              <w:rPr>
                <w:rFonts w:ascii="Arial" w:cs="Arial" w:eastAsia="Arial" w:hAnsi="Arial"/>
                <w:sz w:val="12"/>
                <w:szCs w:val="12"/>
                <w:color w:val="auto"/>
                <w:vertAlign w:val="superscript"/>
              </w:rPr>
              <w:t>(7)</w:t>
            </w:r>
          </w:p>
        </w:tc>
        <w:tc>
          <w:tcPr>
            <w:tcW w:w="120" w:type="dxa"/>
            <w:vAlign w:val="bottom"/>
          </w:tcPr>
          <w:p>
            <w:pPr>
              <w:spacing w:after="0"/>
              <w:rPr>
                <w:sz w:val="9"/>
                <w:szCs w:val="9"/>
                <w:color w:val="auto"/>
              </w:rPr>
            </w:pPr>
          </w:p>
        </w:tc>
        <w:tc>
          <w:tcPr>
            <w:tcW w:w="680" w:type="dxa"/>
            <w:vAlign w:val="bottom"/>
          </w:tcPr>
          <w:p>
            <w:pPr>
              <w:ind w:left="560"/>
              <w:spacing w:after="0" w:line="105" w:lineRule="exact"/>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9"/>
                <w:szCs w:val="9"/>
                <w:color w:val="auto"/>
              </w:rPr>
            </w:pPr>
          </w:p>
        </w:tc>
        <w:tc>
          <w:tcPr>
            <w:tcW w:w="2200" w:type="dxa"/>
            <w:vAlign w:val="bottom"/>
          </w:tcPr>
          <w:p>
            <w:pPr>
              <w:jc w:val="center"/>
              <w:spacing w:after="0" w:line="105" w:lineRule="exact"/>
              <w:rPr>
                <w:sz w:val="20"/>
                <w:szCs w:val="20"/>
                <w:color w:val="auto"/>
              </w:rPr>
            </w:pPr>
            <w:r>
              <w:rPr>
                <w:rFonts w:ascii="Arial" w:cs="Arial" w:eastAsia="Arial" w:hAnsi="Arial"/>
                <w:sz w:val="11"/>
                <w:szCs w:val="11"/>
                <w:color w:val="auto"/>
                <w:w w:val="84"/>
              </w:rPr>
              <w:t>Personal Products</w:t>
            </w:r>
          </w:p>
        </w:tc>
        <w:tc>
          <w:tcPr>
            <w:tcW w:w="120" w:type="dxa"/>
            <w:vAlign w:val="bottom"/>
          </w:tcPr>
          <w:p>
            <w:pPr>
              <w:spacing w:after="0"/>
              <w:rPr>
                <w:sz w:val="9"/>
                <w:szCs w:val="9"/>
                <w:color w:val="auto"/>
              </w:rPr>
            </w:pPr>
          </w:p>
        </w:tc>
        <w:tc>
          <w:tcPr>
            <w:tcW w:w="960" w:type="dxa"/>
            <w:vAlign w:val="bottom"/>
            <w:gridSpan w:val="2"/>
          </w:tcPr>
          <w:p>
            <w:pPr>
              <w:jc w:val="right"/>
              <w:ind w:right="260"/>
              <w:spacing w:after="0" w:line="105" w:lineRule="exact"/>
              <w:rPr>
                <w:sz w:val="20"/>
                <w:szCs w:val="20"/>
                <w:color w:val="auto"/>
              </w:rPr>
            </w:pPr>
            <w:r>
              <w:rPr>
                <w:rFonts w:ascii="Arial" w:cs="Arial" w:eastAsia="Arial" w:hAnsi="Arial"/>
                <w:sz w:val="11"/>
                <w:szCs w:val="11"/>
                <w:color w:val="auto"/>
              </w:rPr>
              <w:t>—</w:t>
            </w:r>
          </w:p>
        </w:tc>
        <w:tc>
          <w:tcPr>
            <w:tcW w:w="920" w:type="dxa"/>
            <w:vAlign w:val="bottom"/>
          </w:tcPr>
          <w:p>
            <w:pPr>
              <w:ind w:left="800"/>
              <w:spacing w:after="0" w:line="105" w:lineRule="exact"/>
              <w:rPr>
                <w:sz w:val="20"/>
                <w:szCs w:val="20"/>
                <w:color w:val="auto"/>
              </w:rPr>
            </w:pPr>
            <w:r>
              <w:rPr>
                <w:rFonts w:ascii="Arial" w:cs="Arial" w:eastAsia="Arial" w:hAnsi="Arial"/>
                <w:sz w:val="11"/>
                <w:szCs w:val="11"/>
                <w:color w:val="auto"/>
                <w:w w:val="90"/>
              </w:rPr>
              <w:t>—</w:t>
            </w:r>
          </w:p>
        </w:tc>
        <w:tc>
          <w:tcPr>
            <w:tcW w:w="900" w:type="dxa"/>
            <w:vAlign w:val="bottom"/>
            <w:gridSpan w:val="2"/>
          </w:tcPr>
          <w:p>
            <w:pPr>
              <w:jc w:val="right"/>
              <w:spacing w:after="0" w:line="105" w:lineRule="exact"/>
              <w:rPr>
                <w:sz w:val="20"/>
                <w:szCs w:val="20"/>
                <w:color w:val="auto"/>
              </w:rPr>
            </w:pPr>
            <w:r>
              <w:rPr>
                <w:rFonts w:ascii="Arial" w:cs="Arial" w:eastAsia="Arial" w:hAnsi="Arial"/>
                <w:sz w:val="11"/>
                <w:szCs w:val="11"/>
                <w:color w:val="auto"/>
              </w:rPr>
              <w:t>1,485,953</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jc w:val="right"/>
              <w:spacing w:after="0" w:line="105" w:lineRule="exact"/>
              <w:rPr>
                <w:sz w:val="20"/>
                <w:szCs w:val="20"/>
                <w:color w:val="auto"/>
              </w:rPr>
            </w:pPr>
            <w:r>
              <w:rPr>
                <w:rFonts w:ascii="Arial" w:cs="Arial" w:eastAsia="Arial" w:hAnsi="Arial"/>
                <w:sz w:val="11"/>
                <w:szCs w:val="11"/>
                <w:color w:val="auto"/>
              </w:rPr>
              <w:t>227</w:t>
            </w: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jc w:val="right"/>
              <w:spacing w:after="0" w:line="105" w:lineRule="exact"/>
              <w:rPr>
                <w:sz w:val="20"/>
                <w:szCs w:val="20"/>
                <w:color w:val="auto"/>
              </w:rPr>
            </w:pPr>
            <w:r>
              <w:rPr>
                <w:rFonts w:ascii="Arial" w:cs="Arial" w:eastAsia="Arial" w:hAnsi="Arial"/>
                <w:sz w:val="11"/>
                <w:szCs w:val="11"/>
                <w:color w:val="auto"/>
              </w:rPr>
              <w:t>7,682</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14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Gauge Schlesinger Coinvest LLC </w:t>
            </w:r>
            <w:r>
              <w:rPr>
                <w:rFonts w:ascii="Arial" w:cs="Arial" w:eastAsia="Arial" w:hAnsi="Arial"/>
                <w:sz w:val="14"/>
                <w:szCs w:val="14"/>
                <w:color w:val="auto"/>
                <w:vertAlign w:val="superscript"/>
              </w:rPr>
              <w:t>(7)</w:t>
            </w:r>
          </w:p>
        </w:tc>
        <w:tc>
          <w:tcPr>
            <w:tcW w:w="120" w:type="dxa"/>
            <w:vAlign w:val="bottom"/>
          </w:tcPr>
          <w:p>
            <w:pPr>
              <w:spacing w:after="0"/>
              <w:rPr>
                <w:sz w:val="11"/>
                <w:szCs w:val="11"/>
                <w:color w:val="auto"/>
              </w:rPr>
            </w:pPr>
          </w:p>
        </w:tc>
        <w:tc>
          <w:tcPr>
            <w:tcW w:w="680" w:type="dxa"/>
            <w:vAlign w:val="bottom"/>
          </w:tcPr>
          <w:p>
            <w:pPr>
              <w:ind w:left="56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1"/>
                <w:szCs w:val="11"/>
                <w:color w:val="auto"/>
              </w:rPr>
            </w:pPr>
          </w:p>
        </w:tc>
        <w:tc>
          <w:tcPr>
            <w:tcW w:w="2200" w:type="dxa"/>
            <w:vAlign w:val="bottom"/>
          </w:tcPr>
          <w:p>
            <w:pPr>
              <w:jc w:val="center"/>
              <w:spacing w:after="0"/>
              <w:rPr>
                <w:sz w:val="20"/>
                <w:szCs w:val="20"/>
                <w:color w:val="auto"/>
              </w:rPr>
            </w:pPr>
            <w:r>
              <w:rPr>
                <w:rFonts w:ascii="Arial" w:cs="Arial" w:eastAsia="Arial" w:hAnsi="Arial"/>
                <w:sz w:val="11"/>
                <w:szCs w:val="11"/>
                <w:color w:val="auto"/>
                <w:w w:val="86"/>
              </w:rPr>
              <w:t>Professional Services</w:t>
            </w:r>
          </w:p>
        </w:tc>
        <w:tc>
          <w:tcPr>
            <w:tcW w:w="120" w:type="dxa"/>
            <w:vAlign w:val="bottom"/>
          </w:tcPr>
          <w:p>
            <w:pPr>
              <w:spacing w:after="0"/>
              <w:rPr>
                <w:sz w:val="11"/>
                <w:szCs w:val="11"/>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Pr>
          <w:p>
            <w:pPr>
              <w:ind w:left="800"/>
              <w:spacing w:after="0"/>
              <w:rPr>
                <w:sz w:val="20"/>
                <w:szCs w:val="20"/>
                <w:color w:val="auto"/>
              </w:rPr>
            </w:pPr>
            <w:r>
              <w:rPr>
                <w:rFonts w:ascii="Arial" w:cs="Arial" w:eastAsia="Arial" w:hAnsi="Arial"/>
                <w:sz w:val="11"/>
                <w:szCs w:val="11"/>
                <w:color w:val="auto"/>
                <w:w w:val="90"/>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437</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437</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674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4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Gauge TVC Coinvest, LLC (TVC Enterprises, LLC) </w:t>
            </w:r>
            <w:r>
              <w:rPr>
                <w:rFonts w:ascii="Arial" w:cs="Arial" w:eastAsia="Arial" w:hAnsi="Arial"/>
                <w:sz w:val="14"/>
                <w:szCs w:val="14"/>
                <w:color w:val="auto"/>
                <w:vertAlign w:val="superscript"/>
              </w:rPr>
              <w:t>(7)</w:t>
            </w:r>
          </w:p>
        </w:tc>
        <w:tc>
          <w:tcPr>
            <w:tcW w:w="120" w:type="dxa"/>
            <w:vAlign w:val="bottom"/>
          </w:tcPr>
          <w:p>
            <w:pPr>
              <w:spacing w:after="0"/>
              <w:rPr>
                <w:sz w:val="11"/>
                <w:szCs w:val="11"/>
                <w:color w:val="auto"/>
              </w:rPr>
            </w:pPr>
          </w:p>
        </w:tc>
        <w:tc>
          <w:tcPr>
            <w:tcW w:w="680" w:type="dxa"/>
            <w:vAlign w:val="bottom"/>
          </w:tcPr>
          <w:p>
            <w:pPr>
              <w:ind w:left="56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1"/>
                <w:szCs w:val="11"/>
                <w:color w:val="auto"/>
              </w:rPr>
            </w:pPr>
          </w:p>
        </w:tc>
        <w:tc>
          <w:tcPr>
            <w:tcW w:w="2200" w:type="dxa"/>
            <w:vAlign w:val="bottom"/>
          </w:tcPr>
          <w:p>
            <w:pPr>
              <w:jc w:val="center"/>
              <w:spacing w:after="0"/>
              <w:rPr>
                <w:sz w:val="20"/>
                <w:szCs w:val="20"/>
                <w:color w:val="auto"/>
              </w:rPr>
            </w:pPr>
            <w:r>
              <w:rPr>
                <w:rFonts w:ascii="Arial" w:cs="Arial" w:eastAsia="Arial" w:hAnsi="Arial"/>
                <w:sz w:val="11"/>
                <w:szCs w:val="11"/>
                <w:color w:val="auto"/>
                <w:w w:val="86"/>
              </w:rPr>
              <w:t>Professional Services</w:t>
            </w:r>
          </w:p>
        </w:tc>
        <w:tc>
          <w:tcPr>
            <w:tcW w:w="120" w:type="dxa"/>
            <w:vAlign w:val="bottom"/>
          </w:tcPr>
          <w:p>
            <w:pPr>
              <w:spacing w:after="0"/>
              <w:rPr>
                <w:sz w:val="11"/>
                <w:szCs w:val="11"/>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Pr>
          <w:p>
            <w:pPr>
              <w:ind w:left="800"/>
              <w:spacing w:after="0"/>
              <w:rPr>
                <w:sz w:val="20"/>
                <w:szCs w:val="20"/>
                <w:color w:val="auto"/>
              </w:rPr>
            </w:pPr>
            <w:r>
              <w:rPr>
                <w:rFonts w:ascii="Arial" w:cs="Arial" w:eastAsia="Arial" w:hAnsi="Arial"/>
                <w:sz w:val="11"/>
                <w:szCs w:val="11"/>
                <w:color w:val="auto"/>
                <w:w w:val="90"/>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391,144</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1,496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14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GCOM InvestCo LP </w:t>
            </w:r>
            <w:r>
              <w:rPr>
                <w:rFonts w:ascii="Arial" w:cs="Arial" w:eastAsia="Arial" w:hAnsi="Arial"/>
                <w:sz w:val="14"/>
                <w:szCs w:val="14"/>
                <w:color w:val="auto"/>
                <w:vertAlign w:val="superscript"/>
              </w:rPr>
              <w:t>(7),(8)</w:t>
            </w:r>
          </w:p>
        </w:tc>
        <w:tc>
          <w:tcPr>
            <w:tcW w:w="120" w:type="dxa"/>
            <w:vAlign w:val="bottom"/>
          </w:tcPr>
          <w:p>
            <w:pPr>
              <w:spacing w:after="0"/>
              <w:rPr>
                <w:sz w:val="13"/>
                <w:szCs w:val="13"/>
                <w:color w:val="auto"/>
              </w:rPr>
            </w:pPr>
          </w:p>
        </w:tc>
        <w:tc>
          <w:tcPr>
            <w:tcW w:w="680" w:type="dxa"/>
            <w:vAlign w:val="bottom"/>
          </w:tcPr>
          <w:p>
            <w:pPr>
              <w:ind w:left="56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3"/>
                <w:szCs w:val="13"/>
                <w:color w:val="auto"/>
              </w:rPr>
            </w:pPr>
          </w:p>
        </w:tc>
        <w:tc>
          <w:tcPr>
            <w:tcW w:w="2200" w:type="dxa"/>
            <w:vAlign w:val="bottom"/>
          </w:tcPr>
          <w:p>
            <w:pPr>
              <w:jc w:val="center"/>
              <w:spacing w:after="0"/>
              <w:rPr>
                <w:sz w:val="20"/>
                <w:szCs w:val="20"/>
                <w:color w:val="auto"/>
              </w:rPr>
            </w:pPr>
            <w:r>
              <w:rPr>
                <w:rFonts w:ascii="Arial" w:cs="Arial" w:eastAsia="Arial" w:hAnsi="Arial"/>
                <w:sz w:val="11"/>
                <w:szCs w:val="11"/>
                <w:color w:val="auto"/>
                <w:w w:val="87"/>
              </w:rPr>
              <w:t>IT Services</w:t>
            </w:r>
          </w:p>
        </w:tc>
        <w:tc>
          <w:tcPr>
            <w:tcW w:w="120" w:type="dxa"/>
            <w:vAlign w:val="bottom"/>
          </w:tcPr>
          <w:p>
            <w:pPr>
              <w:spacing w:after="0"/>
              <w:rPr>
                <w:sz w:val="13"/>
                <w:szCs w:val="13"/>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Pr>
          <w:p>
            <w:pPr>
              <w:ind w:left="800"/>
              <w:spacing w:after="0"/>
              <w:rPr>
                <w:sz w:val="20"/>
                <w:szCs w:val="20"/>
                <w:color w:val="auto"/>
              </w:rPr>
            </w:pPr>
            <w:r>
              <w:rPr>
                <w:rFonts w:ascii="Arial" w:cs="Arial" w:eastAsia="Arial" w:hAnsi="Arial"/>
                <w:sz w:val="11"/>
                <w:szCs w:val="11"/>
                <w:color w:val="auto"/>
                <w:w w:val="90"/>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19,184</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3,342</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4,334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3140" w:type="dxa"/>
            <w:vAlign w:val="bottom"/>
          </w:tcPr>
          <w:p>
            <w:pPr>
              <w:ind w:left="20"/>
              <w:spacing w:after="0" w:line="115" w:lineRule="exact"/>
              <w:rPr>
                <w:sz w:val="20"/>
                <w:szCs w:val="20"/>
                <w:color w:val="auto"/>
              </w:rPr>
            </w:pPr>
            <w:r>
              <w:rPr>
                <w:rFonts w:ascii="Arial" w:cs="Arial" w:eastAsia="Arial" w:hAnsi="Arial"/>
                <w:sz w:val="11"/>
                <w:szCs w:val="11"/>
                <w:color w:val="auto"/>
              </w:rPr>
              <w:t>Go Dawgs Capital III, LP</w:t>
            </w:r>
          </w:p>
        </w:tc>
        <w:tc>
          <w:tcPr>
            <w:tcW w:w="120" w:type="dxa"/>
            <w:vAlign w:val="bottom"/>
          </w:tcPr>
          <w:p>
            <w:pPr>
              <w:spacing w:after="0"/>
              <w:rPr>
                <w:sz w:val="9"/>
                <w:szCs w:val="9"/>
                <w:color w:val="auto"/>
              </w:rPr>
            </w:pPr>
          </w:p>
        </w:tc>
        <w:tc>
          <w:tcPr>
            <w:tcW w:w="680" w:type="dxa"/>
            <w:vAlign w:val="bottom"/>
          </w:tcPr>
          <w:p>
            <w:pPr>
              <w:ind w:left="560"/>
              <w:spacing w:after="0" w:line="115" w:lineRule="exact"/>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9"/>
                <w:szCs w:val="9"/>
                <w:color w:val="auto"/>
              </w:rPr>
            </w:pPr>
          </w:p>
        </w:tc>
        <w:tc>
          <w:tcPr>
            <w:tcW w:w="2200" w:type="dxa"/>
            <w:vAlign w:val="bottom"/>
          </w:tcPr>
          <w:p>
            <w:pPr>
              <w:jc w:val="center"/>
              <w:spacing w:after="0" w:line="115" w:lineRule="exact"/>
              <w:rPr>
                <w:sz w:val="20"/>
                <w:szCs w:val="20"/>
                <w:color w:val="auto"/>
              </w:rPr>
            </w:pPr>
            <w:r>
              <w:rPr>
                <w:rFonts w:ascii="Arial" w:cs="Arial" w:eastAsia="Arial" w:hAnsi="Arial"/>
                <w:sz w:val="11"/>
                <w:szCs w:val="11"/>
                <w:color w:val="auto"/>
                <w:w w:val="93"/>
              </w:rPr>
              <w:t>Building Products</w:t>
            </w:r>
          </w:p>
        </w:tc>
        <w:tc>
          <w:tcPr>
            <w:tcW w:w="120" w:type="dxa"/>
            <w:vAlign w:val="bottom"/>
          </w:tcPr>
          <w:p>
            <w:pPr>
              <w:spacing w:after="0"/>
              <w:rPr>
                <w:sz w:val="9"/>
                <w:szCs w:val="9"/>
                <w:color w:val="auto"/>
              </w:rPr>
            </w:pPr>
          </w:p>
        </w:tc>
        <w:tc>
          <w:tcPr>
            <w:tcW w:w="960" w:type="dxa"/>
            <w:vAlign w:val="bottom"/>
            <w:gridSpan w:val="2"/>
          </w:tcPr>
          <w:p>
            <w:pPr>
              <w:jc w:val="right"/>
              <w:ind w:right="260"/>
              <w:spacing w:after="0" w:line="115" w:lineRule="exact"/>
              <w:rPr>
                <w:sz w:val="20"/>
                <w:szCs w:val="20"/>
                <w:color w:val="auto"/>
              </w:rPr>
            </w:pPr>
            <w:r>
              <w:rPr>
                <w:rFonts w:ascii="Arial" w:cs="Arial" w:eastAsia="Arial" w:hAnsi="Arial"/>
                <w:sz w:val="11"/>
                <w:szCs w:val="11"/>
                <w:color w:val="auto"/>
              </w:rPr>
              <w:t>—</w:t>
            </w:r>
          </w:p>
        </w:tc>
        <w:tc>
          <w:tcPr>
            <w:tcW w:w="920" w:type="dxa"/>
            <w:vAlign w:val="bottom"/>
          </w:tcPr>
          <w:p>
            <w:pPr>
              <w:ind w:left="800"/>
              <w:spacing w:after="0" w:line="115" w:lineRule="exact"/>
              <w:rPr>
                <w:sz w:val="20"/>
                <w:szCs w:val="20"/>
                <w:color w:val="auto"/>
              </w:rPr>
            </w:pPr>
            <w:r>
              <w:rPr>
                <w:rFonts w:ascii="Arial" w:cs="Arial" w:eastAsia="Arial" w:hAnsi="Arial"/>
                <w:sz w:val="11"/>
                <w:szCs w:val="11"/>
                <w:color w:val="auto"/>
                <w:w w:val="90"/>
              </w:rPr>
              <w:t>—</w:t>
            </w:r>
          </w:p>
        </w:tc>
        <w:tc>
          <w:tcPr>
            <w:tcW w:w="90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324,675</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jc w:val="right"/>
              <w:spacing w:after="0" w:line="115" w:lineRule="exact"/>
              <w:rPr>
                <w:sz w:val="20"/>
                <w:szCs w:val="20"/>
                <w:color w:val="auto"/>
              </w:rPr>
            </w:pPr>
            <w:r>
              <w:rPr>
                <w:rFonts w:ascii="Arial" w:cs="Arial" w:eastAsia="Arial" w:hAnsi="Arial"/>
                <w:sz w:val="11"/>
                <w:szCs w:val="11"/>
                <w:color w:val="auto"/>
              </w:rPr>
              <w:t>325</w:t>
            </w: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jc w:val="right"/>
              <w:spacing w:after="0" w:line="115" w:lineRule="exact"/>
              <w:rPr>
                <w:sz w:val="20"/>
                <w:szCs w:val="20"/>
                <w:color w:val="auto"/>
              </w:rPr>
            </w:pPr>
            <w:r>
              <w:rPr>
                <w:rFonts w:ascii="Arial" w:cs="Arial" w:eastAsia="Arial" w:hAnsi="Arial"/>
                <w:sz w:val="11"/>
                <w:szCs w:val="11"/>
                <w:color w:val="auto"/>
              </w:rPr>
              <w:t>360</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140" w:type="dxa"/>
            <w:vAlign w:val="bottom"/>
          </w:tcPr>
          <w:p>
            <w:pPr>
              <w:ind w:left="100"/>
              <w:spacing w:after="0" w:line="135" w:lineRule="exact"/>
              <w:rPr>
                <w:sz w:val="20"/>
                <w:szCs w:val="20"/>
                <w:color w:val="auto"/>
              </w:rPr>
            </w:pPr>
            <w:r>
              <w:rPr>
                <w:rFonts w:ascii="Arial" w:cs="Arial" w:eastAsia="Arial" w:hAnsi="Arial"/>
                <w:sz w:val="11"/>
                <w:szCs w:val="11"/>
                <w:color w:val="auto"/>
              </w:rPr>
              <w:t xml:space="preserve">(American Insulated Glass, LLC) </w:t>
            </w:r>
            <w:r>
              <w:rPr>
                <w:rFonts w:ascii="Arial" w:cs="Arial" w:eastAsia="Arial" w:hAnsi="Arial"/>
                <w:sz w:val="14"/>
                <w:szCs w:val="14"/>
                <w:color w:val="auto"/>
                <w:vertAlign w:val="superscript"/>
              </w:rPr>
              <w:t>(7), (8)</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14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Hancock Claims Consultants Investors, LLC </w:t>
            </w:r>
            <w:r>
              <w:rPr>
                <w:rFonts w:ascii="Arial" w:cs="Arial" w:eastAsia="Arial" w:hAnsi="Arial"/>
                <w:sz w:val="14"/>
                <w:szCs w:val="14"/>
                <w:color w:val="auto"/>
                <w:vertAlign w:val="superscript"/>
              </w:rPr>
              <w:t>(7), (8)</w:t>
            </w:r>
          </w:p>
        </w:tc>
        <w:tc>
          <w:tcPr>
            <w:tcW w:w="120" w:type="dxa"/>
            <w:vAlign w:val="bottom"/>
          </w:tcPr>
          <w:p>
            <w:pPr>
              <w:spacing w:after="0"/>
              <w:rPr>
                <w:sz w:val="13"/>
                <w:szCs w:val="13"/>
                <w:color w:val="auto"/>
              </w:rPr>
            </w:pPr>
          </w:p>
        </w:tc>
        <w:tc>
          <w:tcPr>
            <w:tcW w:w="680" w:type="dxa"/>
            <w:vAlign w:val="bottom"/>
          </w:tcPr>
          <w:p>
            <w:pPr>
              <w:ind w:left="56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3"/>
                <w:szCs w:val="13"/>
                <w:color w:val="auto"/>
              </w:rPr>
            </w:pPr>
          </w:p>
        </w:tc>
        <w:tc>
          <w:tcPr>
            <w:tcW w:w="2200" w:type="dxa"/>
            <w:vAlign w:val="bottom"/>
          </w:tcPr>
          <w:p>
            <w:pPr>
              <w:jc w:val="center"/>
              <w:spacing w:after="0"/>
              <w:rPr>
                <w:sz w:val="20"/>
                <w:szCs w:val="20"/>
                <w:color w:val="auto"/>
              </w:rPr>
            </w:pPr>
            <w:r>
              <w:rPr>
                <w:rFonts w:ascii="Arial" w:cs="Arial" w:eastAsia="Arial" w:hAnsi="Arial"/>
                <w:sz w:val="11"/>
                <w:szCs w:val="11"/>
                <w:color w:val="auto"/>
                <w:w w:val="86"/>
              </w:rPr>
              <w:t>Insurance</w:t>
            </w:r>
          </w:p>
        </w:tc>
        <w:tc>
          <w:tcPr>
            <w:tcW w:w="120" w:type="dxa"/>
            <w:vAlign w:val="bottom"/>
          </w:tcPr>
          <w:p>
            <w:pPr>
              <w:spacing w:after="0"/>
              <w:rPr>
                <w:sz w:val="13"/>
                <w:szCs w:val="13"/>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Pr>
          <w:p>
            <w:pPr>
              <w:ind w:left="800"/>
              <w:spacing w:after="0"/>
              <w:rPr>
                <w:sz w:val="20"/>
                <w:szCs w:val="20"/>
                <w:color w:val="auto"/>
              </w:rPr>
            </w:pPr>
            <w:r>
              <w:rPr>
                <w:rFonts w:ascii="Arial" w:cs="Arial" w:eastAsia="Arial" w:hAnsi="Arial"/>
                <w:sz w:val="11"/>
                <w:szCs w:val="11"/>
                <w:color w:val="auto"/>
                <w:w w:val="90"/>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450,000</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450</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497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140" w:type="dxa"/>
            <w:vAlign w:val="bottom"/>
          </w:tcPr>
          <w:p>
            <w:pPr>
              <w:ind w:left="20"/>
              <w:spacing w:after="0"/>
              <w:rPr>
                <w:sz w:val="20"/>
                <w:szCs w:val="20"/>
                <w:color w:val="auto"/>
              </w:rPr>
            </w:pPr>
            <w:r>
              <w:rPr>
                <w:rFonts w:ascii="Arial" w:cs="Arial" w:eastAsia="Arial" w:hAnsi="Arial"/>
                <w:sz w:val="11"/>
                <w:szCs w:val="11"/>
                <w:color w:val="auto"/>
              </w:rPr>
              <w:t>HV Watterson Holdings, LLC</w:t>
            </w:r>
          </w:p>
        </w:tc>
        <w:tc>
          <w:tcPr>
            <w:tcW w:w="120" w:type="dxa"/>
            <w:vAlign w:val="bottom"/>
          </w:tcPr>
          <w:p>
            <w:pPr>
              <w:spacing w:after="0"/>
              <w:rPr>
                <w:sz w:val="11"/>
                <w:szCs w:val="11"/>
                <w:color w:val="auto"/>
              </w:rPr>
            </w:pPr>
          </w:p>
        </w:tc>
        <w:tc>
          <w:tcPr>
            <w:tcW w:w="680" w:type="dxa"/>
            <w:vAlign w:val="bottom"/>
          </w:tcPr>
          <w:p>
            <w:pPr>
              <w:ind w:left="56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1"/>
                <w:szCs w:val="11"/>
                <w:color w:val="auto"/>
              </w:rPr>
            </w:pPr>
          </w:p>
        </w:tc>
        <w:tc>
          <w:tcPr>
            <w:tcW w:w="2200" w:type="dxa"/>
            <w:vAlign w:val="bottom"/>
          </w:tcPr>
          <w:p>
            <w:pPr>
              <w:jc w:val="center"/>
              <w:spacing w:after="0"/>
              <w:rPr>
                <w:sz w:val="20"/>
                <w:szCs w:val="20"/>
                <w:color w:val="auto"/>
              </w:rPr>
            </w:pPr>
            <w:r>
              <w:rPr>
                <w:rFonts w:ascii="Arial" w:cs="Arial" w:eastAsia="Arial" w:hAnsi="Arial"/>
                <w:sz w:val="11"/>
                <w:szCs w:val="11"/>
                <w:color w:val="auto"/>
                <w:w w:val="86"/>
              </w:rPr>
              <w:t>Professional Services</w:t>
            </w:r>
          </w:p>
        </w:tc>
        <w:tc>
          <w:tcPr>
            <w:tcW w:w="120" w:type="dxa"/>
            <w:vAlign w:val="bottom"/>
          </w:tcPr>
          <w:p>
            <w:pPr>
              <w:spacing w:after="0"/>
              <w:rPr>
                <w:sz w:val="11"/>
                <w:szCs w:val="11"/>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Pr>
          <w:p>
            <w:pPr>
              <w:ind w:left="800"/>
              <w:spacing w:after="0"/>
              <w:rPr>
                <w:sz w:val="20"/>
                <w:szCs w:val="20"/>
                <w:color w:val="auto"/>
              </w:rPr>
            </w:pPr>
            <w:r>
              <w:rPr>
                <w:rFonts w:ascii="Arial" w:cs="Arial" w:eastAsia="Arial" w:hAnsi="Arial"/>
                <w:sz w:val="11"/>
                <w:szCs w:val="11"/>
                <w:color w:val="auto"/>
                <w:w w:val="90"/>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100,000</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100</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3140" w:type="dxa"/>
            <w:vAlign w:val="bottom"/>
          </w:tcPr>
          <w:p>
            <w:pPr>
              <w:ind w:left="20"/>
              <w:spacing w:after="0" w:line="115" w:lineRule="exact"/>
              <w:rPr>
                <w:sz w:val="20"/>
                <w:szCs w:val="20"/>
                <w:color w:val="auto"/>
              </w:rPr>
            </w:pPr>
            <w:r>
              <w:rPr>
                <w:rFonts w:ascii="Arial" w:cs="Arial" w:eastAsia="Arial" w:hAnsi="Arial"/>
                <w:sz w:val="11"/>
                <w:szCs w:val="11"/>
                <w:color w:val="auto"/>
              </w:rPr>
              <w:t>Icon Partners V C, L.P.</w:t>
            </w:r>
          </w:p>
        </w:tc>
        <w:tc>
          <w:tcPr>
            <w:tcW w:w="120" w:type="dxa"/>
            <w:vAlign w:val="bottom"/>
          </w:tcPr>
          <w:p>
            <w:pPr>
              <w:spacing w:after="0"/>
              <w:rPr>
                <w:sz w:val="9"/>
                <w:szCs w:val="9"/>
                <w:color w:val="auto"/>
              </w:rPr>
            </w:pPr>
          </w:p>
        </w:tc>
        <w:tc>
          <w:tcPr>
            <w:tcW w:w="680" w:type="dxa"/>
            <w:vAlign w:val="bottom"/>
          </w:tcPr>
          <w:p>
            <w:pPr>
              <w:ind w:left="560"/>
              <w:spacing w:after="0" w:line="115" w:lineRule="exact"/>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9"/>
                <w:szCs w:val="9"/>
                <w:color w:val="auto"/>
              </w:rPr>
            </w:pPr>
          </w:p>
        </w:tc>
        <w:tc>
          <w:tcPr>
            <w:tcW w:w="2200" w:type="dxa"/>
            <w:vAlign w:val="bottom"/>
          </w:tcPr>
          <w:p>
            <w:pPr>
              <w:jc w:val="center"/>
              <w:spacing w:after="0" w:line="115" w:lineRule="exact"/>
              <w:rPr>
                <w:sz w:val="20"/>
                <w:szCs w:val="20"/>
                <w:color w:val="auto"/>
              </w:rPr>
            </w:pPr>
            <w:r>
              <w:rPr>
                <w:rFonts w:ascii="Arial" w:cs="Arial" w:eastAsia="Arial" w:hAnsi="Arial"/>
                <w:sz w:val="11"/>
                <w:szCs w:val="11"/>
                <w:color w:val="auto"/>
                <w:w w:val="87"/>
              </w:rPr>
              <w:t>Internet Software and Services</w:t>
            </w:r>
          </w:p>
        </w:tc>
        <w:tc>
          <w:tcPr>
            <w:tcW w:w="120" w:type="dxa"/>
            <w:vAlign w:val="bottom"/>
          </w:tcPr>
          <w:p>
            <w:pPr>
              <w:spacing w:after="0"/>
              <w:rPr>
                <w:sz w:val="9"/>
                <w:szCs w:val="9"/>
                <w:color w:val="auto"/>
              </w:rPr>
            </w:pPr>
          </w:p>
        </w:tc>
        <w:tc>
          <w:tcPr>
            <w:tcW w:w="960" w:type="dxa"/>
            <w:vAlign w:val="bottom"/>
            <w:gridSpan w:val="2"/>
          </w:tcPr>
          <w:p>
            <w:pPr>
              <w:jc w:val="right"/>
              <w:ind w:right="260"/>
              <w:spacing w:after="0" w:line="115" w:lineRule="exact"/>
              <w:rPr>
                <w:sz w:val="20"/>
                <w:szCs w:val="20"/>
                <w:color w:val="auto"/>
              </w:rPr>
            </w:pPr>
            <w:r>
              <w:rPr>
                <w:rFonts w:ascii="Arial" w:cs="Arial" w:eastAsia="Arial" w:hAnsi="Arial"/>
                <w:sz w:val="11"/>
                <w:szCs w:val="11"/>
                <w:color w:val="auto"/>
              </w:rPr>
              <w:t>—</w:t>
            </w:r>
          </w:p>
        </w:tc>
        <w:tc>
          <w:tcPr>
            <w:tcW w:w="920" w:type="dxa"/>
            <w:vAlign w:val="bottom"/>
          </w:tcPr>
          <w:p>
            <w:pPr>
              <w:ind w:left="800"/>
              <w:spacing w:after="0" w:line="115" w:lineRule="exact"/>
              <w:rPr>
                <w:sz w:val="20"/>
                <w:szCs w:val="20"/>
                <w:color w:val="auto"/>
              </w:rPr>
            </w:pPr>
            <w:r>
              <w:rPr>
                <w:rFonts w:ascii="Arial" w:cs="Arial" w:eastAsia="Arial" w:hAnsi="Arial"/>
                <w:sz w:val="11"/>
                <w:szCs w:val="11"/>
                <w:color w:val="auto"/>
                <w:w w:val="90"/>
              </w:rPr>
              <w:t>—</w:t>
            </w:r>
          </w:p>
        </w:tc>
        <w:tc>
          <w:tcPr>
            <w:tcW w:w="90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1,851,852</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jc w:val="right"/>
              <w:spacing w:after="0" w:line="115" w:lineRule="exact"/>
              <w:rPr>
                <w:sz w:val="20"/>
                <w:szCs w:val="20"/>
                <w:color w:val="auto"/>
              </w:rPr>
            </w:pPr>
            <w:r>
              <w:rPr>
                <w:rFonts w:ascii="Arial" w:cs="Arial" w:eastAsia="Arial" w:hAnsi="Arial"/>
                <w:sz w:val="11"/>
                <w:szCs w:val="11"/>
                <w:color w:val="auto"/>
              </w:rPr>
              <w:t>1,852</w:t>
            </w: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jc w:val="right"/>
              <w:spacing w:after="0" w:line="115" w:lineRule="exact"/>
              <w:rPr>
                <w:sz w:val="20"/>
                <w:szCs w:val="20"/>
                <w:color w:val="auto"/>
              </w:rPr>
            </w:pPr>
            <w:r>
              <w:rPr>
                <w:rFonts w:ascii="Arial" w:cs="Arial" w:eastAsia="Arial" w:hAnsi="Arial"/>
                <w:sz w:val="11"/>
                <w:szCs w:val="11"/>
                <w:color w:val="auto"/>
              </w:rPr>
              <w:t>2,036</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314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Icon Partners V C, L.P. </w:t>
            </w:r>
            <w:r>
              <w:rPr>
                <w:rFonts w:ascii="Arial" w:cs="Arial" w:eastAsia="Arial" w:hAnsi="Arial"/>
                <w:sz w:val="14"/>
                <w:szCs w:val="14"/>
                <w:color w:val="auto"/>
                <w:vertAlign w:val="superscript"/>
              </w:rPr>
              <w:t>(7), (9)</w:t>
            </w:r>
          </w:p>
        </w:tc>
        <w:tc>
          <w:tcPr>
            <w:tcW w:w="120" w:type="dxa"/>
            <w:vAlign w:val="bottom"/>
          </w:tcPr>
          <w:p>
            <w:pPr>
              <w:spacing w:after="0"/>
              <w:rPr>
                <w:sz w:val="13"/>
                <w:szCs w:val="13"/>
                <w:color w:val="auto"/>
              </w:rPr>
            </w:pPr>
          </w:p>
        </w:tc>
        <w:tc>
          <w:tcPr>
            <w:tcW w:w="680" w:type="dxa"/>
            <w:vAlign w:val="bottom"/>
          </w:tcPr>
          <w:p>
            <w:pPr>
              <w:ind w:left="56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3"/>
                <w:szCs w:val="13"/>
                <w:color w:val="auto"/>
              </w:rPr>
            </w:pPr>
          </w:p>
        </w:tc>
        <w:tc>
          <w:tcPr>
            <w:tcW w:w="2200" w:type="dxa"/>
            <w:vAlign w:val="bottom"/>
          </w:tcPr>
          <w:p>
            <w:pPr>
              <w:jc w:val="center"/>
              <w:spacing w:after="0"/>
              <w:rPr>
                <w:sz w:val="20"/>
                <w:szCs w:val="20"/>
                <w:color w:val="auto"/>
              </w:rPr>
            </w:pPr>
            <w:r>
              <w:rPr>
                <w:rFonts w:ascii="Arial" w:cs="Arial" w:eastAsia="Arial" w:hAnsi="Arial"/>
                <w:sz w:val="11"/>
                <w:szCs w:val="11"/>
                <w:color w:val="auto"/>
                <w:w w:val="87"/>
              </w:rPr>
              <w:t>Internet Software and Services</w:t>
            </w:r>
          </w:p>
        </w:tc>
        <w:tc>
          <w:tcPr>
            <w:tcW w:w="120" w:type="dxa"/>
            <w:vAlign w:val="bottom"/>
          </w:tcPr>
          <w:p>
            <w:pPr>
              <w:spacing w:after="0"/>
              <w:rPr>
                <w:sz w:val="13"/>
                <w:szCs w:val="13"/>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Pr>
          <w:p>
            <w:pPr>
              <w:ind w:left="800"/>
              <w:spacing w:after="0"/>
              <w:rPr>
                <w:sz w:val="20"/>
                <w:szCs w:val="20"/>
                <w:color w:val="auto"/>
              </w:rPr>
            </w:pPr>
            <w:r>
              <w:rPr>
                <w:rFonts w:ascii="Arial" w:cs="Arial" w:eastAsia="Arial" w:hAnsi="Arial"/>
                <w:sz w:val="11"/>
                <w:szCs w:val="11"/>
                <w:color w:val="auto"/>
                <w:w w:val="90"/>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648,148</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5"/>
        </w:trPr>
        <w:tc>
          <w:tcPr>
            <w:tcW w:w="3140" w:type="dxa"/>
            <w:vAlign w:val="bottom"/>
            <w:shd w:val="clear" w:color="auto" w:fill="CCECFF"/>
          </w:tcPr>
          <w:p>
            <w:pPr>
              <w:ind w:left="20"/>
              <w:spacing w:after="0" w:line="115" w:lineRule="exact"/>
              <w:rPr>
                <w:sz w:val="20"/>
                <w:szCs w:val="20"/>
                <w:color w:val="auto"/>
              </w:rPr>
            </w:pPr>
            <w:r>
              <w:rPr>
                <w:rFonts w:ascii="Arial" w:cs="Arial" w:eastAsia="Arial" w:hAnsi="Arial"/>
                <w:sz w:val="11"/>
                <w:szCs w:val="11"/>
                <w:color w:val="auto"/>
              </w:rPr>
              <w:t>IIN Group Holdings, LLC</w:t>
            </w:r>
          </w:p>
        </w:tc>
        <w:tc>
          <w:tcPr>
            <w:tcW w:w="120" w:type="dxa"/>
            <w:vAlign w:val="bottom"/>
          </w:tcPr>
          <w:p>
            <w:pPr>
              <w:spacing w:after="0"/>
              <w:rPr>
                <w:sz w:val="9"/>
                <w:szCs w:val="9"/>
                <w:color w:val="auto"/>
              </w:rPr>
            </w:pPr>
          </w:p>
        </w:tc>
        <w:tc>
          <w:tcPr>
            <w:tcW w:w="680" w:type="dxa"/>
            <w:vAlign w:val="bottom"/>
          </w:tcPr>
          <w:p>
            <w:pPr>
              <w:ind w:left="560"/>
              <w:spacing w:after="0" w:line="115" w:lineRule="exact"/>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9"/>
                <w:szCs w:val="9"/>
                <w:color w:val="auto"/>
              </w:rPr>
            </w:pPr>
          </w:p>
        </w:tc>
        <w:tc>
          <w:tcPr>
            <w:tcW w:w="2200" w:type="dxa"/>
            <w:vAlign w:val="bottom"/>
          </w:tcPr>
          <w:p>
            <w:pPr>
              <w:jc w:val="center"/>
              <w:spacing w:after="0" w:line="115" w:lineRule="exact"/>
              <w:rPr>
                <w:sz w:val="20"/>
                <w:szCs w:val="20"/>
                <w:color w:val="auto"/>
              </w:rPr>
            </w:pPr>
            <w:r>
              <w:rPr>
                <w:rFonts w:ascii="Arial" w:cs="Arial" w:eastAsia="Arial" w:hAnsi="Arial"/>
                <w:sz w:val="11"/>
                <w:szCs w:val="11"/>
                <w:color w:val="auto"/>
                <w:w w:val="87"/>
              </w:rPr>
              <w:t>Consumer Services</w:t>
            </w:r>
          </w:p>
        </w:tc>
        <w:tc>
          <w:tcPr>
            <w:tcW w:w="120" w:type="dxa"/>
            <w:vAlign w:val="bottom"/>
          </w:tcPr>
          <w:p>
            <w:pPr>
              <w:spacing w:after="0"/>
              <w:rPr>
                <w:sz w:val="9"/>
                <w:szCs w:val="9"/>
                <w:color w:val="auto"/>
              </w:rPr>
            </w:pPr>
          </w:p>
        </w:tc>
        <w:tc>
          <w:tcPr>
            <w:tcW w:w="960" w:type="dxa"/>
            <w:vAlign w:val="bottom"/>
            <w:gridSpan w:val="2"/>
          </w:tcPr>
          <w:p>
            <w:pPr>
              <w:jc w:val="right"/>
              <w:ind w:right="260"/>
              <w:spacing w:after="0" w:line="115" w:lineRule="exact"/>
              <w:rPr>
                <w:sz w:val="20"/>
                <w:szCs w:val="20"/>
                <w:color w:val="auto"/>
              </w:rPr>
            </w:pPr>
            <w:r>
              <w:rPr>
                <w:rFonts w:ascii="Arial" w:cs="Arial" w:eastAsia="Arial" w:hAnsi="Arial"/>
                <w:sz w:val="11"/>
                <w:szCs w:val="11"/>
                <w:color w:val="auto"/>
              </w:rPr>
              <w:t>—</w:t>
            </w:r>
          </w:p>
        </w:tc>
        <w:tc>
          <w:tcPr>
            <w:tcW w:w="920" w:type="dxa"/>
            <w:vAlign w:val="bottom"/>
          </w:tcPr>
          <w:p>
            <w:pPr>
              <w:ind w:left="800"/>
              <w:spacing w:after="0" w:line="115" w:lineRule="exact"/>
              <w:rPr>
                <w:sz w:val="20"/>
                <w:szCs w:val="20"/>
                <w:color w:val="auto"/>
              </w:rPr>
            </w:pPr>
            <w:r>
              <w:rPr>
                <w:rFonts w:ascii="Arial" w:cs="Arial" w:eastAsia="Arial" w:hAnsi="Arial"/>
                <w:sz w:val="11"/>
                <w:szCs w:val="11"/>
                <w:color w:val="auto"/>
                <w:w w:val="90"/>
              </w:rPr>
              <w:t>—</w:t>
            </w:r>
          </w:p>
        </w:tc>
        <w:tc>
          <w:tcPr>
            <w:tcW w:w="90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1,000</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jc w:val="right"/>
              <w:spacing w:after="0" w:line="115" w:lineRule="exact"/>
              <w:rPr>
                <w:sz w:val="20"/>
                <w:szCs w:val="20"/>
                <w:color w:val="auto"/>
              </w:rPr>
            </w:pPr>
            <w:r>
              <w:rPr>
                <w:rFonts w:ascii="Arial" w:cs="Arial" w:eastAsia="Arial" w:hAnsi="Arial"/>
                <w:sz w:val="11"/>
                <w:szCs w:val="11"/>
                <w:color w:val="auto"/>
              </w:rPr>
              <w:t>1,000</w:t>
            </w: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jc w:val="right"/>
              <w:spacing w:after="0" w:line="115" w:lineRule="exact"/>
              <w:rPr>
                <w:sz w:val="20"/>
                <w:szCs w:val="20"/>
                <w:color w:val="auto"/>
              </w:rPr>
            </w:pPr>
            <w:r>
              <w:rPr>
                <w:rFonts w:ascii="Arial" w:cs="Arial" w:eastAsia="Arial" w:hAnsi="Arial"/>
                <w:sz w:val="11"/>
                <w:szCs w:val="11"/>
                <w:color w:val="auto"/>
              </w:rPr>
              <w:t>901</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3140" w:type="dxa"/>
            <w:vAlign w:val="bottom"/>
            <w:vMerge w:val="restart"/>
            <w:shd w:val="clear" w:color="auto" w:fill="CCECFF"/>
          </w:tcPr>
          <w:p>
            <w:pPr>
              <w:ind w:left="100"/>
              <w:spacing w:after="0"/>
              <w:rPr>
                <w:sz w:val="20"/>
                <w:szCs w:val="20"/>
                <w:color w:val="auto"/>
              </w:rPr>
            </w:pPr>
            <w:r>
              <w:rPr>
                <w:rFonts w:ascii="Arial" w:cs="Arial" w:eastAsia="Arial" w:hAnsi="Arial"/>
                <w:sz w:val="11"/>
                <w:szCs w:val="11"/>
                <w:color w:val="auto"/>
              </w:rPr>
              <w:t xml:space="preserve">(Integrative Nutrition, LLC) </w:t>
            </w:r>
            <w:r>
              <w:rPr>
                <w:rFonts w:ascii="Arial" w:cs="Arial" w:eastAsia="Arial" w:hAnsi="Arial"/>
                <w:sz w:val="14"/>
                <w:szCs w:val="14"/>
                <w:color w:val="auto"/>
                <w:vertAlign w:val="superscript"/>
              </w:rPr>
              <w:t>(7), (8)</w:t>
            </w: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3140" w:type="dxa"/>
            <w:vAlign w:val="bottom"/>
            <w:vMerge w:val="continue"/>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22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9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48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3140" w:type="dxa"/>
            <w:vAlign w:val="bottom"/>
          </w:tcPr>
          <w:p>
            <w:pPr>
              <w:ind w:left="20"/>
              <w:spacing w:after="0" w:line="105" w:lineRule="exact"/>
              <w:rPr>
                <w:sz w:val="20"/>
                <w:szCs w:val="20"/>
                <w:color w:val="auto"/>
              </w:rPr>
            </w:pPr>
            <w:r>
              <w:rPr>
                <w:rFonts w:ascii="Arial" w:cs="Arial" w:eastAsia="Arial" w:hAnsi="Arial"/>
                <w:sz w:val="11"/>
                <w:szCs w:val="11"/>
                <w:color w:val="auto"/>
              </w:rPr>
              <w:t>Imagine Topco, LP (Common)</w:t>
            </w:r>
          </w:p>
        </w:tc>
        <w:tc>
          <w:tcPr>
            <w:tcW w:w="120" w:type="dxa"/>
            <w:vAlign w:val="bottom"/>
          </w:tcPr>
          <w:p>
            <w:pPr>
              <w:spacing w:after="0"/>
              <w:rPr>
                <w:sz w:val="9"/>
                <w:szCs w:val="9"/>
                <w:color w:val="auto"/>
              </w:rPr>
            </w:pPr>
          </w:p>
        </w:tc>
        <w:tc>
          <w:tcPr>
            <w:tcW w:w="680" w:type="dxa"/>
            <w:vAlign w:val="bottom"/>
          </w:tcPr>
          <w:p>
            <w:pPr>
              <w:ind w:left="560"/>
              <w:spacing w:after="0" w:line="105" w:lineRule="exact"/>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9"/>
                <w:szCs w:val="9"/>
                <w:color w:val="auto"/>
              </w:rPr>
            </w:pPr>
          </w:p>
        </w:tc>
        <w:tc>
          <w:tcPr>
            <w:tcW w:w="2200" w:type="dxa"/>
            <w:vAlign w:val="bottom"/>
          </w:tcPr>
          <w:p>
            <w:pPr>
              <w:jc w:val="center"/>
              <w:spacing w:after="0" w:line="105" w:lineRule="exact"/>
              <w:rPr>
                <w:sz w:val="20"/>
                <w:szCs w:val="20"/>
                <w:color w:val="auto"/>
              </w:rPr>
            </w:pPr>
            <w:r>
              <w:rPr>
                <w:rFonts w:ascii="Arial" w:cs="Arial" w:eastAsia="Arial" w:hAnsi="Arial"/>
                <w:sz w:val="11"/>
                <w:szCs w:val="11"/>
                <w:color w:val="auto"/>
                <w:w w:val="92"/>
              </w:rPr>
              <w:t>Software</w:t>
            </w:r>
          </w:p>
        </w:tc>
        <w:tc>
          <w:tcPr>
            <w:tcW w:w="120" w:type="dxa"/>
            <w:vAlign w:val="bottom"/>
          </w:tcPr>
          <w:p>
            <w:pPr>
              <w:spacing w:after="0"/>
              <w:rPr>
                <w:sz w:val="9"/>
                <w:szCs w:val="9"/>
                <w:color w:val="auto"/>
              </w:rPr>
            </w:pPr>
          </w:p>
        </w:tc>
        <w:tc>
          <w:tcPr>
            <w:tcW w:w="960" w:type="dxa"/>
            <w:vAlign w:val="bottom"/>
            <w:gridSpan w:val="2"/>
          </w:tcPr>
          <w:p>
            <w:pPr>
              <w:jc w:val="right"/>
              <w:ind w:right="260"/>
              <w:spacing w:after="0" w:line="105" w:lineRule="exact"/>
              <w:rPr>
                <w:sz w:val="20"/>
                <w:szCs w:val="20"/>
                <w:color w:val="auto"/>
              </w:rPr>
            </w:pPr>
            <w:r>
              <w:rPr>
                <w:rFonts w:ascii="Arial" w:cs="Arial" w:eastAsia="Arial" w:hAnsi="Arial"/>
                <w:sz w:val="11"/>
                <w:szCs w:val="11"/>
                <w:color w:val="auto"/>
              </w:rPr>
              <w:t>—</w:t>
            </w:r>
          </w:p>
        </w:tc>
        <w:tc>
          <w:tcPr>
            <w:tcW w:w="920" w:type="dxa"/>
            <w:vAlign w:val="bottom"/>
          </w:tcPr>
          <w:p>
            <w:pPr>
              <w:ind w:left="800"/>
              <w:spacing w:after="0" w:line="105" w:lineRule="exact"/>
              <w:rPr>
                <w:sz w:val="20"/>
                <w:szCs w:val="20"/>
                <w:color w:val="auto"/>
              </w:rPr>
            </w:pPr>
            <w:r>
              <w:rPr>
                <w:rFonts w:ascii="Arial" w:cs="Arial" w:eastAsia="Arial" w:hAnsi="Arial"/>
                <w:sz w:val="11"/>
                <w:szCs w:val="11"/>
                <w:color w:val="auto"/>
                <w:w w:val="90"/>
              </w:rPr>
              <w:t>—</w:t>
            </w:r>
          </w:p>
        </w:tc>
        <w:tc>
          <w:tcPr>
            <w:tcW w:w="900" w:type="dxa"/>
            <w:vAlign w:val="bottom"/>
            <w:gridSpan w:val="2"/>
          </w:tcPr>
          <w:p>
            <w:pPr>
              <w:jc w:val="right"/>
              <w:spacing w:after="0" w:line="105" w:lineRule="exact"/>
              <w:rPr>
                <w:sz w:val="20"/>
                <w:szCs w:val="20"/>
                <w:color w:val="auto"/>
              </w:rPr>
            </w:pPr>
            <w:r>
              <w:rPr>
                <w:rFonts w:ascii="Arial" w:cs="Arial" w:eastAsia="Arial" w:hAnsi="Arial"/>
                <w:sz w:val="11"/>
                <w:szCs w:val="11"/>
                <w:color w:val="auto"/>
              </w:rPr>
              <w:t>1,236,027</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jc w:val="right"/>
              <w:spacing w:after="0" w:line="105" w:lineRule="exact"/>
              <w:rPr>
                <w:sz w:val="20"/>
                <w:szCs w:val="20"/>
                <w:color w:val="auto"/>
              </w:rPr>
            </w:pPr>
            <w:r>
              <w:rPr>
                <w:rFonts w:ascii="Arial" w:cs="Arial" w:eastAsia="Arial" w:hAnsi="Arial"/>
                <w:sz w:val="11"/>
                <w:szCs w:val="11"/>
                <w:color w:val="auto"/>
              </w:rPr>
              <w:t>—</w:t>
            </w: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gridSpan w:val="2"/>
          </w:tcPr>
          <w:p>
            <w:pPr>
              <w:jc w:val="right"/>
              <w:ind w:right="120"/>
              <w:spacing w:after="0" w:line="105"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5"/>
        </w:trPr>
        <w:tc>
          <w:tcPr>
            <w:tcW w:w="314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Ironclad Holdco, LLC (Applied Technical Services, LLC) </w:t>
            </w:r>
            <w:r>
              <w:rPr>
                <w:rFonts w:ascii="Arial" w:cs="Arial" w:eastAsia="Arial" w:hAnsi="Arial"/>
                <w:sz w:val="14"/>
                <w:szCs w:val="14"/>
                <w:color w:val="auto"/>
                <w:vertAlign w:val="superscript"/>
              </w:rPr>
              <w:t>(7), (8)</w:t>
            </w:r>
          </w:p>
        </w:tc>
        <w:tc>
          <w:tcPr>
            <w:tcW w:w="120" w:type="dxa"/>
            <w:vAlign w:val="bottom"/>
          </w:tcPr>
          <w:p>
            <w:pPr>
              <w:spacing w:after="0"/>
              <w:rPr>
                <w:sz w:val="13"/>
                <w:szCs w:val="13"/>
                <w:color w:val="auto"/>
              </w:rPr>
            </w:pPr>
          </w:p>
        </w:tc>
        <w:tc>
          <w:tcPr>
            <w:tcW w:w="680" w:type="dxa"/>
            <w:vAlign w:val="bottom"/>
          </w:tcPr>
          <w:p>
            <w:pPr>
              <w:ind w:left="56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3"/>
                <w:szCs w:val="13"/>
                <w:color w:val="auto"/>
              </w:rPr>
            </w:pPr>
          </w:p>
        </w:tc>
        <w:tc>
          <w:tcPr>
            <w:tcW w:w="2200" w:type="dxa"/>
            <w:vAlign w:val="bottom"/>
          </w:tcPr>
          <w:p>
            <w:pPr>
              <w:jc w:val="center"/>
              <w:spacing w:after="0"/>
              <w:rPr>
                <w:sz w:val="20"/>
                <w:szCs w:val="20"/>
                <w:color w:val="auto"/>
              </w:rPr>
            </w:pPr>
            <w:r>
              <w:rPr>
                <w:rFonts w:ascii="Arial" w:cs="Arial" w:eastAsia="Arial" w:hAnsi="Arial"/>
                <w:sz w:val="11"/>
                <w:szCs w:val="11"/>
                <w:color w:val="auto"/>
                <w:w w:val="90"/>
              </w:rPr>
              <w:t>Commercial Services &amp; Supplies</w:t>
            </w:r>
          </w:p>
        </w:tc>
        <w:tc>
          <w:tcPr>
            <w:tcW w:w="120" w:type="dxa"/>
            <w:vAlign w:val="bottom"/>
          </w:tcPr>
          <w:p>
            <w:pPr>
              <w:spacing w:after="0"/>
              <w:rPr>
                <w:sz w:val="13"/>
                <w:szCs w:val="13"/>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Pr>
          <w:p>
            <w:pPr>
              <w:ind w:left="800"/>
              <w:spacing w:after="0"/>
              <w:rPr>
                <w:sz w:val="20"/>
                <w:szCs w:val="20"/>
                <w:color w:val="auto"/>
              </w:rPr>
            </w:pPr>
            <w:r>
              <w:rPr>
                <w:rFonts w:ascii="Arial" w:cs="Arial" w:eastAsia="Arial" w:hAnsi="Arial"/>
                <w:sz w:val="11"/>
                <w:szCs w:val="11"/>
                <w:color w:val="auto"/>
                <w:w w:val="90"/>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5,811</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573</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702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3140" w:type="dxa"/>
            <w:vAlign w:val="bottom"/>
          </w:tcPr>
          <w:p>
            <w:pPr>
              <w:ind w:left="20"/>
              <w:spacing w:after="0" w:line="115" w:lineRule="exact"/>
              <w:rPr>
                <w:sz w:val="20"/>
                <w:szCs w:val="20"/>
                <w:color w:val="auto"/>
              </w:rPr>
            </w:pPr>
            <w:r>
              <w:rPr>
                <w:rFonts w:ascii="Arial" w:cs="Arial" w:eastAsia="Arial" w:hAnsi="Arial"/>
                <w:sz w:val="11"/>
                <w:szCs w:val="11"/>
                <w:color w:val="auto"/>
              </w:rPr>
              <w:t>ITC Infusion Co-invest, LP</w:t>
            </w:r>
          </w:p>
        </w:tc>
        <w:tc>
          <w:tcPr>
            <w:tcW w:w="120" w:type="dxa"/>
            <w:vAlign w:val="bottom"/>
          </w:tcPr>
          <w:p>
            <w:pPr>
              <w:spacing w:after="0"/>
              <w:rPr>
                <w:sz w:val="9"/>
                <w:szCs w:val="9"/>
                <w:color w:val="auto"/>
              </w:rPr>
            </w:pPr>
          </w:p>
        </w:tc>
        <w:tc>
          <w:tcPr>
            <w:tcW w:w="680" w:type="dxa"/>
            <w:vAlign w:val="bottom"/>
          </w:tcPr>
          <w:p>
            <w:pPr>
              <w:ind w:left="560"/>
              <w:spacing w:after="0" w:line="115" w:lineRule="exact"/>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9"/>
                <w:szCs w:val="9"/>
                <w:color w:val="auto"/>
              </w:rPr>
            </w:pPr>
          </w:p>
        </w:tc>
        <w:tc>
          <w:tcPr>
            <w:tcW w:w="2200" w:type="dxa"/>
            <w:vAlign w:val="bottom"/>
          </w:tcPr>
          <w:p>
            <w:pPr>
              <w:jc w:val="center"/>
              <w:spacing w:after="0" w:line="115" w:lineRule="exact"/>
              <w:rPr>
                <w:sz w:val="20"/>
                <w:szCs w:val="20"/>
                <w:color w:val="auto"/>
              </w:rPr>
            </w:pPr>
            <w:r>
              <w:rPr>
                <w:rFonts w:ascii="Arial" w:cs="Arial" w:eastAsia="Arial" w:hAnsi="Arial"/>
                <w:sz w:val="11"/>
                <w:szCs w:val="11"/>
                <w:color w:val="auto"/>
                <w:w w:val="88"/>
              </w:rPr>
              <w:t>Healthcare Equipment and Supplied</w:t>
            </w:r>
          </w:p>
        </w:tc>
        <w:tc>
          <w:tcPr>
            <w:tcW w:w="120" w:type="dxa"/>
            <w:vAlign w:val="bottom"/>
          </w:tcPr>
          <w:p>
            <w:pPr>
              <w:spacing w:after="0"/>
              <w:rPr>
                <w:sz w:val="9"/>
                <w:szCs w:val="9"/>
                <w:color w:val="auto"/>
              </w:rPr>
            </w:pPr>
          </w:p>
        </w:tc>
        <w:tc>
          <w:tcPr>
            <w:tcW w:w="960" w:type="dxa"/>
            <w:vAlign w:val="bottom"/>
            <w:gridSpan w:val="2"/>
          </w:tcPr>
          <w:p>
            <w:pPr>
              <w:jc w:val="right"/>
              <w:ind w:right="260"/>
              <w:spacing w:after="0" w:line="115" w:lineRule="exact"/>
              <w:rPr>
                <w:sz w:val="20"/>
                <w:szCs w:val="20"/>
                <w:color w:val="auto"/>
              </w:rPr>
            </w:pPr>
            <w:r>
              <w:rPr>
                <w:rFonts w:ascii="Arial" w:cs="Arial" w:eastAsia="Arial" w:hAnsi="Arial"/>
                <w:sz w:val="11"/>
                <w:szCs w:val="11"/>
                <w:color w:val="auto"/>
              </w:rPr>
              <w:t>—</w:t>
            </w:r>
          </w:p>
        </w:tc>
        <w:tc>
          <w:tcPr>
            <w:tcW w:w="920" w:type="dxa"/>
            <w:vAlign w:val="bottom"/>
          </w:tcPr>
          <w:p>
            <w:pPr>
              <w:ind w:left="800"/>
              <w:spacing w:after="0" w:line="115" w:lineRule="exact"/>
              <w:rPr>
                <w:sz w:val="20"/>
                <w:szCs w:val="20"/>
                <w:color w:val="auto"/>
              </w:rPr>
            </w:pPr>
            <w:r>
              <w:rPr>
                <w:rFonts w:ascii="Arial" w:cs="Arial" w:eastAsia="Arial" w:hAnsi="Arial"/>
                <w:sz w:val="11"/>
                <w:szCs w:val="11"/>
                <w:color w:val="auto"/>
                <w:w w:val="90"/>
              </w:rPr>
              <w:t>—</w:t>
            </w:r>
          </w:p>
        </w:tc>
        <w:tc>
          <w:tcPr>
            <w:tcW w:w="90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59,211</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jc w:val="right"/>
              <w:spacing w:after="0" w:line="115" w:lineRule="exact"/>
              <w:rPr>
                <w:sz w:val="20"/>
                <w:szCs w:val="20"/>
                <w:color w:val="auto"/>
              </w:rPr>
            </w:pPr>
            <w:r>
              <w:rPr>
                <w:rFonts w:ascii="Arial" w:cs="Arial" w:eastAsia="Arial" w:hAnsi="Arial"/>
                <w:sz w:val="11"/>
                <w:szCs w:val="11"/>
                <w:color w:val="auto"/>
              </w:rPr>
              <w:t>592</w:t>
            </w: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jc w:val="right"/>
              <w:spacing w:after="0" w:line="115" w:lineRule="exact"/>
              <w:rPr>
                <w:sz w:val="20"/>
                <w:szCs w:val="20"/>
                <w:color w:val="auto"/>
              </w:rPr>
            </w:pPr>
            <w:r>
              <w:rPr>
                <w:rFonts w:ascii="Arial" w:cs="Arial" w:eastAsia="Arial" w:hAnsi="Arial"/>
                <w:sz w:val="11"/>
                <w:szCs w:val="11"/>
                <w:color w:val="auto"/>
              </w:rPr>
              <w:t>738</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314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ITC Rumba, LLC (Cano Health, LLC) </w:t>
            </w:r>
            <w:r>
              <w:rPr>
                <w:rFonts w:ascii="Arial" w:cs="Arial" w:eastAsia="Arial" w:hAnsi="Arial"/>
                <w:sz w:val="14"/>
                <w:szCs w:val="14"/>
                <w:color w:val="auto"/>
                <w:vertAlign w:val="superscript"/>
              </w:rPr>
              <w:t>(7),(8)</w:t>
            </w:r>
          </w:p>
        </w:tc>
        <w:tc>
          <w:tcPr>
            <w:tcW w:w="120" w:type="dxa"/>
            <w:vAlign w:val="bottom"/>
          </w:tcPr>
          <w:p>
            <w:pPr>
              <w:spacing w:after="0"/>
              <w:rPr>
                <w:sz w:val="13"/>
                <w:szCs w:val="13"/>
                <w:color w:val="auto"/>
              </w:rPr>
            </w:pPr>
          </w:p>
        </w:tc>
        <w:tc>
          <w:tcPr>
            <w:tcW w:w="680" w:type="dxa"/>
            <w:vAlign w:val="bottom"/>
          </w:tcPr>
          <w:p>
            <w:pPr>
              <w:ind w:left="56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3"/>
                <w:szCs w:val="13"/>
                <w:color w:val="auto"/>
              </w:rPr>
            </w:pPr>
          </w:p>
        </w:tc>
        <w:tc>
          <w:tcPr>
            <w:tcW w:w="2200" w:type="dxa"/>
            <w:vAlign w:val="bottom"/>
          </w:tcPr>
          <w:p>
            <w:pPr>
              <w:jc w:val="center"/>
              <w:spacing w:after="0"/>
              <w:rPr>
                <w:sz w:val="20"/>
                <w:szCs w:val="20"/>
                <w:color w:val="auto"/>
              </w:rPr>
            </w:pPr>
            <w:r>
              <w:rPr>
                <w:rFonts w:ascii="Arial" w:cs="Arial" w:eastAsia="Arial" w:hAnsi="Arial"/>
                <w:sz w:val="11"/>
                <w:szCs w:val="11"/>
                <w:color w:val="auto"/>
                <w:w w:val="88"/>
              </w:rPr>
              <w:t>Healthcare and Pharmaceuticals</w:t>
            </w:r>
          </w:p>
        </w:tc>
        <w:tc>
          <w:tcPr>
            <w:tcW w:w="120" w:type="dxa"/>
            <w:vAlign w:val="bottom"/>
          </w:tcPr>
          <w:p>
            <w:pPr>
              <w:spacing w:after="0"/>
              <w:rPr>
                <w:sz w:val="13"/>
                <w:szCs w:val="13"/>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Pr>
          <w:p>
            <w:pPr>
              <w:ind w:left="800"/>
              <w:spacing w:after="0"/>
              <w:rPr>
                <w:sz w:val="20"/>
                <w:szCs w:val="20"/>
                <w:color w:val="auto"/>
              </w:rPr>
            </w:pPr>
            <w:r>
              <w:rPr>
                <w:rFonts w:ascii="Arial" w:cs="Arial" w:eastAsia="Arial" w:hAnsi="Arial"/>
                <w:sz w:val="11"/>
                <w:szCs w:val="11"/>
                <w:color w:val="auto"/>
                <w:w w:val="90"/>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46,763</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117</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2,721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3140" w:type="dxa"/>
            <w:vAlign w:val="bottom"/>
          </w:tcPr>
          <w:p>
            <w:pPr>
              <w:ind w:left="20"/>
              <w:spacing w:after="0" w:line="115" w:lineRule="exact"/>
              <w:rPr>
                <w:sz w:val="20"/>
                <w:szCs w:val="20"/>
                <w:color w:val="auto"/>
              </w:rPr>
            </w:pPr>
            <w:r>
              <w:rPr>
                <w:rFonts w:ascii="Arial" w:cs="Arial" w:eastAsia="Arial" w:hAnsi="Arial"/>
                <w:sz w:val="11"/>
                <w:szCs w:val="11"/>
                <w:color w:val="auto"/>
              </w:rPr>
              <w:t>JWC-WE Holdings, L.P.</w:t>
            </w:r>
          </w:p>
        </w:tc>
        <w:tc>
          <w:tcPr>
            <w:tcW w:w="120" w:type="dxa"/>
            <w:vAlign w:val="bottom"/>
          </w:tcPr>
          <w:p>
            <w:pPr>
              <w:spacing w:after="0"/>
              <w:rPr>
                <w:sz w:val="9"/>
                <w:szCs w:val="9"/>
                <w:color w:val="auto"/>
              </w:rPr>
            </w:pPr>
          </w:p>
        </w:tc>
        <w:tc>
          <w:tcPr>
            <w:tcW w:w="680" w:type="dxa"/>
            <w:vAlign w:val="bottom"/>
          </w:tcPr>
          <w:p>
            <w:pPr>
              <w:ind w:left="560"/>
              <w:spacing w:after="0" w:line="115" w:lineRule="exact"/>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9"/>
                <w:szCs w:val="9"/>
                <w:color w:val="auto"/>
              </w:rPr>
            </w:pPr>
          </w:p>
        </w:tc>
        <w:tc>
          <w:tcPr>
            <w:tcW w:w="2200" w:type="dxa"/>
            <w:vAlign w:val="bottom"/>
          </w:tcPr>
          <w:p>
            <w:pPr>
              <w:jc w:val="center"/>
              <w:spacing w:after="0" w:line="115" w:lineRule="exact"/>
              <w:rPr>
                <w:sz w:val="20"/>
                <w:szCs w:val="20"/>
                <w:color w:val="auto"/>
              </w:rPr>
            </w:pPr>
            <w:r>
              <w:rPr>
                <w:rFonts w:ascii="Arial" w:cs="Arial" w:eastAsia="Arial" w:hAnsi="Arial"/>
                <w:sz w:val="11"/>
                <w:szCs w:val="11"/>
                <w:color w:val="auto"/>
                <w:w w:val="85"/>
              </w:rPr>
              <w:t>Wholesale</w:t>
            </w:r>
          </w:p>
        </w:tc>
        <w:tc>
          <w:tcPr>
            <w:tcW w:w="120" w:type="dxa"/>
            <w:vAlign w:val="bottom"/>
          </w:tcPr>
          <w:p>
            <w:pPr>
              <w:spacing w:after="0"/>
              <w:rPr>
                <w:sz w:val="9"/>
                <w:szCs w:val="9"/>
                <w:color w:val="auto"/>
              </w:rPr>
            </w:pPr>
          </w:p>
        </w:tc>
        <w:tc>
          <w:tcPr>
            <w:tcW w:w="960" w:type="dxa"/>
            <w:vAlign w:val="bottom"/>
            <w:gridSpan w:val="2"/>
          </w:tcPr>
          <w:p>
            <w:pPr>
              <w:jc w:val="right"/>
              <w:ind w:right="260"/>
              <w:spacing w:after="0" w:line="115" w:lineRule="exact"/>
              <w:rPr>
                <w:sz w:val="20"/>
                <w:szCs w:val="20"/>
                <w:color w:val="auto"/>
              </w:rPr>
            </w:pPr>
            <w:r>
              <w:rPr>
                <w:rFonts w:ascii="Arial" w:cs="Arial" w:eastAsia="Arial" w:hAnsi="Arial"/>
                <w:sz w:val="11"/>
                <w:szCs w:val="11"/>
                <w:color w:val="auto"/>
              </w:rPr>
              <w:t>—</w:t>
            </w:r>
          </w:p>
        </w:tc>
        <w:tc>
          <w:tcPr>
            <w:tcW w:w="920" w:type="dxa"/>
            <w:vAlign w:val="bottom"/>
          </w:tcPr>
          <w:p>
            <w:pPr>
              <w:ind w:left="800"/>
              <w:spacing w:after="0" w:line="115" w:lineRule="exact"/>
              <w:rPr>
                <w:sz w:val="20"/>
                <w:szCs w:val="20"/>
                <w:color w:val="auto"/>
              </w:rPr>
            </w:pPr>
            <w:r>
              <w:rPr>
                <w:rFonts w:ascii="Arial" w:cs="Arial" w:eastAsia="Arial" w:hAnsi="Arial"/>
                <w:sz w:val="11"/>
                <w:szCs w:val="11"/>
                <w:color w:val="auto"/>
                <w:w w:val="90"/>
              </w:rPr>
              <w:t>—</w:t>
            </w:r>
          </w:p>
        </w:tc>
        <w:tc>
          <w:tcPr>
            <w:tcW w:w="90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1,948</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jc w:val="right"/>
              <w:spacing w:after="0" w:line="115" w:lineRule="exact"/>
              <w:rPr>
                <w:sz w:val="20"/>
                <w:szCs w:val="20"/>
                <w:color w:val="auto"/>
              </w:rPr>
            </w:pPr>
            <w:r>
              <w:rPr>
                <w:rFonts w:ascii="Arial" w:cs="Arial" w:eastAsia="Arial" w:hAnsi="Arial"/>
                <w:sz w:val="11"/>
                <w:szCs w:val="11"/>
                <w:color w:val="auto"/>
              </w:rPr>
              <w:t>568</w:t>
            </w: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gridSpan w:val="2"/>
          </w:tcPr>
          <w:p>
            <w:pPr>
              <w:jc w:val="right"/>
              <w:ind w:right="120"/>
              <w:spacing w:after="0" w:line="115"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5"/>
        </w:trPr>
        <w:tc>
          <w:tcPr>
            <w:tcW w:w="3140" w:type="dxa"/>
            <w:vAlign w:val="bottom"/>
          </w:tcPr>
          <w:p>
            <w:pPr>
              <w:ind w:left="100"/>
              <w:spacing w:after="0" w:line="155" w:lineRule="exact"/>
              <w:rPr>
                <w:sz w:val="20"/>
                <w:szCs w:val="20"/>
                <w:color w:val="auto"/>
              </w:rPr>
            </w:pPr>
            <w:r>
              <w:rPr>
                <w:rFonts w:ascii="Arial" w:cs="Arial" w:eastAsia="Arial" w:hAnsi="Arial"/>
                <w:sz w:val="11"/>
                <w:szCs w:val="11"/>
                <w:color w:val="auto"/>
              </w:rPr>
              <w:t xml:space="preserve">(Walker Edison Furniture Company LLC) </w:t>
            </w:r>
            <w:r>
              <w:rPr>
                <w:rFonts w:ascii="Arial" w:cs="Arial" w:eastAsia="Arial" w:hAnsi="Arial"/>
                <w:sz w:val="14"/>
                <w:szCs w:val="14"/>
                <w:color w:val="auto"/>
                <w:vertAlign w:val="superscript"/>
              </w:rPr>
              <w:t>(7), (8)</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3140" w:type="dxa"/>
            <w:vAlign w:val="bottom"/>
          </w:tcPr>
          <w:p>
            <w:pPr>
              <w:ind w:left="20"/>
              <w:spacing w:after="0" w:line="115" w:lineRule="exact"/>
              <w:rPr>
                <w:sz w:val="20"/>
                <w:szCs w:val="20"/>
                <w:color w:val="auto"/>
              </w:rPr>
            </w:pPr>
            <w:r>
              <w:rPr>
                <w:rFonts w:ascii="Arial" w:cs="Arial" w:eastAsia="Arial" w:hAnsi="Arial"/>
                <w:sz w:val="11"/>
                <w:szCs w:val="11"/>
                <w:color w:val="auto"/>
              </w:rPr>
              <w:t>Kinetic Purchaser, LLC</w:t>
            </w:r>
          </w:p>
        </w:tc>
        <w:tc>
          <w:tcPr>
            <w:tcW w:w="120" w:type="dxa"/>
            <w:vAlign w:val="bottom"/>
          </w:tcPr>
          <w:p>
            <w:pPr>
              <w:spacing w:after="0"/>
              <w:rPr>
                <w:sz w:val="9"/>
                <w:szCs w:val="9"/>
                <w:color w:val="auto"/>
              </w:rPr>
            </w:pPr>
          </w:p>
        </w:tc>
        <w:tc>
          <w:tcPr>
            <w:tcW w:w="680" w:type="dxa"/>
            <w:vAlign w:val="bottom"/>
          </w:tcPr>
          <w:p>
            <w:pPr>
              <w:ind w:left="560"/>
              <w:spacing w:after="0" w:line="115" w:lineRule="exact"/>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9"/>
                <w:szCs w:val="9"/>
                <w:color w:val="auto"/>
              </w:rPr>
            </w:pPr>
          </w:p>
        </w:tc>
        <w:tc>
          <w:tcPr>
            <w:tcW w:w="2200" w:type="dxa"/>
            <w:vAlign w:val="bottom"/>
          </w:tcPr>
          <w:p>
            <w:pPr>
              <w:jc w:val="center"/>
              <w:spacing w:after="0" w:line="115" w:lineRule="exact"/>
              <w:rPr>
                <w:sz w:val="20"/>
                <w:szCs w:val="20"/>
                <w:color w:val="auto"/>
              </w:rPr>
            </w:pPr>
            <w:r>
              <w:rPr>
                <w:rFonts w:ascii="Arial" w:cs="Arial" w:eastAsia="Arial" w:hAnsi="Arial"/>
                <w:sz w:val="11"/>
                <w:szCs w:val="11"/>
                <w:color w:val="auto"/>
                <w:w w:val="84"/>
              </w:rPr>
              <w:t>Personal Products</w:t>
            </w:r>
          </w:p>
        </w:tc>
        <w:tc>
          <w:tcPr>
            <w:tcW w:w="120" w:type="dxa"/>
            <w:vAlign w:val="bottom"/>
          </w:tcPr>
          <w:p>
            <w:pPr>
              <w:spacing w:after="0"/>
              <w:rPr>
                <w:sz w:val="9"/>
                <w:szCs w:val="9"/>
                <w:color w:val="auto"/>
              </w:rPr>
            </w:pPr>
          </w:p>
        </w:tc>
        <w:tc>
          <w:tcPr>
            <w:tcW w:w="960" w:type="dxa"/>
            <w:vAlign w:val="bottom"/>
            <w:gridSpan w:val="2"/>
          </w:tcPr>
          <w:p>
            <w:pPr>
              <w:jc w:val="right"/>
              <w:ind w:right="260"/>
              <w:spacing w:after="0" w:line="115" w:lineRule="exact"/>
              <w:rPr>
                <w:sz w:val="20"/>
                <w:szCs w:val="20"/>
                <w:color w:val="auto"/>
              </w:rPr>
            </w:pPr>
            <w:r>
              <w:rPr>
                <w:rFonts w:ascii="Arial" w:cs="Arial" w:eastAsia="Arial" w:hAnsi="Arial"/>
                <w:sz w:val="11"/>
                <w:szCs w:val="11"/>
                <w:color w:val="auto"/>
              </w:rPr>
              <w:t>—</w:t>
            </w:r>
          </w:p>
        </w:tc>
        <w:tc>
          <w:tcPr>
            <w:tcW w:w="920" w:type="dxa"/>
            <w:vAlign w:val="bottom"/>
          </w:tcPr>
          <w:p>
            <w:pPr>
              <w:ind w:left="800"/>
              <w:spacing w:after="0" w:line="115" w:lineRule="exact"/>
              <w:rPr>
                <w:sz w:val="20"/>
                <w:szCs w:val="20"/>
                <w:color w:val="auto"/>
              </w:rPr>
            </w:pPr>
            <w:r>
              <w:rPr>
                <w:rFonts w:ascii="Arial" w:cs="Arial" w:eastAsia="Arial" w:hAnsi="Arial"/>
                <w:sz w:val="11"/>
                <w:szCs w:val="11"/>
                <w:color w:val="auto"/>
                <w:w w:val="90"/>
              </w:rPr>
              <w:t>—</w:t>
            </w:r>
          </w:p>
        </w:tc>
        <w:tc>
          <w:tcPr>
            <w:tcW w:w="90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1,734,775</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jc w:val="right"/>
              <w:spacing w:after="0" w:line="115" w:lineRule="exact"/>
              <w:rPr>
                <w:sz w:val="20"/>
                <w:szCs w:val="20"/>
                <w:color w:val="auto"/>
              </w:rPr>
            </w:pPr>
            <w:r>
              <w:rPr>
                <w:rFonts w:ascii="Arial" w:cs="Arial" w:eastAsia="Arial" w:hAnsi="Arial"/>
                <w:sz w:val="11"/>
                <w:szCs w:val="11"/>
                <w:color w:val="auto"/>
              </w:rPr>
              <w:t>1,735</w:t>
            </w: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jc w:val="right"/>
              <w:spacing w:after="0" w:line="115" w:lineRule="exact"/>
              <w:rPr>
                <w:sz w:val="20"/>
                <w:szCs w:val="20"/>
                <w:color w:val="auto"/>
              </w:rPr>
            </w:pPr>
            <w:r>
              <w:rPr>
                <w:rFonts w:ascii="Arial" w:cs="Arial" w:eastAsia="Arial" w:hAnsi="Arial"/>
                <w:sz w:val="11"/>
                <w:szCs w:val="11"/>
                <w:color w:val="auto"/>
              </w:rPr>
              <w:t>2,409</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14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KL Stockton Co-Invest LP (Any Hour Services) </w:t>
            </w:r>
            <w:r>
              <w:rPr>
                <w:rFonts w:ascii="Arial" w:cs="Arial" w:eastAsia="Arial" w:hAnsi="Arial"/>
                <w:sz w:val="14"/>
                <w:szCs w:val="14"/>
                <w:color w:val="auto"/>
                <w:vertAlign w:val="superscript"/>
              </w:rPr>
              <w:t>(7),(8)</w:t>
            </w:r>
          </w:p>
        </w:tc>
        <w:tc>
          <w:tcPr>
            <w:tcW w:w="120" w:type="dxa"/>
            <w:vAlign w:val="bottom"/>
          </w:tcPr>
          <w:p>
            <w:pPr>
              <w:spacing w:after="0"/>
              <w:rPr>
                <w:sz w:val="11"/>
                <w:szCs w:val="11"/>
                <w:color w:val="auto"/>
              </w:rPr>
            </w:pPr>
          </w:p>
        </w:tc>
        <w:tc>
          <w:tcPr>
            <w:tcW w:w="680" w:type="dxa"/>
            <w:vAlign w:val="bottom"/>
          </w:tcPr>
          <w:p>
            <w:pPr>
              <w:ind w:left="56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1"/>
                <w:szCs w:val="11"/>
                <w:color w:val="auto"/>
              </w:rPr>
            </w:pPr>
          </w:p>
        </w:tc>
        <w:tc>
          <w:tcPr>
            <w:tcW w:w="2200" w:type="dxa"/>
            <w:vAlign w:val="bottom"/>
          </w:tcPr>
          <w:p>
            <w:pPr>
              <w:jc w:val="center"/>
              <w:spacing w:after="0"/>
              <w:rPr>
                <w:sz w:val="20"/>
                <w:szCs w:val="20"/>
                <w:color w:val="auto"/>
              </w:rPr>
            </w:pPr>
            <w:r>
              <w:rPr>
                <w:rFonts w:ascii="Arial" w:cs="Arial" w:eastAsia="Arial" w:hAnsi="Arial"/>
                <w:sz w:val="11"/>
                <w:szCs w:val="11"/>
                <w:color w:val="auto"/>
                <w:w w:val="89"/>
              </w:rPr>
              <w:t>Energy Equipment and Services</w:t>
            </w:r>
          </w:p>
        </w:tc>
        <w:tc>
          <w:tcPr>
            <w:tcW w:w="120" w:type="dxa"/>
            <w:vAlign w:val="bottom"/>
          </w:tcPr>
          <w:p>
            <w:pPr>
              <w:spacing w:after="0"/>
              <w:rPr>
                <w:sz w:val="11"/>
                <w:szCs w:val="11"/>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Pr>
          <w:p>
            <w:pPr>
              <w:ind w:left="800"/>
              <w:spacing w:after="0"/>
              <w:rPr>
                <w:sz w:val="20"/>
                <w:szCs w:val="20"/>
                <w:color w:val="auto"/>
              </w:rPr>
            </w:pPr>
            <w:r>
              <w:rPr>
                <w:rFonts w:ascii="Arial" w:cs="Arial" w:eastAsia="Arial" w:hAnsi="Arial"/>
                <w:sz w:val="11"/>
                <w:szCs w:val="11"/>
                <w:color w:val="auto"/>
                <w:w w:val="90"/>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382,353</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382</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525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4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Kentucky Racing Holdco, LLC (Warrants) </w:t>
            </w:r>
            <w:r>
              <w:rPr>
                <w:rFonts w:ascii="Arial" w:cs="Arial" w:eastAsia="Arial" w:hAnsi="Arial"/>
                <w:sz w:val="14"/>
                <w:szCs w:val="14"/>
                <w:color w:val="auto"/>
                <w:vertAlign w:val="superscript"/>
              </w:rPr>
              <w:t>(7), (8)</w:t>
            </w:r>
          </w:p>
        </w:tc>
        <w:tc>
          <w:tcPr>
            <w:tcW w:w="120" w:type="dxa"/>
            <w:vAlign w:val="bottom"/>
          </w:tcPr>
          <w:p>
            <w:pPr>
              <w:spacing w:after="0"/>
              <w:rPr>
                <w:sz w:val="11"/>
                <w:szCs w:val="11"/>
                <w:color w:val="auto"/>
              </w:rPr>
            </w:pPr>
          </w:p>
        </w:tc>
        <w:tc>
          <w:tcPr>
            <w:tcW w:w="680" w:type="dxa"/>
            <w:vAlign w:val="bottom"/>
          </w:tcPr>
          <w:p>
            <w:pPr>
              <w:ind w:left="56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1"/>
                <w:szCs w:val="11"/>
                <w:color w:val="auto"/>
              </w:rPr>
            </w:pPr>
          </w:p>
        </w:tc>
        <w:tc>
          <w:tcPr>
            <w:tcW w:w="2200" w:type="dxa"/>
            <w:vAlign w:val="bottom"/>
          </w:tcPr>
          <w:p>
            <w:pPr>
              <w:jc w:val="center"/>
              <w:spacing w:after="0"/>
              <w:rPr>
                <w:sz w:val="20"/>
                <w:szCs w:val="20"/>
                <w:color w:val="auto"/>
              </w:rPr>
            </w:pPr>
            <w:r>
              <w:rPr>
                <w:rFonts w:ascii="Arial" w:cs="Arial" w:eastAsia="Arial" w:hAnsi="Arial"/>
                <w:sz w:val="11"/>
                <w:szCs w:val="11"/>
                <w:color w:val="auto"/>
                <w:w w:val="86"/>
              </w:rPr>
              <w:t>Hotels, Restaurants and Leisure</w:t>
            </w:r>
          </w:p>
        </w:tc>
        <w:tc>
          <w:tcPr>
            <w:tcW w:w="120" w:type="dxa"/>
            <w:vAlign w:val="bottom"/>
          </w:tcPr>
          <w:p>
            <w:pPr>
              <w:spacing w:after="0"/>
              <w:rPr>
                <w:sz w:val="11"/>
                <w:szCs w:val="11"/>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Pr>
          <w:p>
            <w:pPr>
              <w:ind w:left="800"/>
              <w:spacing w:after="0"/>
              <w:rPr>
                <w:sz w:val="20"/>
                <w:szCs w:val="20"/>
                <w:color w:val="auto"/>
              </w:rPr>
            </w:pPr>
            <w:r>
              <w:rPr>
                <w:rFonts w:ascii="Arial" w:cs="Arial" w:eastAsia="Arial" w:hAnsi="Arial"/>
                <w:sz w:val="11"/>
                <w:szCs w:val="11"/>
                <w:color w:val="auto"/>
                <w:w w:val="90"/>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87,345</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769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4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Lightspeed Investment Holdco LLC </w:t>
            </w:r>
            <w:r>
              <w:rPr>
                <w:rFonts w:ascii="Arial" w:cs="Arial" w:eastAsia="Arial" w:hAnsi="Arial"/>
                <w:sz w:val="14"/>
                <w:szCs w:val="14"/>
                <w:color w:val="auto"/>
                <w:vertAlign w:val="superscript"/>
              </w:rPr>
              <w:t>(7)</w:t>
            </w:r>
          </w:p>
        </w:tc>
        <w:tc>
          <w:tcPr>
            <w:tcW w:w="120" w:type="dxa"/>
            <w:vAlign w:val="bottom"/>
          </w:tcPr>
          <w:p>
            <w:pPr>
              <w:spacing w:after="0"/>
              <w:rPr>
                <w:sz w:val="11"/>
                <w:szCs w:val="11"/>
                <w:color w:val="auto"/>
              </w:rPr>
            </w:pPr>
          </w:p>
        </w:tc>
        <w:tc>
          <w:tcPr>
            <w:tcW w:w="680" w:type="dxa"/>
            <w:vAlign w:val="bottom"/>
          </w:tcPr>
          <w:p>
            <w:pPr>
              <w:ind w:left="56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1"/>
                <w:szCs w:val="11"/>
                <w:color w:val="auto"/>
              </w:rPr>
            </w:pPr>
          </w:p>
        </w:tc>
        <w:tc>
          <w:tcPr>
            <w:tcW w:w="2200" w:type="dxa"/>
            <w:vAlign w:val="bottom"/>
          </w:tcPr>
          <w:p>
            <w:pPr>
              <w:jc w:val="center"/>
              <w:spacing w:after="0"/>
              <w:rPr>
                <w:sz w:val="20"/>
                <w:szCs w:val="20"/>
                <w:color w:val="auto"/>
              </w:rPr>
            </w:pPr>
            <w:r>
              <w:rPr>
                <w:rFonts w:ascii="Arial" w:cs="Arial" w:eastAsia="Arial" w:hAnsi="Arial"/>
                <w:sz w:val="11"/>
                <w:szCs w:val="11"/>
                <w:color w:val="auto"/>
                <w:w w:val="88"/>
              </w:rPr>
              <w:t>Healthcare Technology</w:t>
            </w:r>
          </w:p>
        </w:tc>
        <w:tc>
          <w:tcPr>
            <w:tcW w:w="120" w:type="dxa"/>
            <w:vAlign w:val="bottom"/>
          </w:tcPr>
          <w:p>
            <w:pPr>
              <w:spacing w:after="0"/>
              <w:rPr>
                <w:sz w:val="11"/>
                <w:szCs w:val="11"/>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Pr>
          <w:p>
            <w:pPr>
              <w:ind w:left="800"/>
              <w:spacing w:after="0"/>
              <w:rPr>
                <w:sz w:val="20"/>
                <w:szCs w:val="20"/>
                <w:color w:val="auto"/>
              </w:rPr>
            </w:pPr>
            <w:r>
              <w:rPr>
                <w:rFonts w:ascii="Arial" w:cs="Arial" w:eastAsia="Arial" w:hAnsi="Arial"/>
                <w:sz w:val="11"/>
                <w:szCs w:val="11"/>
                <w:color w:val="auto"/>
                <w:w w:val="90"/>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585,587</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586</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950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4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Mars Intermediate Holdings II, Inc. </w:t>
            </w:r>
            <w:r>
              <w:rPr>
                <w:rFonts w:ascii="Arial" w:cs="Arial" w:eastAsia="Arial" w:hAnsi="Arial"/>
                <w:sz w:val="14"/>
                <w:szCs w:val="14"/>
                <w:color w:val="auto"/>
                <w:vertAlign w:val="superscript"/>
              </w:rPr>
              <w:t>(7)</w:t>
            </w:r>
          </w:p>
        </w:tc>
        <w:tc>
          <w:tcPr>
            <w:tcW w:w="120" w:type="dxa"/>
            <w:vAlign w:val="bottom"/>
          </w:tcPr>
          <w:p>
            <w:pPr>
              <w:spacing w:after="0"/>
              <w:rPr>
                <w:sz w:val="11"/>
                <w:szCs w:val="11"/>
                <w:color w:val="auto"/>
              </w:rPr>
            </w:pPr>
          </w:p>
        </w:tc>
        <w:tc>
          <w:tcPr>
            <w:tcW w:w="680" w:type="dxa"/>
            <w:vAlign w:val="bottom"/>
          </w:tcPr>
          <w:p>
            <w:pPr>
              <w:ind w:left="56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1"/>
                <w:szCs w:val="11"/>
                <w:color w:val="auto"/>
              </w:rPr>
            </w:pPr>
          </w:p>
        </w:tc>
        <w:tc>
          <w:tcPr>
            <w:tcW w:w="220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120" w:type="dxa"/>
            <w:vAlign w:val="bottom"/>
          </w:tcPr>
          <w:p>
            <w:pPr>
              <w:spacing w:after="0"/>
              <w:rPr>
                <w:sz w:val="11"/>
                <w:szCs w:val="11"/>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Pr>
          <w:p>
            <w:pPr>
              <w:ind w:left="800"/>
              <w:spacing w:after="0"/>
              <w:rPr>
                <w:sz w:val="20"/>
                <w:szCs w:val="20"/>
                <w:color w:val="auto"/>
              </w:rPr>
            </w:pPr>
            <w:r>
              <w:rPr>
                <w:rFonts w:ascii="Arial" w:cs="Arial" w:eastAsia="Arial" w:hAnsi="Arial"/>
                <w:sz w:val="11"/>
                <w:szCs w:val="11"/>
                <w:color w:val="auto"/>
                <w:w w:val="90"/>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835</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76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3140" w:type="dxa"/>
            <w:vAlign w:val="bottom"/>
          </w:tcPr>
          <w:p>
            <w:pPr>
              <w:ind w:left="20"/>
              <w:spacing w:after="0"/>
              <w:rPr>
                <w:sz w:val="20"/>
                <w:szCs w:val="20"/>
                <w:color w:val="auto"/>
              </w:rPr>
            </w:pPr>
            <w:r>
              <w:rPr>
                <w:rFonts w:ascii="Arial" w:cs="Arial" w:eastAsia="Arial" w:hAnsi="Arial"/>
                <w:sz w:val="11"/>
                <w:szCs w:val="11"/>
                <w:color w:val="auto"/>
              </w:rPr>
              <w:t xml:space="preserve">MeritDirect Holdings, LP </w:t>
            </w:r>
            <w:r>
              <w:rPr>
                <w:rFonts w:ascii="Arial" w:cs="Arial" w:eastAsia="Arial" w:hAnsi="Arial"/>
                <w:sz w:val="14"/>
                <w:szCs w:val="14"/>
                <w:color w:val="auto"/>
                <w:vertAlign w:val="superscript"/>
              </w:rPr>
              <w:t>(7), (8)</w:t>
            </w:r>
          </w:p>
        </w:tc>
        <w:tc>
          <w:tcPr>
            <w:tcW w:w="120" w:type="dxa"/>
            <w:vAlign w:val="bottom"/>
          </w:tcPr>
          <w:p>
            <w:pPr>
              <w:spacing w:after="0"/>
              <w:rPr>
                <w:sz w:val="14"/>
                <w:szCs w:val="14"/>
                <w:color w:val="auto"/>
              </w:rPr>
            </w:pPr>
          </w:p>
        </w:tc>
        <w:tc>
          <w:tcPr>
            <w:tcW w:w="680" w:type="dxa"/>
            <w:vAlign w:val="bottom"/>
          </w:tcPr>
          <w:p>
            <w:pPr>
              <w:ind w:left="56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4"/>
                <w:szCs w:val="14"/>
                <w:color w:val="auto"/>
              </w:rPr>
            </w:pPr>
          </w:p>
        </w:tc>
        <w:tc>
          <w:tcPr>
            <w:tcW w:w="220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120" w:type="dxa"/>
            <w:vAlign w:val="bottom"/>
          </w:tcPr>
          <w:p>
            <w:pPr>
              <w:spacing w:after="0"/>
              <w:rPr>
                <w:sz w:val="14"/>
                <w:szCs w:val="14"/>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Pr>
          <w:p>
            <w:pPr>
              <w:ind w:left="800"/>
              <w:spacing w:after="0"/>
              <w:rPr>
                <w:sz w:val="20"/>
                <w:szCs w:val="20"/>
                <w:color w:val="auto"/>
              </w:rPr>
            </w:pPr>
            <w:r>
              <w:rPr>
                <w:rFonts w:ascii="Arial" w:cs="Arial" w:eastAsia="Arial" w:hAnsi="Arial"/>
                <w:sz w:val="11"/>
                <w:szCs w:val="11"/>
                <w:color w:val="auto"/>
                <w:w w:val="90"/>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2,018</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322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140" w:type="dxa"/>
            <w:vAlign w:val="bottom"/>
            <w:shd w:val="clear" w:color="auto" w:fill="CCECFF"/>
          </w:tcPr>
          <w:p>
            <w:pPr>
              <w:ind w:left="20"/>
              <w:spacing w:after="0"/>
              <w:rPr>
                <w:sz w:val="20"/>
                <w:szCs w:val="20"/>
                <w:color w:val="auto"/>
              </w:rPr>
            </w:pPr>
            <w:r>
              <w:rPr>
                <w:rFonts w:ascii="Arial" w:cs="Arial" w:eastAsia="Arial" w:hAnsi="Arial"/>
                <w:sz w:val="11"/>
                <w:szCs w:val="11"/>
                <w:color w:val="auto"/>
              </w:rPr>
              <w:t>Meadowlark Title, LLC</w:t>
            </w: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ind w:left="560"/>
              <w:spacing w:after="0"/>
              <w:rPr>
                <w:sz w:val="20"/>
                <w:szCs w:val="20"/>
                <w:color w:val="auto"/>
              </w:rPr>
            </w:pPr>
            <w:r>
              <w:rPr>
                <w:rFonts w:ascii="Arial" w:cs="Arial" w:eastAsia="Arial" w:hAnsi="Arial"/>
                <w:sz w:val="11"/>
                <w:szCs w:val="11"/>
                <w:color w:val="auto"/>
                <w:w w:val="90"/>
              </w:rPr>
              <w:t>—</w:t>
            </w:r>
          </w:p>
        </w:tc>
        <w:tc>
          <w:tcPr>
            <w:tcW w:w="260" w:type="dxa"/>
            <w:vAlign w:val="bottom"/>
            <w:shd w:val="clear" w:color="auto" w:fill="CCECFF"/>
          </w:tcPr>
          <w:p>
            <w:pPr>
              <w:spacing w:after="0"/>
              <w:rPr>
                <w:sz w:val="11"/>
                <w:szCs w:val="11"/>
                <w:color w:val="auto"/>
              </w:rPr>
            </w:pPr>
          </w:p>
        </w:tc>
        <w:tc>
          <w:tcPr>
            <w:tcW w:w="22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Professional Services</w:t>
            </w:r>
          </w:p>
        </w:tc>
        <w:tc>
          <w:tcPr>
            <w:tcW w:w="12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shd w:val="clear" w:color="auto" w:fill="CCECFF"/>
          </w:tcPr>
          <w:p>
            <w:pPr>
              <w:ind w:left="800"/>
              <w:spacing w:after="0"/>
              <w:rPr>
                <w:sz w:val="20"/>
                <w:szCs w:val="20"/>
                <w:color w:val="auto"/>
              </w:rPr>
            </w:pPr>
            <w:r>
              <w:rPr>
                <w:rFonts w:ascii="Arial" w:cs="Arial" w:eastAsia="Arial" w:hAnsi="Arial"/>
                <w:sz w:val="11"/>
                <w:szCs w:val="11"/>
                <w:color w:val="auto"/>
                <w:w w:val="90"/>
              </w:rPr>
              <w:t>—</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819,231</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819</w:t>
            </w:r>
          </w:p>
        </w:tc>
        <w:tc>
          <w:tcPr>
            <w:tcW w:w="2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746</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3140" w:type="dxa"/>
            <w:vAlign w:val="bottom"/>
          </w:tcPr>
          <w:p>
            <w:pPr>
              <w:ind w:left="20"/>
              <w:spacing w:after="0" w:line="105" w:lineRule="exact"/>
              <w:rPr>
                <w:sz w:val="20"/>
                <w:szCs w:val="20"/>
                <w:color w:val="auto"/>
              </w:rPr>
            </w:pPr>
            <w:r>
              <w:rPr>
                <w:rFonts w:ascii="Arial" w:cs="Arial" w:eastAsia="Arial" w:hAnsi="Arial"/>
                <w:sz w:val="11"/>
                <w:szCs w:val="11"/>
                <w:color w:val="auto"/>
              </w:rPr>
              <w:t>MSpark, LLC</w:t>
            </w:r>
          </w:p>
        </w:tc>
        <w:tc>
          <w:tcPr>
            <w:tcW w:w="120" w:type="dxa"/>
            <w:vAlign w:val="bottom"/>
          </w:tcPr>
          <w:p>
            <w:pPr>
              <w:spacing w:after="0"/>
              <w:rPr>
                <w:sz w:val="9"/>
                <w:szCs w:val="9"/>
                <w:color w:val="auto"/>
              </w:rPr>
            </w:pPr>
          </w:p>
        </w:tc>
        <w:tc>
          <w:tcPr>
            <w:tcW w:w="680" w:type="dxa"/>
            <w:vAlign w:val="bottom"/>
          </w:tcPr>
          <w:p>
            <w:pPr>
              <w:ind w:left="560"/>
              <w:spacing w:after="0" w:line="105" w:lineRule="exact"/>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9"/>
                <w:szCs w:val="9"/>
                <w:color w:val="auto"/>
              </w:rPr>
            </w:pPr>
          </w:p>
        </w:tc>
        <w:tc>
          <w:tcPr>
            <w:tcW w:w="2200" w:type="dxa"/>
            <w:vAlign w:val="bottom"/>
          </w:tcPr>
          <w:p>
            <w:pPr>
              <w:jc w:val="center"/>
              <w:spacing w:after="0" w:line="105" w:lineRule="exact"/>
              <w:rPr>
                <w:sz w:val="20"/>
                <w:szCs w:val="20"/>
                <w:color w:val="auto"/>
              </w:rPr>
            </w:pPr>
            <w:r>
              <w:rPr>
                <w:rFonts w:ascii="Arial" w:cs="Arial" w:eastAsia="Arial" w:hAnsi="Arial"/>
                <w:sz w:val="11"/>
                <w:szCs w:val="11"/>
                <w:color w:val="auto"/>
                <w:w w:val="91"/>
              </w:rPr>
              <w:t>Media: Advertising, Printing and Publishing</w:t>
            </w:r>
          </w:p>
        </w:tc>
        <w:tc>
          <w:tcPr>
            <w:tcW w:w="120" w:type="dxa"/>
            <w:vAlign w:val="bottom"/>
          </w:tcPr>
          <w:p>
            <w:pPr>
              <w:spacing w:after="0"/>
              <w:rPr>
                <w:sz w:val="9"/>
                <w:szCs w:val="9"/>
                <w:color w:val="auto"/>
              </w:rPr>
            </w:pPr>
          </w:p>
        </w:tc>
        <w:tc>
          <w:tcPr>
            <w:tcW w:w="960" w:type="dxa"/>
            <w:vAlign w:val="bottom"/>
            <w:gridSpan w:val="2"/>
          </w:tcPr>
          <w:p>
            <w:pPr>
              <w:jc w:val="right"/>
              <w:ind w:right="260"/>
              <w:spacing w:after="0" w:line="105" w:lineRule="exact"/>
              <w:rPr>
                <w:sz w:val="20"/>
                <w:szCs w:val="20"/>
                <w:color w:val="auto"/>
              </w:rPr>
            </w:pPr>
            <w:r>
              <w:rPr>
                <w:rFonts w:ascii="Arial" w:cs="Arial" w:eastAsia="Arial" w:hAnsi="Arial"/>
                <w:sz w:val="11"/>
                <w:szCs w:val="11"/>
                <w:color w:val="auto"/>
              </w:rPr>
              <w:t>—</w:t>
            </w:r>
          </w:p>
        </w:tc>
        <w:tc>
          <w:tcPr>
            <w:tcW w:w="920" w:type="dxa"/>
            <w:vAlign w:val="bottom"/>
          </w:tcPr>
          <w:p>
            <w:pPr>
              <w:ind w:left="800"/>
              <w:spacing w:after="0" w:line="105" w:lineRule="exact"/>
              <w:rPr>
                <w:sz w:val="20"/>
                <w:szCs w:val="20"/>
                <w:color w:val="auto"/>
              </w:rPr>
            </w:pPr>
            <w:r>
              <w:rPr>
                <w:rFonts w:ascii="Arial" w:cs="Arial" w:eastAsia="Arial" w:hAnsi="Arial"/>
                <w:sz w:val="11"/>
                <w:szCs w:val="11"/>
                <w:color w:val="auto"/>
                <w:w w:val="90"/>
              </w:rPr>
              <w:t>—</w:t>
            </w:r>
          </w:p>
        </w:tc>
        <w:tc>
          <w:tcPr>
            <w:tcW w:w="900" w:type="dxa"/>
            <w:vAlign w:val="bottom"/>
            <w:gridSpan w:val="2"/>
          </w:tcPr>
          <w:p>
            <w:pPr>
              <w:jc w:val="right"/>
              <w:spacing w:after="0" w:line="105" w:lineRule="exact"/>
              <w:rPr>
                <w:sz w:val="20"/>
                <w:szCs w:val="20"/>
                <w:color w:val="auto"/>
              </w:rPr>
            </w:pPr>
            <w:r>
              <w:rPr>
                <w:rFonts w:ascii="Arial" w:cs="Arial" w:eastAsia="Arial" w:hAnsi="Arial"/>
                <w:sz w:val="11"/>
                <w:szCs w:val="11"/>
                <w:color w:val="auto"/>
              </w:rPr>
              <w:t>3,988</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jc w:val="right"/>
              <w:spacing w:after="0" w:line="105" w:lineRule="exact"/>
              <w:rPr>
                <w:sz w:val="20"/>
                <w:szCs w:val="20"/>
                <w:color w:val="auto"/>
              </w:rPr>
            </w:pPr>
            <w:r>
              <w:rPr>
                <w:rFonts w:ascii="Arial" w:cs="Arial" w:eastAsia="Arial" w:hAnsi="Arial"/>
                <w:sz w:val="11"/>
                <w:szCs w:val="11"/>
                <w:color w:val="auto"/>
              </w:rPr>
              <w:t>1,288</w:t>
            </w: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gridSpan w:val="2"/>
          </w:tcPr>
          <w:p>
            <w:pPr>
              <w:jc w:val="right"/>
              <w:ind w:right="120"/>
              <w:spacing w:after="0" w:line="105"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314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Municipal Emergency Services, Inc. </w:t>
            </w:r>
            <w:r>
              <w:rPr>
                <w:rFonts w:ascii="Arial" w:cs="Arial" w:eastAsia="Arial" w:hAnsi="Arial"/>
                <w:sz w:val="14"/>
                <w:szCs w:val="14"/>
                <w:color w:val="auto"/>
                <w:vertAlign w:val="superscript"/>
              </w:rPr>
              <w:t>(7)</w:t>
            </w:r>
          </w:p>
        </w:tc>
        <w:tc>
          <w:tcPr>
            <w:tcW w:w="120" w:type="dxa"/>
            <w:vAlign w:val="bottom"/>
          </w:tcPr>
          <w:p>
            <w:pPr>
              <w:spacing w:after="0"/>
              <w:rPr>
                <w:sz w:val="11"/>
                <w:szCs w:val="11"/>
                <w:color w:val="auto"/>
              </w:rPr>
            </w:pPr>
          </w:p>
        </w:tc>
        <w:tc>
          <w:tcPr>
            <w:tcW w:w="680" w:type="dxa"/>
            <w:vAlign w:val="bottom"/>
          </w:tcPr>
          <w:p>
            <w:pPr>
              <w:ind w:left="56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1"/>
                <w:szCs w:val="11"/>
                <w:color w:val="auto"/>
              </w:rPr>
            </w:pPr>
          </w:p>
        </w:tc>
        <w:tc>
          <w:tcPr>
            <w:tcW w:w="2200" w:type="dxa"/>
            <w:vAlign w:val="bottom"/>
          </w:tcPr>
          <w:p>
            <w:pPr>
              <w:jc w:val="center"/>
              <w:spacing w:after="0"/>
              <w:rPr>
                <w:sz w:val="20"/>
                <w:szCs w:val="20"/>
                <w:color w:val="auto"/>
              </w:rPr>
            </w:pPr>
            <w:r>
              <w:rPr>
                <w:rFonts w:ascii="Arial" w:cs="Arial" w:eastAsia="Arial" w:hAnsi="Arial"/>
                <w:sz w:val="11"/>
                <w:szCs w:val="11"/>
                <w:color w:val="auto"/>
                <w:w w:val="93"/>
              </w:rPr>
              <w:t>Distributors</w:t>
            </w:r>
          </w:p>
        </w:tc>
        <w:tc>
          <w:tcPr>
            <w:tcW w:w="120" w:type="dxa"/>
            <w:vAlign w:val="bottom"/>
          </w:tcPr>
          <w:p>
            <w:pPr>
              <w:spacing w:after="0"/>
              <w:rPr>
                <w:sz w:val="11"/>
                <w:szCs w:val="11"/>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Pr>
          <w:p>
            <w:pPr>
              <w:ind w:left="800"/>
              <w:spacing w:after="0"/>
              <w:rPr>
                <w:sz w:val="20"/>
                <w:szCs w:val="20"/>
                <w:color w:val="auto"/>
              </w:rPr>
            </w:pPr>
            <w:r>
              <w:rPr>
                <w:rFonts w:ascii="Arial" w:cs="Arial" w:eastAsia="Arial" w:hAnsi="Arial"/>
                <w:sz w:val="11"/>
                <w:szCs w:val="11"/>
                <w:color w:val="auto"/>
                <w:w w:val="90"/>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1,973,370</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2,005</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1,772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14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NEPRT Parent Holdings, LLC (Recteq, LLC) </w:t>
            </w:r>
            <w:r>
              <w:rPr>
                <w:rFonts w:ascii="Arial" w:cs="Arial" w:eastAsia="Arial" w:hAnsi="Arial"/>
                <w:sz w:val="14"/>
                <w:szCs w:val="14"/>
                <w:color w:val="auto"/>
                <w:vertAlign w:val="superscript"/>
              </w:rPr>
              <w:t>(7), (8)</w:t>
            </w:r>
          </w:p>
        </w:tc>
        <w:tc>
          <w:tcPr>
            <w:tcW w:w="120" w:type="dxa"/>
            <w:vAlign w:val="bottom"/>
          </w:tcPr>
          <w:p>
            <w:pPr>
              <w:spacing w:after="0"/>
              <w:rPr>
                <w:sz w:val="13"/>
                <w:szCs w:val="13"/>
                <w:color w:val="auto"/>
              </w:rPr>
            </w:pPr>
          </w:p>
        </w:tc>
        <w:tc>
          <w:tcPr>
            <w:tcW w:w="680" w:type="dxa"/>
            <w:vAlign w:val="bottom"/>
          </w:tcPr>
          <w:p>
            <w:pPr>
              <w:ind w:left="56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3"/>
                <w:szCs w:val="13"/>
                <w:color w:val="auto"/>
              </w:rPr>
            </w:pPr>
          </w:p>
        </w:tc>
        <w:tc>
          <w:tcPr>
            <w:tcW w:w="2200" w:type="dxa"/>
            <w:vAlign w:val="bottom"/>
          </w:tcPr>
          <w:p>
            <w:pPr>
              <w:jc w:val="center"/>
              <w:spacing w:after="0"/>
              <w:rPr>
                <w:sz w:val="20"/>
                <w:szCs w:val="20"/>
                <w:color w:val="auto"/>
              </w:rPr>
            </w:pPr>
            <w:r>
              <w:rPr>
                <w:rFonts w:ascii="Arial" w:cs="Arial" w:eastAsia="Arial" w:hAnsi="Arial"/>
                <w:sz w:val="11"/>
                <w:szCs w:val="11"/>
                <w:color w:val="auto"/>
                <w:w w:val="87"/>
              </w:rPr>
              <w:t>Leisure Products</w:t>
            </w:r>
          </w:p>
        </w:tc>
        <w:tc>
          <w:tcPr>
            <w:tcW w:w="120" w:type="dxa"/>
            <w:vAlign w:val="bottom"/>
          </w:tcPr>
          <w:p>
            <w:pPr>
              <w:spacing w:after="0"/>
              <w:rPr>
                <w:sz w:val="13"/>
                <w:szCs w:val="13"/>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Pr>
          <w:p>
            <w:pPr>
              <w:ind w:left="800"/>
              <w:spacing w:after="0"/>
              <w:rPr>
                <w:sz w:val="20"/>
                <w:szCs w:val="20"/>
                <w:color w:val="auto"/>
              </w:rPr>
            </w:pPr>
            <w:r>
              <w:rPr>
                <w:rFonts w:ascii="Arial" w:cs="Arial" w:eastAsia="Arial" w:hAnsi="Arial"/>
                <w:sz w:val="11"/>
                <w:szCs w:val="11"/>
                <w:color w:val="auto"/>
                <w:w w:val="90"/>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1,494</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1,450</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671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3140" w:type="dxa"/>
            <w:vAlign w:val="bottom"/>
          </w:tcPr>
          <w:p>
            <w:pPr>
              <w:ind w:left="20"/>
              <w:spacing w:after="0" w:line="115" w:lineRule="exact"/>
              <w:rPr>
                <w:sz w:val="20"/>
                <w:szCs w:val="20"/>
                <w:color w:val="auto"/>
              </w:rPr>
            </w:pPr>
            <w:r>
              <w:rPr>
                <w:rFonts w:ascii="Arial" w:cs="Arial" w:eastAsia="Arial" w:hAnsi="Arial"/>
                <w:sz w:val="11"/>
                <w:szCs w:val="11"/>
                <w:color w:val="auto"/>
              </w:rPr>
              <w:t>North Haven Saints Equity Holdings, LP</w:t>
            </w:r>
          </w:p>
        </w:tc>
        <w:tc>
          <w:tcPr>
            <w:tcW w:w="120" w:type="dxa"/>
            <w:vAlign w:val="bottom"/>
          </w:tcPr>
          <w:p>
            <w:pPr>
              <w:spacing w:after="0"/>
              <w:rPr>
                <w:sz w:val="9"/>
                <w:szCs w:val="9"/>
                <w:color w:val="auto"/>
              </w:rPr>
            </w:pPr>
          </w:p>
        </w:tc>
        <w:tc>
          <w:tcPr>
            <w:tcW w:w="680" w:type="dxa"/>
            <w:vAlign w:val="bottom"/>
          </w:tcPr>
          <w:p>
            <w:pPr>
              <w:ind w:left="560"/>
              <w:spacing w:after="0" w:line="115" w:lineRule="exact"/>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9"/>
                <w:szCs w:val="9"/>
                <w:color w:val="auto"/>
              </w:rPr>
            </w:pPr>
          </w:p>
        </w:tc>
        <w:tc>
          <w:tcPr>
            <w:tcW w:w="2200" w:type="dxa"/>
            <w:vAlign w:val="bottom"/>
          </w:tcPr>
          <w:p>
            <w:pPr>
              <w:jc w:val="center"/>
              <w:spacing w:after="0" w:line="115" w:lineRule="exact"/>
              <w:rPr>
                <w:sz w:val="20"/>
                <w:szCs w:val="20"/>
                <w:color w:val="auto"/>
              </w:rPr>
            </w:pPr>
            <w:r>
              <w:rPr>
                <w:rFonts w:ascii="Arial" w:cs="Arial" w:eastAsia="Arial" w:hAnsi="Arial"/>
                <w:sz w:val="11"/>
                <w:szCs w:val="11"/>
                <w:color w:val="auto"/>
                <w:w w:val="88"/>
              </w:rPr>
              <w:t>Healthcare Technology</w:t>
            </w:r>
          </w:p>
        </w:tc>
        <w:tc>
          <w:tcPr>
            <w:tcW w:w="120" w:type="dxa"/>
            <w:vAlign w:val="bottom"/>
          </w:tcPr>
          <w:p>
            <w:pPr>
              <w:spacing w:after="0"/>
              <w:rPr>
                <w:sz w:val="9"/>
                <w:szCs w:val="9"/>
                <w:color w:val="auto"/>
              </w:rPr>
            </w:pPr>
          </w:p>
        </w:tc>
        <w:tc>
          <w:tcPr>
            <w:tcW w:w="960" w:type="dxa"/>
            <w:vAlign w:val="bottom"/>
            <w:gridSpan w:val="2"/>
          </w:tcPr>
          <w:p>
            <w:pPr>
              <w:jc w:val="right"/>
              <w:ind w:right="260"/>
              <w:spacing w:after="0" w:line="115" w:lineRule="exact"/>
              <w:rPr>
                <w:sz w:val="20"/>
                <w:szCs w:val="20"/>
                <w:color w:val="auto"/>
              </w:rPr>
            </w:pPr>
            <w:r>
              <w:rPr>
                <w:rFonts w:ascii="Arial" w:cs="Arial" w:eastAsia="Arial" w:hAnsi="Arial"/>
                <w:sz w:val="11"/>
                <w:szCs w:val="11"/>
                <w:color w:val="auto"/>
              </w:rPr>
              <w:t>—</w:t>
            </w:r>
          </w:p>
        </w:tc>
        <w:tc>
          <w:tcPr>
            <w:tcW w:w="920" w:type="dxa"/>
            <w:vAlign w:val="bottom"/>
          </w:tcPr>
          <w:p>
            <w:pPr>
              <w:ind w:left="800"/>
              <w:spacing w:after="0" w:line="115" w:lineRule="exact"/>
              <w:rPr>
                <w:sz w:val="20"/>
                <w:szCs w:val="20"/>
                <w:color w:val="auto"/>
              </w:rPr>
            </w:pPr>
            <w:r>
              <w:rPr>
                <w:rFonts w:ascii="Arial" w:cs="Arial" w:eastAsia="Arial" w:hAnsi="Arial"/>
                <w:sz w:val="11"/>
                <w:szCs w:val="11"/>
                <w:color w:val="auto"/>
                <w:w w:val="90"/>
              </w:rPr>
              <w:t>—</w:t>
            </w:r>
          </w:p>
        </w:tc>
        <w:tc>
          <w:tcPr>
            <w:tcW w:w="90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223,602</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jc w:val="right"/>
              <w:spacing w:after="0" w:line="115" w:lineRule="exact"/>
              <w:rPr>
                <w:sz w:val="20"/>
                <w:szCs w:val="20"/>
                <w:color w:val="auto"/>
              </w:rPr>
            </w:pPr>
            <w:r>
              <w:rPr>
                <w:rFonts w:ascii="Arial" w:cs="Arial" w:eastAsia="Arial" w:hAnsi="Arial"/>
                <w:sz w:val="11"/>
                <w:szCs w:val="11"/>
                <w:color w:val="auto"/>
              </w:rPr>
              <w:t>224</w:t>
            </w: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jc w:val="right"/>
              <w:spacing w:after="0" w:line="115" w:lineRule="exact"/>
              <w:rPr>
                <w:sz w:val="20"/>
                <w:szCs w:val="20"/>
                <w:color w:val="auto"/>
              </w:rPr>
            </w:pPr>
            <w:r>
              <w:rPr>
                <w:rFonts w:ascii="Arial" w:cs="Arial" w:eastAsia="Arial" w:hAnsi="Arial"/>
                <w:sz w:val="11"/>
                <w:szCs w:val="11"/>
                <w:color w:val="auto"/>
              </w:rPr>
              <w:t>221</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3140" w:type="dxa"/>
            <w:vAlign w:val="bottom"/>
          </w:tcPr>
          <w:p>
            <w:pPr>
              <w:ind w:left="20"/>
              <w:spacing w:after="0"/>
              <w:rPr>
                <w:sz w:val="20"/>
                <w:szCs w:val="20"/>
                <w:color w:val="auto"/>
              </w:rPr>
            </w:pPr>
            <w:r>
              <w:rPr>
                <w:rFonts w:ascii="Arial" w:cs="Arial" w:eastAsia="Arial" w:hAnsi="Arial"/>
                <w:sz w:val="11"/>
                <w:szCs w:val="11"/>
                <w:color w:val="auto"/>
              </w:rPr>
              <w:t xml:space="preserve">NXOF Holdings, Inc. (Tyto Athene, LLC) </w:t>
            </w:r>
            <w:r>
              <w:rPr>
                <w:rFonts w:ascii="Arial" w:cs="Arial" w:eastAsia="Arial" w:hAnsi="Arial"/>
                <w:sz w:val="14"/>
                <w:szCs w:val="14"/>
                <w:color w:val="auto"/>
                <w:vertAlign w:val="superscript"/>
              </w:rPr>
              <w:t>(7)</w:t>
            </w:r>
          </w:p>
        </w:tc>
        <w:tc>
          <w:tcPr>
            <w:tcW w:w="120" w:type="dxa"/>
            <w:vAlign w:val="bottom"/>
          </w:tcPr>
          <w:p>
            <w:pPr>
              <w:spacing w:after="0"/>
              <w:rPr>
                <w:sz w:val="14"/>
                <w:szCs w:val="14"/>
                <w:color w:val="auto"/>
              </w:rPr>
            </w:pPr>
          </w:p>
        </w:tc>
        <w:tc>
          <w:tcPr>
            <w:tcW w:w="680" w:type="dxa"/>
            <w:vAlign w:val="bottom"/>
          </w:tcPr>
          <w:p>
            <w:pPr>
              <w:ind w:left="56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4"/>
                <w:szCs w:val="14"/>
                <w:color w:val="auto"/>
              </w:rPr>
            </w:pPr>
          </w:p>
        </w:tc>
        <w:tc>
          <w:tcPr>
            <w:tcW w:w="2200" w:type="dxa"/>
            <w:vAlign w:val="bottom"/>
          </w:tcPr>
          <w:p>
            <w:pPr>
              <w:jc w:val="center"/>
              <w:spacing w:after="0"/>
              <w:rPr>
                <w:sz w:val="20"/>
                <w:szCs w:val="20"/>
                <w:color w:val="auto"/>
              </w:rPr>
            </w:pPr>
            <w:r>
              <w:rPr>
                <w:rFonts w:ascii="Arial" w:cs="Arial" w:eastAsia="Arial" w:hAnsi="Arial"/>
                <w:sz w:val="11"/>
                <w:szCs w:val="11"/>
                <w:color w:val="auto"/>
                <w:w w:val="87"/>
              </w:rPr>
              <w:t>IT Services</w:t>
            </w:r>
          </w:p>
        </w:tc>
        <w:tc>
          <w:tcPr>
            <w:tcW w:w="120" w:type="dxa"/>
            <w:vAlign w:val="bottom"/>
          </w:tcPr>
          <w:p>
            <w:pPr>
              <w:spacing w:after="0"/>
              <w:rPr>
                <w:sz w:val="14"/>
                <w:szCs w:val="14"/>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Pr>
          <w:p>
            <w:pPr>
              <w:ind w:left="800"/>
              <w:spacing w:after="0"/>
              <w:rPr>
                <w:sz w:val="20"/>
                <w:szCs w:val="20"/>
                <w:color w:val="auto"/>
              </w:rPr>
            </w:pPr>
            <w:r>
              <w:rPr>
                <w:rFonts w:ascii="Arial" w:cs="Arial" w:eastAsia="Arial" w:hAnsi="Arial"/>
                <w:sz w:val="11"/>
                <w:szCs w:val="11"/>
                <w:color w:val="auto"/>
                <w:w w:val="90"/>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14,960</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15</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521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3140" w:type="dxa"/>
            <w:vAlign w:val="bottom"/>
            <w:shd w:val="clear" w:color="auto" w:fill="CCECFF"/>
          </w:tcPr>
          <w:p>
            <w:pPr>
              <w:ind w:left="20"/>
              <w:spacing w:after="0" w:line="95" w:lineRule="exact"/>
              <w:rPr>
                <w:sz w:val="20"/>
                <w:szCs w:val="20"/>
                <w:color w:val="auto"/>
              </w:rPr>
            </w:pPr>
            <w:r>
              <w:rPr>
                <w:rFonts w:ascii="Arial" w:cs="Arial" w:eastAsia="Arial" w:hAnsi="Arial"/>
                <w:sz w:val="10"/>
                <w:szCs w:val="10"/>
                <w:color w:val="auto"/>
              </w:rPr>
              <w:t>OceanSound Discovery Equity, LP (Holdco Sands Intermediate,</w:t>
            </w:r>
          </w:p>
        </w:tc>
        <w:tc>
          <w:tcPr>
            <w:tcW w:w="120" w:type="dxa"/>
            <w:vAlign w:val="bottom"/>
            <w:shd w:val="clear" w:color="auto" w:fill="CCECFF"/>
          </w:tcPr>
          <w:p>
            <w:pPr>
              <w:spacing w:after="0"/>
              <w:rPr>
                <w:sz w:val="8"/>
                <w:szCs w:val="8"/>
                <w:color w:val="auto"/>
              </w:rPr>
            </w:pPr>
          </w:p>
        </w:tc>
        <w:tc>
          <w:tcPr>
            <w:tcW w:w="680" w:type="dxa"/>
            <w:vAlign w:val="bottom"/>
            <w:shd w:val="clear" w:color="auto" w:fill="CCECFF"/>
          </w:tcPr>
          <w:p>
            <w:pPr>
              <w:ind w:left="560"/>
              <w:spacing w:after="0" w:line="95" w:lineRule="exact"/>
              <w:rPr>
                <w:sz w:val="20"/>
                <w:szCs w:val="20"/>
                <w:color w:val="auto"/>
              </w:rPr>
            </w:pPr>
            <w:r>
              <w:rPr>
                <w:rFonts w:ascii="Arial" w:cs="Arial" w:eastAsia="Arial" w:hAnsi="Arial"/>
                <w:sz w:val="10"/>
                <w:szCs w:val="10"/>
                <w:color w:val="auto"/>
                <w:w w:val="99"/>
              </w:rPr>
              <w:t>—</w:t>
            </w:r>
          </w:p>
        </w:tc>
        <w:tc>
          <w:tcPr>
            <w:tcW w:w="260" w:type="dxa"/>
            <w:vAlign w:val="bottom"/>
            <w:shd w:val="clear" w:color="auto" w:fill="CCECFF"/>
          </w:tcPr>
          <w:p>
            <w:pPr>
              <w:spacing w:after="0"/>
              <w:rPr>
                <w:sz w:val="8"/>
                <w:szCs w:val="8"/>
                <w:color w:val="auto"/>
              </w:rPr>
            </w:pPr>
          </w:p>
        </w:tc>
        <w:tc>
          <w:tcPr>
            <w:tcW w:w="2200" w:type="dxa"/>
            <w:vAlign w:val="bottom"/>
            <w:shd w:val="clear" w:color="auto" w:fill="CCECFF"/>
          </w:tcPr>
          <w:p>
            <w:pPr>
              <w:jc w:val="center"/>
              <w:spacing w:after="0" w:line="95" w:lineRule="exact"/>
              <w:rPr>
                <w:sz w:val="20"/>
                <w:szCs w:val="20"/>
                <w:color w:val="auto"/>
              </w:rPr>
            </w:pPr>
            <w:r>
              <w:rPr>
                <w:rFonts w:ascii="Arial" w:cs="Arial" w:eastAsia="Arial" w:hAnsi="Arial"/>
                <w:sz w:val="10"/>
                <w:szCs w:val="10"/>
                <w:color w:val="auto"/>
                <w:w w:val="93"/>
              </w:rPr>
              <w:t>Aerospace and Defense</w:t>
            </w:r>
          </w:p>
        </w:tc>
        <w:tc>
          <w:tcPr>
            <w:tcW w:w="120" w:type="dxa"/>
            <w:vAlign w:val="bottom"/>
            <w:shd w:val="clear" w:color="auto" w:fill="CCECFF"/>
          </w:tcPr>
          <w:p>
            <w:pPr>
              <w:spacing w:after="0"/>
              <w:rPr>
                <w:sz w:val="8"/>
                <w:szCs w:val="8"/>
                <w:color w:val="auto"/>
              </w:rPr>
            </w:pPr>
          </w:p>
        </w:tc>
        <w:tc>
          <w:tcPr>
            <w:tcW w:w="960" w:type="dxa"/>
            <w:vAlign w:val="bottom"/>
            <w:gridSpan w:val="2"/>
            <w:shd w:val="clear" w:color="auto" w:fill="CCECFF"/>
          </w:tcPr>
          <w:p>
            <w:pPr>
              <w:jc w:val="right"/>
              <w:ind w:right="260"/>
              <w:spacing w:after="0" w:line="95" w:lineRule="exact"/>
              <w:rPr>
                <w:sz w:val="20"/>
                <w:szCs w:val="20"/>
                <w:color w:val="auto"/>
              </w:rPr>
            </w:pPr>
            <w:r>
              <w:rPr>
                <w:rFonts w:ascii="Arial" w:cs="Arial" w:eastAsia="Arial" w:hAnsi="Arial"/>
                <w:sz w:val="10"/>
                <w:szCs w:val="10"/>
                <w:color w:val="auto"/>
              </w:rPr>
              <w:t>—</w:t>
            </w:r>
          </w:p>
        </w:tc>
        <w:tc>
          <w:tcPr>
            <w:tcW w:w="920" w:type="dxa"/>
            <w:vAlign w:val="bottom"/>
            <w:shd w:val="clear" w:color="auto" w:fill="CCECFF"/>
          </w:tcPr>
          <w:p>
            <w:pPr>
              <w:ind w:left="800"/>
              <w:spacing w:after="0" w:line="95" w:lineRule="exact"/>
              <w:rPr>
                <w:sz w:val="20"/>
                <w:szCs w:val="20"/>
                <w:color w:val="auto"/>
              </w:rPr>
            </w:pPr>
            <w:r>
              <w:rPr>
                <w:rFonts w:ascii="Arial" w:cs="Arial" w:eastAsia="Arial" w:hAnsi="Arial"/>
                <w:sz w:val="10"/>
                <w:szCs w:val="10"/>
                <w:color w:val="auto"/>
                <w:w w:val="99"/>
              </w:rPr>
              <w:t>—</w:t>
            </w:r>
          </w:p>
        </w:tc>
        <w:tc>
          <w:tcPr>
            <w:tcW w:w="900" w:type="dxa"/>
            <w:vAlign w:val="bottom"/>
            <w:gridSpan w:val="2"/>
            <w:shd w:val="clear" w:color="auto" w:fill="CCECFF"/>
          </w:tcPr>
          <w:p>
            <w:pPr>
              <w:jc w:val="right"/>
              <w:spacing w:after="0" w:line="95" w:lineRule="exact"/>
              <w:rPr>
                <w:sz w:val="20"/>
                <w:szCs w:val="20"/>
                <w:color w:val="auto"/>
              </w:rPr>
            </w:pPr>
            <w:r>
              <w:rPr>
                <w:rFonts w:ascii="Arial" w:cs="Arial" w:eastAsia="Arial" w:hAnsi="Arial"/>
                <w:sz w:val="10"/>
                <w:szCs w:val="10"/>
                <w:color w:val="auto"/>
              </w:rPr>
              <w:t>173,638</w:t>
            </w:r>
          </w:p>
        </w:tc>
        <w:tc>
          <w:tcPr>
            <w:tcW w:w="220" w:type="dxa"/>
            <w:vAlign w:val="bottom"/>
            <w:shd w:val="clear" w:color="auto" w:fill="CCECFF"/>
          </w:tcPr>
          <w:p>
            <w:pPr>
              <w:spacing w:after="0"/>
              <w:rPr>
                <w:sz w:val="8"/>
                <w:szCs w:val="8"/>
                <w:color w:val="auto"/>
              </w:rPr>
            </w:pPr>
          </w:p>
        </w:tc>
        <w:tc>
          <w:tcPr>
            <w:tcW w:w="160" w:type="dxa"/>
            <w:vAlign w:val="bottom"/>
            <w:shd w:val="clear" w:color="auto" w:fill="CCECFF"/>
          </w:tcPr>
          <w:p>
            <w:pPr>
              <w:spacing w:after="0"/>
              <w:rPr>
                <w:sz w:val="8"/>
                <w:szCs w:val="8"/>
                <w:color w:val="auto"/>
              </w:rPr>
            </w:pPr>
          </w:p>
        </w:tc>
        <w:tc>
          <w:tcPr>
            <w:tcW w:w="540" w:type="dxa"/>
            <w:vAlign w:val="bottom"/>
            <w:shd w:val="clear" w:color="auto" w:fill="CCECFF"/>
          </w:tcPr>
          <w:p>
            <w:pPr>
              <w:jc w:val="right"/>
              <w:spacing w:after="0" w:line="95" w:lineRule="exact"/>
              <w:rPr>
                <w:sz w:val="20"/>
                <w:szCs w:val="20"/>
                <w:color w:val="auto"/>
              </w:rPr>
            </w:pPr>
            <w:r>
              <w:rPr>
                <w:rFonts w:ascii="Arial" w:cs="Arial" w:eastAsia="Arial" w:hAnsi="Arial"/>
                <w:sz w:val="10"/>
                <w:szCs w:val="10"/>
                <w:color w:val="auto"/>
              </w:rPr>
              <w:t>1,729</w:t>
            </w:r>
          </w:p>
        </w:tc>
        <w:tc>
          <w:tcPr>
            <w:tcW w:w="220" w:type="dxa"/>
            <w:vAlign w:val="bottom"/>
            <w:shd w:val="clear" w:color="auto" w:fill="CCECFF"/>
          </w:tcPr>
          <w:p>
            <w:pPr>
              <w:spacing w:after="0"/>
              <w:rPr>
                <w:sz w:val="8"/>
                <w:szCs w:val="8"/>
                <w:color w:val="auto"/>
              </w:rPr>
            </w:pPr>
          </w:p>
        </w:tc>
        <w:tc>
          <w:tcPr>
            <w:tcW w:w="220" w:type="dxa"/>
            <w:vAlign w:val="bottom"/>
            <w:shd w:val="clear" w:color="auto" w:fill="CCECFF"/>
          </w:tcPr>
          <w:p>
            <w:pPr>
              <w:spacing w:after="0"/>
              <w:rPr>
                <w:sz w:val="8"/>
                <w:szCs w:val="8"/>
                <w:color w:val="auto"/>
              </w:rPr>
            </w:pPr>
          </w:p>
        </w:tc>
        <w:tc>
          <w:tcPr>
            <w:tcW w:w="480" w:type="dxa"/>
            <w:vAlign w:val="bottom"/>
            <w:shd w:val="clear" w:color="auto" w:fill="CCECFF"/>
          </w:tcPr>
          <w:p>
            <w:pPr>
              <w:jc w:val="right"/>
              <w:spacing w:after="0" w:line="95" w:lineRule="exact"/>
              <w:rPr>
                <w:sz w:val="20"/>
                <w:szCs w:val="20"/>
                <w:color w:val="auto"/>
              </w:rPr>
            </w:pPr>
            <w:r>
              <w:rPr>
                <w:rFonts w:ascii="Arial" w:cs="Arial" w:eastAsia="Arial" w:hAnsi="Arial"/>
                <w:sz w:val="10"/>
                <w:szCs w:val="10"/>
                <w:color w:val="auto"/>
              </w:rPr>
              <w:t>3,051</w:t>
            </w:r>
          </w:p>
        </w:tc>
        <w:tc>
          <w:tcPr>
            <w:tcW w:w="10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3140" w:type="dxa"/>
            <w:vAlign w:val="bottom"/>
            <w:shd w:val="clear" w:color="auto" w:fill="CCECFF"/>
          </w:tcPr>
          <w:p>
            <w:pPr>
              <w:ind w:left="20"/>
              <w:spacing w:after="0" w:line="149" w:lineRule="exact"/>
              <w:rPr>
                <w:sz w:val="20"/>
                <w:szCs w:val="20"/>
                <w:color w:val="auto"/>
              </w:rPr>
            </w:pPr>
            <w:r>
              <w:rPr>
                <w:rFonts w:ascii="Arial" w:cs="Arial" w:eastAsia="Arial" w:hAnsi="Arial"/>
                <w:sz w:val="17"/>
                <w:szCs w:val="17"/>
                <w:color w:val="auto"/>
                <w:vertAlign w:val="subscript"/>
              </w:rPr>
              <w:t>LLC)</w:t>
            </w:r>
            <w:r>
              <w:rPr>
                <w:rFonts w:ascii="Arial" w:cs="Arial" w:eastAsia="Arial" w:hAnsi="Arial"/>
                <w:sz w:val="6"/>
                <w:szCs w:val="6"/>
                <w:color w:val="auto"/>
              </w:rPr>
              <w:t xml:space="preserve"> (7), (8)</w:t>
            </w: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22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9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4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3140" w:type="dxa"/>
            <w:vAlign w:val="bottom"/>
          </w:tcPr>
          <w:p>
            <w:pPr>
              <w:ind w:left="20"/>
              <w:spacing w:after="0" w:line="105" w:lineRule="exact"/>
              <w:rPr>
                <w:sz w:val="20"/>
                <w:szCs w:val="20"/>
                <w:color w:val="auto"/>
              </w:rPr>
            </w:pPr>
            <w:r>
              <w:rPr>
                <w:rFonts w:ascii="Arial" w:cs="Arial" w:eastAsia="Arial" w:hAnsi="Arial"/>
                <w:sz w:val="11"/>
                <w:szCs w:val="11"/>
                <w:color w:val="auto"/>
              </w:rPr>
              <w:t>OHCP V BC COI, L.P.</w:t>
            </w:r>
          </w:p>
        </w:tc>
        <w:tc>
          <w:tcPr>
            <w:tcW w:w="120" w:type="dxa"/>
            <w:vAlign w:val="bottom"/>
          </w:tcPr>
          <w:p>
            <w:pPr>
              <w:spacing w:after="0"/>
              <w:rPr>
                <w:sz w:val="9"/>
                <w:szCs w:val="9"/>
                <w:color w:val="auto"/>
              </w:rPr>
            </w:pPr>
          </w:p>
        </w:tc>
        <w:tc>
          <w:tcPr>
            <w:tcW w:w="680" w:type="dxa"/>
            <w:vAlign w:val="bottom"/>
          </w:tcPr>
          <w:p>
            <w:pPr>
              <w:ind w:left="560"/>
              <w:spacing w:after="0" w:line="105" w:lineRule="exact"/>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9"/>
                <w:szCs w:val="9"/>
                <w:color w:val="auto"/>
              </w:rPr>
            </w:pPr>
          </w:p>
        </w:tc>
        <w:tc>
          <w:tcPr>
            <w:tcW w:w="2200" w:type="dxa"/>
            <w:vAlign w:val="bottom"/>
          </w:tcPr>
          <w:p>
            <w:pPr>
              <w:jc w:val="center"/>
              <w:spacing w:after="0" w:line="105" w:lineRule="exact"/>
              <w:rPr>
                <w:sz w:val="20"/>
                <w:szCs w:val="20"/>
                <w:color w:val="auto"/>
              </w:rPr>
            </w:pPr>
            <w:r>
              <w:rPr>
                <w:rFonts w:ascii="Arial" w:cs="Arial" w:eastAsia="Arial" w:hAnsi="Arial"/>
                <w:sz w:val="11"/>
                <w:szCs w:val="11"/>
                <w:color w:val="auto"/>
                <w:w w:val="93"/>
              </w:rPr>
              <w:t>Distributors</w:t>
            </w:r>
          </w:p>
        </w:tc>
        <w:tc>
          <w:tcPr>
            <w:tcW w:w="120" w:type="dxa"/>
            <w:vAlign w:val="bottom"/>
          </w:tcPr>
          <w:p>
            <w:pPr>
              <w:spacing w:after="0"/>
              <w:rPr>
                <w:sz w:val="9"/>
                <w:szCs w:val="9"/>
                <w:color w:val="auto"/>
              </w:rPr>
            </w:pPr>
          </w:p>
        </w:tc>
        <w:tc>
          <w:tcPr>
            <w:tcW w:w="960" w:type="dxa"/>
            <w:vAlign w:val="bottom"/>
            <w:gridSpan w:val="2"/>
          </w:tcPr>
          <w:p>
            <w:pPr>
              <w:jc w:val="right"/>
              <w:ind w:right="260"/>
              <w:spacing w:after="0" w:line="105" w:lineRule="exact"/>
              <w:rPr>
                <w:sz w:val="20"/>
                <w:szCs w:val="20"/>
                <w:color w:val="auto"/>
              </w:rPr>
            </w:pPr>
            <w:r>
              <w:rPr>
                <w:rFonts w:ascii="Arial" w:cs="Arial" w:eastAsia="Arial" w:hAnsi="Arial"/>
                <w:sz w:val="11"/>
                <w:szCs w:val="11"/>
                <w:color w:val="auto"/>
              </w:rPr>
              <w:t>—</w:t>
            </w:r>
          </w:p>
        </w:tc>
        <w:tc>
          <w:tcPr>
            <w:tcW w:w="920" w:type="dxa"/>
            <w:vAlign w:val="bottom"/>
          </w:tcPr>
          <w:p>
            <w:pPr>
              <w:ind w:left="800"/>
              <w:spacing w:after="0" w:line="105" w:lineRule="exact"/>
              <w:rPr>
                <w:sz w:val="20"/>
                <w:szCs w:val="20"/>
                <w:color w:val="auto"/>
              </w:rPr>
            </w:pPr>
            <w:r>
              <w:rPr>
                <w:rFonts w:ascii="Arial" w:cs="Arial" w:eastAsia="Arial" w:hAnsi="Arial"/>
                <w:sz w:val="11"/>
                <w:szCs w:val="11"/>
                <w:color w:val="auto"/>
                <w:w w:val="90"/>
              </w:rPr>
              <w:t>—</w:t>
            </w:r>
          </w:p>
        </w:tc>
        <w:tc>
          <w:tcPr>
            <w:tcW w:w="900" w:type="dxa"/>
            <w:vAlign w:val="bottom"/>
            <w:gridSpan w:val="2"/>
          </w:tcPr>
          <w:p>
            <w:pPr>
              <w:jc w:val="right"/>
              <w:spacing w:after="0" w:line="105" w:lineRule="exact"/>
              <w:rPr>
                <w:sz w:val="20"/>
                <w:szCs w:val="20"/>
                <w:color w:val="auto"/>
              </w:rPr>
            </w:pPr>
            <w:r>
              <w:rPr>
                <w:rFonts w:ascii="Arial" w:cs="Arial" w:eastAsia="Arial" w:hAnsi="Arial"/>
                <w:sz w:val="11"/>
                <w:szCs w:val="11"/>
                <w:color w:val="auto"/>
              </w:rPr>
              <w:t>743,750</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jc w:val="right"/>
              <w:spacing w:after="0" w:line="105" w:lineRule="exact"/>
              <w:rPr>
                <w:sz w:val="20"/>
                <w:szCs w:val="20"/>
                <w:color w:val="auto"/>
              </w:rPr>
            </w:pPr>
            <w:r>
              <w:rPr>
                <w:rFonts w:ascii="Arial" w:cs="Arial" w:eastAsia="Arial" w:hAnsi="Arial"/>
                <w:sz w:val="11"/>
                <w:szCs w:val="11"/>
                <w:color w:val="auto"/>
              </w:rPr>
              <w:t>744</w:t>
            </w: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jc w:val="right"/>
              <w:spacing w:after="0" w:line="105" w:lineRule="exact"/>
              <w:rPr>
                <w:sz w:val="20"/>
                <w:szCs w:val="20"/>
                <w:color w:val="auto"/>
              </w:rPr>
            </w:pPr>
            <w:r>
              <w:rPr>
                <w:rFonts w:ascii="Arial" w:cs="Arial" w:eastAsia="Arial" w:hAnsi="Arial"/>
                <w:sz w:val="11"/>
                <w:szCs w:val="11"/>
                <w:color w:val="auto"/>
              </w:rPr>
              <w:t>605</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14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OHCP V BC COI, L.P. </w:t>
            </w:r>
            <w:r>
              <w:rPr>
                <w:rFonts w:ascii="Arial" w:cs="Arial" w:eastAsia="Arial" w:hAnsi="Arial"/>
                <w:sz w:val="14"/>
                <w:szCs w:val="14"/>
                <w:color w:val="auto"/>
                <w:vertAlign w:val="superscript"/>
              </w:rPr>
              <w:t>(8) (9)</w:t>
            </w:r>
          </w:p>
        </w:tc>
        <w:tc>
          <w:tcPr>
            <w:tcW w:w="120" w:type="dxa"/>
            <w:vAlign w:val="bottom"/>
          </w:tcPr>
          <w:p>
            <w:pPr>
              <w:spacing w:after="0"/>
              <w:rPr>
                <w:sz w:val="11"/>
                <w:szCs w:val="11"/>
                <w:color w:val="auto"/>
              </w:rPr>
            </w:pPr>
          </w:p>
        </w:tc>
        <w:tc>
          <w:tcPr>
            <w:tcW w:w="680" w:type="dxa"/>
            <w:vAlign w:val="bottom"/>
          </w:tcPr>
          <w:p>
            <w:pPr>
              <w:ind w:left="56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1"/>
                <w:szCs w:val="11"/>
                <w:color w:val="auto"/>
              </w:rPr>
            </w:pPr>
          </w:p>
        </w:tc>
        <w:tc>
          <w:tcPr>
            <w:tcW w:w="2200" w:type="dxa"/>
            <w:vAlign w:val="bottom"/>
          </w:tcPr>
          <w:p>
            <w:pPr>
              <w:jc w:val="center"/>
              <w:spacing w:after="0"/>
              <w:rPr>
                <w:sz w:val="20"/>
                <w:szCs w:val="20"/>
                <w:color w:val="auto"/>
              </w:rPr>
            </w:pPr>
            <w:r>
              <w:rPr>
                <w:rFonts w:ascii="Arial" w:cs="Arial" w:eastAsia="Arial" w:hAnsi="Arial"/>
                <w:sz w:val="11"/>
                <w:szCs w:val="11"/>
                <w:color w:val="auto"/>
                <w:w w:val="93"/>
              </w:rPr>
              <w:t>Distributors</w:t>
            </w:r>
          </w:p>
        </w:tc>
        <w:tc>
          <w:tcPr>
            <w:tcW w:w="120" w:type="dxa"/>
            <w:vAlign w:val="bottom"/>
          </w:tcPr>
          <w:p>
            <w:pPr>
              <w:spacing w:after="0"/>
              <w:rPr>
                <w:sz w:val="11"/>
                <w:szCs w:val="11"/>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Pr>
          <w:p>
            <w:pPr>
              <w:ind w:left="800"/>
              <w:spacing w:after="0"/>
              <w:rPr>
                <w:sz w:val="20"/>
                <w:szCs w:val="20"/>
                <w:color w:val="auto"/>
              </w:rPr>
            </w:pPr>
            <w:r>
              <w:rPr>
                <w:rFonts w:ascii="Arial" w:cs="Arial" w:eastAsia="Arial" w:hAnsi="Arial"/>
                <w:sz w:val="11"/>
                <w:szCs w:val="11"/>
                <w:color w:val="auto"/>
                <w:w w:val="90"/>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506,250</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auto"/>
              </w:rPr>
              <w:t>(94 )</w:t>
            </w:r>
          </w:p>
        </w:tc>
        <w:tc>
          <w:tcPr>
            <w:tcW w:w="0" w:type="dxa"/>
            <w:vAlign w:val="bottom"/>
          </w:tcPr>
          <w:p>
            <w:pPr>
              <w:spacing w:after="0"/>
              <w:rPr>
                <w:sz w:val="1"/>
                <w:szCs w:val="1"/>
                <w:color w:val="auto"/>
              </w:rPr>
            </w:pPr>
          </w:p>
        </w:tc>
      </w:tr>
      <w:tr>
        <w:trPr>
          <w:trHeight w:val="135"/>
        </w:trPr>
        <w:tc>
          <w:tcPr>
            <w:tcW w:w="314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Oral Surgery (ITC) Holdings, LLC </w:t>
            </w:r>
            <w:r>
              <w:rPr>
                <w:rFonts w:ascii="Arial" w:cs="Arial" w:eastAsia="Arial" w:hAnsi="Arial"/>
                <w:sz w:val="14"/>
                <w:szCs w:val="14"/>
                <w:color w:val="auto"/>
                <w:vertAlign w:val="superscript"/>
              </w:rPr>
              <w:t>(7),(8)</w:t>
            </w:r>
          </w:p>
        </w:tc>
        <w:tc>
          <w:tcPr>
            <w:tcW w:w="120" w:type="dxa"/>
            <w:vAlign w:val="bottom"/>
          </w:tcPr>
          <w:p>
            <w:pPr>
              <w:spacing w:after="0"/>
              <w:rPr>
                <w:sz w:val="11"/>
                <w:szCs w:val="11"/>
                <w:color w:val="auto"/>
              </w:rPr>
            </w:pPr>
          </w:p>
        </w:tc>
        <w:tc>
          <w:tcPr>
            <w:tcW w:w="680" w:type="dxa"/>
            <w:vAlign w:val="bottom"/>
          </w:tcPr>
          <w:p>
            <w:pPr>
              <w:ind w:left="56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1"/>
                <w:szCs w:val="11"/>
                <w:color w:val="auto"/>
              </w:rPr>
            </w:pPr>
          </w:p>
        </w:tc>
        <w:tc>
          <w:tcPr>
            <w:tcW w:w="2200" w:type="dxa"/>
            <w:vAlign w:val="bottom"/>
          </w:tcPr>
          <w:p>
            <w:pPr>
              <w:jc w:val="center"/>
              <w:spacing w:after="0"/>
              <w:rPr>
                <w:sz w:val="20"/>
                <w:szCs w:val="20"/>
                <w:color w:val="auto"/>
              </w:rPr>
            </w:pPr>
            <w:r>
              <w:rPr>
                <w:rFonts w:ascii="Arial" w:cs="Arial" w:eastAsia="Arial" w:hAnsi="Arial"/>
                <w:sz w:val="11"/>
                <w:szCs w:val="11"/>
                <w:color w:val="auto"/>
                <w:w w:val="88"/>
              </w:rPr>
              <w:t>Healthcare Equipment and Supplies</w:t>
            </w:r>
          </w:p>
        </w:tc>
        <w:tc>
          <w:tcPr>
            <w:tcW w:w="120" w:type="dxa"/>
            <w:vAlign w:val="bottom"/>
          </w:tcPr>
          <w:p>
            <w:pPr>
              <w:spacing w:after="0"/>
              <w:rPr>
                <w:sz w:val="11"/>
                <w:szCs w:val="11"/>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Pr>
          <w:p>
            <w:pPr>
              <w:ind w:left="800"/>
              <w:spacing w:after="0"/>
              <w:rPr>
                <w:sz w:val="20"/>
                <w:szCs w:val="20"/>
                <w:color w:val="auto"/>
              </w:rPr>
            </w:pPr>
            <w:r>
              <w:rPr>
                <w:rFonts w:ascii="Arial" w:cs="Arial" w:eastAsia="Arial" w:hAnsi="Arial"/>
                <w:sz w:val="11"/>
                <w:szCs w:val="11"/>
                <w:color w:val="auto"/>
                <w:w w:val="90"/>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3,872</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83</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93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4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ORL Holdco, Inc. </w:t>
            </w:r>
            <w:r>
              <w:rPr>
                <w:rFonts w:ascii="Arial" w:cs="Arial" w:eastAsia="Arial" w:hAnsi="Arial"/>
                <w:sz w:val="14"/>
                <w:szCs w:val="14"/>
                <w:color w:val="auto"/>
                <w:vertAlign w:val="superscript"/>
              </w:rPr>
              <w:t>(7)</w:t>
            </w:r>
          </w:p>
        </w:tc>
        <w:tc>
          <w:tcPr>
            <w:tcW w:w="120" w:type="dxa"/>
            <w:vAlign w:val="bottom"/>
          </w:tcPr>
          <w:p>
            <w:pPr>
              <w:spacing w:after="0"/>
              <w:rPr>
                <w:sz w:val="11"/>
                <w:szCs w:val="11"/>
                <w:color w:val="auto"/>
              </w:rPr>
            </w:pPr>
          </w:p>
        </w:tc>
        <w:tc>
          <w:tcPr>
            <w:tcW w:w="680" w:type="dxa"/>
            <w:vAlign w:val="bottom"/>
          </w:tcPr>
          <w:p>
            <w:pPr>
              <w:ind w:left="56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1"/>
                <w:szCs w:val="11"/>
                <w:color w:val="auto"/>
              </w:rPr>
            </w:pPr>
          </w:p>
        </w:tc>
        <w:tc>
          <w:tcPr>
            <w:tcW w:w="2200" w:type="dxa"/>
            <w:vAlign w:val="bottom"/>
          </w:tcPr>
          <w:p>
            <w:pPr>
              <w:jc w:val="center"/>
              <w:spacing w:after="0"/>
              <w:rPr>
                <w:sz w:val="20"/>
                <w:szCs w:val="20"/>
                <w:color w:val="auto"/>
              </w:rPr>
            </w:pPr>
            <w:r>
              <w:rPr>
                <w:rFonts w:ascii="Arial" w:cs="Arial" w:eastAsia="Arial" w:hAnsi="Arial"/>
                <w:sz w:val="11"/>
                <w:szCs w:val="11"/>
                <w:color w:val="auto"/>
                <w:w w:val="86"/>
              </w:rPr>
              <w:t>Consumer Finance</w:t>
            </w:r>
          </w:p>
        </w:tc>
        <w:tc>
          <w:tcPr>
            <w:tcW w:w="120" w:type="dxa"/>
            <w:vAlign w:val="bottom"/>
          </w:tcPr>
          <w:p>
            <w:pPr>
              <w:spacing w:after="0"/>
              <w:rPr>
                <w:sz w:val="11"/>
                <w:szCs w:val="11"/>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Pr>
          <w:p>
            <w:pPr>
              <w:ind w:left="800"/>
              <w:spacing w:after="0"/>
              <w:rPr>
                <w:sz w:val="20"/>
                <w:szCs w:val="20"/>
                <w:color w:val="auto"/>
              </w:rPr>
            </w:pPr>
            <w:r>
              <w:rPr>
                <w:rFonts w:ascii="Arial" w:cs="Arial" w:eastAsia="Arial" w:hAnsi="Arial"/>
                <w:sz w:val="11"/>
                <w:szCs w:val="11"/>
                <w:color w:val="auto"/>
                <w:w w:val="90"/>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1,474</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15</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275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14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PennantPark-TSO Senior Loan Fund, LP </w:t>
            </w:r>
            <w:r>
              <w:rPr>
                <w:rFonts w:ascii="Arial" w:cs="Arial" w:eastAsia="Arial" w:hAnsi="Arial"/>
                <w:sz w:val="14"/>
                <w:szCs w:val="14"/>
                <w:color w:val="auto"/>
                <w:vertAlign w:val="superscript"/>
              </w:rPr>
              <w:t>(7)</w:t>
            </w:r>
          </w:p>
        </w:tc>
        <w:tc>
          <w:tcPr>
            <w:tcW w:w="120" w:type="dxa"/>
            <w:vAlign w:val="bottom"/>
          </w:tcPr>
          <w:p>
            <w:pPr>
              <w:spacing w:after="0"/>
              <w:rPr>
                <w:sz w:val="13"/>
                <w:szCs w:val="13"/>
                <w:color w:val="auto"/>
              </w:rPr>
            </w:pPr>
          </w:p>
        </w:tc>
        <w:tc>
          <w:tcPr>
            <w:tcW w:w="680" w:type="dxa"/>
            <w:vAlign w:val="bottom"/>
          </w:tcPr>
          <w:p>
            <w:pPr>
              <w:ind w:left="56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3"/>
                <w:szCs w:val="13"/>
                <w:color w:val="auto"/>
              </w:rPr>
            </w:pPr>
          </w:p>
        </w:tc>
        <w:tc>
          <w:tcPr>
            <w:tcW w:w="2200" w:type="dxa"/>
            <w:vAlign w:val="bottom"/>
          </w:tcPr>
          <w:p>
            <w:pPr>
              <w:jc w:val="center"/>
              <w:spacing w:after="0"/>
              <w:rPr>
                <w:sz w:val="20"/>
                <w:szCs w:val="20"/>
                <w:color w:val="auto"/>
              </w:rPr>
            </w:pPr>
            <w:r>
              <w:rPr>
                <w:rFonts w:ascii="Arial" w:cs="Arial" w:eastAsia="Arial" w:hAnsi="Arial"/>
                <w:sz w:val="11"/>
                <w:szCs w:val="11"/>
                <w:color w:val="auto"/>
                <w:w w:val="89"/>
              </w:rPr>
              <w:t>Financial Services</w:t>
            </w:r>
          </w:p>
        </w:tc>
        <w:tc>
          <w:tcPr>
            <w:tcW w:w="120" w:type="dxa"/>
            <w:vAlign w:val="bottom"/>
          </w:tcPr>
          <w:p>
            <w:pPr>
              <w:spacing w:after="0"/>
              <w:rPr>
                <w:sz w:val="13"/>
                <w:szCs w:val="13"/>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Pr>
          <w:p>
            <w:pPr>
              <w:ind w:left="800"/>
              <w:spacing w:after="0"/>
              <w:rPr>
                <w:sz w:val="20"/>
                <w:szCs w:val="20"/>
                <w:color w:val="auto"/>
              </w:rPr>
            </w:pPr>
            <w:r>
              <w:rPr>
                <w:rFonts w:ascii="Arial" w:cs="Arial" w:eastAsia="Arial" w:hAnsi="Arial"/>
                <w:sz w:val="11"/>
                <w:szCs w:val="11"/>
                <w:color w:val="auto"/>
                <w:w w:val="90"/>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11,167,847</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11,168</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10,553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3140" w:type="dxa"/>
            <w:vAlign w:val="bottom"/>
          </w:tcPr>
          <w:p>
            <w:pPr>
              <w:ind w:left="20"/>
              <w:spacing w:after="0" w:line="115" w:lineRule="exact"/>
              <w:rPr>
                <w:sz w:val="20"/>
                <w:szCs w:val="20"/>
                <w:color w:val="auto"/>
              </w:rPr>
            </w:pPr>
            <w:r>
              <w:rPr>
                <w:rFonts w:ascii="Arial" w:cs="Arial" w:eastAsia="Arial" w:hAnsi="Arial"/>
                <w:sz w:val="11"/>
                <w:szCs w:val="11"/>
                <w:color w:val="auto"/>
              </w:rPr>
              <w:t>Pink Lily Holdco, LLC (PL Acquisitions, LLC)</w:t>
            </w:r>
          </w:p>
        </w:tc>
        <w:tc>
          <w:tcPr>
            <w:tcW w:w="120" w:type="dxa"/>
            <w:vAlign w:val="bottom"/>
          </w:tcPr>
          <w:p>
            <w:pPr>
              <w:spacing w:after="0"/>
              <w:rPr>
                <w:sz w:val="9"/>
                <w:szCs w:val="9"/>
                <w:color w:val="auto"/>
              </w:rPr>
            </w:pPr>
          </w:p>
        </w:tc>
        <w:tc>
          <w:tcPr>
            <w:tcW w:w="680" w:type="dxa"/>
            <w:vAlign w:val="bottom"/>
          </w:tcPr>
          <w:p>
            <w:pPr>
              <w:ind w:left="560"/>
              <w:spacing w:after="0" w:line="115" w:lineRule="exact"/>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9"/>
                <w:szCs w:val="9"/>
                <w:color w:val="auto"/>
              </w:rPr>
            </w:pPr>
          </w:p>
        </w:tc>
        <w:tc>
          <w:tcPr>
            <w:tcW w:w="2200" w:type="dxa"/>
            <w:vAlign w:val="bottom"/>
          </w:tcPr>
          <w:p>
            <w:pPr>
              <w:jc w:val="center"/>
              <w:spacing w:after="0" w:line="115" w:lineRule="exact"/>
              <w:rPr>
                <w:sz w:val="20"/>
                <w:szCs w:val="20"/>
                <w:color w:val="auto"/>
              </w:rPr>
            </w:pPr>
            <w:r>
              <w:rPr>
                <w:rFonts w:ascii="Arial" w:cs="Arial" w:eastAsia="Arial" w:hAnsi="Arial"/>
                <w:sz w:val="11"/>
                <w:szCs w:val="11"/>
                <w:color w:val="auto"/>
                <w:w w:val="89"/>
              </w:rPr>
              <w:t>Textiles, Apparel and Luxury Goods</w:t>
            </w:r>
          </w:p>
        </w:tc>
        <w:tc>
          <w:tcPr>
            <w:tcW w:w="120" w:type="dxa"/>
            <w:vAlign w:val="bottom"/>
          </w:tcPr>
          <w:p>
            <w:pPr>
              <w:spacing w:after="0"/>
              <w:rPr>
                <w:sz w:val="9"/>
                <w:szCs w:val="9"/>
                <w:color w:val="auto"/>
              </w:rPr>
            </w:pPr>
          </w:p>
        </w:tc>
        <w:tc>
          <w:tcPr>
            <w:tcW w:w="960" w:type="dxa"/>
            <w:vAlign w:val="bottom"/>
            <w:gridSpan w:val="2"/>
          </w:tcPr>
          <w:p>
            <w:pPr>
              <w:jc w:val="right"/>
              <w:ind w:right="260"/>
              <w:spacing w:after="0" w:line="115" w:lineRule="exact"/>
              <w:rPr>
                <w:sz w:val="20"/>
                <w:szCs w:val="20"/>
                <w:color w:val="auto"/>
              </w:rPr>
            </w:pPr>
            <w:r>
              <w:rPr>
                <w:rFonts w:ascii="Arial" w:cs="Arial" w:eastAsia="Arial" w:hAnsi="Arial"/>
                <w:sz w:val="11"/>
                <w:szCs w:val="11"/>
                <w:color w:val="auto"/>
              </w:rPr>
              <w:t>—</w:t>
            </w:r>
          </w:p>
        </w:tc>
        <w:tc>
          <w:tcPr>
            <w:tcW w:w="920" w:type="dxa"/>
            <w:vAlign w:val="bottom"/>
          </w:tcPr>
          <w:p>
            <w:pPr>
              <w:ind w:left="800"/>
              <w:spacing w:after="0" w:line="115" w:lineRule="exact"/>
              <w:rPr>
                <w:sz w:val="20"/>
                <w:szCs w:val="20"/>
                <w:color w:val="auto"/>
              </w:rPr>
            </w:pPr>
            <w:r>
              <w:rPr>
                <w:rFonts w:ascii="Arial" w:cs="Arial" w:eastAsia="Arial" w:hAnsi="Arial"/>
                <w:sz w:val="11"/>
                <w:szCs w:val="11"/>
                <w:color w:val="auto"/>
                <w:w w:val="90"/>
              </w:rPr>
              <w:t>—</w:t>
            </w:r>
          </w:p>
        </w:tc>
        <w:tc>
          <w:tcPr>
            <w:tcW w:w="90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1,735</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jc w:val="right"/>
              <w:spacing w:after="0" w:line="115" w:lineRule="exact"/>
              <w:rPr>
                <w:sz w:val="20"/>
                <w:szCs w:val="20"/>
                <w:color w:val="auto"/>
              </w:rPr>
            </w:pPr>
            <w:r>
              <w:rPr>
                <w:rFonts w:ascii="Arial" w:cs="Arial" w:eastAsia="Arial" w:hAnsi="Arial"/>
                <w:sz w:val="11"/>
                <w:szCs w:val="11"/>
                <w:color w:val="auto"/>
              </w:rPr>
              <w:t>1,735</w:t>
            </w: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jc w:val="right"/>
              <w:spacing w:after="0" w:line="115" w:lineRule="exact"/>
              <w:rPr>
                <w:sz w:val="20"/>
                <w:szCs w:val="20"/>
                <w:color w:val="auto"/>
              </w:rPr>
            </w:pPr>
            <w:r>
              <w:rPr>
                <w:rFonts w:ascii="Arial" w:cs="Arial" w:eastAsia="Arial" w:hAnsi="Arial"/>
                <w:sz w:val="11"/>
                <w:szCs w:val="11"/>
                <w:color w:val="auto"/>
              </w:rPr>
              <w:t>1,286</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14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QuantiTech InvestCo LP </w:t>
            </w:r>
            <w:r>
              <w:rPr>
                <w:rFonts w:ascii="Arial" w:cs="Arial" w:eastAsia="Arial" w:hAnsi="Arial"/>
                <w:sz w:val="14"/>
                <w:szCs w:val="14"/>
                <w:color w:val="auto"/>
                <w:vertAlign w:val="superscript"/>
              </w:rPr>
              <w:t>(7), (8)</w:t>
            </w:r>
          </w:p>
        </w:tc>
        <w:tc>
          <w:tcPr>
            <w:tcW w:w="120" w:type="dxa"/>
            <w:vAlign w:val="bottom"/>
          </w:tcPr>
          <w:p>
            <w:pPr>
              <w:spacing w:after="0"/>
              <w:rPr>
                <w:sz w:val="11"/>
                <w:szCs w:val="11"/>
                <w:color w:val="auto"/>
              </w:rPr>
            </w:pPr>
          </w:p>
        </w:tc>
        <w:tc>
          <w:tcPr>
            <w:tcW w:w="680" w:type="dxa"/>
            <w:vAlign w:val="bottom"/>
          </w:tcPr>
          <w:p>
            <w:pPr>
              <w:ind w:left="56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1"/>
                <w:szCs w:val="11"/>
                <w:color w:val="auto"/>
              </w:rPr>
            </w:pPr>
          </w:p>
        </w:tc>
        <w:tc>
          <w:tcPr>
            <w:tcW w:w="2200" w:type="dxa"/>
            <w:vAlign w:val="bottom"/>
          </w:tcPr>
          <w:p>
            <w:pPr>
              <w:jc w:val="center"/>
              <w:spacing w:after="0"/>
              <w:rPr>
                <w:sz w:val="20"/>
                <w:szCs w:val="20"/>
                <w:color w:val="auto"/>
              </w:rPr>
            </w:pPr>
            <w:r>
              <w:rPr>
                <w:rFonts w:ascii="Arial" w:cs="Arial" w:eastAsia="Arial" w:hAnsi="Arial"/>
                <w:sz w:val="11"/>
                <w:szCs w:val="11"/>
                <w:color w:val="auto"/>
                <w:w w:val="84"/>
              </w:rPr>
              <w:t>Aerospace and Defense</w:t>
            </w:r>
          </w:p>
        </w:tc>
        <w:tc>
          <w:tcPr>
            <w:tcW w:w="120" w:type="dxa"/>
            <w:vAlign w:val="bottom"/>
          </w:tcPr>
          <w:p>
            <w:pPr>
              <w:spacing w:after="0"/>
              <w:rPr>
                <w:sz w:val="11"/>
                <w:szCs w:val="11"/>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Pr>
          <w:p>
            <w:pPr>
              <w:ind w:left="800"/>
              <w:spacing w:after="0"/>
              <w:rPr>
                <w:sz w:val="20"/>
                <w:szCs w:val="20"/>
                <w:color w:val="auto"/>
              </w:rPr>
            </w:pPr>
            <w:r>
              <w:rPr>
                <w:rFonts w:ascii="Arial" w:cs="Arial" w:eastAsia="Arial" w:hAnsi="Arial"/>
                <w:sz w:val="11"/>
                <w:szCs w:val="11"/>
                <w:color w:val="auto"/>
                <w:w w:val="90"/>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712</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68</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340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4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QuantiTech InvestCo LP </w:t>
            </w:r>
            <w:r>
              <w:rPr>
                <w:rFonts w:ascii="Arial" w:cs="Arial" w:eastAsia="Arial" w:hAnsi="Arial"/>
                <w:sz w:val="14"/>
                <w:szCs w:val="14"/>
                <w:color w:val="auto"/>
                <w:vertAlign w:val="superscript"/>
              </w:rPr>
              <w:t>(7), (8), (9)</w:t>
            </w:r>
          </w:p>
        </w:tc>
        <w:tc>
          <w:tcPr>
            <w:tcW w:w="120" w:type="dxa"/>
            <w:vAlign w:val="bottom"/>
          </w:tcPr>
          <w:p>
            <w:pPr>
              <w:spacing w:after="0"/>
              <w:rPr>
                <w:sz w:val="11"/>
                <w:szCs w:val="11"/>
                <w:color w:val="auto"/>
              </w:rPr>
            </w:pPr>
          </w:p>
        </w:tc>
        <w:tc>
          <w:tcPr>
            <w:tcW w:w="680" w:type="dxa"/>
            <w:vAlign w:val="bottom"/>
          </w:tcPr>
          <w:p>
            <w:pPr>
              <w:ind w:left="56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1"/>
                <w:szCs w:val="11"/>
                <w:color w:val="auto"/>
              </w:rPr>
            </w:pPr>
          </w:p>
        </w:tc>
        <w:tc>
          <w:tcPr>
            <w:tcW w:w="2200" w:type="dxa"/>
            <w:vAlign w:val="bottom"/>
          </w:tcPr>
          <w:p>
            <w:pPr>
              <w:jc w:val="center"/>
              <w:spacing w:after="0"/>
              <w:rPr>
                <w:sz w:val="20"/>
                <w:szCs w:val="20"/>
                <w:color w:val="auto"/>
              </w:rPr>
            </w:pPr>
            <w:r>
              <w:rPr>
                <w:rFonts w:ascii="Arial" w:cs="Arial" w:eastAsia="Arial" w:hAnsi="Arial"/>
                <w:sz w:val="11"/>
                <w:szCs w:val="11"/>
                <w:color w:val="auto"/>
                <w:w w:val="84"/>
              </w:rPr>
              <w:t>Aerospace and Defense</w:t>
            </w:r>
          </w:p>
        </w:tc>
        <w:tc>
          <w:tcPr>
            <w:tcW w:w="120" w:type="dxa"/>
            <w:vAlign w:val="bottom"/>
          </w:tcPr>
          <w:p>
            <w:pPr>
              <w:spacing w:after="0"/>
              <w:rPr>
                <w:sz w:val="11"/>
                <w:szCs w:val="11"/>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Pr>
          <w:p>
            <w:pPr>
              <w:ind w:left="800"/>
              <w:spacing w:after="0"/>
              <w:rPr>
                <w:sz w:val="20"/>
                <w:szCs w:val="20"/>
                <w:color w:val="auto"/>
              </w:rPr>
            </w:pPr>
            <w:r>
              <w:rPr>
                <w:rFonts w:ascii="Arial" w:cs="Arial" w:eastAsia="Arial" w:hAnsi="Arial"/>
                <w:sz w:val="11"/>
                <w:szCs w:val="11"/>
                <w:color w:val="auto"/>
                <w:w w:val="90"/>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955</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314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QuantiTech InvestCo II LP </w:t>
            </w:r>
            <w:r>
              <w:rPr>
                <w:rFonts w:ascii="Arial" w:cs="Arial" w:eastAsia="Arial" w:hAnsi="Arial"/>
                <w:sz w:val="14"/>
                <w:szCs w:val="14"/>
                <w:color w:val="auto"/>
                <w:vertAlign w:val="superscript"/>
              </w:rPr>
              <w:t>(7), (8),</w:t>
            </w:r>
          </w:p>
        </w:tc>
        <w:tc>
          <w:tcPr>
            <w:tcW w:w="120" w:type="dxa"/>
            <w:vAlign w:val="bottom"/>
          </w:tcPr>
          <w:p>
            <w:pPr>
              <w:spacing w:after="0"/>
              <w:rPr>
                <w:sz w:val="11"/>
                <w:szCs w:val="11"/>
                <w:color w:val="auto"/>
              </w:rPr>
            </w:pPr>
          </w:p>
        </w:tc>
        <w:tc>
          <w:tcPr>
            <w:tcW w:w="680" w:type="dxa"/>
            <w:vAlign w:val="bottom"/>
          </w:tcPr>
          <w:p>
            <w:pPr>
              <w:ind w:left="56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1"/>
                <w:szCs w:val="11"/>
                <w:color w:val="auto"/>
              </w:rPr>
            </w:pPr>
          </w:p>
        </w:tc>
        <w:tc>
          <w:tcPr>
            <w:tcW w:w="2200" w:type="dxa"/>
            <w:vAlign w:val="bottom"/>
          </w:tcPr>
          <w:p>
            <w:pPr>
              <w:jc w:val="center"/>
              <w:spacing w:after="0"/>
              <w:rPr>
                <w:sz w:val="20"/>
                <w:szCs w:val="20"/>
                <w:color w:val="auto"/>
              </w:rPr>
            </w:pPr>
            <w:r>
              <w:rPr>
                <w:rFonts w:ascii="Arial" w:cs="Arial" w:eastAsia="Arial" w:hAnsi="Arial"/>
                <w:sz w:val="11"/>
                <w:szCs w:val="11"/>
                <w:color w:val="auto"/>
                <w:w w:val="84"/>
              </w:rPr>
              <w:t>Aerospace and Defense</w:t>
            </w:r>
          </w:p>
        </w:tc>
        <w:tc>
          <w:tcPr>
            <w:tcW w:w="120" w:type="dxa"/>
            <w:vAlign w:val="bottom"/>
          </w:tcPr>
          <w:p>
            <w:pPr>
              <w:spacing w:after="0"/>
              <w:rPr>
                <w:sz w:val="11"/>
                <w:szCs w:val="11"/>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Pr>
          <w:p>
            <w:pPr>
              <w:ind w:left="800"/>
              <w:spacing w:after="0"/>
              <w:rPr>
                <w:sz w:val="20"/>
                <w:szCs w:val="20"/>
                <w:color w:val="auto"/>
              </w:rPr>
            </w:pPr>
            <w:r>
              <w:rPr>
                <w:rFonts w:ascii="Arial" w:cs="Arial" w:eastAsia="Arial" w:hAnsi="Arial"/>
                <w:sz w:val="11"/>
                <w:szCs w:val="11"/>
                <w:color w:val="auto"/>
                <w:w w:val="90"/>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40</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25</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3140" w:type="dxa"/>
            <w:vAlign w:val="bottom"/>
          </w:tcPr>
          <w:p>
            <w:pPr>
              <w:ind w:left="20"/>
              <w:spacing w:after="0"/>
              <w:rPr>
                <w:sz w:val="20"/>
                <w:szCs w:val="20"/>
                <w:color w:val="auto"/>
              </w:rPr>
            </w:pPr>
            <w:r>
              <w:rPr>
                <w:rFonts w:ascii="Arial" w:cs="Arial" w:eastAsia="Arial" w:hAnsi="Arial"/>
                <w:sz w:val="11"/>
                <w:szCs w:val="11"/>
                <w:color w:val="auto"/>
              </w:rPr>
              <w:t xml:space="preserve">RFMG Parent, LP (Rancho Health MSO, Inc.) </w:t>
            </w:r>
            <w:r>
              <w:rPr>
                <w:rFonts w:ascii="Arial" w:cs="Arial" w:eastAsia="Arial" w:hAnsi="Arial"/>
                <w:sz w:val="14"/>
                <w:szCs w:val="14"/>
                <w:color w:val="auto"/>
                <w:vertAlign w:val="superscript"/>
              </w:rPr>
              <w:t>(7)</w:t>
            </w:r>
          </w:p>
        </w:tc>
        <w:tc>
          <w:tcPr>
            <w:tcW w:w="120" w:type="dxa"/>
            <w:vAlign w:val="bottom"/>
          </w:tcPr>
          <w:p>
            <w:pPr>
              <w:spacing w:after="0"/>
              <w:rPr>
                <w:sz w:val="14"/>
                <w:szCs w:val="14"/>
                <w:color w:val="auto"/>
              </w:rPr>
            </w:pPr>
          </w:p>
        </w:tc>
        <w:tc>
          <w:tcPr>
            <w:tcW w:w="680" w:type="dxa"/>
            <w:vAlign w:val="bottom"/>
          </w:tcPr>
          <w:p>
            <w:pPr>
              <w:ind w:left="56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4"/>
                <w:szCs w:val="14"/>
                <w:color w:val="auto"/>
              </w:rPr>
            </w:pPr>
          </w:p>
        </w:tc>
        <w:tc>
          <w:tcPr>
            <w:tcW w:w="2200" w:type="dxa"/>
            <w:vAlign w:val="bottom"/>
          </w:tcPr>
          <w:p>
            <w:pPr>
              <w:jc w:val="center"/>
              <w:spacing w:after="0"/>
              <w:rPr>
                <w:sz w:val="20"/>
                <w:szCs w:val="20"/>
                <w:color w:val="auto"/>
              </w:rPr>
            </w:pPr>
            <w:r>
              <w:rPr>
                <w:rFonts w:ascii="Arial" w:cs="Arial" w:eastAsia="Arial" w:hAnsi="Arial"/>
                <w:sz w:val="11"/>
                <w:szCs w:val="11"/>
                <w:color w:val="auto"/>
                <w:w w:val="88"/>
              </w:rPr>
              <w:t>Healthcare Equipment and Supplies</w:t>
            </w:r>
          </w:p>
        </w:tc>
        <w:tc>
          <w:tcPr>
            <w:tcW w:w="120" w:type="dxa"/>
            <w:vAlign w:val="bottom"/>
          </w:tcPr>
          <w:p>
            <w:pPr>
              <w:spacing w:after="0"/>
              <w:rPr>
                <w:sz w:val="14"/>
                <w:szCs w:val="14"/>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Pr>
          <w:p>
            <w:pPr>
              <w:ind w:left="800"/>
              <w:spacing w:after="0"/>
              <w:rPr>
                <w:sz w:val="20"/>
                <w:szCs w:val="20"/>
                <w:color w:val="auto"/>
              </w:rPr>
            </w:pPr>
            <w:r>
              <w:rPr>
                <w:rFonts w:ascii="Arial" w:cs="Arial" w:eastAsia="Arial" w:hAnsi="Arial"/>
                <w:sz w:val="11"/>
                <w:szCs w:val="11"/>
                <w:color w:val="auto"/>
                <w:w w:val="90"/>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1,050,000</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1,050</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1,279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-7019925</wp:posOffset>
            </wp:positionV>
            <wp:extent cx="198882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9888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-6925945</wp:posOffset>
            </wp:positionV>
            <wp:extent cx="7132320" cy="8572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-6754495</wp:posOffset>
            </wp:positionV>
            <wp:extent cx="7132320" cy="8572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-6583045</wp:posOffset>
            </wp:positionV>
            <wp:extent cx="7132320" cy="8572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-6411595</wp:posOffset>
            </wp:positionV>
            <wp:extent cx="7132320" cy="8572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-6240145</wp:posOffset>
            </wp:positionV>
            <wp:extent cx="7132320" cy="8572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-5982970</wp:posOffset>
            </wp:positionV>
            <wp:extent cx="7132320" cy="8572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-5802630</wp:posOffset>
            </wp:positionV>
            <wp:extent cx="7132320" cy="9461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-5622925</wp:posOffset>
            </wp:positionV>
            <wp:extent cx="7132320" cy="8572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-5451475</wp:posOffset>
            </wp:positionV>
            <wp:extent cx="7132320" cy="8572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-5280025</wp:posOffset>
            </wp:positionV>
            <wp:extent cx="7132320" cy="8572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-5108575</wp:posOffset>
            </wp:positionV>
            <wp:extent cx="7132320" cy="8572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-4679950</wp:posOffset>
            </wp:positionV>
            <wp:extent cx="7132320" cy="8572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-4508500</wp:posOffset>
            </wp:positionV>
            <wp:extent cx="7132320" cy="8572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-4337050</wp:posOffset>
            </wp:positionV>
            <wp:extent cx="7132320" cy="8572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-4097020</wp:posOffset>
            </wp:positionV>
            <wp:extent cx="7132320" cy="8572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-3925570</wp:posOffset>
            </wp:positionV>
            <wp:extent cx="7132320" cy="8572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-3754120</wp:posOffset>
            </wp:positionV>
            <wp:extent cx="7132320" cy="1714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-3496945</wp:posOffset>
            </wp:positionV>
            <wp:extent cx="7132320" cy="8572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-3325495</wp:posOffset>
            </wp:positionV>
            <wp:extent cx="7132320" cy="8572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-3068320</wp:posOffset>
            </wp:positionV>
            <wp:extent cx="7132320" cy="8572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-2896870</wp:posOffset>
            </wp:positionV>
            <wp:extent cx="7132320" cy="8572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-2725420</wp:posOffset>
            </wp:positionV>
            <wp:extent cx="7132320" cy="8572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-2468245</wp:posOffset>
            </wp:positionV>
            <wp:extent cx="7132320" cy="8572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-2296795</wp:posOffset>
            </wp:positionV>
            <wp:extent cx="7132320" cy="8572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-2039620</wp:posOffset>
            </wp:positionV>
            <wp:extent cx="7132320" cy="8572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-1868170</wp:posOffset>
            </wp:positionV>
            <wp:extent cx="7132320" cy="8572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-1696720</wp:posOffset>
            </wp:positionV>
            <wp:extent cx="7132320" cy="8572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-1353820</wp:posOffset>
            </wp:positionV>
            <wp:extent cx="7132320" cy="8572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-1182370</wp:posOffset>
            </wp:positionV>
            <wp:extent cx="7132320" cy="8572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-770890</wp:posOffset>
            </wp:positionV>
            <wp:extent cx="7132320" cy="8572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-599440</wp:posOffset>
            </wp:positionV>
            <wp:extent cx="7132320" cy="8572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-427990</wp:posOffset>
            </wp:positionV>
            <wp:extent cx="7132320" cy="8572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-256540</wp:posOffset>
            </wp:positionV>
            <wp:extent cx="7132320" cy="8572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8572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85725"/>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SCHEDULE OF INVESTMENTS—(Continued)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JUNE 30, 2022</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tbl>
      <w:tblPr>
        <w:tblLayout w:type="fixed"/>
        <w:tblInd w:w="0" w:type="dxa"/>
        <w:tblCellMar>
          <w:top w:w="0" w:type="dxa"/>
          <w:left w:w="0" w:type="dxa"/>
          <w:bottom w:w="0" w:type="dxa"/>
          <w:right w:w="0" w:type="dxa"/>
        </w:tblCellMar>
      </w:tblPr>
      <w:tr>
        <w:trPr>
          <w:trHeight w:val="102"/>
        </w:trPr>
        <w:tc>
          <w:tcPr>
            <w:tcW w:w="3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w w:val="86"/>
              </w:rPr>
              <w:t>Basis Point</w:t>
            </w: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gridSpan w:val="2"/>
            <w:vMerge w:val="restart"/>
          </w:tcPr>
          <w:p>
            <w:pPr>
              <w:jc w:val="right"/>
              <w:ind w:right="400"/>
              <w:spacing w:after="0"/>
              <w:rPr>
                <w:sz w:val="20"/>
                <w:szCs w:val="20"/>
                <w:color w:val="auto"/>
              </w:rPr>
            </w:pPr>
            <w:r>
              <w:rPr>
                <w:rFonts w:ascii="Arial" w:cs="Arial" w:eastAsia="Arial" w:hAnsi="Arial"/>
                <w:sz w:val="11"/>
                <w:szCs w:val="11"/>
                <w:b w:val="1"/>
                <w:bCs w:val="1"/>
                <w:color w:val="auto"/>
              </w:rPr>
              <w:t>Current</w:t>
            </w:r>
          </w:p>
        </w:tc>
        <w:tc>
          <w:tcPr>
            <w:tcW w:w="92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91"/>
              </w:rPr>
              <w:t>Spread</w:t>
            </w:r>
          </w:p>
        </w:tc>
        <w:tc>
          <w:tcPr>
            <w:tcW w:w="200" w:type="dxa"/>
            <w:vAlign w:val="bottom"/>
          </w:tcPr>
          <w:p>
            <w:pPr>
              <w:spacing w:after="0"/>
              <w:rPr>
                <w:sz w:val="9"/>
                <w:szCs w:val="9"/>
                <w:color w:val="auto"/>
              </w:rPr>
            </w:pPr>
          </w:p>
        </w:tc>
        <w:tc>
          <w:tcPr>
            <w:tcW w:w="700" w:type="dxa"/>
            <w:vAlign w:val="bottom"/>
            <w:vMerge w:val="restart"/>
          </w:tcPr>
          <w:p>
            <w:pPr>
              <w:jc w:val="right"/>
              <w:ind w:right="166"/>
              <w:spacing w:after="0"/>
              <w:rPr>
                <w:sz w:val="20"/>
                <w:szCs w:val="20"/>
                <w:color w:val="auto"/>
              </w:rPr>
            </w:pPr>
            <w:r>
              <w:rPr>
                <w:rFonts w:ascii="Arial" w:cs="Arial" w:eastAsia="Arial" w:hAnsi="Arial"/>
                <w:sz w:val="11"/>
                <w:szCs w:val="11"/>
                <w:b w:val="1"/>
                <w:bCs w:val="1"/>
                <w:color w:val="auto"/>
              </w:rPr>
              <w:t>Par /</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34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Issuer Name</w:t>
            </w:r>
          </w:p>
        </w:tc>
        <w:tc>
          <w:tcPr>
            <w:tcW w:w="6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Maturity</w:t>
            </w:r>
          </w:p>
        </w:tc>
        <w:tc>
          <w:tcPr>
            <w:tcW w:w="260" w:type="dxa"/>
            <w:vAlign w:val="bottom"/>
          </w:tcPr>
          <w:p>
            <w:pPr>
              <w:spacing w:after="0"/>
              <w:rPr>
                <w:sz w:val="9"/>
                <w:szCs w:val="9"/>
                <w:color w:val="auto"/>
              </w:rPr>
            </w:pPr>
          </w:p>
        </w:tc>
        <w:tc>
          <w:tcPr>
            <w:tcW w:w="220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2"/>
              </w:rPr>
              <w:t>Industry</w:t>
            </w:r>
          </w:p>
        </w:tc>
        <w:tc>
          <w:tcPr>
            <w:tcW w:w="12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92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89"/>
              </w:rPr>
              <w:t>Above</w:t>
            </w:r>
          </w:p>
        </w:tc>
        <w:tc>
          <w:tcPr>
            <w:tcW w:w="2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vMerge w:val="restart"/>
          </w:tcPr>
          <w:p>
            <w:pPr>
              <w:jc w:val="right"/>
              <w:ind w:right="186"/>
              <w:spacing w:after="0"/>
              <w:rPr>
                <w:sz w:val="20"/>
                <w:szCs w:val="20"/>
                <w:color w:val="auto"/>
              </w:rPr>
            </w:pPr>
            <w:r>
              <w:rPr>
                <w:rFonts w:ascii="Arial" w:cs="Arial" w:eastAsia="Arial" w:hAnsi="Arial"/>
                <w:sz w:val="11"/>
                <w:szCs w:val="11"/>
                <w:b w:val="1"/>
                <w:bCs w:val="1"/>
                <w:color w:val="auto"/>
              </w:rPr>
              <w:t>Cost</w:t>
            </w:r>
          </w:p>
        </w:tc>
        <w:tc>
          <w:tcPr>
            <w:tcW w:w="220" w:type="dxa"/>
            <w:vAlign w:val="bottom"/>
          </w:tcPr>
          <w:p>
            <w:pPr>
              <w:spacing w:after="0"/>
              <w:rPr>
                <w:sz w:val="9"/>
                <w:szCs w:val="9"/>
                <w:color w:val="auto"/>
              </w:rPr>
            </w:pPr>
          </w:p>
        </w:tc>
        <w:tc>
          <w:tcPr>
            <w:tcW w:w="800" w:type="dxa"/>
            <w:vAlign w:val="bottom"/>
            <w:gridSpan w:val="3"/>
            <w:vMerge w:val="restart"/>
          </w:tcPr>
          <w:p>
            <w:pPr>
              <w:jc w:val="right"/>
              <w:ind w:right="122"/>
              <w:spacing w:after="0"/>
              <w:rPr>
                <w:sz w:val="20"/>
                <w:szCs w:val="20"/>
                <w:color w:val="auto"/>
              </w:rPr>
            </w:pPr>
            <w:r>
              <w:rPr>
                <w:rFonts w:ascii="Arial" w:cs="Arial" w:eastAsia="Arial" w:hAnsi="Arial"/>
                <w:sz w:val="11"/>
                <w:szCs w:val="11"/>
                <w:b w:val="1"/>
                <w:bCs w:val="1"/>
                <w:color w:val="auto"/>
                <w:w w:val="92"/>
              </w:rPr>
              <w:t xml:space="preserve">Fair Value </w:t>
            </w:r>
            <w:r>
              <w:rPr>
                <w:rFonts w:ascii="Arial" w:cs="Arial" w:eastAsia="Arial" w:hAnsi="Arial"/>
                <w:sz w:val="14"/>
                <w:szCs w:val="14"/>
                <w:b w:val="1"/>
                <w:bCs w:val="1"/>
                <w:color w:val="auto"/>
                <w:w w:val="92"/>
                <w:vertAlign w:val="superscript"/>
              </w:rPr>
              <w:t>(2)</w:t>
            </w:r>
          </w:p>
        </w:tc>
        <w:tc>
          <w:tcPr>
            <w:tcW w:w="0" w:type="dxa"/>
            <w:vAlign w:val="bottom"/>
          </w:tcPr>
          <w:p>
            <w:pPr>
              <w:spacing w:after="0"/>
              <w:rPr>
                <w:sz w:val="1"/>
                <w:szCs w:val="1"/>
                <w:color w:val="auto"/>
              </w:rPr>
            </w:pPr>
          </w:p>
        </w:tc>
      </w:tr>
      <w:tr>
        <w:trPr>
          <w:trHeight w:val="142"/>
        </w:trPr>
        <w:tc>
          <w:tcPr>
            <w:tcW w:w="3340" w:type="dxa"/>
            <w:vAlign w:val="bottom"/>
            <w:gridSpan w:val="3"/>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22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1"/>
                <w:szCs w:val="11"/>
                <w:b w:val="1"/>
                <w:bCs w:val="1"/>
                <w:color w:val="auto"/>
              </w:rPr>
              <w:t>Coupon</w:t>
            </w:r>
          </w:p>
        </w:tc>
        <w:tc>
          <w:tcPr>
            <w:tcW w:w="920" w:type="dxa"/>
            <w:vAlign w:val="bottom"/>
          </w:tcPr>
          <w:p>
            <w:pPr>
              <w:jc w:val="center"/>
              <w:spacing w:after="0" w:line="132" w:lineRule="exact"/>
              <w:rPr>
                <w:sz w:val="20"/>
                <w:szCs w:val="20"/>
                <w:color w:val="auto"/>
              </w:rPr>
            </w:pPr>
            <w:r>
              <w:rPr>
                <w:rFonts w:ascii="Arial" w:cs="Arial" w:eastAsia="Arial" w:hAnsi="Arial"/>
                <w:sz w:val="11"/>
                <w:szCs w:val="11"/>
                <w:b w:val="1"/>
                <w:bCs w:val="1"/>
                <w:color w:val="auto"/>
                <w:w w:val="87"/>
              </w:rPr>
              <w:t xml:space="preserve">Index </w:t>
            </w:r>
            <w:r>
              <w:rPr>
                <w:rFonts w:ascii="Arial" w:cs="Arial" w:eastAsia="Arial" w:hAnsi="Arial"/>
                <w:sz w:val="14"/>
                <w:szCs w:val="14"/>
                <w:b w:val="1"/>
                <w:bCs w:val="1"/>
                <w:color w:val="auto"/>
                <w:w w:val="87"/>
                <w:vertAlign w:val="superscript"/>
              </w:rPr>
              <w:t>(1)</w:t>
            </w:r>
          </w:p>
        </w:tc>
        <w:tc>
          <w:tcPr>
            <w:tcW w:w="200" w:type="dxa"/>
            <w:vAlign w:val="bottom"/>
          </w:tcPr>
          <w:p>
            <w:pPr>
              <w:spacing w:after="0"/>
              <w:rPr>
                <w:sz w:val="12"/>
                <w:szCs w:val="12"/>
                <w:color w:val="auto"/>
              </w:rPr>
            </w:pPr>
          </w:p>
        </w:tc>
        <w:tc>
          <w:tcPr>
            <w:tcW w:w="700" w:type="dxa"/>
            <w:vAlign w:val="bottom"/>
          </w:tcPr>
          <w:p>
            <w:pPr>
              <w:jc w:val="right"/>
              <w:ind w:right="126"/>
              <w:spacing w:after="0"/>
              <w:rPr>
                <w:sz w:val="20"/>
                <w:szCs w:val="20"/>
                <w:color w:val="auto"/>
              </w:rPr>
            </w:pPr>
            <w:r>
              <w:rPr>
                <w:rFonts w:ascii="Arial" w:cs="Arial" w:eastAsia="Arial" w:hAnsi="Arial"/>
                <w:sz w:val="11"/>
                <w:szCs w:val="11"/>
                <w:b w:val="1"/>
                <w:bCs w:val="1"/>
                <w:color w:val="auto"/>
              </w:rPr>
              <w:t>Shares</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3140" w:type="dxa"/>
            <w:vAlign w:val="bottom"/>
          </w:tcPr>
          <w:p>
            <w:pPr>
              <w:ind w:left="20"/>
              <w:spacing w:after="0" w:line="125" w:lineRule="exact"/>
              <w:rPr>
                <w:sz w:val="20"/>
                <w:szCs w:val="20"/>
                <w:color w:val="auto"/>
              </w:rPr>
            </w:pPr>
            <w:r>
              <w:rPr>
                <w:rFonts w:ascii="Arial" w:cs="Arial" w:eastAsia="Arial" w:hAnsi="Arial"/>
                <w:sz w:val="11"/>
                <w:szCs w:val="11"/>
                <w:color w:val="auto"/>
                <w:w w:val="93"/>
              </w:rPr>
              <w:t xml:space="preserve">SBI Holdings Investments LLC (Sales Benchmark Index LLC) </w:t>
            </w:r>
            <w:r>
              <w:rPr>
                <w:rFonts w:ascii="Arial" w:cs="Arial" w:eastAsia="Arial" w:hAnsi="Arial"/>
                <w:sz w:val="14"/>
                <w:szCs w:val="14"/>
                <w:color w:val="auto"/>
                <w:w w:val="93"/>
                <w:vertAlign w:val="superscript"/>
              </w:rPr>
              <w:t>(7), (8)</w:t>
            </w:r>
          </w:p>
        </w:tc>
        <w:tc>
          <w:tcPr>
            <w:tcW w:w="1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ind w:left="480"/>
              <w:spacing w:after="0" w:line="125" w:lineRule="exact"/>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0"/>
                <w:szCs w:val="10"/>
                <w:color w:val="auto"/>
              </w:rPr>
            </w:pPr>
          </w:p>
        </w:tc>
        <w:tc>
          <w:tcPr>
            <w:tcW w:w="2200" w:type="dxa"/>
            <w:vAlign w:val="bottom"/>
            <w:tcBorders>
              <w:top w:val="single" w:sz="8" w:color="auto"/>
            </w:tcBorders>
          </w:tcPr>
          <w:p>
            <w:pPr>
              <w:jc w:val="center"/>
              <w:spacing w:after="0" w:line="125" w:lineRule="exact"/>
              <w:rPr>
                <w:sz w:val="20"/>
                <w:szCs w:val="20"/>
                <w:color w:val="auto"/>
              </w:rPr>
            </w:pPr>
            <w:r>
              <w:rPr>
                <w:rFonts w:ascii="Arial" w:cs="Arial" w:eastAsia="Arial" w:hAnsi="Arial"/>
                <w:sz w:val="11"/>
                <w:szCs w:val="11"/>
                <w:color w:val="auto"/>
                <w:w w:val="86"/>
              </w:rPr>
              <w:t>Professional Services</w:t>
            </w:r>
          </w:p>
        </w:tc>
        <w:tc>
          <w:tcPr>
            <w:tcW w:w="120" w:type="dxa"/>
            <w:vAlign w:val="bottom"/>
          </w:tcPr>
          <w:p>
            <w:pPr>
              <w:spacing w:after="0"/>
              <w:rPr>
                <w:sz w:val="10"/>
                <w:szCs w:val="10"/>
                <w:color w:val="auto"/>
              </w:rPr>
            </w:pPr>
          </w:p>
        </w:tc>
        <w:tc>
          <w:tcPr>
            <w:tcW w:w="720" w:type="dxa"/>
            <w:vAlign w:val="bottom"/>
            <w:tcBorders>
              <w:top w:val="single" w:sz="8" w:color="auto"/>
            </w:tcBorders>
          </w:tcPr>
          <w:p>
            <w:pPr>
              <w:jc w:val="right"/>
              <w:spacing w:after="0" w:line="125" w:lineRule="exact"/>
              <w:rPr>
                <w:sz w:val="20"/>
                <w:szCs w:val="20"/>
                <w:color w:val="auto"/>
              </w:rPr>
            </w:pPr>
            <w:r>
              <w:rPr>
                <w:rFonts w:ascii="Arial" w:cs="Arial" w:eastAsia="Arial" w:hAnsi="Arial"/>
                <w:sz w:val="11"/>
                <w:szCs w:val="11"/>
                <w:color w:val="auto"/>
              </w:rPr>
              <w:t>—</w:t>
            </w:r>
          </w:p>
        </w:tc>
        <w:tc>
          <w:tcPr>
            <w:tcW w:w="240" w:type="dxa"/>
            <w:vAlign w:val="bottom"/>
          </w:tcPr>
          <w:p>
            <w:pPr>
              <w:spacing w:after="0"/>
              <w:rPr>
                <w:sz w:val="10"/>
                <w:szCs w:val="10"/>
                <w:color w:val="auto"/>
              </w:rPr>
            </w:pPr>
          </w:p>
        </w:tc>
        <w:tc>
          <w:tcPr>
            <w:tcW w:w="920" w:type="dxa"/>
            <w:vAlign w:val="bottom"/>
            <w:tcBorders>
              <w:top w:val="single" w:sz="8" w:color="auto"/>
            </w:tcBorders>
          </w:tcPr>
          <w:p>
            <w:pPr>
              <w:jc w:val="right"/>
              <w:spacing w:after="0" w:line="125" w:lineRule="exact"/>
              <w:rPr>
                <w:sz w:val="20"/>
                <w:szCs w:val="20"/>
                <w:color w:val="auto"/>
              </w:rPr>
            </w:pPr>
            <w:r>
              <w:rPr>
                <w:rFonts w:ascii="Arial" w:cs="Arial" w:eastAsia="Arial" w:hAnsi="Arial"/>
                <w:sz w:val="11"/>
                <w:szCs w:val="11"/>
                <w:color w:val="auto"/>
              </w:rPr>
              <w:t>—</w:t>
            </w:r>
          </w:p>
        </w:tc>
        <w:tc>
          <w:tcPr>
            <w:tcW w:w="200" w:type="dxa"/>
            <w:vAlign w:val="bottom"/>
          </w:tcPr>
          <w:p>
            <w:pPr>
              <w:spacing w:after="0"/>
              <w:rPr>
                <w:sz w:val="10"/>
                <w:szCs w:val="10"/>
                <w:color w:val="auto"/>
              </w:rPr>
            </w:pPr>
          </w:p>
        </w:tc>
        <w:tc>
          <w:tcPr>
            <w:tcW w:w="700" w:type="dxa"/>
            <w:vAlign w:val="bottom"/>
            <w:tcBorders>
              <w:top w:val="single" w:sz="8" w:color="auto"/>
            </w:tcBorders>
          </w:tcPr>
          <w:p>
            <w:pPr>
              <w:jc w:val="right"/>
              <w:spacing w:after="0" w:line="125" w:lineRule="exact"/>
              <w:rPr>
                <w:sz w:val="20"/>
                <w:szCs w:val="20"/>
                <w:color w:val="auto"/>
              </w:rPr>
            </w:pPr>
            <w:r>
              <w:rPr>
                <w:rFonts w:ascii="Arial" w:cs="Arial" w:eastAsia="Arial" w:hAnsi="Arial"/>
                <w:sz w:val="11"/>
                <w:szCs w:val="11"/>
                <w:color w:val="auto"/>
              </w:rPr>
              <w:t>64,634</w:t>
            </w:r>
          </w:p>
        </w:tc>
        <w:tc>
          <w:tcPr>
            <w:tcW w:w="220" w:type="dxa"/>
            <w:vAlign w:val="bottom"/>
          </w:tcPr>
          <w:p>
            <w:pPr>
              <w:spacing w:after="0"/>
              <w:rPr>
                <w:sz w:val="10"/>
                <w:szCs w:val="10"/>
                <w:color w:val="auto"/>
              </w:rPr>
            </w:pPr>
          </w:p>
        </w:tc>
        <w:tc>
          <w:tcPr>
            <w:tcW w:w="160" w:type="dxa"/>
            <w:vAlign w:val="bottom"/>
            <w:tcBorders>
              <w:top w:val="single" w:sz="8" w:color="auto"/>
            </w:tcBorders>
          </w:tcPr>
          <w:p>
            <w:pPr>
              <w:jc w:val="right"/>
              <w:ind w:right="26"/>
              <w:spacing w:after="0" w:line="125" w:lineRule="exact"/>
              <w:rPr>
                <w:sz w:val="20"/>
                <w:szCs w:val="20"/>
                <w:color w:val="auto"/>
              </w:rPr>
            </w:pPr>
            <w:r>
              <w:rPr>
                <w:rFonts w:ascii="Arial" w:cs="Arial" w:eastAsia="Arial" w:hAnsi="Arial"/>
                <w:sz w:val="11"/>
                <w:szCs w:val="11"/>
                <w:color w:val="auto"/>
                <w:w w:val="97"/>
              </w:rPr>
              <w:t>$</w:t>
            </w:r>
          </w:p>
        </w:tc>
        <w:tc>
          <w:tcPr>
            <w:tcW w:w="540" w:type="dxa"/>
            <w:vAlign w:val="bottom"/>
            <w:tcBorders>
              <w:top w:val="single" w:sz="8" w:color="auto"/>
            </w:tcBorders>
          </w:tcPr>
          <w:p>
            <w:pPr>
              <w:jc w:val="right"/>
              <w:spacing w:after="0" w:line="125" w:lineRule="exact"/>
              <w:rPr>
                <w:sz w:val="20"/>
                <w:szCs w:val="20"/>
                <w:color w:val="auto"/>
              </w:rPr>
            </w:pPr>
            <w:r>
              <w:rPr>
                <w:rFonts w:ascii="Arial" w:cs="Arial" w:eastAsia="Arial" w:hAnsi="Arial"/>
                <w:sz w:val="11"/>
                <w:szCs w:val="11"/>
                <w:color w:val="auto"/>
              </w:rPr>
              <w:t>646</w:t>
            </w:r>
          </w:p>
        </w:tc>
        <w:tc>
          <w:tcPr>
            <w:tcW w:w="220" w:type="dxa"/>
            <w:vAlign w:val="bottom"/>
          </w:tcPr>
          <w:p>
            <w:pPr>
              <w:spacing w:after="0"/>
              <w:rPr>
                <w:sz w:val="10"/>
                <w:szCs w:val="10"/>
                <w:color w:val="auto"/>
              </w:rPr>
            </w:pPr>
          </w:p>
        </w:tc>
        <w:tc>
          <w:tcPr>
            <w:tcW w:w="160" w:type="dxa"/>
            <w:vAlign w:val="bottom"/>
            <w:tcBorders>
              <w:top w:val="single" w:sz="8" w:color="auto"/>
            </w:tcBorders>
          </w:tcPr>
          <w:p>
            <w:pPr>
              <w:jc w:val="right"/>
              <w:ind w:right="26"/>
              <w:spacing w:after="0" w:line="125" w:lineRule="exact"/>
              <w:rPr>
                <w:sz w:val="20"/>
                <w:szCs w:val="20"/>
                <w:color w:val="auto"/>
              </w:rPr>
            </w:pPr>
            <w:r>
              <w:rPr>
                <w:rFonts w:ascii="Arial" w:cs="Arial" w:eastAsia="Arial" w:hAnsi="Arial"/>
                <w:sz w:val="11"/>
                <w:szCs w:val="11"/>
                <w:color w:val="auto"/>
                <w:w w:val="97"/>
              </w:rPr>
              <w:t>$</w:t>
            </w:r>
          </w:p>
        </w:tc>
        <w:tc>
          <w:tcPr>
            <w:tcW w:w="540" w:type="dxa"/>
            <w:vAlign w:val="bottom"/>
            <w:tcBorders>
              <w:top w:val="single" w:sz="8" w:color="auto"/>
            </w:tcBorders>
          </w:tcPr>
          <w:p>
            <w:pPr>
              <w:jc w:val="right"/>
              <w:spacing w:after="0" w:line="125" w:lineRule="exact"/>
              <w:rPr>
                <w:sz w:val="20"/>
                <w:szCs w:val="20"/>
                <w:color w:val="auto"/>
              </w:rPr>
            </w:pPr>
            <w:r>
              <w:rPr>
                <w:rFonts w:ascii="Arial" w:cs="Arial" w:eastAsia="Arial" w:hAnsi="Arial"/>
                <w:sz w:val="11"/>
                <w:szCs w:val="11"/>
                <w:color w:val="auto"/>
              </w:rPr>
              <w:t>680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3340" w:type="dxa"/>
            <w:vAlign w:val="bottom"/>
            <w:gridSpan w:val="3"/>
          </w:tcPr>
          <w:p>
            <w:pPr>
              <w:ind w:left="20"/>
              <w:spacing w:after="0" w:line="115" w:lineRule="exact"/>
              <w:rPr>
                <w:sz w:val="20"/>
                <w:szCs w:val="20"/>
                <w:color w:val="auto"/>
              </w:rPr>
            </w:pPr>
            <w:r>
              <w:rPr>
                <w:rFonts w:ascii="Arial" w:cs="Arial" w:eastAsia="Arial" w:hAnsi="Arial"/>
                <w:sz w:val="11"/>
                <w:szCs w:val="11"/>
                <w:color w:val="auto"/>
              </w:rPr>
              <w:t>Seaway Topco, LP</w:t>
            </w: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0" w:type="dxa"/>
            <w:vAlign w:val="bottom"/>
          </w:tcPr>
          <w:p>
            <w:pPr>
              <w:jc w:val="center"/>
              <w:spacing w:after="0" w:line="115" w:lineRule="exact"/>
              <w:rPr>
                <w:sz w:val="20"/>
                <w:szCs w:val="20"/>
                <w:color w:val="auto"/>
              </w:rPr>
            </w:pPr>
            <w:r>
              <w:rPr>
                <w:rFonts w:ascii="Arial" w:cs="Arial" w:eastAsia="Arial" w:hAnsi="Arial"/>
                <w:sz w:val="11"/>
                <w:szCs w:val="11"/>
                <w:color w:val="auto"/>
                <w:w w:val="87"/>
              </w:rPr>
              <w:t>Chemicals, Plastics and Rubber</w:t>
            </w:r>
          </w:p>
        </w:tc>
        <w:tc>
          <w:tcPr>
            <w:tcW w:w="120" w:type="dxa"/>
            <w:vAlign w:val="bottom"/>
          </w:tcPr>
          <w:p>
            <w:pPr>
              <w:spacing w:after="0"/>
              <w:rPr>
                <w:sz w:val="9"/>
                <w:szCs w:val="9"/>
                <w:color w:val="auto"/>
              </w:rPr>
            </w:pPr>
          </w:p>
        </w:tc>
        <w:tc>
          <w:tcPr>
            <w:tcW w:w="960" w:type="dxa"/>
            <w:vAlign w:val="bottom"/>
            <w:gridSpan w:val="2"/>
          </w:tcPr>
          <w:p>
            <w:pPr>
              <w:jc w:val="right"/>
              <w:ind w:right="240"/>
              <w:spacing w:after="0" w:line="115" w:lineRule="exact"/>
              <w:rPr>
                <w:sz w:val="20"/>
                <w:szCs w:val="20"/>
                <w:color w:val="auto"/>
              </w:rPr>
            </w:pPr>
            <w:r>
              <w:rPr>
                <w:rFonts w:ascii="Arial" w:cs="Arial" w:eastAsia="Arial" w:hAnsi="Arial"/>
                <w:sz w:val="11"/>
                <w:szCs w:val="11"/>
                <w:color w:val="auto"/>
              </w:rPr>
              <w:t>—</w:t>
            </w:r>
          </w:p>
        </w:tc>
        <w:tc>
          <w:tcPr>
            <w:tcW w:w="920" w:type="dxa"/>
            <w:vAlign w:val="bottom"/>
          </w:tcPr>
          <w:p>
            <w:pPr>
              <w:jc w:val="right"/>
              <w:spacing w:after="0" w:line="115" w:lineRule="exact"/>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250</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jc w:val="right"/>
              <w:spacing w:after="0" w:line="115" w:lineRule="exact"/>
              <w:rPr>
                <w:sz w:val="20"/>
                <w:szCs w:val="20"/>
                <w:color w:val="auto"/>
              </w:rPr>
            </w:pPr>
            <w:r>
              <w:rPr>
                <w:rFonts w:ascii="Arial" w:cs="Arial" w:eastAsia="Arial" w:hAnsi="Arial"/>
                <w:sz w:val="11"/>
                <w:szCs w:val="11"/>
                <w:color w:val="auto"/>
              </w:rPr>
              <w:t>250</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jc w:val="right"/>
              <w:spacing w:after="0" w:line="115" w:lineRule="exact"/>
              <w:rPr>
                <w:sz w:val="20"/>
                <w:szCs w:val="20"/>
                <w:color w:val="auto"/>
              </w:rPr>
            </w:pPr>
            <w:r>
              <w:rPr>
                <w:rFonts w:ascii="Arial" w:cs="Arial" w:eastAsia="Arial" w:hAnsi="Arial"/>
                <w:sz w:val="11"/>
                <w:szCs w:val="11"/>
                <w:color w:val="auto"/>
              </w:rPr>
              <w:t>250</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3340" w:type="dxa"/>
            <w:vAlign w:val="bottom"/>
            <w:gridSpan w:val="3"/>
          </w:tcPr>
          <w:p>
            <w:pPr>
              <w:ind w:left="20"/>
              <w:spacing w:after="0" w:line="155" w:lineRule="exact"/>
              <w:rPr>
                <w:sz w:val="20"/>
                <w:szCs w:val="20"/>
                <w:color w:val="auto"/>
              </w:rPr>
            </w:pPr>
            <w:r>
              <w:rPr>
                <w:rFonts w:ascii="Arial" w:cs="Arial" w:eastAsia="Arial" w:hAnsi="Arial"/>
                <w:sz w:val="11"/>
                <w:szCs w:val="11"/>
                <w:color w:val="auto"/>
              </w:rPr>
              <w:t xml:space="preserve">Signature CR Intermediate Holdco, Inc. </w:t>
            </w:r>
            <w:r>
              <w:rPr>
                <w:rFonts w:ascii="Arial" w:cs="Arial" w:eastAsia="Arial" w:hAnsi="Arial"/>
                <w:sz w:val="14"/>
                <w:szCs w:val="14"/>
                <w:color w:val="auto"/>
                <w:vertAlign w:val="superscript"/>
              </w:rPr>
              <w:t>(7)</w:t>
            </w:r>
          </w:p>
        </w:tc>
        <w:tc>
          <w:tcPr>
            <w:tcW w:w="600" w:type="dxa"/>
            <w:vAlign w:val="bottom"/>
          </w:tcPr>
          <w:p>
            <w:pPr>
              <w:ind w:left="48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3"/>
                <w:szCs w:val="13"/>
                <w:color w:val="auto"/>
              </w:rPr>
            </w:pPr>
          </w:p>
        </w:tc>
        <w:tc>
          <w:tcPr>
            <w:tcW w:w="2200" w:type="dxa"/>
            <w:vAlign w:val="bottom"/>
          </w:tcPr>
          <w:p>
            <w:pPr>
              <w:jc w:val="center"/>
              <w:spacing w:after="0"/>
              <w:rPr>
                <w:sz w:val="20"/>
                <w:szCs w:val="20"/>
                <w:color w:val="auto"/>
              </w:rPr>
            </w:pPr>
            <w:r>
              <w:rPr>
                <w:rFonts w:ascii="Arial" w:cs="Arial" w:eastAsia="Arial" w:hAnsi="Arial"/>
                <w:sz w:val="11"/>
                <w:szCs w:val="11"/>
                <w:color w:val="auto"/>
                <w:w w:val="90"/>
              </w:rPr>
              <w:t>Commercial Services &amp; Supplies</w:t>
            </w:r>
          </w:p>
        </w:tc>
        <w:tc>
          <w:tcPr>
            <w:tcW w:w="120" w:type="dxa"/>
            <w:vAlign w:val="bottom"/>
          </w:tcPr>
          <w:p>
            <w:pPr>
              <w:spacing w:after="0"/>
              <w:rPr>
                <w:sz w:val="13"/>
                <w:szCs w:val="13"/>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70</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70</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gridSpan w:val="2"/>
          </w:tcPr>
          <w:p>
            <w:pPr>
              <w:jc w:val="right"/>
              <w:ind w:right="82"/>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3340" w:type="dxa"/>
            <w:vAlign w:val="bottom"/>
            <w:gridSpan w:val="3"/>
          </w:tcPr>
          <w:p>
            <w:pPr>
              <w:ind w:left="20"/>
              <w:spacing w:after="0"/>
              <w:rPr>
                <w:sz w:val="20"/>
                <w:szCs w:val="20"/>
                <w:color w:val="auto"/>
              </w:rPr>
            </w:pPr>
            <w:r>
              <w:rPr>
                <w:rFonts w:ascii="Arial" w:cs="Arial" w:eastAsia="Arial" w:hAnsi="Arial"/>
                <w:sz w:val="11"/>
                <w:szCs w:val="11"/>
                <w:color w:val="auto"/>
              </w:rPr>
              <w:t>SP L2 Holdings, LLC (Ledge Lounger, Inc.)</w:t>
            </w:r>
          </w:p>
        </w:tc>
        <w:tc>
          <w:tcPr>
            <w:tcW w:w="600" w:type="dxa"/>
            <w:vAlign w:val="bottom"/>
          </w:tcPr>
          <w:p>
            <w:pPr>
              <w:ind w:left="48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1"/>
                <w:szCs w:val="11"/>
                <w:color w:val="auto"/>
              </w:rPr>
            </w:pPr>
          </w:p>
        </w:tc>
        <w:tc>
          <w:tcPr>
            <w:tcW w:w="2200" w:type="dxa"/>
            <w:vAlign w:val="bottom"/>
          </w:tcPr>
          <w:p>
            <w:pPr>
              <w:jc w:val="center"/>
              <w:spacing w:after="0"/>
              <w:rPr>
                <w:sz w:val="20"/>
                <w:szCs w:val="20"/>
                <w:color w:val="auto"/>
              </w:rPr>
            </w:pPr>
            <w:r>
              <w:rPr>
                <w:rFonts w:ascii="Arial" w:cs="Arial" w:eastAsia="Arial" w:hAnsi="Arial"/>
                <w:sz w:val="11"/>
                <w:szCs w:val="11"/>
                <w:color w:val="auto"/>
                <w:w w:val="87"/>
              </w:rPr>
              <w:t>Leisure Products</w:t>
            </w:r>
          </w:p>
        </w:tc>
        <w:tc>
          <w:tcPr>
            <w:tcW w:w="120" w:type="dxa"/>
            <w:vAlign w:val="bottom"/>
          </w:tcPr>
          <w:p>
            <w:pPr>
              <w:spacing w:after="0"/>
              <w:rPr>
                <w:sz w:val="11"/>
                <w:szCs w:val="11"/>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360,103</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360</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329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3140" w:type="dxa"/>
            <w:vAlign w:val="bottom"/>
            <w:shd w:val="clear" w:color="auto" w:fill="CCECFF"/>
          </w:tcPr>
          <w:p>
            <w:pPr>
              <w:ind w:left="20"/>
              <w:spacing w:after="0" w:line="115" w:lineRule="exact"/>
              <w:rPr>
                <w:sz w:val="20"/>
                <w:szCs w:val="20"/>
                <w:color w:val="auto"/>
              </w:rPr>
            </w:pPr>
            <w:r>
              <w:rPr>
                <w:rFonts w:ascii="Arial" w:cs="Arial" w:eastAsia="Arial" w:hAnsi="Arial"/>
                <w:sz w:val="11"/>
                <w:szCs w:val="11"/>
                <w:color w:val="auto"/>
              </w:rPr>
              <w:t>SSC Dominion Holdings, LLC</w:t>
            </w:r>
          </w:p>
        </w:tc>
        <w:tc>
          <w:tcPr>
            <w:tcW w:w="200" w:type="dxa"/>
            <w:vAlign w:val="bottom"/>
            <w:gridSpan w:val="2"/>
          </w:tcPr>
          <w:p>
            <w:pPr>
              <w:spacing w:after="0"/>
              <w:rPr>
                <w:sz w:val="9"/>
                <w:szCs w:val="9"/>
                <w:color w:val="auto"/>
              </w:rPr>
            </w:pPr>
          </w:p>
        </w:tc>
        <w:tc>
          <w:tcPr>
            <w:tcW w:w="600" w:type="dxa"/>
            <w:vAlign w:val="bottom"/>
          </w:tcPr>
          <w:p>
            <w:pPr>
              <w:ind w:left="480"/>
              <w:spacing w:after="0" w:line="115" w:lineRule="exact"/>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9"/>
                <w:szCs w:val="9"/>
                <w:color w:val="auto"/>
              </w:rPr>
            </w:pPr>
          </w:p>
        </w:tc>
        <w:tc>
          <w:tcPr>
            <w:tcW w:w="2200" w:type="dxa"/>
            <w:vAlign w:val="bottom"/>
          </w:tcPr>
          <w:p>
            <w:pPr>
              <w:jc w:val="center"/>
              <w:spacing w:after="0" w:line="115" w:lineRule="exact"/>
              <w:rPr>
                <w:sz w:val="20"/>
                <w:szCs w:val="20"/>
                <w:color w:val="auto"/>
              </w:rPr>
            </w:pPr>
            <w:r>
              <w:rPr>
                <w:rFonts w:ascii="Arial" w:cs="Arial" w:eastAsia="Arial" w:hAnsi="Arial"/>
                <w:sz w:val="11"/>
                <w:szCs w:val="11"/>
                <w:color w:val="auto"/>
                <w:w w:val="88"/>
              </w:rPr>
              <w:t>Capital Equipment</w:t>
            </w:r>
          </w:p>
        </w:tc>
        <w:tc>
          <w:tcPr>
            <w:tcW w:w="120" w:type="dxa"/>
            <w:vAlign w:val="bottom"/>
          </w:tcPr>
          <w:p>
            <w:pPr>
              <w:spacing w:after="0"/>
              <w:rPr>
                <w:sz w:val="9"/>
                <w:szCs w:val="9"/>
                <w:color w:val="auto"/>
              </w:rPr>
            </w:pPr>
          </w:p>
        </w:tc>
        <w:tc>
          <w:tcPr>
            <w:tcW w:w="960" w:type="dxa"/>
            <w:vAlign w:val="bottom"/>
            <w:gridSpan w:val="2"/>
          </w:tcPr>
          <w:p>
            <w:pPr>
              <w:jc w:val="right"/>
              <w:ind w:right="240"/>
              <w:spacing w:after="0" w:line="115" w:lineRule="exact"/>
              <w:rPr>
                <w:sz w:val="20"/>
                <w:szCs w:val="20"/>
                <w:color w:val="auto"/>
              </w:rPr>
            </w:pPr>
            <w:r>
              <w:rPr>
                <w:rFonts w:ascii="Arial" w:cs="Arial" w:eastAsia="Arial" w:hAnsi="Arial"/>
                <w:sz w:val="11"/>
                <w:szCs w:val="11"/>
                <w:color w:val="auto"/>
              </w:rPr>
              <w:t>—</w:t>
            </w:r>
          </w:p>
        </w:tc>
        <w:tc>
          <w:tcPr>
            <w:tcW w:w="920" w:type="dxa"/>
            <w:vAlign w:val="bottom"/>
          </w:tcPr>
          <w:p>
            <w:pPr>
              <w:jc w:val="right"/>
              <w:spacing w:after="0" w:line="115" w:lineRule="exact"/>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500</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jc w:val="right"/>
              <w:spacing w:after="0" w:line="115" w:lineRule="exact"/>
              <w:rPr>
                <w:sz w:val="20"/>
                <w:szCs w:val="20"/>
                <w:color w:val="auto"/>
              </w:rPr>
            </w:pPr>
            <w:r>
              <w:rPr>
                <w:rFonts w:ascii="Arial" w:cs="Arial" w:eastAsia="Arial" w:hAnsi="Arial"/>
                <w:sz w:val="11"/>
                <w:szCs w:val="11"/>
                <w:color w:val="auto"/>
              </w:rPr>
              <w:t>500</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jc w:val="right"/>
              <w:spacing w:after="0" w:line="115" w:lineRule="exact"/>
              <w:rPr>
                <w:sz w:val="20"/>
                <w:szCs w:val="20"/>
                <w:color w:val="auto"/>
              </w:rPr>
            </w:pPr>
            <w:r>
              <w:rPr>
                <w:rFonts w:ascii="Arial" w:cs="Arial" w:eastAsia="Arial" w:hAnsi="Arial"/>
                <w:sz w:val="11"/>
                <w:szCs w:val="11"/>
                <w:color w:val="auto"/>
              </w:rPr>
              <w:t>630</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3140" w:type="dxa"/>
            <w:vAlign w:val="bottom"/>
            <w:vMerge w:val="restart"/>
            <w:shd w:val="clear" w:color="auto" w:fill="CCECFF"/>
          </w:tcPr>
          <w:p>
            <w:pPr>
              <w:ind w:left="100"/>
              <w:spacing w:after="0"/>
              <w:rPr>
                <w:sz w:val="20"/>
                <w:szCs w:val="20"/>
                <w:color w:val="auto"/>
              </w:rPr>
            </w:pPr>
            <w:r>
              <w:rPr>
                <w:rFonts w:ascii="Arial" w:cs="Arial" w:eastAsia="Arial" w:hAnsi="Arial"/>
                <w:sz w:val="11"/>
                <w:szCs w:val="11"/>
                <w:color w:val="auto"/>
              </w:rPr>
              <w:t xml:space="preserve">Class A (US Dominion, Inc.) </w:t>
            </w:r>
            <w:r>
              <w:rPr>
                <w:rFonts w:ascii="Arial" w:cs="Arial" w:eastAsia="Arial" w:hAnsi="Arial"/>
                <w:sz w:val="14"/>
                <w:szCs w:val="14"/>
                <w:color w:val="auto"/>
                <w:vertAlign w:val="superscript"/>
              </w:rPr>
              <w:t>(7)</w:t>
            </w:r>
          </w:p>
        </w:tc>
        <w:tc>
          <w:tcPr>
            <w:tcW w:w="20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3140" w:type="dxa"/>
            <w:vAlign w:val="bottom"/>
            <w:vMerge w:val="continue"/>
            <w:shd w:val="clear" w:color="auto" w:fill="CCECFF"/>
          </w:tcPr>
          <w:p>
            <w:pPr>
              <w:spacing w:after="0"/>
              <w:rPr>
                <w:sz w:val="11"/>
                <w:szCs w:val="11"/>
                <w:color w:val="auto"/>
              </w:rPr>
            </w:pPr>
          </w:p>
        </w:tc>
        <w:tc>
          <w:tcPr>
            <w:tcW w:w="200" w:type="dxa"/>
            <w:vAlign w:val="bottom"/>
            <w:gridSpan w:val="2"/>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22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9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3140" w:type="dxa"/>
            <w:vAlign w:val="bottom"/>
          </w:tcPr>
          <w:p>
            <w:pPr>
              <w:ind w:left="20"/>
              <w:spacing w:after="0" w:line="105" w:lineRule="exact"/>
              <w:rPr>
                <w:sz w:val="20"/>
                <w:szCs w:val="20"/>
                <w:color w:val="auto"/>
              </w:rPr>
            </w:pPr>
            <w:r>
              <w:rPr>
                <w:rFonts w:ascii="Arial" w:cs="Arial" w:eastAsia="Arial" w:hAnsi="Arial"/>
                <w:sz w:val="11"/>
                <w:szCs w:val="11"/>
                <w:color w:val="auto"/>
              </w:rPr>
              <w:t>SSC Dominion Holdings, LLC</w:t>
            </w:r>
          </w:p>
        </w:tc>
        <w:tc>
          <w:tcPr>
            <w:tcW w:w="200" w:type="dxa"/>
            <w:vAlign w:val="bottom"/>
            <w:gridSpan w:val="2"/>
          </w:tcPr>
          <w:p>
            <w:pPr>
              <w:spacing w:after="0"/>
              <w:rPr>
                <w:sz w:val="9"/>
                <w:szCs w:val="9"/>
                <w:color w:val="auto"/>
              </w:rPr>
            </w:pPr>
          </w:p>
        </w:tc>
        <w:tc>
          <w:tcPr>
            <w:tcW w:w="600" w:type="dxa"/>
            <w:vAlign w:val="bottom"/>
          </w:tcPr>
          <w:p>
            <w:pPr>
              <w:ind w:left="480"/>
              <w:spacing w:after="0" w:line="105" w:lineRule="exact"/>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9"/>
                <w:szCs w:val="9"/>
                <w:color w:val="auto"/>
              </w:rPr>
            </w:pPr>
          </w:p>
        </w:tc>
        <w:tc>
          <w:tcPr>
            <w:tcW w:w="2200" w:type="dxa"/>
            <w:vAlign w:val="bottom"/>
          </w:tcPr>
          <w:p>
            <w:pPr>
              <w:jc w:val="center"/>
              <w:spacing w:after="0" w:line="105" w:lineRule="exact"/>
              <w:rPr>
                <w:sz w:val="20"/>
                <w:szCs w:val="20"/>
                <w:color w:val="auto"/>
              </w:rPr>
            </w:pPr>
            <w:r>
              <w:rPr>
                <w:rFonts w:ascii="Arial" w:cs="Arial" w:eastAsia="Arial" w:hAnsi="Arial"/>
                <w:sz w:val="11"/>
                <w:szCs w:val="11"/>
                <w:color w:val="auto"/>
                <w:w w:val="88"/>
              </w:rPr>
              <w:t>Capital Equipment</w:t>
            </w:r>
          </w:p>
        </w:tc>
        <w:tc>
          <w:tcPr>
            <w:tcW w:w="120" w:type="dxa"/>
            <w:vAlign w:val="bottom"/>
          </w:tcPr>
          <w:p>
            <w:pPr>
              <w:spacing w:after="0"/>
              <w:rPr>
                <w:sz w:val="9"/>
                <w:szCs w:val="9"/>
                <w:color w:val="auto"/>
              </w:rPr>
            </w:pPr>
          </w:p>
        </w:tc>
        <w:tc>
          <w:tcPr>
            <w:tcW w:w="960" w:type="dxa"/>
            <w:vAlign w:val="bottom"/>
            <w:gridSpan w:val="2"/>
          </w:tcPr>
          <w:p>
            <w:pPr>
              <w:jc w:val="right"/>
              <w:ind w:right="240"/>
              <w:spacing w:after="0" w:line="105" w:lineRule="exact"/>
              <w:rPr>
                <w:sz w:val="20"/>
                <w:szCs w:val="20"/>
                <w:color w:val="auto"/>
              </w:rPr>
            </w:pPr>
            <w:r>
              <w:rPr>
                <w:rFonts w:ascii="Arial" w:cs="Arial" w:eastAsia="Arial" w:hAnsi="Arial"/>
                <w:sz w:val="11"/>
                <w:szCs w:val="11"/>
                <w:color w:val="auto"/>
              </w:rPr>
              <w:t>—</w:t>
            </w:r>
          </w:p>
        </w:tc>
        <w:tc>
          <w:tcPr>
            <w:tcW w:w="920" w:type="dxa"/>
            <w:vAlign w:val="bottom"/>
          </w:tcPr>
          <w:p>
            <w:pPr>
              <w:jc w:val="right"/>
              <w:spacing w:after="0" w:line="105" w:lineRule="exact"/>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line="105" w:lineRule="exact"/>
              <w:rPr>
                <w:sz w:val="20"/>
                <w:szCs w:val="20"/>
                <w:color w:val="auto"/>
              </w:rPr>
            </w:pPr>
            <w:r>
              <w:rPr>
                <w:rFonts w:ascii="Arial" w:cs="Arial" w:eastAsia="Arial" w:hAnsi="Arial"/>
                <w:sz w:val="11"/>
                <w:szCs w:val="11"/>
                <w:color w:val="auto"/>
              </w:rPr>
              <w:t>500</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jc w:val="right"/>
              <w:spacing w:after="0" w:line="105" w:lineRule="exact"/>
              <w:rPr>
                <w:sz w:val="20"/>
                <w:szCs w:val="20"/>
                <w:color w:val="auto"/>
              </w:rPr>
            </w:pPr>
            <w:r>
              <w:rPr>
                <w:rFonts w:ascii="Arial" w:cs="Arial" w:eastAsia="Arial" w:hAnsi="Arial"/>
                <w:sz w:val="11"/>
                <w:szCs w:val="11"/>
                <w:color w:val="auto"/>
              </w:rPr>
              <w:t>—</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jc w:val="right"/>
              <w:spacing w:after="0" w:line="105" w:lineRule="exact"/>
              <w:rPr>
                <w:sz w:val="20"/>
                <w:szCs w:val="20"/>
                <w:color w:val="auto"/>
              </w:rPr>
            </w:pPr>
            <w:r>
              <w:rPr>
                <w:rFonts w:ascii="Arial" w:cs="Arial" w:eastAsia="Arial" w:hAnsi="Arial"/>
                <w:sz w:val="11"/>
                <w:szCs w:val="11"/>
                <w:color w:val="auto"/>
              </w:rPr>
              <w:t>1,368</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340" w:type="dxa"/>
            <w:vAlign w:val="bottom"/>
            <w:gridSpan w:val="3"/>
          </w:tcPr>
          <w:p>
            <w:pPr>
              <w:ind w:left="100"/>
              <w:spacing w:after="0" w:line="135" w:lineRule="exact"/>
              <w:rPr>
                <w:sz w:val="20"/>
                <w:szCs w:val="20"/>
                <w:color w:val="auto"/>
              </w:rPr>
            </w:pPr>
            <w:r>
              <w:rPr>
                <w:rFonts w:ascii="Arial" w:cs="Arial" w:eastAsia="Arial" w:hAnsi="Arial"/>
                <w:sz w:val="11"/>
                <w:szCs w:val="11"/>
                <w:color w:val="auto"/>
              </w:rPr>
              <w:t xml:space="preserve">Class B (US Dominion, Inc.) </w:t>
            </w:r>
            <w:r>
              <w:rPr>
                <w:rFonts w:ascii="Arial" w:cs="Arial" w:eastAsia="Arial" w:hAnsi="Arial"/>
                <w:sz w:val="14"/>
                <w:szCs w:val="14"/>
                <w:color w:val="auto"/>
                <w:vertAlign w:val="superscript"/>
              </w:rPr>
              <w:t>(7)</w:t>
            </w: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40" w:type="dxa"/>
            <w:vAlign w:val="bottom"/>
            <w:gridSpan w:val="3"/>
          </w:tcPr>
          <w:p>
            <w:pPr>
              <w:ind w:left="20"/>
              <w:spacing w:after="0" w:line="135" w:lineRule="exact"/>
              <w:rPr>
                <w:sz w:val="20"/>
                <w:szCs w:val="20"/>
                <w:color w:val="auto"/>
              </w:rPr>
            </w:pPr>
            <w:r>
              <w:rPr>
                <w:rFonts w:ascii="Arial" w:cs="Arial" w:eastAsia="Arial" w:hAnsi="Arial"/>
                <w:sz w:val="11"/>
                <w:szCs w:val="11"/>
                <w:color w:val="auto"/>
              </w:rPr>
              <w:t xml:space="preserve">StellPen Holdings, LLC (CF512, Inc.) </w:t>
            </w:r>
            <w:r>
              <w:rPr>
                <w:rFonts w:ascii="Arial" w:cs="Arial" w:eastAsia="Arial" w:hAnsi="Arial"/>
                <w:sz w:val="14"/>
                <w:szCs w:val="14"/>
                <w:color w:val="auto"/>
                <w:vertAlign w:val="superscript"/>
              </w:rPr>
              <w:t>(7)</w:t>
            </w:r>
          </w:p>
        </w:tc>
        <w:tc>
          <w:tcPr>
            <w:tcW w:w="600" w:type="dxa"/>
            <w:vAlign w:val="bottom"/>
          </w:tcPr>
          <w:p>
            <w:pPr>
              <w:ind w:left="48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1"/>
                <w:szCs w:val="11"/>
                <w:color w:val="auto"/>
              </w:rPr>
            </w:pPr>
          </w:p>
        </w:tc>
        <w:tc>
          <w:tcPr>
            <w:tcW w:w="220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120" w:type="dxa"/>
            <w:vAlign w:val="bottom"/>
          </w:tcPr>
          <w:p>
            <w:pPr>
              <w:spacing w:after="0"/>
              <w:rPr>
                <w:sz w:val="11"/>
                <w:szCs w:val="11"/>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161,538</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162</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145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340" w:type="dxa"/>
            <w:vAlign w:val="bottom"/>
            <w:gridSpan w:val="3"/>
          </w:tcPr>
          <w:p>
            <w:pPr>
              <w:ind w:left="20"/>
              <w:spacing w:after="0" w:line="155" w:lineRule="exact"/>
              <w:rPr>
                <w:sz w:val="20"/>
                <w:szCs w:val="20"/>
                <w:color w:val="auto"/>
              </w:rPr>
            </w:pPr>
            <w:r>
              <w:rPr>
                <w:rFonts w:ascii="Arial" w:cs="Arial" w:eastAsia="Arial" w:hAnsi="Arial"/>
                <w:sz w:val="11"/>
                <w:szCs w:val="11"/>
                <w:color w:val="auto"/>
              </w:rPr>
              <w:t xml:space="preserve">TAC LifePort Holdings, LLC </w:t>
            </w:r>
            <w:r>
              <w:rPr>
                <w:rFonts w:ascii="Arial" w:cs="Arial" w:eastAsia="Arial" w:hAnsi="Arial"/>
                <w:sz w:val="14"/>
                <w:szCs w:val="14"/>
                <w:color w:val="auto"/>
                <w:vertAlign w:val="superscript"/>
              </w:rPr>
              <w:t>(7),(8)</w:t>
            </w:r>
          </w:p>
        </w:tc>
        <w:tc>
          <w:tcPr>
            <w:tcW w:w="600" w:type="dxa"/>
            <w:vAlign w:val="bottom"/>
          </w:tcPr>
          <w:p>
            <w:pPr>
              <w:ind w:left="48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3"/>
                <w:szCs w:val="13"/>
                <w:color w:val="auto"/>
              </w:rPr>
            </w:pPr>
          </w:p>
        </w:tc>
        <w:tc>
          <w:tcPr>
            <w:tcW w:w="2200" w:type="dxa"/>
            <w:vAlign w:val="bottom"/>
          </w:tcPr>
          <w:p>
            <w:pPr>
              <w:jc w:val="center"/>
              <w:spacing w:after="0"/>
              <w:rPr>
                <w:sz w:val="20"/>
                <w:szCs w:val="20"/>
                <w:color w:val="auto"/>
              </w:rPr>
            </w:pPr>
            <w:r>
              <w:rPr>
                <w:rFonts w:ascii="Arial" w:cs="Arial" w:eastAsia="Arial" w:hAnsi="Arial"/>
                <w:sz w:val="11"/>
                <w:szCs w:val="11"/>
                <w:color w:val="auto"/>
                <w:w w:val="84"/>
              </w:rPr>
              <w:t>Aerospace and Defense</w:t>
            </w:r>
          </w:p>
        </w:tc>
        <w:tc>
          <w:tcPr>
            <w:tcW w:w="120" w:type="dxa"/>
            <w:vAlign w:val="bottom"/>
          </w:tcPr>
          <w:p>
            <w:pPr>
              <w:spacing w:after="0"/>
              <w:rPr>
                <w:sz w:val="13"/>
                <w:szCs w:val="13"/>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488,372</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488</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533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3340" w:type="dxa"/>
            <w:vAlign w:val="bottom"/>
            <w:gridSpan w:val="3"/>
          </w:tcPr>
          <w:p>
            <w:pPr>
              <w:ind w:left="20"/>
              <w:spacing w:after="0" w:line="115" w:lineRule="exact"/>
              <w:rPr>
                <w:sz w:val="20"/>
                <w:szCs w:val="20"/>
                <w:color w:val="auto"/>
              </w:rPr>
            </w:pPr>
            <w:r>
              <w:rPr>
                <w:rFonts w:ascii="Arial" w:cs="Arial" w:eastAsia="Arial" w:hAnsi="Arial"/>
                <w:sz w:val="11"/>
                <w:szCs w:val="11"/>
                <w:color w:val="auto"/>
              </w:rPr>
              <w:t>Tower Arch Infolinks Media, LP (Infolinks Media Buyco, LLC)</w:t>
            </w:r>
          </w:p>
        </w:tc>
        <w:tc>
          <w:tcPr>
            <w:tcW w:w="600" w:type="dxa"/>
            <w:vAlign w:val="bottom"/>
          </w:tcPr>
          <w:p>
            <w:pPr>
              <w:ind w:left="480"/>
              <w:spacing w:after="0" w:line="115" w:lineRule="exact"/>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9"/>
                <w:szCs w:val="9"/>
                <w:color w:val="auto"/>
              </w:rPr>
            </w:pPr>
          </w:p>
        </w:tc>
        <w:tc>
          <w:tcPr>
            <w:tcW w:w="2200" w:type="dxa"/>
            <w:vAlign w:val="bottom"/>
          </w:tcPr>
          <w:p>
            <w:pPr>
              <w:jc w:val="center"/>
              <w:spacing w:after="0" w:line="115" w:lineRule="exact"/>
              <w:rPr>
                <w:sz w:val="20"/>
                <w:szCs w:val="20"/>
                <w:color w:val="auto"/>
              </w:rPr>
            </w:pPr>
            <w:r>
              <w:rPr>
                <w:rFonts w:ascii="Arial" w:cs="Arial" w:eastAsia="Arial" w:hAnsi="Arial"/>
                <w:sz w:val="11"/>
                <w:szCs w:val="11"/>
                <w:color w:val="auto"/>
                <w:w w:val="93"/>
              </w:rPr>
              <w:t>Media</w:t>
            </w:r>
          </w:p>
        </w:tc>
        <w:tc>
          <w:tcPr>
            <w:tcW w:w="120" w:type="dxa"/>
            <w:vAlign w:val="bottom"/>
          </w:tcPr>
          <w:p>
            <w:pPr>
              <w:spacing w:after="0"/>
              <w:rPr>
                <w:sz w:val="9"/>
                <w:szCs w:val="9"/>
                <w:color w:val="auto"/>
              </w:rPr>
            </w:pPr>
          </w:p>
        </w:tc>
        <w:tc>
          <w:tcPr>
            <w:tcW w:w="960" w:type="dxa"/>
            <w:vAlign w:val="bottom"/>
            <w:gridSpan w:val="2"/>
          </w:tcPr>
          <w:p>
            <w:pPr>
              <w:jc w:val="right"/>
              <w:ind w:right="240"/>
              <w:spacing w:after="0" w:line="115" w:lineRule="exact"/>
              <w:rPr>
                <w:sz w:val="20"/>
                <w:szCs w:val="20"/>
                <w:color w:val="auto"/>
              </w:rPr>
            </w:pPr>
            <w:r>
              <w:rPr>
                <w:rFonts w:ascii="Arial" w:cs="Arial" w:eastAsia="Arial" w:hAnsi="Arial"/>
                <w:sz w:val="11"/>
                <w:szCs w:val="11"/>
                <w:color w:val="auto"/>
              </w:rPr>
              <w:t>—</w:t>
            </w:r>
          </w:p>
        </w:tc>
        <w:tc>
          <w:tcPr>
            <w:tcW w:w="920" w:type="dxa"/>
            <w:vAlign w:val="bottom"/>
          </w:tcPr>
          <w:p>
            <w:pPr>
              <w:jc w:val="right"/>
              <w:spacing w:after="0" w:line="115" w:lineRule="exact"/>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216,925</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jc w:val="right"/>
              <w:spacing w:after="0" w:line="115" w:lineRule="exact"/>
              <w:rPr>
                <w:sz w:val="20"/>
                <w:szCs w:val="20"/>
                <w:color w:val="auto"/>
              </w:rPr>
            </w:pPr>
            <w:r>
              <w:rPr>
                <w:rFonts w:ascii="Arial" w:cs="Arial" w:eastAsia="Arial" w:hAnsi="Arial"/>
                <w:sz w:val="11"/>
                <w:szCs w:val="11"/>
                <w:color w:val="auto"/>
              </w:rPr>
              <w:t>217</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jc w:val="right"/>
              <w:spacing w:after="0" w:line="115" w:lineRule="exact"/>
              <w:rPr>
                <w:sz w:val="20"/>
                <w:szCs w:val="20"/>
                <w:color w:val="auto"/>
              </w:rPr>
            </w:pPr>
            <w:r>
              <w:rPr>
                <w:rFonts w:ascii="Arial" w:cs="Arial" w:eastAsia="Arial" w:hAnsi="Arial"/>
                <w:sz w:val="11"/>
                <w:szCs w:val="11"/>
                <w:color w:val="auto"/>
              </w:rPr>
              <w:t>319</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340" w:type="dxa"/>
            <w:vAlign w:val="bottom"/>
            <w:gridSpan w:val="3"/>
          </w:tcPr>
          <w:p>
            <w:pPr>
              <w:ind w:left="20"/>
              <w:spacing w:after="0" w:line="135" w:lineRule="exact"/>
              <w:rPr>
                <w:sz w:val="20"/>
                <w:szCs w:val="20"/>
                <w:color w:val="auto"/>
              </w:rPr>
            </w:pPr>
            <w:r>
              <w:rPr>
                <w:rFonts w:ascii="Arial" w:cs="Arial" w:eastAsia="Arial" w:hAnsi="Arial"/>
                <w:sz w:val="11"/>
                <w:szCs w:val="11"/>
                <w:color w:val="auto"/>
              </w:rPr>
              <w:t>Tower Arch Infolinks Media, LP (Infolinks Media Buyco, LLC)</w:t>
            </w:r>
            <w:r>
              <w:rPr>
                <w:rFonts w:ascii="Arial" w:cs="Arial" w:eastAsia="Arial" w:hAnsi="Arial"/>
                <w:sz w:val="14"/>
                <w:szCs w:val="14"/>
                <w:color w:val="auto"/>
                <w:vertAlign w:val="superscript"/>
              </w:rPr>
              <w:t>(8) (9)</w:t>
            </w:r>
          </w:p>
        </w:tc>
        <w:tc>
          <w:tcPr>
            <w:tcW w:w="600" w:type="dxa"/>
            <w:vAlign w:val="bottom"/>
          </w:tcPr>
          <w:p>
            <w:pPr>
              <w:ind w:left="48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1"/>
                <w:szCs w:val="11"/>
                <w:color w:val="auto"/>
              </w:rPr>
            </w:pPr>
          </w:p>
        </w:tc>
        <w:tc>
          <w:tcPr>
            <w:tcW w:w="220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120" w:type="dxa"/>
            <w:vAlign w:val="bottom"/>
          </w:tcPr>
          <w:p>
            <w:pPr>
              <w:spacing w:after="0"/>
              <w:rPr>
                <w:sz w:val="11"/>
                <w:szCs w:val="11"/>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148,681</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gridSpan w:val="2"/>
          </w:tcPr>
          <w:p>
            <w:pPr>
              <w:jc w:val="right"/>
              <w:ind w:right="82"/>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3340" w:type="dxa"/>
            <w:vAlign w:val="bottom"/>
            <w:gridSpan w:val="3"/>
          </w:tcPr>
          <w:p>
            <w:pPr>
              <w:ind w:left="20"/>
              <w:spacing w:after="0" w:line="135" w:lineRule="exact"/>
              <w:rPr>
                <w:sz w:val="20"/>
                <w:szCs w:val="20"/>
                <w:color w:val="auto"/>
              </w:rPr>
            </w:pPr>
            <w:r>
              <w:rPr>
                <w:rFonts w:ascii="Arial" w:cs="Arial" w:eastAsia="Arial" w:hAnsi="Arial"/>
                <w:sz w:val="11"/>
                <w:szCs w:val="11"/>
                <w:color w:val="auto"/>
              </w:rPr>
              <w:t xml:space="preserve">TPC Holding Company, LP </w:t>
            </w:r>
            <w:r>
              <w:rPr>
                <w:rFonts w:ascii="Arial" w:cs="Arial" w:eastAsia="Arial" w:hAnsi="Arial"/>
                <w:sz w:val="14"/>
                <w:szCs w:val="14"/>
                <w:color w:val="auto"/>
                <w:vertAlign w:val="superscript"/>
              </w:rPr>
              <w:t>(5), (7), (10)</w:t>
            </w:r>
          </w:p>
        </w:tc>
        <w:tc>
          <w:tcPr>
            <w:tcW w:w="600" w:type="dxa"/>
            <w:vAlign w:val="bottom"/>
          </w:tcPr>
          <w:p>
            <w:pPr>
              <w:ind w:left="48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1"/>
                <w:szCs w:val="11"/>
                <w:color w:val="auto"/>
              </w:rPr>
            </w:pPr>
          </w:p>
        </w:tc>
        <w:tc>
          <w:tcPr>
            <w:tcW w:w="2200" w:type="dxa"/>
            <w:vAlign w:val="bottom"/>
          </w:tcPr>
          <w:p>
            <w:pPr>
              <w:jc w:val="center"/>
              <w:spacing w:after="0"/>
              <w:rPr>
                <w:sz w:val="20"/>
                <w:szCs w:val="20"/>
                <w:color w:val="auto"/>
              </w:rPr>
            </w:pPr>
            <w:r>
              <w:rPr>
                <w:rFonts w:ascii="Arial" w:cs="Arial" w:eastAsia="Arial" w:hAnsi="Arial"/>
                <w:sz w:val="11"/>
                <w:szCs w:val="11"/>
                <w:color w:val="auto"/>
                <w:w w:val="89"/>
              </w:rPr>
              <w:t>Food Products</w:t>
            </w:r>
          </w:p>
        </w:tc>
        <w:tc>
          <w:tcPr>
            <w:tcW w:w="120" w:type="dxa"/>
            <w:vAlign w:val="bottom"/>
          </w:tcPr>
          <w:p>
            <w:pPr>
              <w:spacing w:after="0"/>
              <w:rPr>
                <w:sz w:val="11"/>
                <w:szCs w:val="11"/>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21,527</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22</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gridSpan w:val="2"/>
          </w:tcPr>
          <w:p>
            <w:pPr>
              <w:jc w:val="right"/>
              <w:ind w:right="82"/>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3340" w:type="dxa"/>
            <w:vAlign w:val="bottom"/>
            <w:gridSpan w:val="3"/>
          </w:tcPr>
          <w:p>
            <w:pPr>
              <w:ind w:left="20"/>
              <w:spacing w:after="0" w:line="135" w:lineRule="exact"/>
              <w:rPr>
                <w:sz w:val="20"/>
                <w:szCs w:val="20"/>
                <w:color w:val="auto"/>
              </w:rPr>
            </w:pPr>
            <w:r>
              <w:rPr>
                <w:rFonts w:ascii="Arial" w:cs="Arial" w:eastAsia="Arial" w:hAnsi="Arial"/>
                <w:sz w:val="11"/>
                <w:szCs w:val="11"/>
                <w:color w:val="auto"/>
              </w:rPr>
              <w:t xml:space="preserve">TWD Parent Holdings, LLC (The Vertex Companies, LLC) </w:t>
            </w:r>
            <w:r>
              <w:rPr>
                <w:rFonts w:ascii="Arial" w:cs="Arial" w:eastAsia="Arial" w:hAnsi="Arial"/>
                <w:sz w:val="14"/>
                <w:szCs w:val="14"/>
                <w:color w:val="auto"/>
                <w:vertAlign w:val="superscript"/>
              </w:rPr>
              <w:t>(7)</w:t>
            </w:r>
          </w:p>
        </w:tc>
        <w:tc>
          <w:tcPr>
            <w:tcW w:w="600" w:type="dxa"/>
            <w:vAlign w:val="bottom"/>
          </w:tcPr>
          <w:p>
            <w:pPr>
              <w:ind w:left="48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1"/>
                <w:szCs w:val="11"/>
                <w:color w:val="auto"/>
              </w:rPr>
            </w:pPr>
          </w:p>
        </w:tc>
        <w:tc>
          <w:tcPr>
            <w:tcW w:w="2200" w:type="dxa"/>
            <w:vAlign w:val="bottom"/>
          </w:tcPr>
          <w:p>
            <w:pPr>
              <w:jc w:val="center"/>
              <w:spacing w:after="0"/>
              <w:rPr>
                <w:sz w:val="20"/>
                <w:szCs w:val="20"/>
                <w:color w:val="auto"/>
              </w:rPr>
            </w:pPr>
            <w:r>
              <w:rPr>
                <w:rFonts w:ascii="Arial" w:cs="Arial" w:eastAsia="Arial" w:hAnsi="Arial"/>
                <w:sz w:val="11"/>
                <w:szCs w:val="11"/>
                <w:color w:val="auto"/>
                <w:w w:val="92"/>
              </w:rPr>
              <w:t>Construction &amp; Engineering</w:t>
            </w:r>
          </w:p>
        </w:tc>
        <w:tc>
          <w:tcPr>
            <w:tcW w:w="120" w:type="dxa"/>
            <w:vAlign w:val="bottom"/>
          </w:tcPr>
          <w:p>
            <w:pPr>
              <w:spacing w:after="0"/>
              <w:rPr>
                <w:sz w:val="11"/>
                <w:szCs w:val="11"/>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749</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gridSpan w:val="2"/>
          </w:tcPr>
          <w:p>
            <w:pPr>
              <w:jc w:val="right"/>
              <w:ind w:right="82"/>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3340" w:type="dxa"/>
            <w:vAlign w:val="bottom"/>
            <w:gridSpan w:val="3"/>
          </w:tcPr>
          <w:p>
            <w:pPr>
              <w:ind w:left="20"/>
              <w:spacing w:after="0" w:line="135" w:lineRule="exact"/>
              <w:rPr>
                <w:sz w:val="20"/>
                <w:szCs w:val="20"/>
                <w:color w:val="auto"/>
              </w:rPr>
            </w:pPr>
            <w:r>
              <w:rPr>
                <w:rFonts w:ascii="Arial" w:cs="Arial" w:eastAsia="Arial" w:hAnsi="Arial"/>
                <w:sz w:val="11"/>
                <w:szCs w:val="11"/>
                <w:color w:val="auto"/>
              </w:rPr>
              <w:t xml:space="preserve">UniTek Global Services, Inc. </w:t>
            </w:r>
            <w:r>
              <w:rPr>
                <w:rFonts w:ascii="Arial" w:cs="Arial" w:eastAsia="Arial" w:hAnsi="Arial"/>
                <w:sz w:val="14"/>
                <w:szCs w:val="14"/>
                <w:color w:val="auto"/>
                <w:vertAlign w:val="superscript"/>
              </w:rPr>
              <w:t>(7)</w:t>
            </w:r>
          </w:p>
        </w:tc>
        <w:tc>
          <w:tcPr>
            <w:tcW w:w="600" w:type="dxa"/>
            <w:vAlign w:val="bottom"/>
          </w:tcPr>
          <w:p>
            <w:pPr>
              <w:ind w:left="48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1"/>
                <w:szCs w:val="11"/>
                <w:color w:val="auto"/>
              </w:rPr>
            </w:pPr>
          </w:p>
        </w:tc>
        <w:tc>
          <w:tcPr>
            <w:tcW w:w="2200" w:type="dxa"/>
            <w:vAlign w:val="bottom"/>
          </w:tcPr>
          <w:p>
            <w:pPr>
              <w:jc w:val="center"/>
              <w:spacing w:after="0"/>
              <w:rPr>
                <w:sz w:val="20"/>
                <w:szCs w:val="20"/>
                <w:color w:val="auto"/>
              </w:rPr>
            </w:pPr>
            <w:r>
              <w:rPr>
                <w:rFonts w:ascii="Arial" w:cs="Arial" w:eastAsia="Arial" w:hAnsi="Arial"/>
                <w:sz w:val="11"/>
                <w:szCs w:val="11"/>
                <w:color w:val="auto"/>
                <w:w w:val="87"/>
              </w:rPr>
              <w:t>Telecommunications</w:t>
            </w:r>
          </w:p>
        </w:tc>
        <w:tc>
          <w:tcPr>
            <w:tcW w:w="120" w:type="dxa"/>
            <w:vAlign w:val="bottom"/>
          </w:tcPr>
          <w:p>
            <w:pPr>
              <w:spacing w:after="0"/>
              <w:rPr>
                <w:sz w:val="11"/>
                <w:szCs w:val="11"/>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213,739</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gridSpan w:val="2"/>
          </w:tcPr>
          <w:p>
            <w:pPr>
              <w:jc w:val="right"/>
              <w:ind w:right="82"/>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3340" w:type="dxa"/>
            <w:vAlign w:val="bottom"/>
            <w:gridSpan w:val="3"/>
          </w:tcPr>
          <w:p>
            <w:pPr>
              <w:ind w:left="20"/>
              <w:spacing w:after="0" w:line="135" w:lineRule="exact"/>
              <w:rPr>
                <w:sz w:val="20"/>
                <w:szCs w:val="20"/>
                <w:color w:val="auto"/>
              </w:rPr>
            </w:pPr>
            <w:r>
              <w:rPr>
                <w:rFonts w:ascii="Arial" w:cs="Arial" w:eastAsia="Arial" w:hAnsi="Arial"/>
                <w:sz w:val="11"/>
                <w:szCs w:val="11"/>
                <w:color w:val="auto"/>
              </w:rPr>
              <w:t xml:space="preserve">UniTek Global Services, Inc. (Warrants) </w:t>
            </w:r>
            <w:r>
              <w:rPr>
                <w:rFonts w:ascii="Arial" w:cs="Arial" w:eastAsia="Arial" w:hAnsi="Arial"/>
                <w:sz w:val="14"/>
                <w:szCs w:val="14"/>
                <w:color w:val="auto"/>
                <w:vertAlign w:val="superscript"/>
              </w:rPr>
              <w:t>(7)</w:t>
            </w:r>
          </w:p>
        </w:tc>
        <w:tc>
          <w:tcPr>
            <w:tcW w:w="600" w:type="dxa"/>
            <w:vAlign w:val="bottom"/>
          </w:tcPr>
          <w:p>
            <w:pPr>
              <w:ind w:left="48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1"/>
                <w:szCs w:val="11"/>
                <w:color w:val="auto"/>
              </w:rPr>
            </w:pPr>
          </w:p>
        </w:tc>
        <w:tc>
          <w:tcPr>
            <w:tcW w:w="2200" w:type="dxa"/>
            <w:vAlign w:val="bottom"/>
          </w:tcPr>
          <w:p>
            <w:pPr>
              <w:jc w:val="center"/>
              <w:spacing w:after="0"/>
              <w:rPr>
                <w:sz w:val="20"/>
                <w:szCs w:val="20"/>
                <w:color w:val="auto"/>
              </w:rPr>
            </w:pPr>
            <w:r>
              <w:rPr>
                <w:rFonts w:ascii="Arial" w:cs="Arial" w:eastAsia="Arial" w:hAnsi="Arial"/>
                <w:sz w:val="11"/>
                <w:szCs w:val="11"/>
                <w:color w:val="auto"/>
                <w:w w:val="87"/>
              </w:rPr>
              <w:t>Telecommunications</w:t>
            </w:r>
          </w:p>
        </w:tc>
        <w:tc>
          <w:tcPr>
            <w:tcW w:w="120" w:type="dxa"/>
            <w:vAlign w:val="bottom"/>
          </w:tcPr>
          <w:p>
            <w:pPr>
              <w:spacing w:after="0"/>
              <w:rPr>
                <w:sz w:val="11"/>
                <w:szCs w:val="11"/>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23,889</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gridSpan w:val="2"/>
          </w:tcPr>
          <w:p>
            <w:pPr>
              <w:jc w:val="right"/>
              <w:ind w:right="82"/>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5"/>
        </w:trPr>
        <w:tc>
          <w:tcPr>
            <w:tcW w:w="3340" w:type="dxa"/>
            <w:vAlign w:val="bottom"/>
            <w:gridSpan w:val="3"/>
          </w:tcPr>
          <w:p>
            <w:pPr>
              <w:ind w:left="20"/>
              <w:spacing w:after="0" w:line="155" w:lineRule="exact"/>
              <w:rPr>
                <w:sz w:val="20"/>
                <w:szCs w:val="20"/>
                <w:color w:val="auto"/>
              </w:rPr>
            </w:pPr>
            <w:r>
              <w:rPr>
                <w:rFonts w:ascii="Arial" w:cs="Arial" w:eastAsia="Arial" w:hAnsi="Arial"/>
                <w:sz w:val="11"/>
                <w:szCs w:val="11"/>
                <w:color w:val="auto"/>
              </w:rPr>
              <w:t xml:space="preserve">UniVista Insurance </w:t>
            </w:r>
            <w:r>
              <w:rPr>
                <w:rFonts w:ascii="Arial" w:cs="Arial" w:eastAsia="Arial" w:hAnsi="Arial"/>
                <w:sz w:val="14"/>
                <w:szCs w:val="14"/>
                <w:color w:val="auto"/>
                <w:vertAlign w:val="superscript"/>
              </w:rPr>
              <w:t>(7),(8)</w:t>
            </w:r>
          </w:p>
        </w:tc>
        <w:tc>
          <w:tcPr>
            <w:tcW w:w="600" w:type="dxa"/>
            <w:vAlign w:val="bottom"/>
          </w:tcPr>
          <w:p>
            <w:pPr>
              <w:ind w:left="48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3"/>
                <w:szCs w:val="13"/>
                <w:color w:val="auto"/>
              </w:rPr>
            </w:pPr>
          </w:p>
        </w:tc>
        <w:tc>
          <w:tcPr>
            <w:tcW w:w="2200" w:type="dxa"/>
            <w:vAlign w:val="bottom"/>
          </w:tcPr>
          <w:p>
            <w:pPr>
              <w:jc w:val="center"/>
              <w:spacing w:after="0"/>
              <w:rPr>
                <w:sz w:val="20"/>
                <w:szCs w:val="20"/>
                <w:color w:val="auto"/>
              </w:rPr>
            </w:pPr>
            <w:r>
              <w:rPr>
                <w:rFonts w:ascii="Arial" w:cs="Arial" w:eastAsia="Arial" w:hAnsi="Arial"/>
                <w:sz w:val="11"/>
                <w:szCs w:val="11"/>
                <w:color w:val="auto"/>
                <w:w w:val="86"/>
              </w:rPr>
              <w:t>Insurance</w:t>
            </w:r>
          </w:p>
        </w:tc>
        <w:tc>
          <w:tcPr>
            <w:tcW w:w="120" w:type="dxa"/>
            <w:vAlign w:val="bottom"/>
          </w:tcPr>
          <w:p>
            <w:pPr>
              <w:spacing w:after="0"/>
              <w:rPr>
                <w:sz w:val="13"/>
                <w:szCs w:val="13"/>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400</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386</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457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3340" w:type="dxa"/>
            <w:vAlign w:val="bottom"/>
            <w:gridSpan w:val="3"/>
          </w:tcPr>
          <w:p>
            <w:pPr>
              <w:ind w:left="20"/>
              <w:spacing w:after="0" w:line="115" w:lineRule="exact"/>
              <w:rPr>
                <w:sz w:val="20"/>
                <w:szCs w:val="20"/>
                <w:color w:val="auto"/>
              </w:rPr>
            </w:pPr>
            <w:r>
              <w:rPr>
                <w:rFonts w:ascii="Arial" w:cs="Arial" w:eastAsia="Arial" w:hAnsi="Arial"/>
                <w:sz w:val="11"/>
                <w:szCs w:val="11"/>
                <w:color w:val="auto"/>
              </w:rPr>
              <w:t>WCP IvyRehab QP CF Feeder, LP</w:t>
            </w:r>
          </w:p>
        </w:tc>
        <w:tc>
          <w:tcPr>
            <w:tcW w:w="600" w:type="dxa"/>
            <w:vAlign w:val="bottom"/>
          </w:tcPr>
          <w:p>
            <w:pPr>
              <w:ind w:left="480"/>
              <w:spacing w:after="0" w:line="115" w:lineRule="exact"/>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9"/>
                <w:szCs w:val="9"/>
                <w:color w:val="auto"/>
              </w:rPr>
            </w:pPr>
          </w:p>
        </w:tc>
        <w:tc>
          <w:tcPr>
            <w:tcW w:w="2200" w:type="dxa"/>
            <w:vAlign w:val="bottom"/>
          </w:tcPr>
          <w:p>
            <w:pPr>
              <w:jc w:val="center"/>
              <w:spacing w:after="0" w:line="115" w:lineRule="exact"/>
              <w:rPr>
                <w:sz w:val="20"/>
                <w:szCs w:val="20"/>
                <w:color w:val="auto"/>
              </w:rPr>
            </w:pPr>
            <w:r>
              <w:rPr>
                <w:rFonts w:ascii="Arial" w:cs="Arial" w:eastAsia="Arial" w:hAnsi="Arial"/>
                <w:sz w:val="11"/>
                <w:szCs w:val="11"/>
                <w:color w:val="auto"/>
                <w:w w:val="87"/>
              </w:rPr>
              <w:t>Healthcare Providers and Services</w:t>
            </w:r>
          </w:p>
        </w:tc>
        <w:tc>
          <w:tcPr>
            <w:tcW w:w="120" w:type="dxa"/>
            <w:vAlign w:val="bottom"/>
          </w:tcPr>
          <w:p>
            <w:pPr>
              <w:spacing w:after="0"/>
              <w:rPr>
                <w:sz w:val="9"/>
                <w:szCs w:val="9"/>
                <w:color w:val="auto"/>
              </w:rPr>
            </w:pPr>
          </w:p>
        </w:tc>
        <w:tc>
          <w:tcPr>
            <w:tcW w:w="960" w:type="dxa"/>
            <w:vAlign w:val="bottom"/>
            <w:gridSpan w:val="2"/>
          </w:tcPr>
          <w:p>
            <w:pPr>
              <w:jc w:val="right"/>
              <w:ind w:right="240"/>
              <w:spacing w:after="0" w:line="115" w:lineRule="exact"/>
              <w:rPr>
                <w:sz w:val="20"/>
                <w:szCs w:val="20"/>
                <w:color w:val="auto"/>
              </w:rPr>
            </w:pPr>
            <w:r>
              <w:rPr>
                <w:rFonts w:ascii="Arial" w:cs="Arial" w:eastAsia="Arial" w:hAnsi="Arial"/>
                <w:sz w:val="11"/>
                <w:szCs w:val="11"/>
                <w:color w:val="auto"/>
              </w:rPr>
              <w:t>—</w:t>
            </w:r>
          </w:p>
        </w:tc>
        <w:tc>
          <w:tcPr>
            <w:tcW w:w="920" w:type="dxa"/>
            <w:vAlign w:val="bottom"/>
          </w:tcPr>
          <w:p>
            <w:pPr>
              <w:jc w:val="right"/>
              <w:spacing w:after="0" w:line="115" w:lineRule="exact"/>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3,762,257</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jc w:val="right"/>
              <w:spacing w:after="0" w:line="115" w:lineRule="exact"/>
              <w:rPr>
                <w:sz w:val="20"/>
                <w:szCs w:val="20"/>
                <w:color w:val="auto"/>
              </w:rPr>
            </w:pPr>
            <w:r>
              <w:rPr>
                <w:rFonts w:ascii="Arial" w:cs="Arial" w:eastAsia="Arial" w:hAnsi="Arial"/>
                <w:sz w:val="11"/>
                <w:szCs w:val="11"/>
                <w:color w:val="auto"/>
              </w:rPr>
              <w:t>3,762</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jc w:val="right"/>
              <w:spacing w:after="0" w:line="115" w:lineRule="exact"/>
              <w:rPr>
                <w:sz w:val="20"/>
                <w:szCs w:val="20"/>
                <w:color w:val="auto"/>
              </w:rPr>
            </w:pPr>
            <w:r>
              <w:rPr>
                <w:rFonts w:ascii="Arial" w:cs="Arial" w:eastAsia="Arial" w:hAnsi="Arial"/>
                <w:sz w:val="11"/>
                <w:szCs w:val="11"/>
                <w:color w:val="auto"/>
              </w:rPr>
              <w:t>3,762</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340" w:type="dxa"/>
            <w:vAlign w:val="bottom"/>
            <w:gridSpan w:val="3"/>
          </w:tcPr>
          <w:p>
            <w:pPr>
              <w:ind w:left="20"/>
              <w:spacing w:after="0" w:line="135" w:lineRule="exact"/>
              <w:rPr>
                <w:sz w:val="20"/>
                <w:szCs w:val="20"/>
                <w:color w:val="auto"/>
              </w:rPr>
            </w:pPr>
            <w:r>
              <w:rPr>
                <w:rFonts w:ascii="Arial" w:cs="Arial" w:eastAsia="Arial" w:hAnsi="Arial"/>
                <w:sz w:val="11"/>
                <w:szCs w:val="11"/>
                <w:color w:val="auto"/>
              </w:rPr>
              <w:t xml:space="preserve">WCP IvyRehab QP CF Feeder, LP </w:t>
            </w:r>
            <w:r>
              <w:rPr>
                <w:rFonts w:ascii="Arial" w:cs="Arial" w:eastAsia="Arial" w:hAnsi="Arial"/>
                <w:sz w:val="14"/>
                <w:szCs w:val="14"/>
                <w:color w:val="auto"/>
                <w:vertAlign w:val="superscript"/>
              </w:rPr>
              <w:t>(9)</w:t>
            </w:r>
          </w:p>
        </w:tc>
        <w:tc>
          <w:tcPr>
            <w:tcW w:w="600" w:type="dxa"/>
            <w:vAlign w:val="bottom"/>
          </w:tcPr>
          <w:p>
            <w:pPr>
              <w:ind w:left="48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1"/>
                <w:szCs w:val="11"/>
                <w:color w:val="auto"/>
              </w:rPr>
            </w:pPr>
          </w:p>
        </w:tc>
        <w:tc>
          <w:tcPr>
            <w:tcW w:w="2200" w:type="dxa"/>
            <w:vAlign w:val="bottom"/>
          </w:tcPr>
          <w:p>
            <w:pPr>
              <w:jc w:val="center"/>
              <w:spacing w:after="0"/>
              <w:rPr>
                <w:sz w:val="20"/>
                <w:szCs w:val="20"/>
                <w:color w:val="auto"/>
              </w:rPr>
            </w:pPr>
            <w:r>
              <w:rPr>
                <w:rFonts w:ascii="Arial" w:cs="Arial" w:eastAsia="Arial" w:hAnsi="Arial"/>
                <w:sz w:val="11"/>
                <w:szCs w:val="11"/>
                <w:color w:val="auto"/>
                <w:w w:val="87"/>
              </w:rPr>
              <w:t>Healthcare Providers and Services</w:t>
            </w:r>
          </w:p>
        </w:tc>
        <w:tc>
          <w:tcPr>
            <w:tcW w:w="120" w:type="dxa"/>
            <w:vAlign w:val="bottom"/>
          </w:tcPr>
          <w:p>
            <w:pPr>
              <w:spacing w:after="0"/>
              <w:rPr>
                <w:sz w:val="11"/>
                <w:szCs w:val="11"/>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237,743</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gridSpan w:val="2"/>
          </w:tcPr>
          <w:p>
            <w:pPr>
              <w:jc w:val="right"/>
              <w:ind w:right="82"/>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8"/>
        </w:trPr>
        <w:tc>
          <w:tcPr>
            <w:tcW w:w="3340" w:type="dxa"/>
            <w:vAlign w:val="bottom"/>
            <w:gridSpan w:val="3"/>
          </w:tcPr>
          <w:p>
            <w:pPr>
              <w:ind w:left="20"/>
              <w:spacing w:after="0" w:line="129" w:lineRule="exact"/>
              <w:rPr>
                <w:sz w:val="20"/>
                <w:szCs w:val="20"/>
                <w:color w:val="auto"/>
              </w:rPr>
            </w:pPr>
            <w:r>
              <w:rPr>
                <w:rFonts w:ascii="Arial" w:cs="Arial" w:eastAsia="Arial" w:hAnsi="Arial"/>
                <w:sz w:val="11"/>
                <w:szCs w:val="11"/>
                <w:color w:val="auto"/>
              </w:rPr>
              <w:t xml:space="preserve">Wildcat Parent, LP (Wildcat Buyerco, Inc.) </w:t>
            </w:r>
            <w:r>
              <w:rPr>
                <w:rFonts w:ascii="Arial" w:cs="Arial" w:eastAsia="Arial" w:hAnsi="Arial"/>
                <w:sz w:val="14"/>
                <w:szCs w:val="14"/>
                <w:color w:val="auto"/>
                <w:vertAlign w:val="superscript"/>
              </w:rPr>
              <w:t>(7), (8)</w:t>
            </w:r>
          </w:p>
        </w:tc>
        <w:tc>
          <w:tcPr>
            <w:tcW w:w="600" w:type="dxa"/>
            <w:vAlign w:val="bottom"/>
          </w:tcPr>
          <w:p>
            <w:pPr>
              <w:ind w:left="48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1"/>
                <w:szCs w:val="11"/>
                <w:color w:val="auto"/>
              </w:rPr>
            </w:pPr>
          </w:p>
        </w:tc>
        <w:tc>
          <w:tcPr>
            <w:tcW w:w="2200" w:type="dxa"/>
            <w:vAlign w:val="bottom"/>
          </w:tcPr>
          <w:p>
            <w:pPr>
              <w:jc w:val="center"/>
              <w:spacing w:after="0"/>
              <w:rPr>
                <w:sz w:val="20"/>
                <w:szCs w:val="20"/>
                <w:color w:val="auto"/>
              </w:rPr>
            </w:pPr>
            <w:r>
              <w:rPr>
                <w:rFonts w:ascii="Arial" w:cs="Arial" w:eastAsia="Arial" w:hAnsi="Arial"/>
                <w:sz w:val="11"/>
                <w:szCs w:val="11"/>
                <w:color w:val="auto"/>
                <w:w w:val="89"/>
              </w:rPr>
              <w:t>Electronic Equipment, Instruments, and</w:t>
            </w:r>
          </w:p>
        </w:tc>
        <w:tc>
          <w:tcPr>
            <w:tcW w:w="120" w:type="dxa"/>
            <w:vAlign w:val="bottom"/>
          </w:tcPr>
          <w:p>
            <w:pPr>
              <w:spacing w:after="0"/>
              <w:rPr>
                <w:sz w:val="11"/>
                <w:szCs w:val="11"/>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2,240</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224</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535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0" w:type="dxa"/>
            <w:vAlign w:val="bottom"/>
          </w:tcPr>
          <w:p>
            <w:pPr>
              <w:jc w:val="center"/>
              <w:spacing w:after="0"/>
              <w:rPr>
                <w:sz w:val="20"/>
                <w:szCs w:val="20"/>
                <w:color w:val="auto"/>
              </w:rPr>
            </w:pPr>
            <w:r>
              <w:rPr>
                <w:rFonts w:ascii="Arial" w:cs="Arial" w:eastAsia="Arial" w:hAnsi="Arial"/>
                <w:sz w:val="11"/>
                <w:szCs w:val="11"/>
                <w:color w:val="auto"/>
                <w:w w:val="89"/>
              </w:rPr>
              <w:t>Components</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340" w:type="dxa"/>
            <w:vAlign w:val="bottom"/>
            <w:tcBorders>
              <w:bottom w:val="single" w:sz="8" w:color="CCECFF"/>
            </w:tcBorders>
            <w:gridSpan w:val="3"/>
            <w:shd w:val="clear" w:color="auto" w:fill="CCECFF"/>
          </w:tcPr>
          <w:p>
            <w:pPr>
              <w:ind w:left="20"/>
              <w:spacing w:after="0"/>
              <w:rPr>
                <w:sz w:val="20"/>
                <w:szCs w:val="20"/>
                <w:color w:val="auto"/>
              </w:rPr>
            </w:pPr>
            <w:r>
              <w:rPr>
                <w:rFonts w:ascii="Arial" w:cs="Arial" w:eastAsia="Arial" w:hAnsi="Arial"/>
                <w:sz w:val="11"/>
                <w:szCs w:val="11"/>
                <w:b w:val="1"/>
                <w:bCs w:val="1"/>
                <w:color w:val="auto"/>
              </w:rPr>
              <w:t>Total Common Equity/Warrants</w:t>
            </w:r>
          </w:p>
        </w:tc>
        <w:tc>
          <w:tcPr>
            <w:tcW w:w="600" w:type="dxa"/>
            <w:vAlign w:val="bottom"/>
            <w:tcBorders>
              <w:bottom w:val="single" w:sz="8" w:color="CCECFF"/>
            </w:tcBorders>
            <w:shd w:val="clear" w:color="auto" w:fill="CCECFF"/>
          </w:tcPr>
          <w:p>
            <w:pPr>
              <w:spacing w:after="0"/>
              <w:rPr>
                <w:sz w:val="11"/>
                <w:szCs w:val="11"/>
                <w:color w:val="auto"/>
              </w:rPr>
            </w:pPr>
          </w:p>
        </w:tc>
        <w:tc>
          <w:tcPr>
            <w:tcW w:w="260" w:type="dxa"/>
            <w:vAlign w:val="bottom"/>
            <w:tcBorders>
              <w:bottom w:val="single" w:sz="8" w:color="CCECFF"/>
            </w:tcBorders>
            <w:shd w:val="clear" w:color="auto" w:fill="CCECFF"/>
          </w:tcPr>
          <w:p>
            <w:pPr>
              <w:spacing w:after="0"/>
              <w:rPr>
                <w:sz w:val="11"/>
                <w:szCs w:val="11"/>
                <w:color w:val="auto"/>
              </w:rPr>
            </w:pPr>
          </w:p>
        </w:tc>
        <w:tc>
          <w:tcPr>
            <w:tcW w:w="220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720" w:type="dxa"/>
            <w:vAlign w:val="bottom"/>
            <w:tcBorders>
              <w:bottom w:val="single" w:sz="8" w:color="CCECFF"/>
            </w:tcBorders>
            <w:shd w:val="clear" w:color="auto" w:fill="CCECFF"/>
          </w:tcPr>
          <w:p>
            <w:pPr>
              <w:spacing w:after="0"/>
              <w:rPr>
                <w:sz w:val="11"/>
                <w:szCs w:val="11"/>
                <w:color w:val="auto"/>
              </w:rPr>
            </w:pPr>
          </w:p>
        </w:tc>
        <w:tc>
          <w:tcPr>
            <w:tcW w:w="240" w:type="dxa"/>
            <w:vAlign w:val="bottom"/>
            <w:tcBorders>
              <w:bottom w:val="single" w:sz="8" w:color="CCECFF"/>
            </w:tcBorders>
            <w:shd w:val="clear" w:color="auto" w:fill="CCECFF"/>
          </w:tcPr>
          <w:p>
            <w:pPr>
              <w:spacing w:after="0"/>
              <w:rPr>
                <w:sz w:val="11"/>
                <w:szCs w:val="11"/>
                <w:color w:val="auto"/>
              </w:rPr>
            </w:pPr>
          </w:p>
        </w:tc>
        <w:tc>
          <w:tcPr>
            <w:tcW w:w="920" w:type="dxa"/>
            <w:vAlign w:val="bottom"/>
            <w:tcBorders>
              <w:bottom w:val="single" w:sz="8" w:color="CCECFF"/>
            </w:tcBorders>
            <w:shd w:val="clear" w:color="auto" w:fill="CCECFF"/>
          </w:tcPr>
          <w:p>
            <w:pPr>
              <w:spacing w:after="0"/>
              <w:rPr>
                <w:sz w:val="11"/>
                <w:szCs w:val="11"/>
                <w:color w:val="auto"/>
              </w:rPr>
            </w:pPr>
          </w:p>
        </w:tc>
        <w:tc>
          <w:tcPr>
            <w:tcW w:w="200" w:type="dxa"/>
            <w:vAlign w:val="bottom"/>
            <w:tcBorders>
              <w:bottom w:val="single" w:sz="8" w:color="CCECFF"/>
            </w:tcBorders>
            <w:shd w:val="clear" w:color="auto" w:fill="CCECFF"/>
          </w:tcPr>
          <w:p>
            <w:pPr>
              <w:spacing w:after="0"/>
              <w:rPr>
                <w:sz w:val="11"/>
                <w:szCs w:val="11"/>
                <w:color w:val="auto"/>
              </w:rPr>
            </w:pPr>
          </w:p>
        </w:tc>
        <w:tc>
          <w:tcPr>
            <w:tcW w:w="70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auto"/>
            </w:tcBorders>
            <w:shd w:val="clear" w:color="auto" w:fill="CCECFF"/>
          </w:tcPr>
          <w:p>
            <w:pPr>
              <w:spacing w:after="0"/>
              <w:rPr>
                <w:sz w:val="11"/>
                <w:szCs w:val="11"/>
                <w:color w:val="auto"/>
              </w:rPr>
            </w:pPr>
          </w:p>
        </w:tc>
        <w:tc>
          <w:tcPr>
            <w:tcW w:w="5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55,570</w:t>
            </w:r>
          </w:p>
        </w:tc>
        <w:tc>
          <w:tcPr>
            <w:tcW w:w="22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auto"/>
            </w:tcBorders>
            <w:shd w:val="clear" w:color="auto" w:fill="CCECFF"/>
          </w:tcPr>
          <w:p>
            <w:pPr>
              <w:spacing w:after="0"/>
              <w:rPr>
                <w:sz w:val="11"/>
                <w:szCs w:val="11"/>
                <w:color w:val="auto"/>
              </w:rPr>
            </w:pPr>
          </w:p>
        </w:tc>
        <w:tc>
          <w:tcPr>
            <w:tcW w:w="5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93,819</w:t>
            </w:r>
          </w:p>
        </w:tc>
        <w:tc>
          <w:tcPr>
            <w:tcW w:w="10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3940" w:type="dxa"/>
            <w:vAlign w:val="bottom"/>
            <w:gridSpan w:val="4"/>
          </w:tcPr>
          <w:p>
            <w:pPr>
              <w:ind w:left="20"/>
              <w:spacing w:after="0" w:line="110" w:lineRule="exact"/>
              <w:rPr>
                <w:sz w:val="20"/>
                <w:szCs w:val="20"/>
                <w:color w:val="auto"/>
              </w:rPr>
            </w:pPr>
            <w:r>
              <w:rPr>
                <w:rFonts w:ascii="Arial" w:cs="Arial" w:eastAsia="Arial" w:hAnsi="Arial"/>
                <w:sz w:val="11"/>
                <w:szCs w:val="11"/>
                <w:b w:val="1"/>
                <w:bCs w:val="1"/>
                <w:color w:val="auto"/>
              </w:rPr>
              <w:t>Total Investments in Non-Controlled, Non-Affiliated Portfolio Companies</w:t>
            </w:r>
          </w:p>
        </w:tc>
        <w:tc>
          <w:tcPr>
            <w:tcW w:w="26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spacing w:after="0" w:line="110" w:lineRule="exact"/>
              <w:rPr>
                <w:sz w:val="20"/>
                <w:szCs w:val="20"/>
                <w:color w:val="auto"/>
              </w:rPr>
            </w:pPr>
            <w:r>
              <w:rPr>
                <w:rFonts w:ascii="Arial" w:cs="Arial" w:eastAsia="Arial" w:hAnsi="Arial"/>
                <w:sz w:val="11"/>
                <w:szCs w:val="11"/>
                <w:color w:val="auto"/>
              </w:rPr>
              <w:t>924,233</w:t>
            </w:r>
          </w:p>
        </w:tc>
        <w:tc>
          <w:tcPr>
            <w:tcW w:w="2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spacing w:after="0" w:line="110" w:lineRule="exact"/>
              <w:rPr>
                <w:sz w:val="20"/>
                <w:szCs w:val="20"/>
                <w:color w:val="auto"/>
              </w:rPr>
            </w:pPr>
            <w:r>
              <w:rPr>
                <w:rFonts w:ascii="Arial" w:cs="Arial" w:eastAsia="Arial" w:hAnsi="Arial"/>
                <w:sz w:val="11"/>
                <w:szCs w:val="11"/>
                <w:color w:val="auto"/>
              </w:rPr>
              <w:t>944,658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340" w:type="dxa"/>
            <w:vAlign w:val="bottom"/>
            <w:gridSpan w:val="3"/>
          </w:tcPr>
          <w:p>
            <w:pPr>
              <w:ind w:left="20"/>
              <w:spacing w:after="0" w:line="121" w:lineRule="exact"/>
              <w:rPr>
                <w:sz w:val="20"/>
                <w:szCs w:val="20"/>
                <w:color w:val="auto"/>
              </w:rPr>
            </w:pPr>
            <w:r>
              <w:rPr>
                <w:rFonts w:ascii="Arial" w:cs="Arial" w:eastAsia="Arial" w:hAnsi="Arial"/>
                <w:sz w:val="11"/>
                <w:szCs w:val="11"/>
                <w:b w:val="1"/>
                <w:bCs w:val="1"/>
                <w:color w:val="auto"/>
                <w:w w:val="88"/>
              </w:rPr>
              <w:t xml:space="preserve">Investments in Controlled, Affiliated Portfolio Companies—55.8% </w:t>
            </w:r>
            <w:r>
              <w:rPr>
                <w:rFonts w:ascii="Arial" w:cs="Arial" w:eastAsia="Arial" w:hAnsi="Arial"/>
                <w:sz w:val="14"/>
                <w:szCs w:val="14"/>
                <w:b w:val="1"/>
                <w:bCs w:val="1"/>
                <w:color w:val="auto"/>
                <w:w w:val="88"/>
                <w:vertAlign w:val="superscript"/>
              </w:rPr>
              <w:t>(3), (4)</w:t>
            </w: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3340" w:type="dxa"/>
            <w:vAlign w:val="bottom"/>
            <w:gridSpan w:val="3"/>
          </w:tcPr>
          <w:p>
            <w:pPr>
              <w:ind w:left="20"/>
              <w:spacing w:after="0" w:line="119" w:lineRule="exact"/>
              <w:rPr>
                <w:sz w:val="20"/>
                <w:szCs w:val="20"/>
                <w:color w:val="auto"/>
              </w:rPr>
            </w:pPr>
            <w:r>
              <w:rPr>
                <w:rFonts w:ascii="Arial" w:cs="Arial" w:eastAsia="Arial" w:hAnsi="Arial"/>
                <w:sz w:val="11"/>
                <w:szCs w:val="11"/>
                <w:b w:val="1"/>
                <w:bCs w:val="1"/>
                <w:color w:val="auto"/>
              </w:rPr>
              <w:t>First Lien Secured Debt—43.7%</w:t>
            </w: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140" w:type="dxa"/>
            <w:vAlign w:val="bottom"/>
          </w:tcPr>
          <w:p>
            <w:pPr>
              <w:ind w:left="20"/>
              <w:spacing w:after="0"/>
              <w:rPr>
                <w:sz w:val="20"/>
                <w:szCs w:val="20"/>
                <w:color w:val="auto"/>
              </w:rPr>
            </w:pPr>
            <w:r>
              <w:rPr>
                <w:rFonts w:ascii="Arial" w:cs="Arial" w:eastAsia="Arial" w:hAnsi="Arial"/>
                <w:sz w:val="11"/>
                <w:szCs w:val="11"/>
                <w:color w:val="auto"/>
                <w:w w:val="97"/>
              </w:rPr>
              <w:t xml:space="preserve">Marketplace Events, LLC - Super Priority First Lien Term Loan </w:t>
            </w:r>
            <w:r>
              <w:rPr>
                <w:rFonts w:ascii="Arial" w:cs="Arial" w:eastAsia="Arial" w:hAnsi="Arial"/>
                <w:sz w:val="14"/>
                <w:szCs w:val="14"/>
                <w:color w:val="auto"/>
                <w:w w:val="97"/>
                <w:vertAlign w:val="superscript"/>
              </w:rPr>
              <w:t>(7)</w:t>
            </w:r>
          </w:p>
        </w:tc>
        <w:tc>
          <w:tcPr>
            <w:tcW w:w="200" w:type="dxa"/>
            <w:vAlign w:val="bottom"/>
            <w:gridSpan w:val="2"/>
          </w:tcPr>
          <w:p>
            <w:pPr>
              <w:spacing w:after="0"/>
              <w:rPr>
                <w:sz w:val="14"/>
                <w:szCs w:val="14"/>
                <w:color w:val="auto"/>
              </w:rPr>
            </w:pPr>
          </w:p>
        </w:tc>
        <w:tc>
          <w:tcPr>
            <w:tcW w:w="600" w:type="dxa"/>
            <w:vAlign w:val="bottom"/>
          </w:tcPr>
          <w:p>
            <w:pPr>
              <w:ind w:left="20"/>
              <w:spacing w:after="0"/>
              <w:rPr>
                <w:sz w:val="20"/>
                <w:szCs w:val="20"/>
                <w:color w:val="auto"/>
              </w:rPr>
            </w:pPr>
            <w:r>
              <w:rPr>
                <w:rFonts w:ascii="Arial" w:cs="Arial" w:eastAsia="Arial" w:hAnsi="Arial"/>
                <w:sz w:val="11"/>
                <w:szCs w:val="11"/>
                <w:color w:val="auto"/>
              </w:rPr>
              <w:t>09/30/2025</w:t>
            </w:r>
          </w:p>
        </w:tc>
        <w:tc>
          <w:tcPr>
            <w:tcW w:w="260" w:type="dxa"/>
            <w:vAlign w:val="bottom"/>
          </w:tcPr>
          <w:p>
            <w:pPr>
              <w:spacing w:after="0"/>
              <w:rPr>
                <w:sz w:val="14"/>
                <w:szCs w:val="14"/>
                <w:color w:val="auto"/>
              </w:rPr>
            </w:pPr>
          </w:p>
        </w:tc>
        <w:tc>
          <w:tcPr>
            <w:tcW w:w="2200" w:type="dxa"/>
            <w:vAlign w:val="bottom"/>
          </w:tcPr>
          <w:p>
            <w:pPr>
              <w:jc w:val="center"/>
              <w:spacing w:after="0"/>
              <w:rPr>
                <w:sz w:val="20"/>
                <w:szCs w:val="20"/>
                <w:color w:val="auto"/>
              </w:rPr>
            </w:pPr>
            <w:r>
              <w:rPr>
                <w:rFonts w:ascii="Arial" w:cs="Arial" w:eastAsia="Arial" w:hAnsi="Arial"/>
                <w:sz w:val="11"/>
                <w:szCs w:val="11"/>
                <w:color w:val="auto"/>
                <w:w w:val="92"/>
              </w:rPr>
              <w:t>Media: Diversified and Production</w:t>
            </w:r>
          </w:p>
        </w:tc>
        <w:tc>
          <w:tcPr>
            <w:tcW w:w="1080" w:type="dxa"/>
            <w:vAlign w:val="bottom"/>
            <w:gridSpan w:val="3"/>
          </w:tcPr>
          <w:p>
            <w:pPr>
              <w:jc w:val="right"/>
              <w:ind w:right="140"/>
              <w:spacing w:after="0"/>
              <w:rPr>
                <w:sz w:val="20"/>
                <w:szCs w:val="20"/>
                <w:color w:val="auto"/>
              </w:rPr>
            </w:pPr>
            <w:r>
              <w:rPr>
                <w:rFonts w:ascii="Arial" w:cs="Arial" w:eastAsia="Arial" w:hAnsi="Arial"/>
                <w:sz w:val="11"/>
                <w:szCs w:val="11"/>
                <w:color w:val="auto"/>
              </w:rPr>
              <w:t>6.69 %</w:t>
            </w:r>
          </w:p>
        </w:tc>
        <w:tc>
          <w:tcPr>
            <w:tcW w:w="920" w:type="dxa"/>
            <w:vAlign w:val="bottom"/>
          </w:tcPr>
          <w:p>
            <w:pPr>
              <w:jc w:val="right"/>
              <w:spacing w:after="0"/>
              <w:rPr>
                <w:sz w:val="20"/>
                <w:szCs w:val="20"/>
                <w:color w:val="auto"/>
              </w:rPr>
            </w:pPr>
            <w:r>
              <w:rPr>
                <w:rFonts w:ascii="Arial" w:cs="Arial" w:eastAsia="Arial" w:hAnsi="Arial"/>
                <w:sz w:val="11"/>
                <w:szCs w:val="11"/>
                <w:color w:val="auto"/>
              </w:rPr>
              <w:t>3M L+525</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3,582</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3,582</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3,582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140" w:type="dxa"/>
            <w:vAlign w:val="bottom"/>
            <w:vMerge w:val="restart"/>
          </w:tcPr>
          <w:p>
            <w:pPr>
              <w:ind w:left="20"/>
              <w:spacing w:after="0"/>
              <w:rPr>
                <w:sz w:val="20"/>
                <w:szCs w:val="20"/>
                <w:color w:val="auto"/>
              </w:rPr>
            </w:pPr>
            <w:r>
              <w:rPr>
                <w:rFonts w:ascii="Arial" w:cs="Arial" w:eastAsia="Arial" w:hAnsi="Arial"/>
                <w:sz w:val="11"/>
                <w:szCs w:val="11"/>
                <w:color w:val="auto"/>
              </w:rPr>
              <w:t xml:space="preserve">Marketplace Events, LLC - Super Priority First Lien </w:t>
            </w:r>
            <w:r>
              <w:rPr>
                <w:rFonts w:ascii="Arial" w:cs="Arial" w:eastAsia="Arial" w:hAnsi="Arial"/>
                <w:sz w:val="14"/>
                <w:szCs w:val="14"/>
                <w:color w:val="auto"/>
                <w:vertAlign w:val="superscript"/>
              </w:rPr>
              <w:t>(7), (9)</w:t>
            </w:r>
          </w:p>
        </w:tc>
        <w:tc>
          <w:tcPr>
            <w:tcW w:w="1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22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(PIK 6.25%)</w:t>
            </w:r>
          </w:p>
        </w:tc>
        <w:tc>
          <w:tcPr>
            <w:tcW w:w="9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3140" w:type="dxa"/>
            <w:vAlign w:val="bottom"/>
            <w:vMerge w:val="continue"/>
          </w:tcPr>
          <w:p>
            <w:pPr>
              <w:spacing w:after="0"/>
              <w:rPr>
                <w:sz w:val="10"/>
                <w:szCs w:val="10"/>
                <w:color w:val="auto"/>
              </w:rPr>
            </w:pPr>
          </w:p>
        </w:tc>
        <w:tc>
          <w:tcPr>
            <w:tcW w:w="200" w:type="dxa"/>
            <w:vAlign w:val="bottom"/>
            <w:gridSpan w:val="2"/>
          </w:tcPr>
          <w:p>
            <w:pPr>
              <w:spacing w:after="0"/>
              <w:rPr>
                <w:sz w:val="10"/>
                <w:szCs w:val="10"/>
                <w:color w:val="auto"/>
              </w:rPr>
            </w:pPr>
          </w:p>
        </w:tc>
        <w:tc>
          <w:tcPr>
            <w:tcW w:w="600" w:type="dxa"/>
            <w:vAlign w:val="bottom"/>
          </w:tcPr>
          <w:p>
            <w:pPr>
              <w:ind w:left="20"/>
              <w:spacing w:after="0" w:line="125" w:lineRule="exact"/>
              <w:rPr>
                <w:sz w:val="20"/>
                <w:szCs w:val="20"/>
                <w:color w:val="auto"/>
              </w:rPr>
            </w:pPr>
            <w:r>
              <w:rPr>
                <w:rFonts w:ascii="Arial" w:cs="Arial" w:eastAsia="Arial" w:hAnsi="Arial"/>
                <w:sz w:val="11"/>
                <w:szCs w:val="11"/>
                <w:color w:val="auto"/>
              </w:rPr>
              <w:t>09/30/2025</w:t>
            </w:r>
          </w:p>
        </w:tc>
        <w:tc>
          <w:tcPr>
            <w:tcW w:w="260" w:type="dxa"/>
            <w:vAlign w:val="bottom"/>
          </w:tcPr>
          <w:p>
            <w:pPr>
              <w:spacing w:after="0"/>
              <w:rPr>
                <w:sz w:val="10"/>
                <w:szCs w:val="10"/>
                <w:color w:val="auto"/>
              </w:rPr>
            </w:pPr>
          </w:p>
        </w:tc>
        <w:tc>
          <w:tcPr>
            <w:tcW w:w="2200" w:type="dxa"/>
            <w:vAlign w:val="bottom"/>
          </w:tcPr>
          <w:p>
            <w:pPr>
              <w:jc w:val="center"/>
              <w:spacing w:after="0" w:line="125" w:lineRule="exact"/>
              <w:rPr>
                <w:sz w:val="20"/>
                <w:szCs w:val="20"/>
                <w:color w:val="auto"/>
              </w:rPr>
            </w:pPr>
            <w:r>
              <w:rPr>
                <w:rFonts w:ascii="Arial" w:cs="Arial" w:eastAsia="Arial" w:hAnsi="Arial"/>
                <w:sz w:val="11"/>
                <w:szCs w:val="11"/>
                <w:color w:val="auto"/>
                <w:w w:val="92"/>
              </w:rPr>
              <w:t>Media: Diversified and Production</w:t>
            </w:r>
          </w:p>
        </w:tc>
        <w:tc>
          <w:tcPr>
            <w:tcW w:w="120" w:type="dxa"/>
            <w:vAlign w:val="bottom"/>
          </w:tcPr>
          <w:p>
            <w:pPr>
              <w:spacing w:after="0"/>
              <w:rPr>
                <w:sz w:val="10"/>
                <w:szCs w:val="10"/>
                <w:color w:val="auto"/>
              </w:rPr>
            </w:pPr>
          </w:p>
        </w:tc>
        <w:tc>
          <w:tcPr>
            <w:tcW w:w="960" w:type="dxa"/>
            <w:vAlign w:val="bottom"/>
            <w:gridSpan w:val="2"/>
          </w:tcPr>
          <w:p>
            <w:pPr>
              <w:jc w:val="right"/>
              <w:ind w:right="240"/>
              <w:spacing w:after="0" w:line="125" w:lineRule="exact"/>
              <w:rPr>
                <w:sz w:val="20"/>
                <w:szCs w:val="20"/>
                <w:color w:val="auto"/>
              </w:rPr>
            </w:pPr>
            <w:r>
              <w:rPr>
                <w:rFonts w:ascii="Arial" w:cs="Arial" w:eastAsia="Arial" w:hAnsi="Arial"/>
                <w:sz w:val="11"/>
                <w:szCs w:val="11"/>
                <w:color w:val="auto"/>
              </w:rPr>
              <w:t>—</w:t>
            </w:r>
          </w:p>
        </w:tc>
        <w:tc>
          <w:tcPr>
            <w:tcW w:w="920" w:type="dxa"/>
            <w:vAlign w:val="bottom"/>
          </w:tcPr>
          <w:p>
            <w:pPr>
              <w:jc w:val="right"/>
              <w:spacing w:after="0" w:line="125" w:lineRule="exact"/>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line="125" w:lineRule="exact"/>
              <w:rPr>
                <w:sz w:val="20"/>
                <w:szCs w:val="20"/>
                <w:color w:val="auto"/>
              </w:rPr>
            </w:pPr>
            <w:r>
              <w:rPr>
                <w:rFonts w:ascii="Arial" w:cs="Arial" w:eastAsia="Arial" w:hAnsi="Arial"/>
                <w:sz w:val="11"/>
                <w:szCs w:val="11"/>
                <w:color w:val="auto"/>
              </w:rPr>
              <w:t>3,261</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jc w:val="right"/>
              <w:spacing w:after="0" w:line="125" w:lineRule="exact"/>
              <w:rPr>
                <w:sz w:val="20"/>
                <w:szCs w:val="20"/>
                <w:color w:val="auto"/>
              </w:rPr>
            </w:pPr>
            <w:r>
              <w:rPr>
                <w:rFonts w:ascii="Arial" w:cs="Arial" w:eastAsia="Arial" w:hAnsi="Arial"/>
                <w:sz w:val="11"/>
                <w:szCs w:val="11"/>
                <w:color w:val="auto"/>
              </w:rPr>
              <w:t>—</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gridSpan w:val="2"/>
          </w:tcPr>
          <w:p>
            <w:pPr>
              <w:jc w:val="right"/>
              <w:ind w:right="82"/>
              <w:spacing w:after="0" w:line="125"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5"/>
        </w:trPr>
        <w:tc>
          <w:tcPr>
            <w:tcW w:w="3340" w:type="dxa"/>
            <w:vAlign w:val="bottom"/>
            <w:gridSpan w:val="3"/>
          </w:tcPr>
          <w:p>
            <w:pPr>
              <w:ind w:left="20"/>
              <w:spacing w:after="0" w:line="115" w:lineRule="exact"/>
              <w:rPr>
                <w:sz w:val="20"/>
                <w:szCs w:val="20"/>
                <w:color w:val="auto"/>
              </w:rPr>
            </w:pPr>
            <w:r>
              <w:rPr>
                <w:rFonts w:ascii="Arial" w:cs="Arial" w:eastAsia="Arial" w:hAnsi="Arial"/>
                <w:sz w:val="11"/>
                <w:szCs w:val="11"/>
                <w:color w:val="auto"/>
              </w:rPr>
              <w:t>Marketplace Events, LLC</w:t>
            </w:r>
          </w:p>
        </w:tc>
        <w:tc>
          <w:tcPr>
            <w:tcW w:w="600" w:type="dxa"/>
            <w:vAlign w:val="bottom"/>
          </w:tcPr>
          <w:p>
            <w:pPr>
              <w:ind w:left="20"/>
              <w:spacing w:after="0" w:line="115" w:lineRule="exact"/>
              <w:rPr>
                <w:sz w:val="20"/>
                <w:szCs w:val="20"/>
                <w:color w:val="auto"/>
              </w:rPr>
            </w:pPr>
            <w:r>
              <w:rPr>
                <w:rFonts w:ascii="Arial" w:cs="Arial" w:eastAsia="Arial" w:hAnsi="Arial"/>
                <w:sz w:val="11"/>
                <w:szCs w:val="11"/>
                <w:color w:val="auto"/>
              </w:rPr>
              <w:t>09/30/2026</w:t>
            </w:r>
          </w:p>
        </w:tc>
        <w:tc>
          <w:tcPr>
            <w:tcW w:w="260" w:type="dxa"/>
            <w:vAlign w:val="bottom"/>
          </w:tcPr>
          <w:p>
            <w:pPr>
              <w:spacing w:after="0"/>
              <w:rPr>
                <w:sz w:val="9"/>
                <w:szCs w:val="9"/>
                <w:color w:val="auto"/>
              </w:rPr>
            </w:pPr>
          </w:p>
        </w:tc>
        <w:tc>
          <w:tcPr>
            <w:tcW w:w="2200" w:type="dxa"/>
            <w:vAlign w:val="bottom"/>
          </w:tcPr>
          <w:p>
            <w:pPr>
              <w:jc w:val="center"/>
              <w:spacing w:after="0" w:line="115" w:lineRule="exact"/>
              <w:rPr>
                <w:sz w:val="20"/>
                <w:szCs w:val="20"/>
                <w:color w:val="auto"/>
              </w:rPr>
            </w:pPr>
            <w:r>
              <w:rPr>
                <w:rFonts w:ascii="Arial" w:cs="Arial" w:eastAsia="Arial" w:hAnsi="Arial"/>
                <w:sz w:val="11"/>
                <w:szCs w:val="11"/>
                <w:color w:val="auto"/>
                <w:w w:val="92"/>
              </w:rPr>
              <w:t>Media: Diversified and Production</w:t>
            </w:r>
          </w:p>
        </w:tc>
        <w:tc>
          <w:tcPr>
            <w:tcW w:w="1080" w:type="dxa"/>
            <w:vAlign w:val="bottom"/>
            <w:gridSpan w:val="3"/>
          </w:tcPr>
          <w:p>
            <w:pPr>
              <w:jc w:val="right"/>
              <w:ind w:right="140"/>
              <w:spacing w:after="0" w:line="115" w:lineRule="exact"/>
              <w:rPr>
                <w:sz w:val="20"/>
                <w:szCs w:val="20"/>
                <w:color w:val="auto"/>
              </w:rPr>
            </w:pPr>
            <w:r>
              <w:rPr>
                <w:rFonts w:ascii="Arial" w:cs="Arial" w:eastAsia="Arial" w:hAnsi="Arial"/>
                <w:sz w:val="11"/>
                <w:szCs w:val="11"/>
                <w:color w:val="auto"/>
              </w:rPr>
              <w:t>6.69 %</w:t>
            </w:r>
          </w:p>
        </w:tc>
        <w:tc>
          <w:tcPr>
            <w:tcW w:w="920" w:type="dxa"/>
            <w:vAlign w:val="bottom"/>
          </w:tcPr>
          <w:p>
            <w:pPr>
              <w:jc w:val="right"/>
              <w:spacing w:after="0" w:line="115" w:lineRule="exact"/>
              <w:rPr>
                <w:sz w:val="20"/>
                <w:szCs w:val="20"/>
                <w:color w:val="auto"/>
              </w:rPr>
            </w:pPr>
            <w:r>
              <w:rPr>
                <w:rFonts w:ascii="Arial" w:cs="Arial" w:eastAsia="Arial" w:hAnsi="Arial"/>
                <w:sz w:val="11"/>
                <w:szCs w:val="11"/>
                <w:color w:val="auto"/>
              </w:rPr>
              <w:t>3M L+525</w:t>
            </w:r>
          </w:p>
        </w:tc>
        <w:tc>
          <w:tcPr>
            <w:tcW w:w="90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26,771</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jc w:val="right"/>
              <w:spacing w:after="0" w:line="115" w:lineRule="exact"/>
              <w:rPr>
                <w:sz w:val="20"/>
                <w:szCs w:val="20"/>
                <w:color w:val="auto"/>
              </w:rPr>
            </w:pPr>
            <w:r>
              <w:rPr>
                <w:rFonts w:ascii="Arial" w:cs="Arial" w:eastAsia="Arial" w:hAnsi="Arial"/>
                <w:sz w:val="11"/>
                <w:szCs w:val="11"/>
                <w:color w:val="auto"/>
              </w:rPr>
              <w:t>19,200</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jc w:val="right"/>
              <w:spacing w:after="0" w:line="115" w:lineRule="exact"/>
              <w:rPr>
                <w:sz w:val="20"/>
                <w:szCs w:val="20"/>
                <w:color w:val="auto"/>
              </w:rPr>
            </w:pPr>
            <w:r>
              <w:rPr>
                <w:rFonts w:ascii="Arial" w:cs="Arial" w:eastAsia="Arial" w:hAnsi="Arial"/>
                <w:sz w:val="11"/>
                <w:szCs w:val="11"/>
                <w:color w:val="auto"/>
              </w:rPr>
              <w:t>26,771</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3340" w:type="dxa"/>
            <w:vAlign w:val="bottom"/>
            <w:gridSpan w:val="3"/>
          </w:tcPr>
          <w:p>
            <w:pPr>
              <w:ind w:left="20"/>
              <w:spacing w:after="0"/>
              <w:rPr>
                <w:sz w:val="20"/>
                <w:szCs w:val="20"/>
                <w:color w:val="auto"/>
              </w:rPr>
            </w:pPr>
            <w:r>
              <w:rPr>
                <w:rFonts w:ascii="Arial" w:cs="Arial" w:eastAsia="Arial" w:hAnsi="Arial"/>
                <w:sz w:val="11"/>
                <w:szCs w:val="11"/>
                <w:color w:val="auto"/>
              </w:rPr>
              <w:t xml:space="preserve">PennantPark Senior Secured Loan Fund I LLC </w:t>
            </w:r>
            <w:r>
              <w:rPr>
                <w:rFonts w:ascii="Arial" w:cs="Arial" w:eastAsia="Arial" w:hAnsi="Arial"/>
                <w:sz w:val="14"/>
                <w:szCs w:val="14"/>
                <w:color w:val="auto"/>
                <w:vertAlign w:val="superscript"/>
              </w:rPr>
              <w:t>(7), (9), (10)</w:t>
            </w:r>
          </w:p>
        </w:tc>
        <w:tc>
          <w:tcPr>
            <w:tcW w:w="600" w:type="dxa"/>
            <w:vAlign w:val="bottom"/>
          </w:tcPr>
          <w:p>
            <w:pPr>
              <w:ind w:left="20"/>
              <w:spacing w:after="0"/>
              <w:rPr>
                <w:sz w:val="20"/>
                <w:szCs w:val="20"/>
                <w:color w:val="auto"/>
              </w:rPr>
            </w:pPr>
            <w:r>
              <w:rPr>
                <w:rFonts w:ascii="Arial" w:cs="Arial" w:eastAsia="Arial" w:hAnsi="Arial"/>
                <w:sz w:val="11"/>
                <w:szCs w:val="11"/>
                <w:color w:val="auto"/>
              </w:rPr>
              <w:t>05/06/2024</w:t>
            </w:r>
          </w:p>
        </w:tc>
        <w:tc>
          <w:tcPr>
            <w:tcW w:w="260" w:type="dxa"/>
            <w:vAlign w:val="bottom"/>
          </w:tcPr>
          <w:p>
            <w:pPr>
              <w:spacing w:after="0"/>
              <w:rPr>
                <w:sz w:val="14"/>
                <w:szCs w:val="14"/>
                <w:color w:val="auto"/>
              </w:rPr>
            </w:pPr>
          </w:p>
        </w:tc>
        <w:tc>
          <w:tcPr>
            <w:tcW w:w="2200" w:type="dxa"/>
            <w:vAlign w:val="bottom"/>
          </w:tcPr>
          <w:p>
            <w:pPr>
              <w:jc w:val="center"/>
              <w:spacing w:after="0"/>
              <w:rPr>
                <w:sz w:val="20"/>
                <w:szCs w:val="20"/>
                <w:color w:val="auto"/>
              </w:rPr>
            </w:pPr>
            <w:r>
              <w:rPr>
                <w:rFonts w:ascii="Arial" w:cs="Arial" w:eastAsia="Arial" w:hAnsi="Arial"/>
                <w:sz w:val="11"/>
                <w:szCs w:val="11"/>
                <w:color w:val="auto"/>
                <w:w w:val="89"/>
              </w:rPr>
              <w:t>Financial Services</w:t>
            </w:r>
          </w:p>
        </w:tc>
        <w:tc>
          <w:tcPr>
            <w:tcW w:w="1080" w:type="dxa"/>
            <w:vAlign w:val="bottom"/>
            <w:gridSpan w:val="3"/>
          </w:tcPr>
          <w:p>
            <w:pPr>
              <w:jc w:val="right"/>
              <w:ind w:right="140"/>
              <w:spacing w:after="0"/>
              <w:rPr>
                <w:sz w:val="20"/>
                <w:szCs w:val="20"/>
                <w:color w:val="auto"/>
              </w:rPr>
            </w:pPr>
            <w:r>
              <w:rPr>
                <w:rFonts w:ascii="Arial" w:cs="Arial" w:eastAsia="Arial" w:hAnsi="Arial"/>
                <w:sz w:val="11"/>
                <w:szCs w:val="11"/>
                <w:color w:val="auto"/>
              </w:rPr>
              <w:t>9.10 %</w:t>
            </w:r>
          </w:p>
        </w:tc>
        <w:tc>
          <w:tcPr>
            <w:tcW w:w="920" w:type="dxa"/>
            <w:vAlign w:val="bottom"/>
          </w:tcPr>
          <w:p>
            <w:pPr>
              <w:jc w:val="right"/>
              <w:spacing w:after="0"/>
              <w:rPr>
                <w:sz w:val="20"/>
                <w:szCs w:val="20"/>
                <w:color w:val="auto"/>
              </w:rPr>
            </w:pPr>
            <w:r>
              <w:rPr>
                <w:rFonts w:ascii="Arial" w:cs="Arial" w:eastAsia="Arial" w:hAnsi="Arial"/>
                <w:sz w:val="11"/>
                <w:szCs w:val="11"/>
                <w:color w:val="auto"/>
              </w:rPr>
              <w:t>3M L+800</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190,181</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190,181</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190,181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3340" w:type="dxa"/>
            <w:vAlign w:val="bottom"/>
            <w:tcBorders>
              <w:bottom w:val="single" w:sz="8" w:color="CCECFF"/>
            </w:tcBorders>
            <w:gridSpan w:val="3"/>
            <w:shd w:val="clear" w:color="auto" w:fill="CCECFF"/>
          </w:tcPr>
          <w:p>
            <w:pPr>
              <w:ind w:left="20"/>
              <w:spacing w:after="0"/>
              <w:rPr>
                <w:sz w:val="20"/>
                <w:szCs w:val="20"/>
                <w:color w:val="auto"/>
              </w:rPr>
            </w:pPr>
            <w:r>
              <w:rPr>
                <w:rFonts w:ascii="Arial" w:cs="Arial" w:eastAsia="Arial" w:hAnsi="Arial"/>
                <w:sz w:val="11"/>
                <w:szCs w:val="11"/>
                <w:b w:val="1"/>
                <w:bCs w:val="1"/>
                <w:color w:val="auto"/>
              </w:rPr>
              <w:t>Total First Lien Secured Debt</w:t>
            </w:r>
          </w:p>
        </w:tc>
        <w:tc>
          <w:tcPr>
            <w:tcW w:w="600" w:type="dxa"/>
            <w:vAlign w:val="bottom"/>
            <w:tcBorders>
              <w:bottom w:val="single" w:sz="8" w:color="CCECFF"/>
            </w:tcBorders>
            <w:shd w:val="clear" w:color="auto" w:fill="CCECFF"/>
          </w:tcPr>
          <w:p>
            <w:pPr>
              <w:spacing w:after="0"/>
              <w:rPr>
                <w:sz w:val="11"/>
                <w:szCs w:val="11"/>
                <w:color w:val="auto"/>
              </w:rPr>
            </w:pPr>
          </w:p>
        </w:tc>
        <w:tc>
          <w:tcPr>
            <w:tcW w:w="260" w:type="dxa"/>
            <w:vAlign w:val="bottom"/>
            <w:tcBorders>
              <w:bottom w:val="single" w:sz="8" w:color="CCECFF"/>
            </w:tcBorders>
            <w:shd w:val="clear" w:color="auto" w:fill="CCECFF"/>
          </w:tcPr>
          <w:p>
            <w:pPr>
              <w:spacing w:after="0"/>
              <w:rPr>
                <w:sz w:val="11"/>
                <w:szCs w:val="11"/>
                <w:color w:val="auto"/>
              </w:rPr>
            </w:pPr>
          </w:p>
        </w:tc>
        <w:tc>
          <w:tcPr>
            <w:tcW w:w="220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720" w:type="dxa"/>
            <w:vAlign w:val="bottom"/>
            <w:tcBorders>
              <w:bottom w:val="single" w:sz="8" w:color="CCECFF"/>
            </w:tcBorders>
            <w:shd w:val="clear" w:color="auto" w:fill="CCECFF"/>
          </w:tcPr>
          <w:p>
            <w:pPr>
              <w:spacing w:after="0"/>
              <w:rPr>
                <w:sz w:val="11"/>
                <w:szCs w:val="11"/>
                <w:color w:val="auto"/>
              </w:rPr>
            </w:pPr>
          </w:p>
        </w:tc>
        <w:tc>
          <w:tcPr>
            <w:tcW w:w="240" w:type="dxa"/>
            <w:vAlign w:val="bottom"/>
            <w:tcBorders>
              <w:bottom w:val="single" w:sz="8" w:color="CCECFF"/>
            </w:tcBorders>
            <w:shd w:val="clear" w:color="auto" w:fill="CCECFF"/>
          </w:tcPr>
          <w:p>
            <w:pPr>
              <w:spacing w:after="0"/>
              <w:rPr>
                <w:sz w:val="11"/>
                <w:szCs w:val="11"/>
                <w:color w:val="auto"/>
              </w:rPr>
            </w:pPr>
          </w:p>
        </w:tc>
        <w:tc>
          <w:tcPr>
            <w:tcW w:w="920" w:type="dxa"/>
            <w:vAlign w:val="bottom"/>
            <w:tcBorders>
              <w:bottom w:val="single" w:sz="8" w:color="CCECFF"/>
            </w:tcBorders>
            <w:shd w:val="clear" w:color="auto" w:fill="CCECFF"/>
          </w:tcPr>
          <w:p>
            <w:pPr>
              <w:spacing w:after="0"/>
              <w:rPr>
                <w:sz w:val="11"/>
                <w:szCs w:val="11"/>
                <w:color w:val="auto"/>
              </w:rPr>
            </w:pPr>
          </w:p>
        </w:tc>
        <w:tc>
          <w:tcPr>
            <w:tcW w:w="200" w:type="dxa"/>
            <w:vAlign w:val="bottom"/>
            <w:tcBorders>
              <w:bottom w:val="single" w:sz="8" w:color="CCECFF"/>
            </w:tcBorders>
            <w:shd w:val="clear" w:color="auto" w:fill="CCECFF"/>
          </w:tcPr>
          <w:p>
            <w:pPr>
              <w:spacing w:after="0"/>
              <w:rPr>
                <w:sz w:val="11"/>
                <w:szCs w:val="11"/>
                <w:color w:val="auto"/>
              </w:rPr>
            </w:pPr>
          </w:p>
        </w:tc>
        <w:tc>
          <w:tcPr>
            <w:tcW w:w="70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auto"/>
            </w:tcBorders>
            <w:shd w:val="clear" w:color="auto" w:fill="CCECFF"/>
          </w:tcPr>
          <w:p>
            <w:pPr>
              <w:spacing w:after="0"/>
              <w:rPr>
                <w:sz w:val="11"/>
                <w:szCs w:val="11"/>
                <w:color w:val="auto"/>
              </w:rPr>
            </w:pPr>
          </w:p>
        </w:tc>
        <w:tc>
          <w:tcPr>
            <w:tcW w:w="5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212,963</w:t>
            </w:r>
          </w:p>
        </w:tc>
        <w:tc>
          <w:tcPr>
            <w:tcW w:w="22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auto"/>
            </w:tcBorders>
            <w:shd w:val="clear" w:color="auto" w:fill="CCECFF"/>
          </w:tcPr>
          <w:p>
            <w:pPr>
              <w:spacing w:after="0"/>
              <w:rPr>
                <w:sz w:val="11"/>
                <w:szCs w:val="11"/>
                <w:color w:val="auto"/>
              </w:rPr>
            </w:pPr>
          </w:p>
        </w:tc>
        <w:tc>
          <w:tcPr>
            <w:tcW w:w="5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220,534</w:t>
            </w:r>
          </w:p>
        </w:tc>
        <w:tc>
          <w:tcPr>
            <w:tcW w:w="10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3340" w:type="dxa"/>
            <w:vAlign w:val="bottom"/>
            <w:gridSpan w:val="3"/>
          </w:tcPr>
          <w:p>
            <w:pPr>
              <w:ind w:left="20"/>
              <w:spacing w:after="0" w:line="99" w:lineRule="exact"/>
              <w:rPr>
                <w:sz w:val="20"/>
                <w:szCs w:val="20"/>
                <w:color w:val="auto"/>
              </w:rPr>
            </w:pPr>
            <w:r>
              <w:rPr>
                <w:rFonts w:ascii="Arial" w:cs="Arial" w:eastAsia="Arial" w:hAnsi="Arial"/>
                <w:sz w:val="11"/>
                <w:szCs w:val="11"/>
                <w:b w:val="1"/>
                <w:bCs w:val="1"/>
                <w:color w:val="auto"/>
              </w:rPr>
              <w:t>Equity Interests—12.1%</w:t>
            </w: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3340" w:type="dxa"/>
            <w:vAlign w:val="bottom"/>
            <w:gridSpan w:val="3"/>
          </w:tcPr>
          <w:p>
            <w:pPr>
              <w:ind w:left="20"/>
              <w:spacing w:after="0" w:line="135" w:lineRule="exact"/>
              <w:rPr>
                <w:sz w:val="20"/>
                <w:szCs w:val="20"/>
                <w:color w:val="auto"/>
              </w:rPr>
            </w:pPr>
            <w:r>
              <w:rPr>
                <w:rFonts w:ascii="Arial" w:cs="Arial" w:eastAsia="Arial" w:hAnsi="Arial"/>
                <w:sz w:val="11"/>
                <w:szCs w:val="11"/>
                <w:color w:val="auto"/>
              </w:rPr>
              <w:t xml:space="preserve">New MPE Holdings, LLC (Marketplace Events, LLC) </w:t>
            </w:r>
            <w:r>
              <w:rPr>
                <w:rFonts w:ascii="Arial" w:cs="Arial" w:eastAsia="Arial" w:hAnsi="Arial"/>
                <w:sz w:val="14"/>
                <w:szCs w:val="14"/>
                <w:color w:val="auto"/>
                <w:vertAlign w:val="superscript"/>
              </w:rPr>
              <w:t>(7),(8)</w:t>
            </w:r>
          </w:p>
        </w:tc>
        <w:tc>
          <w:tcPr>
            <w:tcW w:w="600" w:type="dxa"/>
            <w:vAlign w:val="bottom"/>
          </w:tcPr>
          <w:p>
            <w:pPr>
              <w:ind w:left="48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1"/>
                <w:szCs w:val="11"/>
                <w:color w:val="auto"/>
              </w:rPr>
            </w:pPr>
          </w:p>
        </w:tc>
        <w:tc>
          <w:tcPr>
            <w:tcW w:w="2200" w:type="dxa"/>
            <w:vAlign w:val="bottom"/>
          </w:tcPr>
          <w:p>
            <w:pPr>
              <w:jc w:val="center"/>
              <w:spacing w:after="0"/>
              <w:rPr>
                <w:sz w:val="20"/>
                <w:szCs w:val="20"/>
                <w:color w:val="auto"/>
              </w:rPr>
            </w:pPr>
            <w:r>
              <w:rPr>
                <w:rFonts w:ascii="Arial" w:cs="Arial" w:eastAsia="Arial" w:hAnsi="Arial"/>
                <w:sz w:val="11"/>
                <w:szCs w:val="11"/>
                <w:color w:val="auto"/>
                <w:w w:val="92"/>
              </w:rPr>
              <w:t>Media: Diversified and Production</w:t>
            </w:r>
          </w:p>
        </w:tc>
        <w:tc>
          <w:tcPr>
            <w:tcW w:w="120" w:type="dxa"/>
            <w:vAlign w:val="bottom"/>
          </w:tcPr>
          <w:p>
            <w:pPr>
              <w:spacing w:after="0"/>
              <w:rPr>
                <w:sz w:val="11"/>
                <w:szCs w:val="11"/>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349</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2,495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3340" w:type="dxa"/>
            <w:vAlign w:val="bottom"/>
            <w:gridSpan w:val="3"/>
          </w:tcPr>
          <w:p>
            <w:pPr>
              <w:ind w:left="20"/>
              <w:spacing w:after="0"/>
              <w:rPr>
                <w:sz w:val="20"/>
                <w:szCs w:val="20"/>
                <w:color w:val="auto"/>
              </w:rPr>
            </w:pPr>
            <w:r>
              <w:rPr>
                <w:rFonts w:ascii="Arial" w:cs="Arial" w:eastAsia="Arial" w:hAnsi="Arial"/>
                <w:sz w:val="11"/>
                <w:szCs w:val="11"/>
                <w:color w:val="auto"/>
              </w:rPr>
              <w:t xml:space="preserve">PennantPark Senior Secured Loan Fund I LLC </w:t>
            </w:r>
            <w:r>
              <w:rPr>
                <w:rFonts w:ascii="Arial" w:cs="Arial" w:eastAsia="Arial" w:hAnsi="Arial"/>
                <w:sz w:val="14"/>
                <w:szCs w:val="14"/>
                <w:color w:val="auto"/>
                <w:vertAlign w:val="superscript"/>
              </w:rPr>
              <w:t>(7), (9), (10)</w:t>
            </w:r>
          </w:p>
        </w:tc>
        <w:tc>
          <w:tcPr>
            <w:tcW w:w="600" w:type="dxa"/>
            <w:vAlign w:val="bottom"/>
          </w:tcPr>
          <w:p>
            <w:pPr>
              <w:ind w:left="48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4"/>
                <w:szCs w:val="14"/>
                <w:color w:val="auto"/>
              </w:rPr>
            </w:pPr>
          </w:p>
        </w:tc>
        <w:tc>
          <w:tcPr>
            <w:tcW w:w="2200" w:type="dxa"/>
            <w:vAlign w:val="bottom"/>
          </w:tcPr>
          <w:p>
            <w:pPr>
              <w:jc w:val="center"/>
              <w:spacing w:after="0"/>
              <w:rPr>
                <w:sz w:val="20"/>
                <w:szCs w:val="20"/>
                <w:color w:val="auto"/>
              </w:rPr>
            </w:pPr>
            <w:r>
              <w:rPr>
                <w:rFonts w:ascii="Arial" w:cs="Arial" w:eastAsia="Arial" w:hAnsi="Arial"/>
                <w:sz w:val="11"/>
                <w:szCs w:val="11"/>
                <w:color w:val="auto"/>
                <w:w w:val="89"/>
              </w:rPr>
              <w:t>Financial Services</w:t>
            </w:r>
          </w:p>
        </w:tc>
        <w:tc>
          <w:tcPr>
            <w:tcW w:w="12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81,506</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81,506</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58,755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3340" w:type="dxa"/>
            <w:vAlign w:val="bottom"/>
            <w:tcBorders>
              <w:bottom w:val="single" w:sz="8" w:color="CCECFF"/>
            </w:tcBorders>
            <w:gridSpan w:val="3"/>
            <w:shd w:val="clear" w:color="auto" w:fill="CCECFF"/>
          </w:tcPr>
          <w:p>
            <w:pPr>
              <w:ind w:left="20"/>
              <w:spacing w:after="0"/>
              <w:rPr>
                <w:sz w:val="20"/>
                <w:szCs w:val="20"/>
                <w:color w:val="auto"/>
              </w:rPr>
            </w:pPr>
            <w:r>
              <w:rPr>
                <w:rFonts w:ascii="Arial" w:cs="Arial" w:eastAsia="Arial" w:hAnsi="Arial"/>
                <w:sz w:val="11"/>
                <w:szCs w:val="11"/>
                <w:b w:val="1"/>
                <w:bCs w:val="1"/>
                <w:color w:val="auto"/>
              </w:rPr>
              <w:t>Total Equity Interests</w:t>
            </w:r>
          </w:p>
        </w:tc>
        <w:tc>
          <w:tcPr>
            <w:tcW w:w="600" w:type="dxa"/>
            <w:vAlign w:val="bottom"/>
            <w:tcBorders>
              <w:bottom w:val="single" w:sz="8" w:color="CCECFF"/>
            </w:tcBorders>
            <w:shd w:val="clear" w:color="auto" w:fill="CCECFF"/>
          </w:tcPr>
          <w:p>
            <w:pPr>
              <w:spacing w:after="0"/>
              <w:rPr>
                <w:sz w:val="11"/>
                <w:szCs w:val="11"/>
                <w:color w:val="auto"/>
              </w:rPr>
            </w:pPr>
          </w:p>
        </w:tc>
        <w:tc>
          <w:tcPr>
            <w:tcW w:w="260" w:type="dxa"/>
            <w:vAlign w:val="bottom"/>
            <w:tcBorders>
              <w:bottom w:val="single" w:sz="8" w:color="CCECFF"/>
            </w:tcBorders>
            <w:shd w:val="clear" w:color="auto" w:fill="CCECFF"/>
          </w:tcPr>
          <w:p>
            <w:pPr>
              <w:spacing w:after="0"/>
              <w:rPr>
                <w:sz w:val="11"/>
                <w:szCs w:val="11"/>
                <w:color w:val="auto"/>
              </w:rPr>
            </w:pPr>
          </w:p>
        </w:tc>
        <w:tc>
          <w:tcPr>
            <w:tcW w:w="220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720" w:type="dxa"/>
            <w:vAlign w:val="bottom"/>
            <w:tcBorders>
              <w:bottom w:val="single" w:sz="8" w:color="CCECFF"/>
            </w:tcBorders>
            <w:shd w:val="clear" w:color="auto" w:fill="CCECFF"/>
          </w:tcPr>
          <w:p>
            <w:pPr>
              <w:spacing w:after="0"/>
              <w:rPr>
                <w:sz w:val="11"/>
                <w:szCs w:val="11"/>
                <w:color w:val="auto"/>
              </w:rPr>
            </w:pPr>
          </w:p>
        </w:tc>
        <w:tc>
          <w:tcPr>
            <w:tcW w:w="240" w:type="dxa"/>
            <w:vAlign w:val="bottom"/>
            <w:tcBorders>
              <w:bottom w:val="single" w:sz="8" w:color="CCECFF"/>
            </w:tcBorders>
            <w:shd w:val="clear" w:color="auto" w:fill="CCECFF"/>
          </w:tcPr>
          <w:p>
            <w:pPr>
              <w:spacing w:after="0"/>
              <w:rPr>
                <w:sz w:val="11"/>
                <w:szCs w:val="11"/>
                <w:color w:val="auto"/>
              </w:rPr>
            </w:pPr>
          </w:p>
        </w:tc>
        <w:tc>
          <w:tcPr>
            <w:tcW w:w="920" w:type="dxa"/>
            <w:vAlign w:val="bottom"/>
            <w:tcBorders>
              <w:bottom w:val="single" w:sz="8" w:color="CCECFF"/>
            </w:tcBorders>
            <w:shd w:val="clear" w:color="auto" w:fill="CCECFF"/>
          </w:tcPr>
          <w:p>
            <w:pPr>
              <w:spacing w:after="0"/>
              <w:rPr>
                <w:sz w:val="11"/>
                <w:szCs w:val="11"/>
                <w:color w:val="auto"/>
              </w:rPr>
            </w:pPr>
          </w:p>
        </w:tc>
        <w:tc>
          <w:tcPr>
            <w:tcW w:w="200" w:type="dxa"/>
            <w:vAlign w:val="bottom"/>
            <w:tcBorders>
              <w:bottom w:val="single" w:sz="8" w:color="CCECFF"/>
            </w:tcBorders>
            <w:shd w:val="clear" w:color="auto" w:fill="CCECFF"/>
          </w:tcPr>
          <w:p>
            <w:pPr>
              <w:spacing w:after="0"/>
              <w:rPr>
                <w:sz w:val="11"/>
                <w:szCs w:val="11"/>
                <w:color w:val="auto"/>
              </w:rPr>
            </w:pPr>
          </w:p>
        </w:tc>
        <w:tc>
          <w:tcPr>
            <w:tcW w:w="70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auto"/>
            </w:tcBorders>
            <w:shd w:val="clear" w:color="auto" w:fill="CCECFF"/>
          </w:tcPr>
          <w:p>
            <w:pPr>
              <w:spacing w:after="0"/>
              <w:rPr>
                <w:sz w:val="11"/>
                <w:szCs w:val="11"/>
                <w:color w:val="auto"/>
              </w:rPr>
            </w:pPr>
          </w:p>
        </w:tc>
        <w:tc>
          <w:tcPr>
            <w:tcW w:w="5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81,506</w:t>
            </w:r>
          </w:p>
        </w:tc>
        <w:tc>
          <w:tcPr>
            <w:tcW w:w="22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auto"/>
            </w:tcBorders>
            <w:shd w:val="clear" w:color="auto" w:fill="CCECFF"/>
          </w:tcPr>
          <w:p>
            <w:pPr>
              <w:spacing w:after="0"/>
              <w:rPr>
                <w:sz w:val="11"/>
                <w:szCs w:val="11"/>
                <w:color w:val="auto"/>
              </w:rPr>
            </w:pPr>
          </w:p>
        </w:tc>
        <w:tc>
          <w:tcPr>
            <w:tcW w:w="5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61,250</w:t>
            </w:r>
          </w:p>
        </w:tc>
        <w:tc>
          <w:tcPr>
            <w:tcW w:w="10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340" w:type="dxa"/>
            <w:vAlign w:val="bottom"/>
            <w:gridSpan w:val="3"/>
          </w:tcPr>
          <w:p>
            <w:pPr>
              <w:ind w:left="20"/>
              <w:spacing w:after="0"/>
              <w:rPr>
                <w:sz w:val="20"/>
                <w:szCs w:val="20"/>
                <w:color w:val="auto"/>
              </w:rPr>
            </w:pPr>
            <w:r>
              <w:rPr>
                <w:rFonts w:ascii="Arial" w:cs="Arial" w:eastAsia="Arial" w:hAnsi="Arial"/>
                <w:sz w:val="11"/>
                <w:szCs w:val="11"/>
                <w:b w:val="1"/>
                <w:bCs w:val="1"/>
                <w:color w:val="auto"/>
              </w:rPr>
              <w:t>Total Investments in Controlled, Affiliated Portfolio Companies</w:t>
            </w: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294,469</w:t>
            </w:r>
          </w:p>
        </w:tc>
        <w:tc>
          <w:tcPr>
            <w:tcW w:w="2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281,784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340" w:type="dxa"/>
            <w:vAlign w:val="bottom"/>
            <w:tcBorders>
              <w:bottom w:val="single" w:sz="8" w:color="CCECFF"/>
            </w:tcBorders>
            <w:gridSpan w:val="3"/>
            <w:shd w:val="clear" w:color="auto" w:fill="CCECFF"/>
          </w:tcPr>
          <w:p>
            <w:pPr>
              <w:ind w:left="20"/>
              <w:spacing w:after="0"/>
              <w:rPr>
                <w:sz w:val="20"/>
                <w:szCs w:val="20"/>
                <w:color w:val="auto"/>
              </w:rPr>
            </w:pPr>
            <w:r>
              <w:rPr>
                <w:rFonts w:ascii="Arial" w:cs="Arial" w:eastAsia="Arial" w:hAnsi="Arial"/>
                <w:sz w:val="11"/>
                <w:szCs w:val="11"/>
                <w:b w:val="1"/>
                <w:bCs w:val="1"/>
                <w:color w:val="auto"/>
              </w:rPr>
              <w:t>Total Investments—242.9%</w:t>
            </w:r>
          </w:p>
        </w:tc>
        <w:tc>
          <w:tcPr>
            <w:tcW w:w="600" w:type="dxa"/>
            <w:vAlign w:val="bottom"/>
            <w:tcBorders>
              <w:bottom w:val="single" w:sz="8" w:color="CCECFF"/>
            </w:tcBorders>
            <w:shd w:val="clear" w:color="auto" w:fill="CCECFF"/>
          </w:tcPr>
          <w:p>
            <w:pPr>
              <w:spacing w:after="0"/>
              <w:rPr>
                <w:sz w:val="11"/>
                <w:szCs w:val="11"/>
                <w:color w:val="auto"/>
              </w:rPr>
            </w:pPr>
          </w:p>
        </w:tc>
        <w:tc>
          <w:tcPr>
            <w:tcW w:w="260" w:type="dxa"/>
            <w:vAlign w:val="bottom"/>
            <w:tcBorders>
              <w:bottom w:val="single" w:sz="8" w:color="CCECFF"/>
            </w:tcBorders>
            <w:shd w:val="clear" w:color="auto" w:fill="CCECFF"/>
          </w:tcPr>
          <w:p>
            <w:pPr>
              <w:spacing w:after="0"/>
              <w:rPr>
                <w:sz w:val="11"/>
                <w:szCs w:val="11"/>
                <w:color w:val="auto"/>
              </w:rPr>
            </w:pPr>
          </w:p>
        </w:tc>
        <w:tc>
          <w:tcPr>
            <w:tcW w:w="220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720" w:type="dxa"/>
            <w:vAlign w:val="bottom"/>
            <w:tcBorders>
              <w:bottom w:val="single" w:sz="8" w:color="CCECFF"/>
            </w:tcBorders>
            <w:shd w:val="clear" w:color="auto" w:fill="CCECFF"/>
          </w:tcPr>
          <w:p>
            <w:pPr>
              <w:spacing w:after="0"/>
              <w:rPr>
                <w:sz w:val="11"/>
                <w:szCs w:val="11"/>
                <w:color w:val="auto"/>
              </w:rPr>
            </w:pPr>
          </w:p>
        </w:tc>
        <w:tc>
          <w:tcPr>
            <w:tcW w:w="240" w:type="dxa"/>
            <w:vAlign w:val="bottom"/>
            <w:tcBorders>
              <w:bottom w:val="single" w:sz="8" w:color="CCECFF"/>
            </w:tcBorders>
            <w:shd w:val="clear" w:color="auto" w:fill="CCECFF"/>
          </w:tcPr>
          <w:p>
            <w:pPr>
              <w:spacing w:after="0"/>
              <w:rPr>
                <w:sz w:val="11"/>
                <w:szCs w:val="11"/>
                <w:color w:val="auto"/>
              </w:rPr>
            </w:pPr>
          </w:p>
        </w:tc>
        <w:tc>
          <w:tcPr>
            <w:tcW w:w="920" w:type="dxa"/>
            <w:vAlign w:val="bottom"/>
            <w:tcBorders>
              <w:bottom w:val="single" w:sz="8" w:color="CCECFF"/>
            </w:tcBorders>
            <w:shd w:val="clear" w:color="auto" w:fill="CCECFF"/>
          </w:tcPr>
          <w:p>
            <w:pPr>
              <w:spacing w:after="0"/>
              <w:rPr>
                <w:sz w:val="11"/>
                <w:szCs w:val="11"/>
                <w:color w:val="auto"/>
              </w:rPr>
            </w:pPr>
          </w:p>
        </w:tc>
        <w:tc>
          <w:tcPr>
            <w:tcW w:w="200" w:type="dxa"/>
            <w:vAlign w:val="bottom"/>
            <w:tcBorders>
              <w:bottom w:val="single" w:sz="8" w:color="CCECFF"/>
            </w:tcBorders>
            <w:shd w:val="clear" w:color="auto" w:fill="CCECFF"/>
          </w:tcPr>
          <w:p>
            <w:pPr>
              <w:spacing w:after="0"/>
              <w:rPr>
                <w:sz w:val="11"/>
                <w:szCs w:val="11"/>
                <w:color w:val="auto"/>
              </w:rPr>
            </w:pPr>
          </w:p>
        </w:tc>
        <w:tc>
          <w:tcPr>
            <w:tcW w:w="70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auto"/>
            </w:tcBorders>
            <w:shd w:val="clear" w:color="auto" w:fill="CCECFF"/>
          </w:tcPr>
          <w:p>
            <w:pPr>
              <w:spacing w:after="0"/>
              <w:rPr>
                <w:sz w:val="11"/>
                <w:szCs w:val="11"/>
                <w:color w:val="auto"/>
              </w:rPr>
            </w:pPr>
          </w:p>
        </w:tc>
        <w:tc>
          <w:tcPr>
            <w:tcW w:w="5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1,218,702</w:t>
            </w:r>
          </w:p>
        </w:tc>
        <w:tc>
          <w:tcPr>
            <w:tcW w:w="22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auto"/>
            </w:tcBorders>
            <w:shd w:val="clear" w:color="auto" w:fill="CCECFF"/>
          </w:tcPr>
          <w:p>
            <w:pPr>
              <w:spacing w:after="0"/>
              <w:rPr>
                <w:sz w:val="11"/>
                <w:szCs w:val="11"/>
                <w:color w:val="auto"/>
              </w:rPr>
            </w:pPr>
          </w:p>
        </w:tc>
        <w:tc>
          <w:tcPr>
            <w:tcW w:w="5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1,226,442</w:t>
            </w:r>
          </w:p>
        </w:tc>
        <w:tc>
          <w:tcPr>
            <w:tcW w:w="10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340" w:type="dxa"/>
            <w:vAlign w:val="bottom"/>
            <w:gridSpan w:val="3"/>
          </w:tcPr>
          <w:p>
            <w:pPr>
              <w:ind w:left="20"/>
              <w:spacing w:after="0"/>
              <w:rPr>
                <w:sz w:val="20"/>
                <w:szCs w:val="20"/>
                <w:color w:val="auto"/>
              </w:rPr>
            </w:pPr>
            <w:r>
              <w:rPr>
                <w:rFonts w:ascii="Arial" w:cs="Arial" w:eastAsia="Arial" w:hAnsi="Arial"/>
                <w:sz w:val="11"/>
                <w:szCs w:val="11"/>
                <w:b w:val="1"/>
                <w:bCs w:val="1"/>
                <w:color w:val="auto"/>
              </w:rPr>
              <w:t>Cash and Cash Equivalents—8.0%</w:t>
            </w: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40" w:type="dxa"/>
            <w:vAlign w:val="bottom"/>
            <w:gridSpan w:val="3"/>
            <w:shd w:val="clear" w:color="auto" w:fill="CCECFF"/>
          </w:tcPr>
          <w:p>
            <w:pPr>
              <w:ind w:left="20"/>
              <w:spacing w:after="0"/>
              <w:rPr>
                <w:sz w:val="20"/>
                <w:szCs w:val="20"/>
                <w:color w:val="auto"/>
              </w:rPr>
            </w:pPr>
            <w:r>
              <w:rPr>
                <w:rFonts w:ascii="Arial" w:cs="Arial" w:eastAsia="Arial" w:hAnsi="Arial"/>
                <w:sz w:val="11"/>
                <w:szCs w:val="11"/>
                <w:color w:val="auto"/>
              </w:rPr>
              <w:t>BlackRock Federal FD Institutional 30</w:t>
            </w:r>
          </w:p>
        </w:tc>
        <w:tc>
          <w:tcPr>
            <w:tcW w:w="60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22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9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24,433</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24,433</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40" w:type="dxa"/>
            <w:vAlign w:val="bottom"/>
            <w:gridSpan w:val="3"/>
          </w:tcPr>
          <w:p>
            <w:pPr>
              <w:ind w:left="20"/>
              <w:spacing w:after="0"/>
              <w:rPr>
                <w:sz w:val="20"/>
                <w:szCs w:val="20"/>
                <w:color w:val="auto"/>
              </w:rPr>
            </w:pPr>
            <w:r>
              <w:rPr>
                <w:rFonts w:ascii="Arial" w:cs="Arial" w:eastAsia="Arial" w:hAnsi="Arial"/>
                <w:sz w:val="11"/>
                <w:szCs w:val="11"/>
                <w:color w:val="auto"/>
              </w:rPr>
              <w:t>BNY Mellon Cash</w:t>
            </w: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16,199</w:t>
            </w:r>
          </w:p>
        </w:tc>
        <w:tc>
          <w:tcPr>
            <w:tcW w:w="2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16,183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340" w:type="dxa"/>
            <w:vAlign w:val="bottom"/>
            <w:tcBorders>
              <w:bottom w:val="single" w:sz="8" w:color="CCECFF"/>
            </w:tcBorders>
            <w:gridSpan w:val="3"/>
            <w:shd w:val="clear" w:color="auto" w:fill="CCECFF"/>
          </w:tcPr>
          <w:p>
            <w:pPr>
              <w:ind w:left="20"/>
              <w:spacing w:after="0"/>
              <w:rPr>
                <w:sz w:val="20"/>
                <w:szCs w:val="20"/>
                <w:color w:val="auto"/>
              </w:rPr>
            </w:pPr>
            <w:r>
              <w:rPr>
                <w:rFonts w:ascii="Arial" w:cs="Arial" w:eastAsia="Arial" w:hAnsi="Arial"/>
                <w:sz w:val="11"/>
                <w:szCs w:val="11"/>
                <w:b w:val="1"/>
                <w:bCs w:val="1"/>
                <w:color w:val="auto"/>
              </w:rPr>
              <w:t>Total Cash and Cash Equivalents</w:t>
            </w:r>
          </w:p>
        </w:tc>
        <w:tc>
          <w:tcPr>
            <w:tcW w:w="600" w:type="dxa"/>
            <w:vAlign w:val="bottom"/>
            <w:tcBorders>
              <w:bottom w:val="single" w:sz="8" w:color="CCECFF"/>
            </w:tcBorders>
            <w:shd w:val="clear" w:color="auto" w:fill="CCECFF"/>
          </w:tcPr>
          <w:p>
            <w:pPr>
              <w:spacing w:after="0"/>
              <w:rPr>
                <w:sz w:val="11"/>
                <w:szCs w:val="11"/>
                <w:color w:val="auto"/>
              </w:rPr>
            </w:pPr>
          </w:p>
        </w:tc>
        <w:tc>
          <w:tcPr>
            <w:tcW w:w="260" w:type="dxa"/>
            <w:vAlign w:val="bottom"/>
            <w:tcBorders>
              <w:bottom w:val="single" w:sz="8" w:color="CCECFF"/>
            </w:tcBorders>
            <w:shd w:val="clear" w:color="auto" w:fill="CCECFF"/>
          </w:tcPr>
          <w:p>
            <w:pPr>
              <w:spacing w:after="0"/>
              <w:rPr>
                <w:sz w:val="11"/>
                <w:szCs w:val="11"/>
                <w:color w:val="auto"/>
              </w:rPr>
            </w:pPr>
          </w:p>
        </w:tc>
        <w:tc>
          <w:tcPr>
            <w:tcW w:w="220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720" w:type="dxa"/>
            <w:vAlign w:val="bottom"/>
            <w:tcBorders>
              <w:bottom w:val="single" w:sz="8" w:color="CCECFF"/>
            </w:tcBorders>
            <w:shd w:val="clear" w:color="auto" w:fill="CCECFF"/>
          </w:tcPr>
          <w:p>
            <w:pPr>
              <w:spacing w:after="0"/>
              <w:rPr>
                <w:sz w:val="11"/>
                <w:szCs w:val="11"/>
                <w:color w:val="auto"/>
              </w:rPr>
            </w:pPr>
          </w:p>
        </w:tc>
        <w:tc>
          <w:tcPr>
            <w:tcW w:w="240" w:type="dxa"/>
            <w:vAlign w:val="bottom"/>
            <w:tcBorders>
              <w:bottom w:val="single" w:sz="8" w:color="CCECFF"/>
            </w:tcBorders>
            <w:shd w:val="clear" w:color="auto" w:fill="CCECFF"/>
          </w:tcPr>
          <w:p>
            <w:pPr>
              <w:spacing w:after="0"/>
              <w:rPr>
                <w:sz w:val="11"/>
                <w:szCs w:val="11"/>
                <w:color w:val="auto"/>
              </w:rPr>
            </w:pPr>
          </w:p>
        </w:tc>
        <w:tc>
          <w:tcPr>
            <w:tcW w:w="920" w:type="dxa"/>
            <w:vAlign w:val="bottom"/>
            <w:tcBorders>
              <w:bottom w:val="single" w:sz="8" w:color="CCECFF"/>
            </w:tcBorders>
            <w:shd w:val="clear" w:color="auto" w:fill="CCECFF"/>
          </w:tcPr>
          <w:p>
            <w:pPr>
              <w:spacing w:after="0"/>
              <w:rPr>
                <w:sz w:val="11"/>
                <w:szCs w:val="11"/>
                <w:color w:val="auto"/>
              </w:rPr>
            </w:pPr>
          </w:p>
        </w:tc>
        <w:tc>
          <w:tcPr>
            <w:tcW w:w="200" w:type="dxa"/>
            <w:vAlign w:val="bottom"/>
            <w:tcBorders>
              <w:bottom w:val="single" w:sz="8" w:color="CCECFF"/>
            </w:tcBorders>
            <w:shd w:val="clear" w:color="auto" w:fill="CCECFF"/>
          </w:tcPr>
          <w:p>
            <w:pPr>
              <w:spacing w:after="0"/>
              <w:rPr>
                <w:sz w:val="11"/>
                <w:szCs w:val="11"/>
                <w:color w:val="auto"/>
              </w:rPr>
            </w:pPr>
          </w:p>
        </w:tc>
        <w:tc>
          <w:tcPr>
            <w:tcW w:w="70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auto"/>
            </w:tcBorders>
            <w:shd w:val="clear" w:color="auto" w:fill="CCECFF"/>
          </w:tcPr>
          <w:p>
            <w:pPr>
              <w:spacing w:after="0"/>
              <w:rPr>
                <w:sz w:val="11"/>
                <w:szCs w:val="11"/>
                <w:color w:val="auto"/>
              </w:rPr>
            </w:pPr>
          </w:p>
        </w:tc>
        <w:tc>
          <w:tcPr>
            <w:tcW w:w="5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40,632</w:t>
            </w:r>
          </w:p>
        </w:tc>
        <w:tc>
          <w:tcPr>
            <w:tcW w:w="22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auto"/>
            </w:tcBorders>
            <w:shd w:val="clear" w:color="auto" w:fill="CCECFF"/>
          </w:tcPr>
          <w:p>
            <w:pPr>
              <w:spacing w:after="0"/>
              <w:rPr>
                <w:sz w:val="11"/>
                <w:szCs w:val="11"/>
                <w:color w:val="auto"/>
              </w:rPr>
            </w:pPr>
          </w:p>
        </w:tc>
        <w:tc>
          <w:tcPr>
            <w:tcW w:w="5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40,616</w:t>
            </w:r>
          </w:p>
        </w:tc>
        <w:tc>
          <w:tcPr>
            <w:tcW w:w="10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340" w:type="dxa"/>
            <w:vAlign w:val="bottom"/>
            <w:gridSpan w:val="3"/>
          </w:tcPr>
          <w:p>
            <w:pPr>
              <w:ind w:left="20"/>
              <w:spacing w:after="0"/>
              <w:rPr>
                <w:sz w:val="20"/>
                <w:szCs w:val="20"/>
                <w:color w:val="auto"/>
              </w:rPr>
            </w:pPr>
            <w:r>
              <w:rPr>
                <w:rFonts w:ascii="Arial" w:cs="Arial" w:eastAsia="Arial" w:hAnsi="Arial"/>
                <w:sz w:val="11"/>
                <w:szCs w:val="11"/>
                <w:b w:val="1"/>
                <w:bCs w:val="1"/>
                <w:color w:val="auto"/>
              </w:rPr>
              <w:t>Total Investments and Cash Equivalents—250.9%</w:t>
            </w: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w w:val="97"/>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1,259,334</w:t>
            </w:r>
          </w:p>
        </w:tc>
        <w:tc>
          <w:tcPr>
            <w:tcW w:w="220" w:type="dxa"/>
            <w:vAlign w:val="bottom"/>
          </w:tcPr>
          <w:p>
            <w:pPr>
              <w:spacing w:after="0"/>
              <w:rPr>
                <w:sz w:val="11"/>
                <w:szCs w:val="11"/>
                <w:color w:val="auto"/>
              </w:rPr>
            </w:pPr>
          </w:p>
        </w:tc>
        <w:tc>
          <w:tcPr>
            <w:tcW w:w="16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w w:val="97"/>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1,267,058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34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340" w:type="dxa"/>
            <w:vAlign w:val="bottom"/>
            <w:tcBorders>
              <w:bottom w:val="single" w:sz="8" w:color="CCECFF"/>
            </w:tcBorders>
            <w:gridSpan w:val="3"/>
            <w:shd w:val="clear" w:color="auto" w:fill="CCECFF"/>
          </w:tcPr>
          <w:p>
            <w:pPr>
              <w:ind w:left="20"/>
              <w:spacing w:after="0" w:line="116" w:lineRule="exact"/>
              <w:rPr>
                <w:sz w:val="20"/>
                <w:szCs w:val="20"/>
                <w:color w:val="auto"/>
              </w:rPr>
            </w:pPr>
            <w:r>
              <w:rPr>
                <w:rFonts w:ascii="Arial" w:cs="Arial" w:eastAsia="Arial" w:hAnsi="Arial"/>
                <w:sz w:val="11"/>
                <w:szCs w:val="11"/>
                <w:b w:val="1"/>
                <w:bCs w:val="1"/>
                <w:color w:val="auto"/>
              </w:rPr>
              <w:t>Liabilities in Excess of Other Assets—(150.9)%</w:t>
            </w:r>
          </w:p>
        </w:tc>
        <w:tc>
          <w:tcPr>
            <w:tcW w:w="600" w:type="dxa"/>
            <w:vAlign w:val="bottom"/>
            <w:tcBorders>
              <w:bottom w:val="single" w:sz="8" w:color="CCECFF"/>
            </w:tcBorders>
            <w:shd w:val="clear" w:color="auto" w:fill="CCECFF"/>
          </w:tcPr>
          <w:p>
            <w:pPr>
              <w:spacing w:after="0"/>
              <w:rPr>
                <w:sz w:val="10"/>
                <w:szCs w:val="10"/>
                <w:color w:val="auto"/>
              </w:rPr>
            </w:pPr>
          </w:p>
        </w:tc>
        <w:tc>
          <w:tcPr>
            <w:tcW w:w="260" w:type="dxa"/>
            <w:vAlign w:val="bottom"/>
            <w:tcBorders>
              <w:bottom w:val="single" w:sz="8" w:color="CCECFF"/>
            </w:tcBorders>
            <w:shd w:val="clear" w:color="auto" w:fill="CCECFF"/>
          </w:tcPr>
          <w:p>
            <w:pPr>
              <w:spacing w:after="0"/>
              <w:rPr>
                <w:sz w:val="10"/>
                <w:szCs w:val="10"/>
                <w:color w:val="auto"/>
              </w:rPr>
            </w:pPr>
          </w:p>
        </w:tc>
        <w:tc>
          <w:tcPr>
            <w:tcW w:w="2200" w:type="dxa"/>
            <w:vAlign w:val="bottom"/>
            <w:tcBorders>
              <w:bottom w:val="single" w:sz="8" w:color="CCECFF"/>
            </w:tcBorders>
            <w:shd w:val="clear" w:color="auto" w:fill="CCECFF"/>
          </w:tcPr>
          <w:p>
            <w:pPr>
              <w:spacing w:after="0"/>
              <w:rPr>
                <w:sz w:val="10"/>
                <w:szCs w:val="10"/>
                <w:color w:val="auto"/>
              </w:rPr>
            </w:pPr>
          </w:p>
        </w:tc>
        <w:tc>
          <w:tcPr>
            <w:tcW w:w="120" w:type="dxa"/>
            <w:vAlign w:val="bottom"/>
            <w:tcBorders>
              <w:bottom w:val="single" w:sz="8" w:color="CCECFF"/>
            </w:tcBorders>
            <w:shd w:val="clear" w:color="auto" w:fill="CCECFF"/>
          </w:tcPr>
          <w:p>
            <w:pPr>
              <w:spacing w:after="0"/>
              <w:rPr>
                <w:sz w:val="10"/>
                <w:szCs w:val="10"/>
                <w:color w:val="auto"/>
              </w:rPr>
            </w:pPr>
          </w:p>
        </w:tc>
        <w:tc>
          <w:tcPr>
            <w:tcW w:w="720" w:type="dxa"/>
            <w:vAlign w:val="bottom"/>
            <w:tcBorders>
              <w:bottom w:val="single" w:sz="8" w:color="CCECFF"/>
            </w:tcBorders>
            <w:shd w:val="clear" w:color="auto" w:fill="CCECFF"/>
          </w:tcPr>
          <w:p>
            <w:pPr>
              <w:spacing w:after="0"/>
              <w:rPr>
                <w:sz w:val="10"/>
                <w:szCs w:val="10"/>
                <w:color w:val="auto"/>
              </w:rPr>
            </w:pPr>
          </w:p>
        </w:tc>
        <w:tc>
          <w:tcPr>
            <w:tcW w:w="240" w:type="dxa"/>
            <w:vAlign w:val="bottom"/>
            <w:tcBorders>
              <w:bottom w:val="single" w:sz="8" w:color="CCECFF"/>
            </w:tcBorders>
            <w:shd w:val="clear" w:color="auto" w:fill="CCECFF"/>
          </w:tcPr>
          <w:p>
            <w:pPr>
              <w:spacing w:after="0"/>
              <w:rPr>
                <w:sz w:val="10"/>
                <w:szCs w:val="10"/>
                <w:color w:val="auto"/>
              </w:rPr>
            </w:pPr>
          </w:p>
        </w:tc>
        <w:tc>
          <w:tcPr>
            <w:tcW w:w="920" w:type="dxa"/>
            <w:vAlign w:val="bottom"/>
            <w:tcBorders>
              <w:bottom w:val="single" w:sz="8" w:color="CCECFF"/>
            </w:tcBorders>
            <w:shd w:val="clear" w:color="auto" w:fill="CCECFF"/>
          </w:tcPr>
          <w:p>
            <w:pPr>
              <w:spacing w:after="0"/>
              <w:rPr>
                <w:sz w:val="10"/>
                <w:szCs w:val="10"/>
                <w:color w:val="auto"/>
              </w:rPr>
            </w:pPr>
          </w:p>
        </w:tc>
        <w:tc>
          <w:tcPr>
            <w:tcW w:w="200" w:type="dxa"/>
            <w:vAlign w:val="bottom"/>
            <w:tcBorders>
              <w:bottom w:val="single" w:sz="8" w:color="CCECFF"/>
            </w:tcBorders>
            <w:shd w:val="clear" w:color="auto" w:fill="CCECFF"/>
          </w:tcPr>
          <w:p>
            <w:pPr>
              <w:spacing w:after="0"/>
              <w:rPr>
                <w:sz w:val="10"/>
                <w:szCs w:val="10"/>
                <w:color w:val="auto"/>
              </w:rPr>
            </w:pPr>
          </w:p>
        </w:tc>
        <w:tc>
          <w:tcPr>
            <w:tcW w:w="700" w:type="dxa"/>
            <w:vAlign w:val="bottom"/>
            <w:tcBorders>
              <w:bottom w:val="single" w:sz="8" w:color="CCECFF"/>
            </w:tcBorders>
            <w:shd w:val="clear" w:color="auto" w:fill="CCECFF"/>
          </w:tcPr>
          <w:p>
            <w:pPr>
              <w:spacing w:after="0"/>
              <w:rPr>
                <w:sz w:val="10"/>
                <w:szCs w:val="10"/>
                <w:color w:val="auto"/>
              </w:rPr>
            </w:pPr>
          </w:p>
        </w:tc>
        <w:tc>
          <w:tcPr>
            <w:tcW w:w="220" w:type="dxa"/>
            <w:vAlign w:val="bottom"/>
            <w:tcBorders>
              <w:bottom w:val="single" w:sz="8" w:color="CCECFF"/>
            </w:tcBorders>
            <w:shd w:val="clear" w:color="auto" w:fill="CCECFF"/>
          </w:tcPr>
          <w:p>
            <w:pPr>
              <w:spacing w:after="0"/>
              <w:rPr>
                <w:sz w:val="10"/>
                <w:szCs w:val="10"/>
                <w:color w:val="auto"/>
              </w:rPr>
            </w:pPr>
          </w:p>
        </w:tc>
        <w:tc>
          <w:tcPr>
            <w:tcW w:w="160" w:type="dxa"/>
            <w:vAlign w:val="bottom"/>
            <w:tcBorders>
              <w:top w:val="single" w:sz="8" w:color="auto"/>
              <w:bottom w:val="single" w:sz="8" w:color="CCECFF"/>
            </w:tcBorders>
            <w:shd w:val="clear" w:color="auto" w:fill="CCECFF"/>
          </w:tcPr>
          <w:p>
            <w:pPr>
              <w:spacing w:after="0"/>
              <w:rPr>
                <w:sz w:val="10"/>
                <w:szCs w:val="10"/>
                <w:color w:val="auto"/>
              </w:rPr>
            </w:pPr>
          </w:p>
        </w:tc>
        <w:tc>
          <w:tcPr>
            <w:tcW w:w="540" w:type="dxa"/>
            <w:vAlign w:val="bottom"/>
            <w:tcBorders>
              <w:top w:val="single" w:sz="8" w:color="auto"/>
              <w:bottom w:val="single" w:sz="8" w:color="CCECFF"/>
            </w:tcBorders>
            <w:shd w:val="clear" w:color="auto" w:fill="CCECFF"/>
          </w:tcPr>
          <w:p>
            <w:pPr>
              <w:spacing w:after="0"/>
              <w:rPr>
                <w:sz w:val="10"/>
                <w:szCs w:val="10"/>
                <w:color w:val="auto"/>
              </w:rPr>
            </w:pPr>
          </w:p>
        </w:tc>
        <w:tc>
          <w:tcPr>
            <w:tcW w:w="220" w:type="dxa"/>
            <w:vAlign w:val="bottom"/>
            <w:tcBorders>
              <w:bottom w:val="single" w:sz="8" w:color="CCECFF"/>
            </w:tcBorders>
            <w:shd w:val="clear" w:color="auto" w:fill="CCECFF"/>
          </w:tcPr>
          <w:p>
            <w:pPr>
              <w:spacing w:after="0"/>
              <w:rPr>
                <w:sz w:val="10"/>
                <w:szCs w:val="10"/>
                <w:color w:val="auto"/>
              </w:rPr>
            </w:pPr>
          </w:p>
        </w:tc>
        <w:tc>
          <w:tcPr>
            <w:tcW w:w="160" w:type="dxa"/>
            <w:vAlign w:val="bottom"/>
            <w:tcBorders>
              <w:top w:val="single" w:sz="8" w:color="auto"/>
              <w:bottom w:val="single" w:sz="8" w:color="auto"/>
            </w:tcBorders>
            <w:shd w:val="clear" w:color="auto" w:fill="CCECFF"/>
          </w:tcPr>
          <w:p>
            <w:pPr>
              <w:spacing w:after="0"/>
              <w:rPr>
                <w:sz w:val="10"/>
                <w:szCs w:val="10"/>
                <w:color w:val="auto"/>
              </w:rPr>
            </w:pPr>
          </w:p>
        </w:tc>
        <w:tc>
          <w:tcPr>
            <w:tcW w:w="540" w:type="dxa"/>
            <w:vAlign w:val="bottom"/>
            <w:tcBorders>
              <w:top w:val="single" w:sz="8" w:color="auto"/>
              <w:bottom w:val="single" w:sz="8" w:color="auto"/>
            </w:tcBorders>
            <w:shd w:val="clear" w:color="auto" w:fill="CCECFF"/>
          </w:tcPr>
          <w:p>
            <w:pPr>
              <w:jc w:val="right"/>
              <w:spacing w:after="0" w:line="116" w:lineRule="exact"/>
              <w:rPr>
                <w:sz w:val="20"/>
                <w:szCs w:val="20"/>
                <w:color w:val="auto"/>
              </w:rPr>
            </w:pPr>
            <w:r>
              <w:rPr>
                <w:rFonts w:ascii="Arial" w:cs="Arial" w:eastAsia="Arial" w:hAnsi="Arial"/>
                <w:sz w:val="11"/>
                <w:szCs w:val="11"/>
                <w:color w:val="auto"/>
              </w:rPr>
              <w:t>(762,145</w:t>
            </w:r>
          </w:p>
        </w:tc>
        <w:tc>
          <w:tcPr>
            <w:tcW w:w="100" w:type="dxa"/>
            <w:vAlign w:val="bottom"/>
            <w:tcBorders>
              <w:bottom w:val="single" w:sz="8" w:color="CCECFF"/>
            </w:tcBorders>
            <w:shd w:val="clear" w:color="auto" w:fill="CCECFF"/>
          </w:tcPr>
          <w:p>
            <w:pPr>
              <w:jc w:val="right"/>
              <w:ind w:right="22"/>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28"/>
        </w:trPr>
        <w:tc>
          <w:tcPr>
            <w:tcW w:w="3340" w:type="dxa"/>
            <w:vAlign w:val="bottom"/>
            <w:gridSpan w:val="3"/>
          </w:tcPr>
          <w:p>
            <w:pPr>
              <w:ind w:left="20"/>
              <w:spacing w:after="0"/>
              <w:rPr>
                <w:sz w:val="20"/>
                <w:szCs w:val="20"/>
                <w:color w:val="auto"/>
              </w:rPr>
            </w:pPr>
            <w:r>
              <w:rPr>
                <w:rFonts w:ascii="Arial" w:cs="Arial" w:eastAsia="Arial" w:hAnsi="Arial"/>
                <w:sz w:val="11"/>
                <w:szCs w:val="11"/>
                <w:b w:val="1"/>
                <w:bCs w:val="1"/>
                <w:color w:val="auto"/>
              </w:rPr>
              <w:t>Net Assets—100.0%</w:t>
            </w: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gridSpan w:val="2"/>
          </w:tcPr>
          <w:p>
            <w:pPr>
              <w:jc w:val="right"/>
              <w:ind w:right="26"/>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504,913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-3908425</wp:posOffset>
            </wp:positionV>
            <wp:extent cx="7132320" cy="9398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-3728085</wp:posOffset>
            </wp:positionV>
            <wp:extent cx="7132320" cy="8572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-3556635</wp:posOffset>
            </wp:positionV>
            <wp:extent cx="7132320" cy="8572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-3213735</wp:posOffset>
            </wp:positionV>
            <wp:extent cx="7132320" cy="8572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-3042285</wp:posOffset>
            </wp:positionV>
            <wp:extent cx="7132320" cy="8572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-2870835</wp:posOffset>
            </wp:positionV>
            <wp:extent cx="7132320" cy="8572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-2699385</wp:posOffset>
            </wp:positionV>
            <wp:extent cx="7132320" cy="8572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-2527935</wp:posOffset>
            </wp:positionV>
            <wp:extent cx="7132320" cy="8572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-2356485</wp:posOffset>
            </wp:positionV>
            <wp:extent cx="7132320" cy="8572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-2028190</wp:posOffset>
            </wp:positionV>
            <wp:extent cx="68580" cy="571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-2028190</wp:posOffset>
            </wp:positionV>
            <wp:extent cx="68580" cy="571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-1927860</wp:posOffset>
            </wp:positionV>
            <wp:extent cx="7132320" cy="8572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-1756410</wp:posOffset>
            </wp:positionV>
            <wp:extent cx="7132320" cy="17145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-1499235</wp:posOffset>
            </wp:positionV>
            <wp:extent cx="7132320" cy="8572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-1230630</wp:posOffset>
            </wp:positionV>
            <wp:extent cx="68580" cy="571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-1230630</wp:posOffset>
            </wp:positionV>
            <wp:extent cx="68580" cy="571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-1139190</wp:posOffset>
            </wp:positionV>
            <wp:extent cx="7132320" cy="8572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-870585</wp:posOffset>
            </wp:positionV>
            <wp:extent cx="68580" cy="571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-870585</wp:posOffset>
            </wp:positionV>
            <wp:extent cx="68580" cy="571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-681990</wp:posOffset>
            </wp:positionV>
            <wp:extent cx="68580" cy="571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-681990</wp:posOffset>
            </wp:positionV>
            <wp:extent cx="68580" cy="571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-321945</wp:posOffset>
            </wp:positionV>
            <wp:extent cx="68580" cy="571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-321945</wp:posOffset>
            </wp:positionV>
            <wp:extent cx="68580" cy="571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-116205</wp:posOffset>
            </wp:positionV>
            <wp:extent cx="68580" cy="571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ind w:left="380" w:right="100" w:hanging="372"/>
        <w:spacing w:after="0" w:line="195" w:lineRule="auto"/>
        <w:tabs>
          <w:tab w:leader="none" w:pos="409" w:val="left"/>
        </w:tabs>
        <w:numPr>
          <w:ilvl w:val="0"/>
          <w:numId w:val="3"/>
        </w:numPr>
        <w:rPr>
          <w:rFonts w:ascii="Arial" w:cs="Arial" w:eastAsia="Arial" w:hAnsi="Arial"/>
          <w:sz w:val="16"/>
          <w:szCs w:val="16"/>
          <w:color w:val="auto"/>
          <w:vertAlign w:val="superscript"/>
        </w:rPr>
      </w:pPr>
      <w:r>
        <w:rPr>
          <w:rFonts w:ascii="Arial" w:cs="Arial" w:eastAsia="Arial" w:hAnsi="Arial"/>
          <w:sz w:val="12"/>
          <w:szCs w:val="12"/>
          <w:color w:val="auto"/>
        </w:rPr>
        <w:t>Represents floating rate instruments that accrue interest at a predetermined spread relative to an index, typically the applicable London Interbank Offered Rate, or LIBOR or “L”, Secured Overnight Financing Rate or "SOFR", or Prime rate, or “P.” The spread may change based on the type of rate used. The terms in the Schedule of Investments disclose the actual interest rate in effect as of the reporting period. LIBOR loans are typically indexed to a 30-day, 60-day, 90-day or 180-day LIBOR rate (1M L, 2M L, 3M L, or 6M L, respectively), at the borrower’s option. All securities are subject to a LIBOR or Prime rate floor where a spread is provided, unless noted. The spread provided includes payment-in-kind, or PIK, interest and other fee rates, if any.</w:t>
      </w:r>
    </w:p>
    <w:p>
      <w:pPr>
        <w:ind w:left="380" w:hanging="372"/>
        <w:spacing w:after="0" w:line="195" w:lineRule="auto"/>
        <w:tabs>
          <w:tab w:leader="none" w:pos="380" w:val="left"/>
        </w:tabs>
        <w:numPr>
          <w:ilvl w:val="0"/>
          <w:numId w:val="3"/>
        </w:numPr>
        <w:rPr>
          <w:rFonts w:ascii="Arial" w:cs="Arial" w:eastAsia="Arial" w:hAnsi="Arial"/>
          <w:sz w:val="13"/>
          <w:szCs w:val="13"/>
          <w:color w:val="auto"/>
          <w:vertAlign w:val="superscript"/>
        </w:rPr>
      </w:pPr>
      <w:r>
        <w:rPr>
          <w:rFonts w:ascii="Arial" w:cs="Arial" w:eastAsia="Arial" w:hAnsi="Arial"/>
          <w:sz w:val="10"/>
          <w:szCs w:val="10"/>
          <w:color w:val="auto"/>
        </w:rPr>
        <w:t>Valued based on our accounting policy (See Note 2). The value of all securities was determined using significant unobservable inputs (See Note 5).</w:t>
      </w:r>
    </w:p>
    <w:p>
      <w:pPr>
        <w:ind w:left="380" w:right="220" w:hanging="372"/>
        <w:spacing w:after="0" w:line="181" w:lineRule="auto"/>
        <w:tabs>
          <w:tab w:leader="none" w:pos="380" w:val="left"/>
        </w:tabs>
        <w:numPr>
          <w:ilvl w:val="0"/>
          <w:numId w:val="3"/>
        </w:numPr>
        <w:rPr>
          <w:rFonts w:ascii="Arial" w:cs="Arial" w:eastAsia="Arial" w:hAnsi="Arial"/>
          <w:sz w:val="16"/>
          <w:szCs w:val="16"/>
          <w:color w:val="auto"/>
          <w:vertAlign w:val="superscript"/>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ind w:left="380" w:hanging="372"/>
        <w:spacing w:after="0" w:line="181" w:lineRule="auto"/>
        <w:tabs>
          <w:tab w:leader="none" w:pos="380" w:val="left"/>
        </w:tabs>
        <w:numPr>
          <w:ilvl w:val="0"/>
          <w:numId w:val="3"/>
        </w:numPr>
        <w:rPr>
          <w:rFonts w:ascii="Arial" w:cs="Arial" w:eastAsia="Arial" w:hAnsi="Arial"/>
          <w:sz w:val="16"/>
          <w:szCs w:val="16"/>
          <w:color w:val="auto"/>
          <w:vertAlign w:val="superscript"/>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w:t>
      </w:r>
    </w:p>
    <w:p>
      <w:pPr>
        <w:ind w:left="380" w:hanging="372"/>
        <w:spacing w:after="0" w:line="195" w:lineRule="auto"/>
        <w:tabs>
          <w:tab w:leader="none" w:pos="380" w:val="left"/>
        </w:tabs>
        <w:numPr>
          <w:ilvl w:val="0"/>
          <w:numId w:val="3"/>
        </w:numPr>
        <w:rPr>
          <w:rFonts w:ascii="Arial" w:cs="Arial" w:eastAsia="Arial" w:hAnsi="Arial"/>
          <w:sz w:val="13"/>
          <w:szCs w:val="13"/>
          <w:color w:val="auto"/>
          <w:vertAlign w:val="superscript"/>
        </w:rPr>
      </w:pPr>
      <w:r>
        <w:rPr>
          <w:rFonts w:ascii="Arial" w:cs="Arial" w:eastAsia="Arial" w:hAnsi="Arial"/>
          <w:sz w:val="10"/>
          <w:szCs w:val="10"/>
          <w:color w:val="auto"/>
        </w:rPr>
        <w:t>Non-U.S. company or principal place of business outside the United States.</w:t>
      </w:r>
    </w:p>
    <w:p>
      <w:pPr>
        <w:ind w:left="380" w:hanging="372"/>
        <w:spacing w:after="0" w:line="195" w:lineRule="auto"/>
        <w:tabs>
          <w:tab w:leader="none" w:pos="380" w:val="left"/>
        </w:tabs>
        <w:numPr>
          <w:ilvl w:val="0"/>
          <w:numId w:val="3"/>
        </w:numPr>
        <w:rPr>
          <w:rFonts w:ascii="Arial" w:cs="Arial" w:eastAsia="Arial" w:hAnsi="Arial"/>
          <w:sz w:val="13"/>
          <w:szCs w:val="13"/>
          <w:color w:val="auto"/>
          <w:vertAlign w:val="superscript"/>
        </w:rPr>
      </w:pPr>
      <w:r>
        <w:rPr>
          <w:rFonts w:ascii="Arial" w:cs="Arial" w:eastAsia="Arial" w:hAnsi="Arial"/>
          <w:sz w:val="10"/>
          <w:szCs w:val="10"/>
          <w:color w:val="auto"/>
        </w:rPr>
        <w:t>Non-income producing securities.</w:t>
      </w:r>
    </w:p>
    <w:p>
      <w:pPr>
        <w:ind w:left="380" w:hanging="372"/>
        <w:spacing w:after="0" w:line="195" w:lineRule="auto"/>
        <w:tabs>
          <w:tab w:leader="none" w:pos="380" w:val="left"/>
        </w:tabs>
        <w:numPr>
          <w:ilvl w:val="0"/>
          <w:numId w:val="3"/>
        </w:numPr>
        <w:rPr>
          <w:rFonts w:ascii="Arial" w:cs="Arial" w:eastAsia="Arial" w:hAnsi="Arial"/>
          <w:sz w:val="13"/>
          <w:szCs w:val="13"/>
          <w:color w:val="auto"/>
          <w:vertAlign w:val="superscript"/>
        </w:rPr>
      </w:pPr>
      <w:r>
        <w:rPr>
          <w:rFonts w:ascii="Arial" w:cs="Arial" w:eastAsia="Arial" w:hAnsi="Arial"/>
          <w:sz w:val="10"/>
          <w:szCs w:val="10"/>
          <w:color w:val="auto"/>
        </w:rPr>
        <w:t>The securities, or a portion thereof, are not 1) pledged as collateral under the Credit Facility and held through Funding I; or, 2) securing the 2031 Asset-Backed Debt (See Note 10) and held through PennantPark CLO I, Ltd.</w:t>
      </w:r>
    </w:p>
    <w:p>
      <w:pPr>
        <w:ind w:left="380" w:hanging="372"/>
        <w:spacing w:after="0" w:line="195" w:lineRule="auto"/>
        <w:tabs>
          <w:tab w:leader="none" w:pos="380" w:val="left"/>
        </w:tabs>
        <w:numPr>
          <w:ilvl w:val="0"/>
          <w:numId w:val="3"/>
        </w:numPr>
        <w:rPr>
          <w:rFonts w:ascii="Arial" w:cs="Arial" w:eastAsia="Arial" w:hAnsi="Arial"/>
          <w:sz w:val="13"/>
          <w:szCs w:val="13"/>
          <w:color w:val="auto"/>
          <w:vertAlign w:val="superscript"/>
        </w:rPr>
      </w:pPr>
      <w:r>
        <w:rPr>
          <w:rFonts w:ascii="Arial" w:cs="Arial" w:eastAsia="Arial" w:hAnsi="Arial"/>
          <w:sz w:val="10"/>
          <w:szCs w:val="10"/>
          <w:color w:val="auto"/>
        </w:rPr>
        <w:t>Investment is held through our Taxable Subsidiary (See Note 1).</w:t>
      </w:r>
    </w:p>
    <w:p>
      <w:pPr>
        <w:ind w:left="380" w:hanging="372"/>
        <w:spacing w:after="0" w:line="195" w:lineRule="auto"/>
        <w:tabs>
          <w:tab w:leader="none" w:pos="380" w:val="left"/>
        </w:tabs>
        <w:numPr>
          <w:ilvl w:val="0"/>
          <w:numId w:val="3"/>
        </w:numPr>
        <w:rPr>
          <w:rFonts w:ascii="Arial" w:cs="Arial" w:eastAsia="Arial" w:hAnsi="Arial"/>
          <w:sz w:val="13"/>
          <w:szCs w:val="13"/>
          <w:color w:val="auto"/>
          <w:vertAlign w:val="superscript"/>
        </w:rPr>
      </w:pPr>
      <w:r>
        <w:rPr>
          <w:rFonts w:ascii="Arial" w:cs="Arial" w:eastAsia="Arial" w:hAnsi="Arial"/>
          <w:sz w:val="10"/>
          <w:szCs w:val="10"/>
          <w:color w:val="auto"/>
        </w:rPr>
        <w:t>Represents the purchase of a security with delayed settlement or a revolving line of credit that is currently an unfunded investment. This security does not earn a basis point spread above an index while it is unfunded.</w:t>
      </w:r>
    </w:p>
    <w:p>
      <w:pPr>
        <w:ind w:left="380" w:right="20" w:hanging="372"/>
        <w:spacing w:after="0" w:line="181" w:lineRule="auto"/>
        <w:tabs>
          <w:tab w:leader="none" w:pos="380" w:val="left"/>
        </w:tabs>
        <w:numPr>
          <w:ilvl w:val="0"/>
          <w:numId w:val="3"/>
        </w:numPr>
        <w:rPr>
          <w:rFonts w:ascii="Arial" w:cs="Arial" w:eastAsia="Arial" w:hAnsi="Arial"/>
          <w:sz w:val="16"/>
          <w:szCs w:val="16"/>
          <w:color w:val="auto"/>
          <w:vertAlign w:val="superscript"/>
        </w:rPr>
      </w:pPr>
      <w:r>
        <w:rPr>
          <w:rFonts w:ascii="Arial" w:cs="Arial" w:eastAsia="Arial" w:hAnsi="Arial"/>
          <w:sz w:val="12"/>
          <w:szCs w:val="12"/>
          <w:color w:val="auto"/>
        </w:rPr>
        <w:t>The investment is treated as a non-qualifying asset under Section 55(a) of the 1940 Act. Under the 1940 Act, we may not acquire any non-qualifying asset unless, at the time the acquisition is made, qualifying assets represent at least 70% of our total assets. As of June 30, 2022, qualifying assets represent 78% of our total assets and non-qualifying assets represent 22% of our total assets.</w:t>
      </w:r>
    </w:p>
    <w:p>
      <w:pPr>
        <w:ind w:left="380" w:hanging="372"/>
        <w:spacing w:after="0" w:line="199" w:lineRule="auto"/>
        <w:tabs>
          <w:tab w:leader="none" w:pos="380" w:val="left"/>
        </w:tabs>
        <w:numPr>
          <w:ilvl w:val="0"/>
          <w:numId w:val="3"/>
        </w:numPr>
        <w:rPr>
          <w:rFonts w:ascii="Arial" w:cs="Arial" w:eastAsia="Arial" w:hAnsi="Arial"/>
          <w:sz w:val="13"/>
          <w:szCs w:val="13"/>
          <w:color w:val="auto"/>
          <w:vertAlign w:val="superscript"/>
        </w:rPr>
      </w:pPr>
      <w:r>
        <w:rPr>
          <w:rFonts w:ascii="Arial" w:cs="Arial" w:eastAsia="Arial" w:hAnsi="Arial"/>
          <w:sz w:val="10"/>
          <w:szCs w:val="10"/>
          <w:color w:val="auto"/>
        </w:rPr>
        <w:t>Par amount is denominated in Australian Dollars (AUD) as denoted.</w:t>
      </w: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SCHEDULE OF INVESTMENTS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SEPTEMBER 30, 2021</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data)</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gridSpan w:val="2"/>
          </w:tcPr>
          <w:p>
            <w:pPr>
              <w:jc w:val="center"/>
              <w:spacing w:after="0"/>
              <w:rPr>
                <w:sz w:val="20"/>
                <w:szCs w:val="20"/>
                <w:color w:val="auto"/>
              </w:rPr>
            </w:pPr>
            <w:r>
              <w:rPr>
                <w:rFonts w:ascii="Arial" w:cs="Arial" w:eastAsia="Arial" w:hAnsi="Arial"/>
                <w:sz w:val="11"/>
                <w:szCs w:val="11"/>
                <w:b w:val="1"/>
                <w:bCs w:val="1"/>
                <w:color w:val="auto"/>
                <w:w w:val="86"/>
              </w:rPr>
              <w:t>Basis Point</w:t>
            </w: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gridSpan w:val="2"/>
            <w:vMerge w:val="restart"/>
          </w:tcPr>
          <w:p>
            <w:pPr>
              <w:jc w:val="right"/>
              <w:ind w:right="280"/>
              <w:spacing w:after="0"/>
              <w:rPr>
                <w:sz w:val="20"/>
                <w:szCs w:val="20"/>
                <w:color w:val="auto"/>
              </w:rPr>
            </w:pPr>
            <w:r>
              <w:rPr>
                <w:rFonts w:ascii="Arial" w:cs="Arial" w:eastAsia="Arial" w:hAnsi="Arial"/>
                <w:sz w:val="11"/>
                <w:szCs w:val="11"/>
                <w:b w:val="1"/>
                <w:bCs w:val="1"/>
                <w:color w:val="auto"/>
              </w:rPr>
              <w:t>Current</w:t>
            </w:r>
          </w:p>
        </w:tc>
        <w:tc>
          <w:tcPr>
            <w:tcW w:w="160" w:type="dxa"/>
            <w:vAlign w:val="bottom"/>
          </w:tcPr>
          <w:p>
            <w:pPr>
              <w:spacing w:after="0"/>
              <w:rPr>
                <w:sz w:val="9"/>
                <w:szCs w:val="9"/>
                <w:color w:val="auto"/>
              </w:rPr>
            </w:pPr>
          </w:p>
        </w:tc>
        <w:tc>
          <w:tcPr>
            <w:tcW w:w="660" w:type="dxa"/>
            <w:vAlign w:val="bottom"/>
          </w:tcPr>
          <w:p>
            <w:pPr>
              <w:jc w:val="center"/>
              <w:ind w:left="286"/>
              <w:spacing w:after="0" w:line="108" w:lineRule="exact"/>
              <w:rPr>
                <w:sz w:val="20"/>
                <w:szCs w:val="20"/>
                <w:color w:val="auto"/>
              </w:rPr>
            </w:pPr>
            <w:r>
              <w:rPr>
                <w:rFonts w:ascii="Arial" w:cs="Arial" w:eastAsia="Arial" w:hAnsi="Arial"/>
                <w:sz w:val="11"/>
                <w:szCs w:val="11"/>
                <w:b w:val="1"/>
                <w:bCs w:val="1"/>
                <w:color w:val="auto"/>
                <w:w w:val="85"/>
              </w:rPr>
              <w:t>Spread</w:t>
            </w: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vMerge w:val="restart"/>
          </w:tcPr>
          <w:p>
            <w:pPr>
              <w:jc w:val="right"/>
              <w:ind w:right="166"/>
              <w:spacing w:after="0"/>
              <w:rPr>
                <w:sz w:val="20"/>
                <w:szCs w:val="20"/>
                <w:color w:val="auto"/>
              </w:rPr>
            </w:pPr>
            <w:r>
              <w:rPr>
                <w:rFonts w:ascii="Arial" w:cs="Arial" w:eastAsia="Arial" w:hAnsi="Arial"/>
                <w:sz w:val="11"/>
                <w:szCs w:val="11"/>
                <w:b w:val="1"/>
                <w:bCs w:val="1"/>
                <w:color w:val="auto"/>
              </w:rPr>
              <w:t>Par /</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jc w:val="right"/>
              <w:spacing w:after="0" w:line="108" w:lineRule="exact"/>
              <w:rPr>
                <w:sz w:val="20"/>
                <w:szCs w:val="20"/>
                <w:color w:val="auto"/>
              </w:rPr>
            </w:pPr>
            <w:r>
              <w:rPr>
                <w:rFonts w:ascii="Arial" w:cs="Arial" w:eastAsia="Arial" w:hAnsi="Arial"/>
                <w:sz w:val="11"/>
                <w:szCs w:val="11"/>
                <w:b w:val="1"/>
                <w:bCs w:val="1"/>
                <w:color w:val="auto"/>
              </w:rPr>
              <w:t>Above</w:t>
            </w: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20" w:type="dxa"/>
            <w:vAlign w:val="bottom"/>
            <w:gridSpan w:val="4"/>
            <w:vMerge w:val="restart"/>
          </w:tcPr>
          <w:p>
            <w:pPr>
              <w:jc w:val="right"/>
              <w:ind w:right="160"/>
              <w:spacing w:after="0"/>
              <w:rPr>
                <w:sz w:val="20"/>
                <w:szCs w:val="20"/>
                <w:color w:val="auto"/>
              </w:rPr>
            </w:pPr>
            <w:r>
              <w:rPr>
                <w:rFonts w:ascii="Arial" w:cs="Arial" w:eastAsia="Arial" w:hAnsi="Arial"/>
                <w:sz w:val="11"/>
                <w:szCs w:val="11"/>
                <w:b w:val="1"/>
                <w:bCs w:val="1"/>
                <w:color w:val="auto"/>
              </w:rPr>
              <w:t xml:space="preserve">x Fair Value </w:t>
            </w:r>
            <w:r>
              <w:rPr>
                <w:rFonts w:ascii="Arial" w:cs="Arial" w:eastAsia="Arial" w:hAnsi="Arial"/>
                <w:sz w:val="14"/>
                <w:szCs w:val="14"/>
                <w:b w:val="1"/>
                <w:bCs w:val="1"/>
                <w:color w:val="auto"/>
                <w:vertAlign w:val="superscript"/>
              </w:rPr>
              <w:t>(2)</w:t>
            </w:r>
          </w:p>
        </w:tc>
        <w:tc>
          <w:tcPr>
            <w:tcW w:w="0" w:type="dxa"/>
            <w:vAlign w:val="bottom"/>
          </w:tcPr>
          <w:p>
            <w:pPr>
              <w:spacing w:after="0"/>
              <w:rPr>
                <w:sz w:val="1"/>
                <w:szCs w:val="1"/>
                <w:color w:val="auto"/>
              </w:rPr>
            </w:pPr>
          </w:p>
        </w:tc>
      </w:tr>
      <w:tr>
        <w:trPr>
          <w:trHeight w:val="142"/>
        </w:trPr>
        <w:tc>
          <w:tcPr>
            <w:tcW w:w="3200" w:type="dxa"/>
            <w:vAlign w:val="bottom"/>
          </w:tcPr>
          <w:p>
            <w:pPr>
              <w:ind w:left="20"/>
              <w:spacing w:after="0"/>
              <w:rPr>
                <w:sz w:val="20"/>
                <w:szCs w:val="20"/>
                <w:color w:val="auto"/>
              </w:rPr>
            </w:pPr>
            <w:r>
              <w:rPr>
                <w:rFonts w:ascii="Arial" w:cs="Arial" w:eastAsia="Arial" w:hAnsi="Arial"/>
                <w:sz w:val="11"/>
                <w:szCs w:val="11"/>
                <w:b w:val="1"/>
                <w:bCs w:val="1"/>
                <w:color w:val="auto"/>
              </w:rPr>
              <w:t>Issuer Name</w:t>
            </w:r>
          </w:p>
        </w:tc>
        <w:tc>
          <w:tcPr>
            <w:tcW w:w="860" w:type="dxa"/>
            <w:vAlign w:val="bottom"/>
            <w:gridSpan w:val="2"/>
          </w:tcPr>
          <w:p>
            <w:pPr>
              <w:jc w:val="center"/>
              <w:ind w:right="20"/>
              <w:spacing w:after="0"/>
              <w:rPr>
                <w:sz w:val="20"/>
                <w:szCs w:val="20"/>
                <w:color w:val="auto"/>
              </w:rPr>
            </w:pPr>
            <w:r>
              <w:rPr>
                <w:rFonts w:ascii="Arial" w:cs="Arial" w:eastAsia="Arial" w:hAnsi="Arial"/>
                <w:sz w:val="11"/>
                <w:szCs w:val="11"/>
                <w:b w:val="1"/>
                <w:bCs w:val="1"/>
                <w:color w:val="auto"/>
              </w:rPr>
              <w:t>x   Maturity   x</w:t>
            </w:r>
          </w:p>
        </w:tc>
        <w:tc>
          <w:tcPr>
            <w:tcW w:w="2260" w:type="dxa"/>
            <w:vAlign w:val="bottom"/>
          </w:tcPr>
          <w:p>
            <w:pPr>
              <w:jc w:val="center"/>
              <w:spacing w:after="0"/>
              <w:rPr>
                <w:sz w:val="20"/>
                <w:szCs w:val="20"/>
                <w:color w:val="auto"/>
              </w:rPr>
            </w:pPr>
            <w:r>
              <w:rPr>
                <w:rFonts w:ascii="Arial" w:cs="Arial" w:eastAsia="Arial" w:hAnsi="Arial"/>
                <w:sz w:val="11"/>
                <w:szCs w:val="11"/>
                <w:b w:val="1"/>
                <w:bCs w:val="1"/>
                <w:color w:val="auto"/>
                <w:w w:val="92"/>
              </w:rPr>
              <w:t>Industry</w:t>
            </w:r>
          </w:p>
        </w:tc>
        <w:tc>
          <w:tcPr>
            <w:tcW w:w="120" w:type="dxa"/>
            <w:vAlign w:val="bottom"/>
          </w:tcPr>
          <w:p>
            <w:pPr>
              <w:ind w:left="20"/>
              <w:spacing w:after="0"/>
              <w:rPr>
                <w:sz w:val="20"/>
                <w:szCs w:val="20"/>
                <w:color w:val="auto"/>
              </w:rPr>
            </w:pPr>
            <w:r>
              <w:rPr>
                <w:rFonts w:ascii="Arial" w:cs="Arial" w:eastAsia="Arial" w:hAnsi="Arial"/>
                <w:sz w:val="11"/>
                <w:szCs w:val="11"/>
                <w:b w:val="1"/>
                <w:bCs w:val="1"/>
                <w:color w:val="auto"/>
              </w:rPr>
              <w:t>x</w:t>
            </w:r>
          </w:p>
        </w:tc>
        <w:tc>
          <w:tcPr>
            <w:tcW w:w="820" w:type="dxa"/>
            <w:vAlign w:val="bottom"/>
            <w:gridSpan w:val="2"/>
          </w:tcPr>
          <w:p>
            <w:pPr>
              <w:jc w:val="right"/>
              <w:ind w:right="280"/>
              <w:spacing w:after="0"/>
              <w:rPr>
                <w:sz w:val="20"/>
                <w:szCs w:val="20"/>
                <w:color w:val="auto"/>
              </w:rPr>
            </w:pPr>
            <w:r>
              <w:rPr>
                <w:rFonts w:ascii="Arial" w:cs="Arial" w:eastAsia="Arial" w:hAnsi="Arial"/>
                <w:sz w:val="11"/>
                <w:szCs w:val="11"/>
                <w:b w:val="1"/>
                <w:bCs w:val="1"/>
                <w:color w:val="auto"/>
              </w:rPr>
              <w:t>Coupon</w:t>
            </w:r>
          </w:p>
        </w:tc>
        <w:tc>
          <w:tcPr>
            <w:tcW w:w="160" w:type="dxa"/>
            <w:vAlign w:val="bottom"/>
          </w:tcPr>
          <w:p>
            <w:pPr>
              <w:jc w:val="right"/>
              <w:spacing w:after="0"/>
              <w:rPr>
                <w:sz w:val="20"/>
                <w:szCs w:val="20"/>
                <w:color w:val="auto"/>
              </w:rPr>
            </w:pPr>
            <w:r>
              <w:rPr>
                <w:rFonts w:ascii="Arial" w:cs="Arial" w:eastAsia="Arial" w:hAnsi="Arial"/>
                <w:sz w:val="11"/>
                <w:szCs w:val="11"/>
                <w:b w:val="1"/>
                <w:bCs w:val="1"/>
                <w:color w:val="auto"/>
              </w:rPr>
              <w:t>x</w:t>
            </w:r>
          </w:p>
        </w:tc>
        <w:tc>
          <w:tcPr>
            <w:tcW w:w="980" w:type="dxa"/>
            <w:vAlign w:val="bottom"/>
            <w:gridSpan w:val="2"/>
          </w:tcPr>
          <w:p>
            <w:pPr>
              <w:jc w:val="center"/>
              <w:spacing w:after="0" w:line="130" w:lineRule="exact"/>
              <w:rPr>
                <w:sz w:val="20"/>
                <w:szCs w:val="20"/>
                <w:color w:val="auto"/>
              </w:rPr>
            </w:pPr>
            <w:r>
              <w:rPr>
                <w:rFonts w:ascii="Arial" w:cs="Arial" w:eastAsia="Arial" w:hAnsi="Arial"/>
                <w:sz w:val="11"/>
                <w:szCs w:val="11"/>
                <w:b w:val="1"/>
                <w:bCs w:val="1"/>
                <w:color w:val="auto"/>
                <w:w w:val="83"/>
              </w:rPr>
              <w:t xml:space="preserve">Index </w:t>
            </w:r>
            <w:r>
              <w:rPr>
                <w:rFonts w:ascii="Arial" w:cs="Arial" w:eastAsia="Arial" w:hAnsi="Arial"/>
                <w:sz w:val="14"/>
                <w:szCs w:val="14"/>
                <w:b w:val="1"/>
                <w:bCs w:val="1"/>
                <w:color w:val="auto"/>
                <w:w w:val="83"/>
                <w:vertAlign w:val="superscript"/>
              </w:rPr>
              <w:t>(1)</w:t>
            </w:r>
          </w:p>
        </w:tc>
        <w:tc>
          <w:tcPr>
            <w:tcW w:w="200" w:type="dxa"/>
            <w:vAlign w:val="bottom"/>
          </w:tcPr>
          <w:p>
            <w:pPr>
              <w:ind w:left="120"/>
              <w:spacing w:after="0"/>
              <w:rPr>
                <w:sz w:val="20"/>
                <w:szCs w:val="20"/>
                <w:color w:val="auto"/>
              </w:rPr>
            </w:pPr>
            <w:r>
              <w:rPr>
                <w:rFonts w:ascii="Arial" w:cs="Arial" w:eastAsia="Arial" w:hAnsi="Arial"/>
                <w:sz w:val="11"/>
                <w:szCs w:val="11"/>
                <w:b w:val="1"/>
                <w:bCs w:val="1"/>
                <w:color w:val="auto"/>
                <w:w w:val="97"/>
              </w:rPr>
              <w:t>x</w:t>
            </w:r>
          </w:p>
        </w:tc>
        <w:tc>
          <w:tcPr>
            <w:tcW w:w="700" w:type="dxa"/>
            <w:vAlign w:val="bottom"/>
          </w:tcPr>
          <w:p>
            <w:pPr>
              <w:jc w:val="right"/>
              <w:ind w:right="126"/>
              <w:spacing w:after="0"/>
              <w:rPr>
                <w:sz w:val="20"/>
                <w:szCs w:val="20"/>
                <w:color w:val="auto"/>
              </w:rPr>
            </w:pPr>
            <w:r>
              <w:rPr>
                <w:rFonts w:ascii="Arial" w:cs="Arial" w:eastAsia="Arial" w:hAnsi="Arial"/>
                <w:sz w:val="11"/>
                <w:szCs w:val="11"/>
                <w:b w:val="1"/>
                <w:bCs w:val="1"/>
                <w:color w:val="auto"/>
              </w:rPr>
              <w:t>Shares</w:t>
            </w:r>
          </w:p>
        </w:tc>
        <w:tc>
          <w:tcPr>
            <w:tcW w:w="380" w:type="dxa"/>
            <w:vAlign w:val="bottom"/>
            <w:gridSpan w:val="2"/>
          </w:tcPr>
          <w:p>
            <w:pPr>
              <w:jc w:val="right"/>
              <w:ind w:right="180"/>
              <w:spacing w:after="0"/>
              <w:rPr>
                <w:sz w:val="20"/>
                <w:szCs w:val="20"/>
                <w:color w:val="auto"/>
              </w:rPr>
            </w:pPr>
            <w:r>
              <w:rPr>
                <w:rFonts w:ascii="Arial" w:cs="Arial" w:eastAsia="Arial" w:hAnsi="Arial"/>
                <w:sz w:val="11"/>
                <w:szCs w:val="11"/>
                <w:b w:val="1"/>
                <w:bCs w:val="1"/>
                <w:color w:val="auto"/>
              </w:rPr>
              <w:t>x</w:t>
            </w:r>
          </w:p>
        </w:tc>
        <w:tc>
          <w:tcPr>
            <w:tcW w:w="540" w:type="dxa"/>
            <w:vAlign w:val="bottom"/>
          </w:tcPr>
          <w:p>
            <w:pPr>
              <w:jc w:val="right"/>
              <w:ind w:right="186"/>
              <w:spacing w:after="0"/>
              <w:rPr>
                <w:sz w:val="20"/>
                <w:szCs w:val="20"/>
                <w:color w:val="auto"/>
              </w:rPr>
            </w:pPr>
            <w:r>
              <w:rPr>
                <w:rFonts w:ascii="Arial" w:cs="Arial" w:eastAsia="Arial" w:hAnsi="Arial"/>
                <w:sz w:val="11"/>
                <w:szCs w:val="11"/>
                <w:b w:val="1"/>
                <w:bCs w:val="1"/>
                <w:color w:val="auto"/>
              </w:rPr>
              <w:t>Cost</w:t>
            </w:r>
          </w:p>
        </w:tc>
        <w:tc>
          <w:tcPr>
            <w:tcW w:w="102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94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w w:val="91"/>
              </w:rPr>
              <w:t xml:space="preserve">Investments in Non-Controlled, Non-Affiliated Portfolio Companies—174.6% </w:t>
            </w:r>
            <w:r>
              <w:rPr>
                <w:rFonts w:ascii="Arial" w:cs="Arial" w:eastAsia="Arial" w:hAnsi="Arial"/>
                <w:sz w:val="14"/>
                <w:szCs w:val="14"/>
                <w:b w:val="1"/>
                <w:bCs w:val="1"/>
                <w:color w:val="auto"/>
                <w:w w:val="91"/>
                <w:vertAlign w:val="superscript"/>
              </w:rPr>
              <w:t>(3), (4)</w:t>
            </w:r>
          </w:p>
        </w:tc>
        <w:tc>
          <w:tcPr>
            <w:tcW w:w="120" w:type="dxa"/>
            <w:vAlign w:val="bottom"/>
          </w:tcPr>
          <w:p>
            <w:pPr>
              <w:spacing w:after="0"/>
              <w:rPr>
                <w:sz w:val="10"/>
                <w:szCs w:val="10"/>
                <w:color w:val="auto"/>
              </w:rPr>
            </w:pPr>
          </w:p>
        </w:tc>
        <w:tc>
          <w:tcPr>
            <w:tcW w:w="22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200" w:type="dxa"/>
            <w:vAlign w:val="bottom"/>
          </w:tcPr>
          <w:p>
            <w:pPr>
              <w:ind w:left="20"/>
              <w:spacing w:after="0"/>
              <w:rPr>
                <w:sz w:val="20"/>
                <w:szCs w:val="20"/>
                <w:color w:val="auto"/>
              </w:rPr>
            </w:pPr>
            <w:r>
              <w:rPr>
                <w:rFonts w:ascii="Arial" w:cs="Arial" w:eastAsia="Arial" w:hAnsi="Arial"/>
                <w:sz w:val="11"/>
                <w:szCs w:val="11"/>
                <w:b w:val="1"/>
                <w:bCs w:val="1"/>
                <w:color w:val="auto"/>
              </w:rPr>
              <w:t>First Lien Secured Debt—155.8%</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200" w:type="dxa"/>
            <w:vAlign w:val="bottom"/>
            <w:shd w:val="clear" w:color="auto" w:fill="CCECFF"/>
          </w:tcPr>
          <w:p>
            <w:pPr>
              <w:ind w:left="20"/>
              <w:spacing w:after="0"/>
              <w:rPr>
                <w:sz w:val="20"/>
                <w:szCs w:val="20"/>
                <w:color w:val="auto"/>
              </w:rPr>
            </w:pPr>
            <w:r>
              <w:rPr>
                <w:rFonts w:ascii="Arial" w:cs="Arial" w:eastAsia="Arial" w:hAnsi="Arial"/>
                <w:sz w:val="11"/>
                <w:szCs w:val="11"/>
                <w:color w:val="auto"/>
              </w:rPr>
              <w:t>18 Freemont Street Acquisition, LLC</w:t>
            </w:r>
          </w:p>
        </w:tc>
        <w:tc>
          <w:tcPr>
            <w:tcW w:w="740" w:type="dxa"/>
            <w:vAlign w:val="bottom"/>
            <w:shd w:val="clear" w:color="auto" w:fill="CCECFF"/>
          </w:tcPr>
          <w:p>
            <w:pPr>
              <w:jc w:val="center"/>
              <w:ind w:left="66"/>
              <w:spacing w:after="0"/>
              <w:rPr>
                <w:sz w:val="20"/>
                <w:szCs w:val="20"/>
                <w:color w:val="auto"/>
              </w:rPr>
            </w:pPr>
            <w:r>
              <w:rPr>
                <w:rFonts w:ascii="Arial" w:cs="Arial" w:eastAsia="Arial" w:hAnsi="Arial"/>
                <w:sz w:val="11"/>
                <w:szCs w:val="11"/>
                <w:color w:val="auto"/>
                <w:w w:val="90"/>
              </w:rPr>
              <w:t>08/11/2025</w:t>
            </w:r>
          </w:p>
        </w:tc>
        <w:tc>
          <w:tcPr>
            <w:tcW w:w="120" w:type="dxa"/>
            <w:vAlign w:val="bottom"/>
            <w:shd w:val="clear" w:color="auto" w:fill="CCECFF"/>
          </w:tcPr>
          <w:p>
            <w:pPr>
              <w:spacing w:after="0"/>
              <w:rPr>
                <w:sz w:val="12"/>
                <w:szCs w:val="12"/>
                <w:color w:val="auto"/>
              </w:rPr>
            </w:pPr>
          </w:p>
        </w:tc>
        <w:tc>
          <w:tcPr>
            <w:tcW w:w="22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Hotels, Restaurants and Leisure</w:t>
            </w:r>
          </w:p>
        </w:tc>
        <w:tc>
          <w:tcPr>
            <w:tcW w:w="120" w:type="dxa"/>
            <w:vAlign w:val="bottom"/>
            <w:shd w:val="clear" w:color="auto" w:fill="CCECFF"/>
          </w:tcPr>
          <w:p>
            <w:pPr>
              <w:spacing w:after="0"/>
              <w:rPr>
                <w:sz w:val="12"/>
                <w:szCs w:val="12"/>
                <w:color w:val="auto"/>
              </w:rPr>
            </w:pPr>
          </w:p>
        </w:tc>
        <w:tc>
          <w:tcPr>
            <w:tcW w:w="8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9.50 %</w:t>
            </w:r>
          </w:p>
        </w:tc>
        <w:tc>
          <w:tcPr>
            <w:tcW w:w="160" w:type="dxa"/>
            <w:vAlign w:val="bottom"/>
            <w:shd w:val="clear" w:color="auto" w:fill="CCECFF"/>
          </w:tcPr>
          <w:p>
            <w:pPr>
              <w:spacing w:after="0"/>
              <w:rPr>
                <w:sz w:val="12"/>
                <w:szCs w:val="12"/>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w:t>
            </w:r>
          </w:p>
        </w:tc>
        <w:tc>
          <w:tcPr>
            <w:tcW w:w="32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0"/>
              </w:rPr>
              <w:t>L+800</w:t>
            </w:r>
          </w:p>
        </w:tc>
        <w:tc>
          <w:tcPr>
            <w:tcW w:w="20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5,996</w:t>
            </w:r>
          </w:p>
        </w:tc>
        <w:tc>
          <w:tcPr>
            <w:tcW w:w="38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5,910</w:t>
            </w:r>
          </w:p>
        </w:tc>
        <w:tc>
          <w:tcPr>
            <w:tcW w:w="44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c>
          <w:tcPr>
            <w:tcW w:w="4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6,101</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3200" w:type="dxa"/>
            <w:vAlign w:val="bottom"/>
          </w:tcPr>
          <w:p>
            <w:pPr>
              <w:ind w:left="20"/>
              <w:spacing w:after="0" w:line="105" w:lineRule="exact"/>
              <w:rPr>
                <w:sz w:val="20"/>
                <w:szCs w:val="20"/>
                <w:color w:val="auto"/>
              </w:rPr>
            </w:pPr>
            <w:r>
              <w:rPr>
                <w:rFonts w:ascii="Arial" w:cs="Arial" w:eastAsia="Arial" w:hAnsi="Arial"/>
                <w:sz w:val="11"/>
                <w:szCs w:val="11"/>
                <w:color w:val="auto"/>
              </w:rPr>
              <w:t>Ad.net Acquisition, LLC</w:t>
            </w:r>
          </w:p>
        </w:tc>
        <w:tc>
          <w:tcPr>
            <w:tcW w:w="740" w:type="dxa"/>
            <w:vAlign w:val="bottom"/>
          </w:tcPr>
          <w:p>
            <w:pPr>
              <w:jc w:val="center"/>
              <w:ind w:left="66"/>
              <w:spacing w:after="0" w:line="105" w:lineRule="exact"/>
              <w:rPr>
                <w:sz w:val="20"/>
                <w:szCs w:val="20"/>
                <w:color w:val="auto"/>
              </w:rPr>
            </w:pPr>
            <w:r>
              <w:rPr>
                <w:rFonts w:ascii="Arial" w:cs="Arial" w:eastAsia="Arial" w:hAnsi="Arial"/>
                <w:sz w:val="11"/>
                <w:szCs w:val="11"/>
                <w:color w:val="auto"/>
                <w:w w:val="90"/>
              </w:rPr>
              <w:t>05/06/2026</w:t>
            </w:r>
          </w:p>
        </w:tc>
        <w:tc>
          <w:tcPr>
            <w:tcW w:w="120" w:type="dxa"/>
            <w:vAlign w:val="bottom"/>
          </w:tcPr>
          <w:p>
            <w:pPr>
              <w:spacing w:after="0"/>
              <w:rPr>
                <w:sz w:val="9"/>
                <w:szCs w:val="9"/>
                <w:color w:val="auto"/>
              </w:rPr>
            </w:pPr>
          </w:p>
        </w:tc>
        <w:tc>
          <w:tcPr>
            <w:tcW w:w="2260" w:type="dxa"/>
            <w:vAlign w:val="bottom"/>
          </w:tcPr>
          <w:p>
            <w:pPr>
              <w:jc w:val="center"/>
              <w:spacing w:after="0" w:line="105" w:lineRule="exact"/>
              <w:rPr>
                <w:sz w:val="20"/>
                <w:szCs w:val="20"/>
                <w:color w:val="auto"/>
              </w:rPr>
            </w:pPr>
            <w:r>
              <w:rPr>
                <w:rFonts w:ascii="Arial" w:cs="Arial" w:eastAsia="Arial" w:hAnsi="Arial"/>
                <w:sz w:val="11"/>
                <w:szCs w:val="11"/>
                <w:color w:val="auto"/>
                <w:w w:val="93"/>
              </w:rPr>
              <w:t>Media</w:t>
            </w:r>
          </w:p>
        </w:tc>
        <w:tc>
          <w:tcPr>
            <w:tcW w:w="120" w:type="dxa"/>
            <w:vAlign w:val="bottom"/>
          </w:tcPr>
          <w:p>
            <w:pPr>
              <w:spacing w:after="0"/>
              <w:rPr>
                <w:sz w:val="9"/>
                <w:szCs w:val="9"/>
                <w:color w:val="auto"/>
              </w:rPr>
            </w:pPr>
          </w:p>
        </w:tc>
        <w:tc>
          <w:tcPr>
            <w:tcW w:w="820" w:type="dxa"/>
            <w:vAlign w:val="bottom"/>
            <w:gridSpan w:val="2"/>
          </w:tcPr>
          <w:p>
            <w:pPr>
              <w:jc w:val="right"/>
              <w:spacing w:after="0" w:line="105" w:lineRule="exact"/>
              <w:rPr>
                <w:sz w:val="20"/>
                <w:szCs w:val="20"/>
                <w:color w:val="auto"/>
              </w:rPr>
            </w:pPr>
            <w:r>
              <w:rPr>
                <w:rFonts w:ascii="Arial" w:cs="Arial" w:eastAsia="Arial" w:hAnsi="Arial"/>
                <w:sz w:val="11"/>
                <w:szCs w:val="11"/>
                <w:color w:val="auto"/>
              </w:rPr>
              <w:t>7.00 %</w:t>
            </w:r>
          </w:p>
        </w:tc>
        <w:tc>
          <w:tcPr>
            <w:tcW w:w="160" w:type="dxa"/>
            <w:vAlign w:val="bottom"/>
          </w:tcPr>
          <w:p>
            <w:pPr>
              <w:spacing w:after="0"/>
              <w:rPr>
                <w:sz w:val="9"/>
                <w:szCs w:val="9"/>
                <w:color w:val="auto"/>
              </w:rPr>
            </w:pPr>
          </w:p>
        </w:tc>
        <w:tc>
          <w:tcPr>
            <w:tcW w:w="660" w:type="dxa"/>
            <w:vAlign w:val="bottom"/>
          </w:tcPr>
          <w:p>
            <w:pPr>
              <w:jc w:val="right"/>
              <w:spacing w:after="0" w:line="105" w:lineRule="exact"/>
              <w:rPr>
                <w:sz w:val="20"/>
                <w:szCs w:val="20"/>
                <w:color w:val="auto"/>
              </w:rPr>
            </w:pPr>
            <w:r>
              <w:rPr>
                <w:rFonts w:ascii="Arial" w:cs="Arial" w:eastAsia="Arial" w:hAnsi="Arial"/>
                <w:sz w:val="11"/>
                <w:szCs w:val="11"/>
                <w:color w:val="auto"/>
              </w:rPr>
              <w:t>3M</w:t>
            </w:r>
          </w:p>
        </w:tc>
        <w:tc>
          <w:tcPr>
            <w:tcW w:w="320" w:type="dxa"/>
            <w:vAlign w:val="bottom"/>
          </w:tcPr>
          <w:p>
            <w:pPr>
              <w:jc w:val="right"/>
              <w:spacing w:after="0" w:line="105" w:lineRule="exact"/>
              <w:rPr>
                <w:sz w:val="20"/>
                <w:szCs w:val="20"/>
                <w:color w:val="auto"/>
              </w:rPr>
            </w:pPr>
            <w:r>
              <w:rPr>
                <w:rFonts w:ascii="Arial" w:cs="Arial" w:eastAsia="Arial" w:hAnsi="Arial"/>
                <w:sz w:val="11"/>
                <w:szCs w:val="11"/>
                <w:color w:val="auto"/>
                <w:w w:val="90"/>
              </w:rPr>
              <w:t>L+600</w:t>
            </w:r>
          </w:p>
        </w:tc>
        <w:tc>
          <w:tcPr>
            <w:tcW w:w="200" w:type="dxa"/>
            <w:vAlign w:val="bottom"/>
          </w:tcPr>
          <w:p>
            <w:pPr>
              <w:spacing w:after="0"/>
              <w:rPr>
                <w:sz w:val="9"/>
                <w:szCs w:val="9"/>
                <w:color w:val="auto"/>
              </w:rPr>
            </w:pPr>
          </w:p>
        </w:tc>
        <w:tc>
          <w:tcPr>
            <w:tcW w:w="700" w:type="dxa"/>
            <w:vAlign w:val="bottom"/>
          </w:tcPr>
          <w:p>
            <w:pPr>
              <w:jc w:val="right"/>
              <w:spacing w:after="0" w:line="105" w:lineRule="exact"/>
              <w:rPr>
                <w:sz w:val="20"/>
                <w:szCs w:val="20"/>
                <w:color w:val="auto"/>
              </w:rPr>
            </w:pPr>
            <w:r>
              <w:rPr>
                <w:rFonts w:ascii="Arial" w:cs="Arial" w:eastAsia="Arial" w:hAnsi="Arial"/>
                <w:sz w:val="11"/>
                <w:szCs w:val="11"/>
                <w:color w:val="auto"/>
              </w:rPr>
              <w:t>4,988</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jc w:val="right"/>
              <w:spacing w:after="0" w:line="105" w:lineRule="exact"/>
              <w:rPr>
                <w:sz w:val="20"/>
                <w:szCs w:val="20"/>
                <w:color w:val="auto"/>
              </w:rPr>
            </w:pPr>
            <w:r>
              <w:rPr>
                <w:rFonts w:ascii="Arial" w:cs="Arial" w:eastAsia="Arial" w:hAnsi="Arial"/>
                <w:sz w:val="11"/>
                <w:szCs w:val="11"/>
                <w:color w:val="auto"/>
              </w:rPr>
              <w:t>4,917</w:t>
            </w: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jc w:val="right"/>
              <w:spacing w:after="0" w:line="105" w:lineRule="exact"/>
              <w:rPr>
                <w:sz w:val="20"/>
                <w:szCs w:val="20"/>
                <w:color w:val="auto"/>
              </w:rPr>
            </w:pPr>
            <w:r>
              <w:rPr>
                <w:rFonts w:ascii="Arial" w:cs="Arial" w:eastAsia="Arial" w:hAnsi="Arial"/>
                <w:sz w:val="11"/>
                <w:szCs w:val="11"/>
                <w:color w:val="auto"/>
              </w:rPr>
              <w:t>4,913</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Ad.net Acquisition, LLC (Revolver) </w:t>
            </w:r>
            <w:r>
              <w:rPr>
                <w:rFonts w:ascii="Arial" w:cs="Arial" w:eastAsia="Arial" w:hAnsi="Arial"/>
                <w:sz w:val="14"/>
                <w:szCs w:val="14"/>
                <w:color w:val="auto"/>
                <w:vertAlign w:val="superscript"/>
              </w:rPr>
              <w:t>(7)</w:t>
            </w:r>
          </w:p>
        </w:tc>
        <w:tc>
          <w:tcPr>
            <w:tcW w:w="740" w:type="dxa"/>
            <w:vAlign w:val="bottom"/>
          </w:tcPr>
          <w:p>
            <w:pPr>
              <w:jc w:val="center"/>
              <w:ind w:left="66"/>
              <w:spacing w:after="0"/>
              <w:rPr>
                <w:sz w:val="20"/>
                <w:szCs w:val="20"/>
                <w:color w:val="auto"/>
              </w:rPr>
            </w:pPr>
            <w:r>
              <w:rPr>
                <w:rFonts w:ascii="Arial" w:cs="Arial" w:eastAsia="Arial" w:hAnsi="Arial"/>
                <w:sz w:val="11"/>
                <w:szCs w:val="11"/>
                <w:color w:val="auto"/>
                <w:w w:val="90"/>
              </w:rPr>
              <w:t>05/06/2026</w:t>
            </w:r>
          </w:p>
        </w:tc>
        <w:tc>
          <w:tcPr>
            <w:tcW w:w="120" w:type="dxa"/>
            <w:vAlign w:val="bottom"/>
          </w:tcPr>
          <w:p>
            <w:pPr>
              <w:spacing w:after="0"/>
              <w:rPr>
                <w:sz w:val="11"/>
                <w:szCs w:val="11"/>
                <w:color w:val="auto"/>
              </w:rPr>
            </w:pPr>
          </w:p>
        </w:tc>
        <w:tc>
          <w:tcPr>
            <w:tcW w:w="226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120" w:type="dxa"/>
            <w:vAlign w:val="bottom"/>
          </w:tcPr>
          <w:p>
            <w:pPr>
              <w:spacing w:after="0"/>
              <w:rPr>
                <w:sz w:val="11"/>
                <w:szCs w:val="11"/>
                <w:color w:val="auto"/>
              </w:rPr>
            </w:pPr>
          </w:p>
        </w:tc>
        <w:tc>
          <w:tcPr>
            <w:tcW w:w="820" w:type="dxa"/>
            <w:vAlign w:val="bottom"/>
            <w:gridSpan w:val="2"/>
          </w:tcPr>
          <w:p>
            <w:pPr>
              <w:jc w:val="right"/>
              <w:spacing w:after="0"/>
              <w:rPr>
                <w:sz w:val="20"/>
                <w:szCs w:val="20"/>
                <w:color w:val="auto"/>
              </w:rPr>
            </w:pPr>
            <w:r>
              <w:rPr>
                <w:rFonts w:ascii="Arial" w:cs="Arial" w:eastAsia="Arial" w:hAnsi="Arial"/>
                <w:sz w:val="11"/>
                <w:szCs w:val="11"/>
                <w:color w:val="auto"/>
              </w:rPr>
              <w:t>7.00 %</w:t>
            </w:r>
          </w:p>
        </w:tc>
        <w:tc>
          <w:tcPr>
            <w:tcW w:w="1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3M</w:t>
            </w:r>
          </w:p>
        </w:tc>
        <w:tc>
          <w:tcPr>
            <w:tcW w:w="320" w:type="dxa"/>
            <w:vAlign w:val="bottom"/>
          </w:tcPr>
          <w:p>
            <w:pPr>
              <w:jc w:val="right"/>
              <w:spacing w:after="0"/>
              <w:rPr>
                <w:sz w:val="20"/>
                <w:szCs w:val="20"/>
                <w:color w:val="auto"/>
              </w:rPr>
            </w:pPr>
            <w:r>
              <w:rPr>
                <w:rFonts w:ascii="Arial" w:cs="Arial" w:eastAsia="Arial" w:hAnsi="Arial"/>
                <w:sz w:val="11"/>
                <w:szCs w:val="11"/>
                <w:color w:val="auto"/>
                <w:w w:val="90"/>
              </w:rPr>
              <w:t>L+600</w:t>
            </w:r>
          </w:p>
        </w:tc>
        <w:tc>
          <w:tcPr>
            <w:tcW w:w="20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212</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212</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208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20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Ad.net Acquisition, LLC (Revolver) </w:t>
            </w:r>
            <w:r>
              <w:rPr>
                <w:rFonts w:ascii="Arial" w:cs="Arial" w:eastAsia="Arial" w:hAnsi="Arial"/>
                <w:sz w:val="14"/>
                <w:szCs w:val="14"/>
                <w:color w:val="auto"/>
                <w:vertAlign w:val="superscript"/>
              </w:rPr>
              <w:t>(7), (9)</w:t>
            </w:r>
          </w:p>
        </w:tc>
        <w:tc>
          <w:tcPr>
            <w:tcW w:w="740" w:type="dxa"/>
            <w:vAlign w:val="bottom"/>
          </w:tcPr>
          <w:p>
            <w:pPr>
              <w:jc w:val="center"/>
              <w:ind w:left="66"/>
              <w:spacing w:after="0"/>
              <w:rPr>
                <w:sz w:val="20"/>
                <w:szCs w:val="20"/>
                <w:color w:val="auto"/>
              </w:rPr>
            </w:pPr>
            <w:r>
              <w:rPr>
                <w:rFonts w:ascii="Arial" w:cs="Arial" w:eastAsia="Arial" w:hAnsi="Arial"/>
                <w:sz w:val="11"/>
                <w:szCs w:val="11"/>
                <w:color w:val="auto"/>
                <w:w w:val="90"/>
              </w:rPr>
              <w:t>05/06/2026</w:t>
            </w:r>
          </w:p>
        </w:tc>
        <w:tc>
          <w:tcPr>
            <w:tcW w:w="120" w:type="dxa"/>
            <w:vAlign w:val="bottom"/>
          </w:tcPr>
          <w:p>
            <w:pPr>
              <w:spacing w:after="0"/>
              <w:rPr>
                <w:sz w:val="13"/>
                <w:szCs w:val="13"/>
                <w:color w:val="auto"/>
              </w:rPr>
            </w:pPr>
          </w:p>
        </w:tc>
        <w:tc>
          <w:tcPr>
            <w:tcW w:w="226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12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1,033</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auto"/>
              </w:rPr>
              <w:t>(15 )</w:t>
            </w:r>
          </w:p>
        </w:tc>
        <w:tc>
          <w:tcPr>
            <w:tcW w:w="0" w:type="dxa"/>
            <w:vAlign w:val="bottom"/>
          </w:tcPr>
          <w:p>
            <w:pPr>
              <w:spacing w:after="0"/>
              <w:rPr>
                <w:sz w:val="1"/>
                <w:szCs w:val="1"/>
                <w:color w:val="auto"/>
              </w:rPr>
            </w:pPr>
          </w:p>
        </w:tc>
      </w:tr>
      <w:tr>
        <w:trPr>
          <w:trHeight w:val="115"/>
        </w:trPr>
        <w:tc>
          <w:tcPr>
            <w:tcW w:w="3200" w:type="dxa"/>
            <w:vAlign w:val="bottom"/>
          </w:tcPr>
          <w:p>
            <w:pPr>
              <w:ind w:left="20"/>
              <w:spacing w:after="0" w:line="115" w:lineRule="exact"/>
              <w:rPr>
                <w:sz w:val="20"/>
                <w:szCs w:val="20"/>
                <w:color w:val="auto"/>
              </w:rPr>
            </w:pPr>
            <w:r>
              <w:rPr>
                <w:rFonts w:ascii="Arial" w:cs="Arial" w:eastAsia="Arial" w:hAnsi="Arial"/>
                <w:sz w:val="11"/>
                <w:szCs w:val="11"/>
                <w:color w:val="auto"/>
              </w:rPr>
              <w:t>Altamira Technologies, LLC</w:t>
            </w:r>
          </w:p>
        </w:tc>
        <w:tc>
          <w:tcPr>
            <w:tcW w:w="740" w:type="dxa"/>
            <w:vAlign w:val="bottom"/>
          </w:tcPr>
          <w:p>
            <w:pPr>
              <w:jc w:val="center"/>
              <w:ind w:left="66"/>
              <w:spacing w:after="0" w:line="115" w:lineRule="exact"/>
              <w:rPr>
                <w:sz w:val="20"/>
                <w:szCs w:val="20"/>
                <w:color w:val="auto"/>
              </w:rPr>
            </w:pPr>
            <w:r>
              <w:rPr>
                <w:rFonts w:ascii="Arial" w:cs="Arial" w:eastAsia="Arial" w:hAnsi="Arial"/>
                <w:sz w:val="11"/>
                <w:szCs w:val="11"/>
                <w:color w:val="auto"/>
                <w:w w:val="90"/>
              </w:rPr>
              <w:t>07/24/2025</w:t>
            </w:r>
          </w:p>
        </w:tc>
        <w:tc>
          <w:tcPr>
            <w:tcW w:w="120" w:type="dxa"/>
            <w:vAlign w:val="bottom"/>
          </w:tcPr>
          <w:p>
            <w:pPr>
              <w:spacing w:after="0"/>
              <w:rPr>
                <w:sz w:val="9"/>
                <w:szCs w:val="9"/>
                <w:color w:val="auto"/>
              </w:rPr>
            </w:pPr>
          </w:p>
        </w:tc>
        <w:tc>
          <w:tcPr>
            <w:tcW w:w="2260" w:type="dxa"/>
            <w:vAlign w:val="bottom"/>
          </w:tcPr>
          <w:p>
            <w:pPr>
              <w:jc w:val="center"/>
              <w:spacing w:after="0" w:line="115" w:lineRule="exact"/>
              <w:rPr>
                <w:sz w:val="20"/>
                <w:szCs w:val="20"/>
                <w:color w:val="auto"/>
              </w:rPr>
            </w:pPr>
            <w:r>
              <w:rPr>
                <w:rFonts w:ascii="Arial" w:cs="Arial" w:eastAsia="Arial" w:hAnsi="Arial"/>
                <w:sz w:val="11"/>
                <w:szCs w:val="11"/>
                <w:color w:val="auto"/>
                <w:w w:val="90"/>
              </w:rPr>
              <w:t>IT Services</w:t>
            </w:r>
          </w:p>
        </w:tc>
        <w:tc>
          <w:tcPr>
            <w:tcW w:w="120" w:type="dxa"/>
            <w:vAlign w:val="bottom"/>
          </w:tcPr>
          <w:p>
            <w:pPr>
              <w:spacing w:after="0"/>
              <w:rPr>
                <w:sz w:val="9"/>
                <w:szCs w:val="9"/>
                <w:color w:val="auto"/>
              </w:rPr>
            </w:pPr>
          </w:p>
        </w:tc>
        <w:tc>
          <w:tcPr>
            <w:tcW w:w="8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8.00 %</w:t>
            </w:r>
          </w:p>
        </w:tc>
        <w:tc>
          <w:tcPr>
            <w:tcW w:w="160" w:type="dxa"/>
            <w:vAlign w:val="bottom"/>
          </w:tcPr>
          <w:p>
            <w:pPr>
              <w:spacing w:after="0"/>
              <w:rPr>
                <w:sz w:val="9"/>
                <w:szCs w:val="9"/>
                <w:color w:val="auto"/>
              </w:rPr>
            </w:pPr>
          </w:p>
        </w:tc>
        <w:tc>
          <w:tcPr>
            <w:tcW w:w="660" w:type="dxa"/>
            <w:vAlign w:val="bottom"/>
          </w:tcPr>
          <w:p>
            <w:pPr>
              <w:jc w:val="right"/>
              <w:spacing w:after="0" w:line="115" w:lineRule="exact"/>
              <w:rPr>
                <w:sz w:val="20"/>
                <w:szCs w:val="20"/>
                <w:color w:val="auto"/>
              </w:rPr>
            </w:pPr>
            <w:r>
              <w:rPr>
                <w:rFonts w:ascii="Arial" w:cs="Arial" w:eastAsia="Arial" w:hAnsi="Arial"/>
                <w:sz w:val="11"/>
                <w:szCs w:val="11"/>
                <w:color w:val="auto"/>
              </w:rPr>
              <w:t>3M</w:t>
            </w:r>
          </w:p>
        </w:tc>
        <w:tc>
          <w:tcPr>
            <w:tcW w:w="320" w:type="dxa"/>
            <w:vAlign w:val="bottom"/>
          </w:tcPr>
          <w:p>
            <w:pPr>
              <w:jc w:val="right"/>
              <w:spacing w:after="0" w:line="115" w:lineRule="exact"/>
              <w:rPr>
                <w:sz w:val="20"/>
                <w:szCs w:val="20"/>
                <w:color w:val="auto"/>
              </w:rPr>
            </w:pPr>
            <w:r>
              <w:rPr>
                <w:rFonts w:ascii="Arial" w:cs="Arial" w:eastAsia="Arial" w:hAnsi="Arial"/>
                <w:sz w:val="11"/>
                <w:szCs w:val="11"/>
                <w:color w:val="auto"/>
                <w:w w:val="90"/>
              </w:rPr>
              <w:t>L+700</w:t>
            </w:r>
          </w:p>
        </w:tc>
        <w:tc>
          <w:tcPr>
            <w:tcW w:w="200" w:type="dxa"/>
            <w:vAlign w:val="bottom"/>
          </w:tcPr>
          <w:p>
            <w:pPr>
              <w:spacing w:after="0"/>
              <w:rPr>
                <w:sz w:val="9"/>
                <w:szCs w:val="9"/>
                <w:color w:val="auto"/>
              </w:rPr>
            </w:pPr>
          </w:p>
        </w:tc>
        <w:tc>
          <w:tcPr>
            <w:tcW w:w="700" w:type="dxa"/>
            <w:vAlign w:val="bottom"/>
          </w:tcPr>
          <w:p>
            <w:pPr>
              <w:jc w:val="right"/>
              <w:spacing w:after="0" w:line="115" w:lineRule="exact"/>
              <w:rPr>
                <w:sz w:val="20"/>
                <w:szCs w:val="20"/>
                <w:color w:val="auto"/>
              </w:rPr>
            </w:pPr>
            <w:r>
              <w:rPr>
                <w:rFonts w:ascii="Arial" w:cs="Arial" w:eastAsia="Arial" w:hAnsi="Arial"/>
                <w:sz w:val="11"/>
                <w:szCs w:val="11"/>
                <w:color w:val="auto"/>
              </w:rPr>
              <w:t>5,069</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jc w:val="right"/>
              <w:spacing w:after="0" w:line="115" w:lineRule="exact"/>
              <w:rPr>
                <w:sz w:val="20"/>
                <w:szCs w:val="20"/>
                <w:color w:val="auto"/>
              </w:rPr>
            </w:pPr>
            <w:r>
              <w:rPr>
                <w:rFonts w:ascii="Arial" w:cs="Arial" w:eastAsia="Arial" w:hAnsi="Arial"/>
                <w:sz w:val="11"/>
                <w:szCs w:val="11"/>
                <w:color w:val="auto"/>
              </w:rPr>
              <w:t>5,016</w:t>
            </w: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jc w:val="right"/>
              <w:spacing w:after="0" w:line="115" w:lineRule="exact"/>
              <w:rPr>
                <w:sz w:val="20"/>
                <w:szCs w:val="20"/>
                <w:color w:val="auto"/>
              </w:rPr>
            </w:pPr>
            <w:r>
              <w:rPr>
                <w:rFonts w:ascii="Arial" w:cs="Arial" w:eastAsia="Arial" w:hAnsi="Arial"/>
                <w:sz w:val="11"/>
                <w:szCs w:val="11"/>
                <w:color w:val="auto"/>
              </w:rPr>
              <w:t>4,752</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Altamira Technologies, LLC (Revolver) </w:t>
            </w:r>
            <w:r>
              <w:rPr>
                <w:rFonts w:ascii="Arial" w:cs="Arial" w:eastAsia="Arial" w:hAnsi="Arial"/>
                <w:sz w:val="14"/>
                <w:szCs w:val="14"/>
                <w:color w:val="auto"/>
                <w:vertAlign w:val="superscript"/>
              </w:rPr>
              <w:t>(7)</w:t>
            </w:r>
          </w:p>
        </w:tc>
        <w:tc>
          <w:tcPr>
            <w:tcW w:w="740" w:type="dxa"/>
            <w:vAlign w:val="bottom"/>
          </w:tcPr>
          <w:p>
            <w:pPr>
              <w:jc w:val="center"/>
              <w:ind w:left="66"/>
              <w:spacing w:after="0"/>
              <w:rPr>
                <w:sz w:val="20"/>
                <w:szCs w:val="20"/>
                <w:color w:val="auto"/>
              </w:rPr>
            </w:pPr>
            <w:r>
              <w:rPr>
                <w:rFonts w:ascii="Arial" w:cs="Arial" w:eastAsia="Arial" w:hAnsi="Arial"/>
                <w:sz w:val="11"/>
                <w:szCs w:val="11"/>
                <w:color w:val="auto"/>
                <w:w w:val="90"/>
              </w:rPr>
              <w:t>07/24/2025</w:t>
            </w:r>
          </w:p>
        </w:tc>
        <w:tc>
          <w:tcPr>
            <w:tcW w:w="120" w:type="dxa"/>
            <w:vAlign w:val="bottom"/>
          </w:tcPr>
          <w:p>
            <w:pPr>
              <w:spacing w:after="0"/>
              <w:rPr>
                <w:sz w:val="11"/>
                <w:szCs w:val="11"/>
                <w:color w:val="auto"/>
              </w:rPr>
            </w:pPr>
          </w:p>
        </w:tc>
        <w:tc>
          <w:tcPr>
            <w:tcW w:w="2260" w:type="dxa"/>
            <w:vAlign w:val="bottom"/>
          </w:tcPr>
          <w:p>
            <w:pPr>
              <w:jc w:val="center"/>
              <w:spacing w:after="0"/>
              <w:rPr>
                <w:sz w:val="20"/>
                <w:szCs w:val="20"/>
                <w:color w:val="auto"/>
              </w:rPr>
            </w:pPr>
            <w:r>
              <w:rPr>
                <w:rFonts w:ascii="Arial" w:cs="Arial" w:eastAsia="Arial" w:hAnsi="Arial"/>
                <w:sz w:val="11"/>
                <w:szCs w:val="11"/>
                <w:color w:val="auto"/>
                <w:w w:val="90"/>
              </w:rPr>
              <w:t>IT Services</w:t>
            </w:r>
          </w:p>
        </w:tc>
        <w:tc>
          <w:tcPr>
            <w:tcW w:w="120" w:type="dxa"/>
            <w:vAlign w:val="bottom"/>
          </w:tcPr>
          <w:p>
            <w:pPr>
              <w:spacing w:after="0"/>
              <w:rPr>
                <w:sz w:val="11"/>
                <w:szCs w:val="11"/>
                <w:color w:val="auto"/>
              </w:rPr>
            </w:pPr>
          </w:p>
        </w:tc>
        <w:tc>
          <w:tcPr>
            <w:tcW w:w="820" w:type="dxa"/>
            <w:vAlign w:val="bottom"/>
            <w:gridSpan w:val="2"/>
          </w:tcPr>
          <w:p>
            <w:pPr>
              <w:jc w:val="right"/>
              <w:spacing w:after="0"/>
              <w:rPr>
                <w:sz w:val="20"/>
                <w:szCs w:val="20"/>
                <w:color w:val="auto"/>
              </w:rPr>
            </w:pPr>
            <w:r>
              <w:rPr>
                <w:rFonts w:ascii="Arial" w:cs="Arial" w:eastAsia="Arial" w:hAnsi="Arial"/>
                <w:sz w:val="11"/>
                <w:szCs w:val="11"/>
                <w:color w:val="auto"/>
              </w:rPr>
              <w:t>8.00 %</w:t>
            </w:r>
          </w:p>
        </w:tc>
        <w:tc>
          <w:tcPr>
            <w:tcW w:w="1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3M</w:t>
            </w:r>
          </w:p>
        </w:tc>
        <w:tc>
          <w:tcPr>
            <w:tcW w:w="320" w:type="dxa"/>
            <w:vAlign w:val="bottom"/>
          </w:tcPr>
          <w:p>
            <w:pPr>
              <w:jc w:val="right"/>
              <w:spacing w:after="0"/>
              <w:rPr>
                <w:sz w:val="20"/>
                <w:szCs w:val="20"/>
                <w:color w:val="auto"/>
              </w:rPr>
            </w:pPr>
            <w:r>
              <w:rPr>
                <w:rFonts w:ascii="Arial" w:cs="Arial" w:eastAsia="Arial" w:hAnsi="Arial"/>
                <w:sz w:val="11"/>
                <w:szCs w:val="11"/>
                <w:color w:val="auto"/>
                <w:w w:val="90"/>
              </w:rPr>
              <w:t>L+700</w:t>
            </w:r>
          </w:p>
        </w:tc>
        <w:tc>
          <w:tcPr>
            <w:tcW w:w="20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575</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575</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539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20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Altamira Technologies, LLC (Revolver) </w:t>
            </w:r>
            <w:r>
              <w:rPr>
                <w:rFonts w:ascii="Arial" w:cs="Arial" w:eastAsia="Arial" w:hAnsi="Arial"/>
                <w:sz w:val="14"/>
                <w:szCs w:val="14"/>
                <w:color w:val="auto"/>
                <w:vertAlign w:val="superscript"/>
              </w:rPr>
              <w:t>(7), (9)</w:t>
            </w:r>
          </w:p>
        </w:tc>
        <w:tc>
          <w:tcPr>
            <w:tcW w:w="740" w:type="dxa"/>
            <w:vAlign w:val="bottom"/>
          </w:tcPr>
          <w:p>
            <w:pPr>
              <w:jc w:val="center"/>
              <w:ind w:left="66"/>
              <w:spacing w:after="0"/>
              <w:rPr>
                <w:sz w:val="20"/>
                <w:szCs w:val="20"/>
                <w:color w:val="auto"/>
              </w:rPr>
            </w:pPr>
            <w:r>
              <w:rPr>
                <w:rFonts w:ascii="Arial" w:cs="Arial" w:eastAsia="Arial" w:hAnsi="Arial"/>
                <w:sz w:val="11"/>
                <w:szCs w:val="11"/>
                <w:color w:val="auto"/>
                <w:w w:val="90"/>
              </w:rPr>
              <w:t>07/24/2025</w:t>
            </w:r>
          </w:p>
        </w:tc>
        <w:tc>
          <w:tcPr>
            <w:tcW w:w="120" w:type="dxa"/>
            <w:vAlign w:val="bottom"/>
          </w:tcPr>
          <w:p>
            <w:pPr>
              <w:spacing w:after="0"/>
              <w:rPr>
                <w:sz w:val="13"/>
                <w:szCs w:val="13"/>
                <w:color w:val="auto"/>
              </w:rPr>
            </w:pPr>
          </w:p>
        </w:tc>
        <w:tc>
          <w:tcPr>
            <w:tcW w:w="2260" w:type="dxa"/>
            <w:vAlign w:val="bottom"/>
          </w:tcPr>
          <w:p>
            <w:pPr>
              <w:jc w:val="center"/>
              <w:spacing w:after="0"/>
              <w:rPr>
                <w:sz w:val="20"/>
                <w:szCs w:val="20"/>
                <w:color w:val="auto"/>
              </w:rPr>
            </w:pPr>
            <w:r>
              <w:rPr>
                <w:rFonts w:ascii="Arial" w:cs="Arial" w:eastAsia="Arial" w:hAnsi="Arial"/>
                <w:sz w:val="11"/>
                <w:szCs w:val="11"/>
                <w:color w:val="auto"/>
                <w:w w:val="90"/>
              </w:rPr>
              <w:t>IT Services</w:t>
            </w:r>
          </w:p>
        </w:tc>
        <w:tc>
          <w:tcPr>
            <w:tcW w:w="12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1,581</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auto"/>
              </w:rPr>
              <w:t>(99 )</w:t>
            </w:r>
          </w:p>
        </w:tc>
        <w:tc>
          <w:tcPr>
            <w:tcW w:w="0" w:type="dxa"/>
            <w:vAlign w:val="bottom"/>
          </w:tcPr>
          <w:p>
            <w:pPr>
              <w:spacing w:after="0"/>
              <w:rPr>
                <w:sz w:val="1"/>
                <w:szCs w:val="1"/>
                <w:color w:val="auto"/>
              </w:rPr>
            </w:pPr>
          </w:p>
        </w:tc>
      </w:tr>
      <w:tr>
        <w:trPr>
          <w:trHeight w:val="121"/>
        </w:trPr>
        <w:tc>
          <w:tcPr>
            <w:tcW w:w="3200" w:type="dxa"/>
            <w:vAlign w:val="bottom"/>
          </w:tcPr>
          <w:p>
            <w:pPr>
              <w:ind w:left="20"/>
              <w:spacing w:after="0" w:line="121" w:lineRule="exact"/>
              <w:rPr>
                <w:sz w:val="20"/>
                <w:szCs w:val="20"/>
                <w:color w:val="auto"/>
              </w:rPr>
            </w:pPr>
            <w:r>
              <w:rPr>
                <w:rFonts w:ascii="Arial" w:cs="Arial" w:eastAsia="Arial" w:hAnsi="Arial"/>
                <w:sz w:val="11"/>
                <w:szCs w:val="11"/>
                <w:color w:val="auto"/>
              </w:rPr>
              <w:t>American Insulated Glass, LLC</w:t>
            </w:r>
          </w:p>
        </w:tc>
        <w:tc>
          <w:tcPr>
            <w:tcW w:w="740" w:type="dxa"/>
            <w:vAlign w:val="bottom"/>
          </w:tcPr>
          <w:p>
            <w:pPr>
              <w:jc w:val="center"/>
              <w:ind w:left="66"/>
              <w:spacing w:after="0" w:line="121" w:lineRule="exact"/>
              <w:rPr>
                <w:sz w:val="20"/>
                <w:szCs w:val="20"/>
                <w:color w:val="auto"/>
              </w:rPr>
            </w:pPr>
            <w:r>
              <w:rPr>
                <w:rFonts w:ascii="Arial" w:cs="Arial" w:eastAsia="Arial" w:hAnsi="Arial"/>
                <w:sz w:val="11"/>
                <w:szCs w:val="11"/>
                <w:color w:val="auto"/>
                <w:w w:val="90"/>
              </w:rPr>
              <w:t>12/21/2023</w:t>
            </w:r>
          </w:p>
        </w:tc>
        <w:tc>
          <w:tcPr>
            <w:tcW w:w="120" w:type="dxa"/>
            <w:vAlign w:val="bottom"/>
          </w:tcPr>
          <w:p>
            <w:pPr>
              <w:spacing w:after="0"/>
              <w:rPr>
                <w:sz w:val="10"/>
                <w:szCs w:val="10"/>
                <w:color w:val="auto"/>
              </w:rPr>
            </w:pPr>
          </w:p>
        </w:tc>
        <w:tc>
          <w:tcPr>
            <w:tcW w:w="2260" w:type="dxa"/>
            <w:vAlign w:val="bottom"/>
          </w:tcPr>
          <w:p>
            <w:pPr>
              <w:jc w:val="center"/>
              <w:spacing w:after="0" w:line="121" w:lineRule="exact"/>
              <w:rPr>
                <w:sz w:val="20"/>
                <w:szCs w:val="20"/>
                <w:color w:val="auto"/>
              </w:rPr>
            </w:pPr>
            <w:r>
              <w:rPr>
                <w:rFonts w:ascii="Arial" w:cs="Arial" w:eastAsia="Arial" w:hAnsi="Arial"/>
                <w:sz w:val="11"/>
                <w:szCs w:val="11"/>
                <w:color w:val="auto"/>
                <w:w w:val="91"/>
              </w:rPr>
              <w:t>Building Products</w:t>
            </w:r>
          </w:p>
        </w:tc>
        <w:tc>
          <w:tcPr>
            <w:tcW w:w="120" w:type="dxa"/>
            <w:vAlign w:val="bottom"/>
          </w:tcPr>
          <w:p>
            <w:pPr>
              <w:spacing w:after="0"/>
              <w:rPr>
                <w:sz w:val="10"/>
                <w:szCs w:val="10"/>
                <w:color w:val="auto"/>
              </w:rPr>
            </w:pPr>
          </w:p>
        </w:tc>
        <w:tc>
          <w:tcPr>
            <w:tcW w:w="820" w:type="dxa"/>
            <w:vAlign w:val="bottom"/>
            <w:gridSpan w:val="2"/>
          </w:tcPr>
          <w:p>
            <w:pPr>
              <w:jc w:val="right"/>
              <w:spacing w:after="0" w:line="121" w:lineRule="exact"/>
              <w:rPr>
                <w:sz w:val="20"/>
                <w:szCs w:val="20"/>
                <w:color w:val="auto"/>
              </w:rPr>
            </w:pPr>
            <w:r>
              <w:rPr>
                <w:rFonts w:ascii="Arial" w:cs="Arial" w:eastAsia="Arial" w:hAnsi="Arial"/>
                <w:sz w:val="11"/>
                <w:szCs w:val="11"/>
                <w:color w:val="auto"/>
              </w:rPr>
              <w:t>6.50 %</w:t>
            </w:r>
          </w:p>
        </w:tc>
        <w:tc>
          <w:tcPr>
            <w:tcW w:w="160" w:type="dxa"/>
            <w:vAlign w:val="bottom"/>
          </w:tcPr>
          <w:p>
            <w:pPr>
              <w:jc w:val="right"/>
              <w:ind w:right="18"/>
              <w:spacing w:after="0"/>
              <w:rPr>
                <w:sz w:val="20"/>
                <w:szCs w:val="20"/>
                <w:color w:val="auto"/>
              </w:rPr>
            </w:pPr>
            <w:r>
              <w:rPr>
                <w:rFonts w:ascii="Arial" w:cs="Arial" w:eastAsia="Arial" w:hAnsi="Arial"/>
                <w:sz w:val="7"/>
                <w:szCs w:val="7"/>
                <w:color w:val="auto"/>
                <w:w w:val="92"/>
              </w:rPr>
              <w:t>(6)</w:t>
            </w:r>
          </w:p>
        </w:tc>
        <w:tc>
          <w:tcPr>
            <w:tcW w:w="660" w:type="dxa"/>
            <w:vAlign w:val="bottom"/>
          </w:tcPr>
          <w:p>
            <w:pPr>
              <w:jc w:val="right"/>
              <w:spacing w:after="0" w:line="121" w:lineRule="exact"/>
              <w:rPr>
                <w:sz w:val="20"/>
                <w:szCs w:val="20"/>
                <w:color w:val="auto"/>
              </w:rPr>
            </w:pPr>
            <w:r>
              <w:rPr>
                <w:rFonts w:ascii="Arial" w:cs="Arial" w:eastAsia="Arial" w:hAnsi="Arial"/>
                <w:sz w:val="11"/>
                <w:szCs w:val="11"/>
                <w:color w:val="auto"/>
              </w:rPr>
              <w:t>3M</w:t>
            </w:r>
          </w:p>
        </w:tc>
        <w:tc>
          <w:tcPr>
            <w:tcW w:w="320" w:type="dxa"/>
            <w:vAlign w:val="bottom"/>
          </w:tcPr>
          <w:p>
            <w:pPr>
              <w:jc w:val="right"/>
              <w:spacing w:after="0" w:line="121" w:lineRule="exact"/>
              <w:rPr>
                <w:sz w:val="20"/>
                <w:szCs w:val="20"/>
                <w:color w:val="auto"/>
              </w:rPr>
            </w:pPr>
            <w:r>
              <w:rPr>
                <w:rFonts w:ascii="Arial" w:cs="Arial" w:eastAsia="Arial" w:hAnsi="Arial"/>
                <w:sz w:val="11"/>
                <w:szCs w:val="11"/>
                <w:color w:val="auto"/>
                <w:w w:val="90"/>
              </w:rPr>
              <w:t>L+550</w:t>
            </w:r>
          </w:p>
        </w:tc>
        <w:tc>
          <w:tcPr>
            <w:tcW w:w="200" w:type="dxa"/>
            <w:vAlign w:val="bottom"/>
          </w:tcPr>
          <w:p>
            <w:pPr>
              <w:spacing w:after="0"/>
              <w:rPr>
                <w:sz w:val="10"/>
                <w:szCs w:val="10"/>
                <w:color w:val="auto"/>
              </w:rPr>
            </w:pPr>
          </w:p>
        </w:tc>
        <w:tc>
          <w:tcPr>
            <w:tcW w:w="700" w:type="dxa"/>
            <w:vAlign w:val="bottom"/>
          </w:tcPr>
          <w:p>
            <w:pPr>
              <w:jc w:val="right"/>
              <w:spacing w:after="0" w:line="121" w:lineRule="exact"/>
              <w:rPr>
                <w:sz w:val="20"/>
                <w:szCs w:val="20"/>
                <w:color w:val="auto"/>
              </w:rPr>
            </w:pPr>
            <w:r>
              <w:rPr>
                <w:rFonts w:ascii="Arial" w:cs="Arial" w:eastAsia="Arial" w:hAnsi="Arial"/>
                <w:sz w:val="11"/>
                <w:szCs w:val="11"/>
                <w:color w:val="auto"/>
              </w:rPr>
              <w:t>8,905</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jc w:val="right"/>
              <w:spacing w:after="0" w:line="121" w:lineRule="exact"/>
              <w:rPr>
                <w:sz w:val="20"/>
                <w:szCs w:val="20"/>
                <w:color w:val="auto"/>
              </w:rPr>
            </w:pPr>
            <w:r>
              <w:rPr>
                <w:rFonts w:ascii="Arial" w:cs="Arial" w:eastAsia="Arial" w:hAnsi="Arial"/>
                <w:sz w:val="11"/>
                <w:szCs w:val="11"/>
                <w:color w:val="auto"/>
              </w:rPr>
              <w:t>8,818</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jc w:val="right"/>
              <w:spacing w:after="0" w:line="121" w:lineRule="exact"/>
              <w:rPr>
                <w:sz w:val="20"/>
                <w:szCs w:val="20"/>
                <w:color w:val="auto"/>
              </w:rPr>
            </w:pPr>
            <w:r>
              <w:rPr>
                <w:rFonts w:ascii="Arial" w:cs="Arial" w:eastAsia="Arial" w:hAnsi="Arial"/>
                <w:sz w:val="11"/>
                <w:szCs w:val="11"/>
                <w:color w:val="auto"/>
              </w:rPr>
              <w:t>8,816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3200" w:type="dxa"/>
            <w:vAlign w:val="bottom"/>
          </w:tcPr>
          <w:p>
            <w:pPr>
              <w:ind w:left="20"/>
              <w:spacing w:after="0" w:line="129" w:lineRule="exact"/>
              <w:rPr>
                <w:sz w:val="20"/>
                <w:szCs w:val="20"/>
                <w:color w:val="auto"/>
              </w:rPr>
            </w:pPr>
            <w:r>
              <w:rPr>
                <w:rFonts w:ascii="Arial" w:cs="Arial" w:eastAsia="Arial" w:hAnsi="Arial"/>
                <w:sz w:val="11"/>
                <w:szCs w:val="11"/>
                <w:color w:val="auto"/>
              </w:rPr>
              <w:t>American Teleconferencing Services, Ltd.</w:t>
            </w:r>
            <w:r>
              <w:rPr>
                <w:rFonts w:ascii="Arial" w:cs="Arial" w:eastAsia="Arial" w:hAnsi="Arial"/>
                <w:sz w:val="14"/>
                <w:szCs w:val="14"/>
                <w:color w:val="auto"/>
                <w:vertAlign w:val="superscript"/>
              </w:rPr>
              <w:t>(7)</w:t>
            </w:r>
          </w:p>
        </w:tc>
        <w:tc>
          <w:tcPr>
            <w:tcW w:w="740" w:type="dxa"/>
            <w:vAlign w:val="bottom"/>
          </w:tcPr>
          <w:p>
            <w:pPr>
              <w:jc w:val="center"/>
              <w:ind w:left="66"/>
              <w:spacing w:after="0"/>
              <w:rPr>
                <w:sz w:val="20"/>
                <w:szCs w:val="20"/>
                <w:color w:val="auto"/>
              </w:rPr>
            </w:pPr>
            <w:r>
              <w:rPr>
                <w:rFonts w:ascii="Arial" w:cs="Arial" w:eastAsia="Arial" w:hAnsi="Arial"/>
                <w:sz w:val="11"/>
                <w:szCs w:val="11"/>
                <w:color w:val="auto"/>
                <w:w w:val="90"/>
              </w:rPr>
              <w:t>09/09/2021</w:t>
            </w:r>
          </w:p>
        </w:tc>
        <w:tc>
          <w:tcPr>
            <w:tcW w:w="120" w:type="dxa"/>
            <w:vAlign w:val="bottom"/>
          </w:tcPr>
          <w:p>
            <w:pPr>
              <w:spacing w:after="0"/>
              <w:rPr>
                <w:sz w:val="11"/>
                <w:szCs w:val="11"/>
                <w:color w:val="auto"/>
              </w:rPr>
            </w:pPr>
          </w:p>
        </w:tc>
        <w:tc>
          <w:tcPr>
            <w:tcW w:w="2260" w:type="dxa"/>
            <w:vAlign w:val="bottom"/>
          </w:tcPr>
          <w:p>
            <w:pPr>
              <w:jc w:val="center"/>
              <w:spacing w:after="0"/>
              <w:rPr>
                <w:sz w:val="20"/>
                <w:szCs w:val="20"/>
                <w:color w:val="auto"/>
              </w:rPr>
            </w:pPr>
            <w:r>
              <w:rPr>
                <w:rFonts w:ascii="Arial" w:cs="Arial" w:eastAsia="Arial" w:hAnsi="Arial"/>
                <w:sz w:val="11"/>
                <w:szCs w:val="11"/>
                <w:color w:val="auto"/>
                <w:w w:val="89"/>
              </w:rPr>
              <w:t>Telecommunications</w:t>
            </w:r>
          </w:p>
        </w:tc>
        <w:tc>
          <w:tcPr>
            <w:tcW w:w="1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0.00%</w:t>
            </w:r>
          </w:p>
        </w:tc>
        <w:tc>
          <w:tcPr>
            <w:tcW w:w="120" w:type="dxa"/>
            <w:vAlign w:val="bottom"/>
          </w:tcPr>
          <w:p>
            <w:pPr>
              <w:spacing w:after="0"/>
              <w:rPr>
                <w:sz w:val="11"/>
                <w:szCs w:val="11"/>
                <w:color w:val="auto"/>
              </w:rPr>
            </w:pPr>
          </w:p>
        </w:tc>
        <w:tc>
          <w:tcPr>
            <w:tcW w:w="160" w:type="dxa"/>
            <w:vAlign w:val="bottom"/>
            <w:vMerge w:val="restart"/>
          </w:tcPr>
          <w:p>
            <w:pPr>
              <w:jc w:val="right"/>
              <w:ind w:right="18"/>
              <w:spacing w:after="0"/>
              <w:rPr>
                <w:sz w:val="20"/>
                <w:szCs w:val="20"/>
                <w:color w:val="auto"/>
              </w:rPr>
            </w:pPr>
            <w:r>
              <w:rPr>
                <w:rFonts w:ascii="Arial" w:cs="Arial" w:eastAsia="Arial" w:hAnsi="Arial"/>
                <w:sz w:val="7"/>
                <w:szCs w:val="7"/>
                <w:color w:val="auto"/>
                <w:w w:val="92"/>
              </w:rPr>
              <w:t>(6)</w:t>
            </w:r>
          </w:p>
        </w:tc>
        <w:tc>
          <w:tcPr>
            <w:tcW w:w="66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7,986</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7,915</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1,278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3"/>
        </w:trPr>
        <w:tc>
          <w:tcPr>
            <w:tcW w:w="3200" w:type="dxa"/>
            <w:vAlign w:val="bottom"/>
            <w:vMerge w:val="restart"/>
          </w:tcPr>
          <w:p>
            <w:pPr>
              <w:ind w:left="20"/>
              <w:spacing w:after="0" w:line="155" w:lineRule="exact"/>
              <w:rPr>
                <w:sz w:val="20"/>
                <w:szCs w:val="20"/>
                <w:color w:val="auto"/>
              </w:rPr>
            </w:pPr>
            <w:r>
              <w:rPr>
                <w:rFonts w:ascii="Arial" w:cs="Arial" w:eastAsia="Arial" w:hAnsi="Arial"/>
                <w:sz w:val="11"/>
                <w:szCs w:val="11"/>
                <w:color w:val="auto"/>
              </w:rPr>
              <w:t xml:space="preserve">American Teleconferencing Services, Ltd. (Revolver) </w:t>
            </w:r>
            <w:r>
              <w:rPr>
                <w:rFonts w:ascii="Arial" w:cs="Arial" w:eastAsia="Arial" w:hAnsi="Arial"/>
                <w:sz w:val="14"/>
                <w:szCs w:val="14"/>
                <w:color w:val="auto"/>
                <w:vertAlign w:val="superscript"/>
              </w:rPr>
              <w:t>(7)</w:t>
            </w:r>
          </w:p>
        </w:tc>
        <w:tc>
          <w:tcPr>
            <w:tcW w:w="740" w:type="dxa"/>
            <w:vAlign w:val="bottom"/>
            <w:vMerge w:val="restart"/>
          </w:tcPr>
          <w:p>
            <w:pPr>
              <w:jc w:val="center"/>
              <w:ind w:left="66"/>
              <w:spacing w:after="0"/>
              <w:rPr>
                <w:sz w:val="20"/>
                <w:szCs w:val="20"/>
                <w:color w:val="auto"/>
              </w:rPr>
            </w:pPr>
            <w:r>
              <w:rPr>
                <w:rFonts w:ascii="Arial" w:cs="Arial" w:eastAsia="Arial" w:hAnsi="Arial"/>
                <w:sz w:val="11"/>
                <w:szCs w:val="11"/>
                <w:color w:val="auto"/>
                <w:w w:val="90"/>
              </w:rPr>
              <w:t>12/08/2022</w:t>
            </w:r>
          </w:p>
        </w:tc>
        <w:tc>
          <w:tcPr>
            <w:tcW w:w="120" w:type="dxa"/>
            <w:vAlign w:val="bottom"/>
          </w:tcPr>
          <w:p>
            <w:pPr>
              <w:spacing w:after="0"/>
              <w:rPr>
                <w:sz w:val="5"/>
                <w:szCs w:val="5"/>
                <w:color w:val="auto"/>
              </w:rPr>
            </w:pPr>
          </w:p>
        </w:tc>
        <w:tc>
          <w:tcPr>
            <w:tcW w:w="2260" w:type="dxa"/>
            <w:vAlign w:val="bottom"/>
            <w:vMerge w:val="restart"/>
          </w:tcPr>
          <w:p>
            <w:pPr>
              <w:jc w:val="center"/>
              <w:spacing w:after="0"/>
              <w:rPr>
                <w:sz w:val="20"/>
                <w:szCs w:val="20"/>
                <w:color w:val="auto"/>
              </w:rPr>
            </w:pPr>
            <w:r>
              <w:rPr>
                <w:rFonts w:ascii="Arial" w:cs="Arial" w:eastAsia="Arial" w:hAnsi="Arial"/>
                <w:sz w:val="11"/>
                <w:szCs w:val="11"/>
                <w:color w:val="auto"/>
                <w:w w:val="89"/>
              </w:rPr>
              <w:t>Telecommunications</w:t>
            </w:r>
          </w:p>
        </w:tc>
        <w:tc>
          <w:tcPr>
            <w:tcW w:w="120" w:type="dxa"/>
            <w:vAlign w:val="bottom"/>
          </w:tcPr>
          <w:p>
            <w:pPr>
              <w:spacing w:after="0"/>
              <w:rPr>
                <w:sz w:val="5"/>
                <w:szCs w:val="5"/>
                <w:color w:val="auto"/>
              </w:rPr>
            </w:pPr>
          </w:p>
        </w:tc>
        <w:tc>
          <w:tcPr>
            <w:tcW w:w="700" w:type="dxa"/>
            <w:vAlign w:val="bottom"/>
            <w:vMerge w:val="restart"/>
          </w:tcPr>
          <w:p>
            <w:pPr>
              <w:jc w:val="right"/>
              <w:spacing w:after="0"/>
              <w:rPr>
                <w:sz w:val="20"/>
                <w:szCs w:val="20"/>
                <w:color w:val="auto"/>
              </w:rPr>
            </w:pPr>
            <w:r>
              <w:rPr>
                <w:rFonts w:ascii="Arial" w:cs="Arial" w:eastAsia="Arial" w:hAnsi="Arial"/>
                <w:sz w:val="11"/>
                <w:szCs w:val="11"/>
                <w:color w:val="auto"/>
              </w:rPr>
              <w:t>0.00%</w:t>
            </w:r>
          </w:p>
        </w:tc>
        <w:tc>
          <w:tcPr>
            <w:tcW w:w="12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3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5"/>
                <w:szCs w:val="5"/>
                <w:color w:val="auto"/>
              </w:rPr>
            </w:pPr>
          </w:p>
        </w:tc>
        <w:tc>
          <w:tcPr>
            <w:tcW w:w="700" w:type="dxa"/>
            <w:vAlign w:val="bottom"/>
            <w:vMerge w:val="restart"/>
          </w:tcPr>
          <w:p>
            <w:pPr>
              <w:jc w:val="right"/>
              <w:spacing w:after="0"/>
              <w:rPr>
                <w:sz w:val="20"/>
                <w:szCs w:val="20"/>
                <w:color w:val="auto"/>
              </w:rPr>
            </w:pPr>
            <w:r>
              <w:rPr>
                <w:rFonts w:ascii="Arial" w:cs="Arial" w:eastAsia="Arial" w:hAnsi="Arial"/>
                <w:sz w:val="11"/>
                <w:szCs w:val="11"/>
                <w:color w:val="auto"/>
              </w:rPr>
              <w:t>1,656</w:t>
            </w: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1,642</w:t>
            </w: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vMerge w:val="restart"/>
          </w:tcPr>
          <w:p>
            <w:pPr>
              <w:jc w:val="right"/>
              <w:spacing w:after="0"/>
              <w:rPr>
                <w:sz w:val="20"/>
                <w:szCs w:val="20"/>
                <w:color w:val="auto"/>
              </w:rPr>
            </w:pPr>
            <w:r>
              <w:rPr>
                <w:rFonts w:ascii="Arial" w:cs="Arial" w:eastAsia="Arial" w:hAnsi="Arial"/>
                <w:sz w:val="11"/>
                <w:szCs w:val="11"/>
                <w:color w:val="auto"/>
              </w:rPr>
              <w:t>1,656</w:t>
            </w: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32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22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3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3200" w:type="dxa"/>
            <w:vAlign w:val="bottom"/>
          </w:tcPr>
          <w:p>
            <w:pPr>
              <w:ind w:left="20"/>
              <w:spacing w:after="0" w:line="115" w:lineRule="exact"/>
              <w:rPr>
                <w:sz w:val="20"/>
                <w:szCs w:val="20"/>
                <w:color w:val="auto"/>
              </w:rPr>
            </w:pPr>
            <w:r>
              <w:rPr>
                <w:rFonts w:ascii="Arial" w:cs="Arial" w:eastAsia="Arial" w:hAnsi="Arial"/>
                <w:sz w:val="11"/>
                <w:szCs w:val="11"/>
                <w:color w:val="auto"/>
              </w:rPr>
              <w:t>Any Hour Services</w:t>
            </w:r>
          </w:p>
        </w:tc>
        <w:tc>
          <w:tcPr>
            <w:tcW w:w="740" w:type="dxa"/>
            <w:vAlign w:val="bottom"/>
          </w:tcPr>
          <w:p>
            <w:pPr>
              <w:jc w:val="center"/>
              <w:ind w:left="66"/>
              <w:spacing w:after="0" w:line="115" w:lineRule="exact"/>
              <w:rPr>
                <w:sz w:val="20"/>
                <w:szCs w:val="20"/>
                <w:color w:val="auto"/>
              </w:rPr>
            </w:pPr>
            <w:r>
              <w:rPr>
                <w:rFonts w:ascii="Arial" w:cs="Arial" w:eastAsia="Arial" w:hAnsi="Arial"/>
                <w:sz w:val="11"/>
                <w:szCs w:val="11"/>
                <w:color w:val="auto"/>
                <w:w w:val="90"/>
              </w:rPr>
              <w:t>07/21/2027</w:t>
            </w:r>
          </w:p>
        </w:tc>
        <w:tc>
          <w:tcPr>
            <w:tcW w:w="120" w:type="dxa"/>
            <w:vAlign w:val="bottom"/>
          </w:tcPr>
          <w:p>
            <w:pPr>
              <w:spacing w:after="0"/>
              <w:rPr>
                <w:sz w:val="9"/>
                <w:szCs w:val="9"/>
                <w:color w:val="auto"/>
              </w:rPr>
            </w:pPr>
          </w:p>
        </w:tc>
        <w:tc>
          <w:tcPr>
            <w:tcW w:w="2260" w:type="dxa"/>
            <w:vAlign w:val="bottom"/>
          </w:tcPr>
          <w:p>
            <w:pPr>
              <w:jc w:val="center"/>
              <w:spacing w:after="0" w:line="115" w:lineRule="exact"/>
              <w:rPr>
                <w:sz w:val="20"/>
                <w:szCs w:val="20"/>
                <w:color w:val="auto"/>
              </w:rPr>
            </w:pPr>
            <w:r>
              <w:rPr>
                <w:rFonts w:ascii="Arial" w:cs="Arial" w:eastAsia="Arial" w:hAnsi="Arial"/>
                <w:sz w:val="11"/>
                <w:szCs w:val="11"/>
                <w:color w:val="auto"/>
                <w:w w:val="87"/>
              </w:rPr>
              <w:t>Energy Equipment and Services</w:t>
            </w:r>
          </w:p>
        </w:tc>
        <w:tc>
          <w:tcPr>
            <w:tcW w:w="120" w:type="dxa"/>
            <w:vAlign w:val="bottom"/>
          </w:tcPr>
          <w:p>
            <w:pPr>
              <w:spacing w:after="0"/>
              <w:rPr>
                <w:sz w:val="9"/>
                <w:szCs w:val="9"/>
                <w:color w:val="auto"/>
              </w:rPr>
            </w:pPr>
          </w:p>
        </w:tc>
        <w:tc>
          <w:tcPr>
            <w:tcW w:w="8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6.75 %</w:t>
            </w:r>
          </w:p>
        </w:tc>
        <w:tc>
          <w:tcPr>
            <w:tcW w:w="160" w:type="dxa"/>
            <w:vAlign w:val="bottom"/>
          </w:tcPr>
          <w:p>
            <w:pPr>
              <w:spacing w:after="0"/>
              <w:rPr>
                <w:sz w:val="9"/>
                <w:szCs w:val="9"/>
                <w:color w:val="auto"/>
              </w:rPr>
            </w:pPr>
          </w:p>
        </w:tc>
        <w:tc>
          <w:tcPr>
            <w:tcW w:w="660" w:type="dxa"/>
            <w:vAlign w:val="bottom"/>
          </w:tcPr>
          <w:p>
            <w:pPr>
              <w:jc w:val="right"/>
              <w:spacing w:after="0" w:line="115" w:lineRule="exact"/>
              <w:rPr>
                <w:sz w:val="20"/>
                <w:szCs w:val="20"/>
                <w:color w:val="auto"/>
              </w:rPr>
            </w:pPr>
            <w:r>
              <w:rPr>
                <w:rFonts w:ascii="Arial" w:cs="Arial" w:eastAsia="Arial" w:hAnsi="Arial"/>
                <w:sz w:val="11"/>
                <w:szCs w:val="11"/>
                <w:color w:val="auto"/>
              </w:rPr>
              <w:t>3M</w:t>
            </w:r>
          </w:p>
        </w:tc>
        <w:tc>
          <w:tcPr>
            <w:tcW w:w="320" w:type="dxa"/>
            <w:vAlign w:val="bottom"/>
          </w:tcPr>
          <w:p>
            <w:pPr>
              <w:jc w:val="right"/>
              <w:spacing w:after="0" w:line="115" w:lineRule="exact"/>
              <w:rPr>
                <w:sz w:val="20"/>
                <w:szCs w:val="20"/>
                <w:color w:val="auto"/>
              </w:rPr>
            </w:pPr>
            <w:r>
              <w:rPr>
                <w:rFonts w:ascii="Arial" w:cs="Arial" w:eastAsia="Arial" w:hAnsi="Arial"/>
                <w:sz w:val="11"/>
                <w:szCs w:val="11"/>
                <w:color w:val="auto"/>
                <w:w w:val="90"/>
              </w:rPr>
              <w:t>L+575</w:t>
            </w:r>
          </w:p>
        </w:tc>
        <w:tc>
          <w:tcPr>
            <w:tcW w:w="200" w:type="dxa"/>
            <w:vAlign w:val="bottom"/>
          </w:tcPr>
          <w:p>
            <w:pPr>
              <w:spacing w:after="0"/>
              <w:rPr>
                <w:sz w:val="9"/>
                <w:szCs w:val="9"/>
                <w:color w:val="auto"/>
              </w:rPr>
            </w:pPr>
          </w:p>
        </w:tc>
        <w:tc>
          <w:tcPr>
            <w:tcW w:w="700" w:type="dxa"/>
            <w:vAlign w:val="bottom"/>
          </w:tcPr>
          <w:p>
            <w:pPr>
              <w:jc w:val="right"/>
              <w:spacing w:after="0" w:line="115" w:lineRule="exact"/>
              <w:rPr>
                <w:sz w:val="20"/>
                <w:szCs w:val="20"/>
                <w:color w:val="auto"/>
              </w:rPr>
            </w:pPr>
            <w:r>
              <w:rPr>
                <w:rFonts w:ascii="Arial" w:cs="Arial" w:eastAsia="Arial" w:hAnsi="Arial"/>
                <w:sz w:val="11"/>
                <w:szCs w:val="11"/>
                <w:color w:val="auto"/>
              </w:rPr>
              <w:t>6,500</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jc w:val="right"/>
              <w:spacing w:after="0" w:line="115" w:lineRule="exact"/>
              <w:rPr>
                <w:sz w:val="20"/>
                <w:szCs w:val="20"/>
                <w:color w:val="auto"/>
              </w:rPr>
            </w:pPr>
            <w:r>
              <w:rPr>
                <w:rFonts w:ascii="Arial" w:cs="Arial" w:eastAsia="Arial" w:hAnsi="Arial"/>
                <w:sz w:val="11"/>
                <w:szCs w:val="11"/>
                <w:color w:val="auto"/>
              </w:rPr>
              <w:t>6,373</w:t>
            </w: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jc w:val="right"/>
              <w:spacing w:after="0" w:line="115" w:lineRule="exact"/>
              <w:rPr>
                <w:sz w:val="20"/>
                <w:szCs w:val="20"/>
                <w:color w:val="auto"/>
              </w:rPr>
            </w:pPr>
            <w:r>
              <w:rPr>
                <w:rFonts w:ascii="Arial" w:cs="Arial" w:eastAsia="Arial" w:hAnsi="Arial"/>
                <w:sz w:val="11"/>
                <w:szCs w:val="11"/>
                <w:color w:val="auto"/>
              </w:rPr>
              <w:t>6,370</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Any Hour Services </w:t>
            </w:r>
            <w:r>
              <w:rPr>
                <w:rFonts w:ascii="Arial" w:cs="Arial" w:eastAsia="Arial" w:hAnsi="Arial"/>
                <w:sz w:val="14"/>
                <w:szCs w:val="14"/>
                <w:color w:val="auto"/>
                <w:vertAlign w:val="superscript"/>
              </w:rPr>
              <w:t>(7), (9)</w:t>
            </w:r>
          </w:p>
        </w:tc>
        <w:tc>
          <w:tcPr>
            <w:tcW w:w="740" w:type="dxa"/>
            <w:vAlign w:val="bottom"/>
          </w:tcPr>
          <w:p>
            <w:pPr>
              <w:jc w:val="center"/>
              <w:ind w:left="66"/>
              <w:spacing w:after="0"/>
              <w:rPr>
                <w:sz w:val="20"/>
                <w:szCs w:val="20"/>
                <w:color w:val="auto"/>
              </w:rPr>
            </w:pPr>
            <w:r>
              <w:rPr>
                <w:rFonts w:ascii="Arial" w:cs="Arial" w:eastAsia="Arial" w:hAnsi="Arial"/>
                <w:sz w:val="11"/>
                <w:szCs w:val="11"/>
                <w:color w:val="auto"/>
                <w:w w:val="90"/>
              </w:rPr>
              <w:t>07/21/2027</w:t>
            </w:r>
          </w:p>
        </w:tc>
        <w:tc>
          <w:tcPr>
            <w:tcW w:w="120" w:type="dxa"/>
            <w:vAlign w:val="bottom"/>
          </w:tcPr>
          <w:p>
            <w:pPr>
              <w:spacing w:after="0"/>
              <w:rPr>
                <w:sz w:val="11"/>
                <w:szCs w:val="11"/>
                <w:color w:val="auto"/>
              </w:rPr>
            </w:pPr>
          </w:p>
        </w:tc>
        <w:tc>
          <w:tcPr>
            <w:tcW w:w="2260" w:type="dxa"/>
            <w:vAlign w:val="bottom"/>
          </w:tcPr>
          <w:p>
            <w:pPr>
              <w:jc w:val="center"/>
              <w:spacing w:after="0"/>
              <w:rPr>
                <w:sz w:val="20"/>
                <w:szCs w:val="20"/>
                <w:color w:val="auto"/>
              </w:rPr>
            </w:pPr>
            <w:r>
              <w:rPr>
                <w:rFonts w:ascii="Arial" w:cs="Arial" w:eastAsia="Arial" w:hAnsi="Arial"/>
                <w:sz w:val="11"/>
                <w:szCs w:val="11"/>
                <w:color w:val="auto"/>
                <w:w w:val="87"/>
              </w:rPr>
              <w:t>Energy Equipment and Services</w:t>
            </w:r>
          </w:p>
        </w:tc>
        <w:tc>
          <w:tcPr>
            <w:tcW w:w="120" w:type="dxa"/>
            <w:vAlign w:val="bottom"/>
          </w:tcPr>
          <w:p>
            <w:pPr>
              <w:spacing w:after="0"/>
              <w:rPr>
                <w:sz w:val="11"/>
                <w:szCs w:val="11"/>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3,824</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auto"/>
              </w:rPr>
              <w:t>(38 )</w:t>
            </w:r>
          </w:p>
        </w:tc>
        <w:tc>
          <w:tcPr>
            <w:tcW w:w="0" w:type="dxa"/>
            <w:vAlign w:val="bottom"/>
          </w:tcPr>
          <w:p>
            <w:pPr>
              <w:spacing w:after="0"/>
              <w:rPr>
                <w:sz w:val="1"/>
                <w:szCs w:val="1"/>
                <w:color w:val="auto"/>
              </w:rPr>
            </w:pPr>
          </w:p>
        </w:tc>
      </w:tr>
      <w:tr>
        <w:trPr>
          <w:trHeight w:val="155"/>
        </w:trPr>
        <w:tc>
          <w:tcPr>
            <w:tcW w:w="320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Any Hour Services (Revolver) </w:t>
            </w:r>
            <w:r>
              <w:rPr>
                <w:rFonts w:ascii="Arial" w:cs="Arial" w:eastAsia="Arial" w:hAnsi="Arial"/>
                <w:sz w:val="14"/>
                <w:szCs w:val="14"/>
                <w:color w:val="auto"/>
                <w:vertAlign w:val="superscript"/>
              </w:rPr>
              <w:t>(7), (9)</w:t>
            </w:r>
          </w:p>
        </w:tc>
        <w:tc>
          <w:tcPr>
            <w:tcW w:w="740" w:type="dxa"/>
            <w:vAlign w:val="bottom"/>
          </w:tcPr>
          <w:p>
            <w:pPr>
              <w:jc w:val="center"/>
              <w:ind w:left="66"/>
              <w:spacing w:after="0"/>
              <w:rPr>
                <w:sz w:val="20"/>
                <w:szCs w:val="20"/>
                <w:color w:val="auto"/>
              </w:rPr>
            </w:pPr>
            <w:r>
              <w:rPr>
                <w:rFonts w:ascii="Arial" w:cs="Arial" w:eastAsia="Arial" w:hAnsi="Arial"/>
                <w:sz w:val="11"/>
                <w:szCs w:val="11"/>
                <w:color w:val="auto"/>
                <w:w w:val="90"/>
              </w:rPr>
              <w:t>07/21/2027</w:t>
            </w:r>
          </w:p>
        </w:tc>
        <w:tc>
          <w:tcPr>
            <w:tcW w:w="120" w:type="dxa"/>
            <w:vAlign w:val="bottom"/>
          </w:tcPr>
          <w:p>
            <w:pPr>
              <w:spacing w:after="0"/>
              <w:rPr>
                <w:sz w:val="13"/>
                <w:szCs w:val="13"/>
                <w:color w:val="auto"/>
              </w:rPr>
            </w:pPr>
          </w:p>
        </w:tc>
        <w:tc>
          <w:tcPr>
            <w:tcW w:w="2260" w:type="dxa"/>
            <w:vAlign w:val="bottom"/>
          </w:tcPr>
          <w:p>
            <w:pPr>
              <w:jc w:val="center"/>
              <w:spacing w:after="0"/>
              <w:rPr>
                <w:sz w:val="20"/>
                <w:szCs w:val="20"/>
                <w:color w:val="auto"/>
              </w:rPr>
            </w:pPr>
            <w:r>
              <w:rPr>
                <w:rFonts w:ascii="Arial" w:cs="Arial" w:eastAsia="Arial" w:hAnsi="Arial"/>
                <w:sz w:val="11"/>
                <w:szCs w:val="11"/>
                <w:color w:val="auto"/>
                <w:w w:val="87"/>
              </w:rPr>
              <w:t>Energy Equipment and Services</w:t>
            </w:r>
          </w:p>
        </w:tc>
        <w:tc>
          <w:tcPr>
            <w:tcW w:w="12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1,147</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auto"/>
              </w:rPr>
              <w:t>(23 )</w:t>
            </w:r>
          </w:p>
        </w:tc>
        <w:tc>
          <w:tcPr>
            <w:tcW w:w="0" w:type="dxa"/>
            <w:vAlign w:val="bottom"/>
          </w:tcPr>
          <w:p>
            <w:pPr>
              <w:spacing w:after="0"/>
              <w:rPr>
                <w:sz w:val="1"/>
                <w:szCs w:val="1"/>
                <w:color w:val="auto"/>
              </w:rPr>
            </w:pPr>
          </w:p>
        </w:tc>
      </w:tr>
      <w:tr>
        <w:trPr>
          <w:trHeight w:val="140"/>
        </w:trPr>
        <w:tc>
          <w:tcPr>
            <w:tcW w:w="3200" w:type="dxa"/>
            <w:vAlign w:val="bottom"/>
          </w:tcPr>
          <w:p>
            <w:pPr>
              <w:ind w:left="20"/>
              <w:spacing w:after="0"/>
              <w:rPr>
                <w:sz w:val="20"/>
                <w:szCs w:val="20"/>
                <w:color w:val="auto"/>
              </w:rPr>
            </w:pPr>
            <w:r>
              <w:rPr>
                <w:rFonts w:ascii="Arial" w:cs="Arial" w:eastAsia="Arial" w:hAnsi="Arial"/>
                <w:sz w:val="11"/>
                <w:szCs w:val="11"/>
                <w:color w:val="auto"/>
              </w:rPr>
              <w:t>Apex Service Partners, LLC</w:t>
            </w:r>
          </w:p>
        </w:tc>
        <w:tc>
          <w:tcPr>
            <w:tcW w:w="740" w:type="dxa"/>
            <w:vAlign w:val="bottom"/>
          </w:tcPr>
          <w:p>
            <w:pPr>
              <w:jc w:val="center"/>
              <w:ind w:left="66"/>
              <w:spacing w:after="0"/>
              <w:rPr>
                <w:sz w:val="20"/>
                <w:szCs w:val="20"/>
                <w:color w:val="auto"/>
              </w:rPr>
            </w:pPr>
            <w:r>
              <w:rPr>
                <w:rFonts w:ascii="Arial" w:cs="Arial" w:eastAsia="Arial" w:hAnsi="Arial"/>
                <w:sz w:val="11"/>
                <w:szCs w:val="11"/>
                <w:color w:val="auto"/>
                <w:w w:val="90"/>
              </w:rPr>
              <w:t>07/31/2025</w:t>
            </w:r>
          </w:p>
        </w:tc>
        <w:tc>
          <w:tcPr>
            <w:tcW w:w="120" w:type="dxa"/>
            <w:vAlign w:val="bottom"/>
          </w:tcPr>
          <w:p>
            <w:pPr>
              <w:spacing w:after="0"/>
              <w:rPr>
                <w:sz w:val="12"/>
                <w:szCs w:val="12"/>
                <w:color w:val="auto"/>
              </w:rPr>
            </w:pPr>
          </w:p>
        </w:tc>
        <w:tc>
          <w:tcPr>
            <w:tcW w:w="2260" w:type="dxa"/>
            <w:vAlign w:val="bottom"/>
          </w:tcPr>
          <w:p>
            <w:pPr>
              <w:jc w:val="center"/>
              <w:spacing w:after="0"/>
              <w:rPr>
                <w:sz w:val="20"/>
                <w:szCs w:val="20"/>
                <w:color w:val="auto"/>
              </w:rPr>
            </w:pPr>
            <w:r>
              <w:rPr>
                <w:rFonts w:ascii="Arial" w:cs="Arial" w:eastAsia="Arial" w:hAnsi="Arial"/>
                <w:sz w:val="11"/>
                <w:szCs w:val="11"/>
                <w:color w:val="auto"/>
                <w:w w:val="89"/>
              </w:rPr>
              <w:t>Diversified Consumer Services</w:t>
            </w:r>
          </w:p>
        </w:tc>
        <w:tc>
          <w:tcPr>
            <w:tcW w:w="120" w:type="dxa"/>
            <w:vAlign w:val="bottom"/>
          </w:tcPr>
          <w:p>
            <w:pPr>
              <w:spacing w:after="0"/>
              <w:rPr>
                <w:sz w:val="12"/>
                <w:szCs w:val="12"/>
                <w:color w:val="auto"/>
              </w:rPr>
            </w:pPr>
          </w:p>
        </w:tc>
        <w:tc>
          <w:tcPr>
            <w:tcW w:w="820" w:type="dxa"/>
            <w:vAlign w:val="bottom"/>
            <w:gridSpan w:val="2"/>
          </w:tcPr>
          <w:p>
            <w:pPr>
              <w:jc w:val="right"/>
              <w:spacing w:after="0"/>
              <w:rPr>
                <w:sz w:val="20"/>
                <w:szCs w:val="20"/>
                <w:color w:val="auto"/>
              </w:rPr>
            </w:pPr>
            <w:r>
              <w:rPr>
                <w:rFonts w:ascii="Arial" w:cs="Arial" w:eastAsia="Arial" w:hAnsi="Arial"/>
                <w:sz w:val="11"/>
                <w:szCs w:val="11"/>
                <w:color w:val="auto"/>
              </w:rPr>
              <w:t>6.25 %</w:t>
            </w:r>
          </w:p>
        </w:tc>
        <w:tc>
          <w:tcPr>
            <w:tcW w:w="1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1M</w:t>
            </w:r>
          </w:p>
        </w:tc>
        <w:tc>
          <w:tcPr>
            <w:tcW w:w="320" w:type="dxa"/>
            <w:vAlign w:val="bottom"/>
          </w:tcPr>
          <w:p>
            <w:pPr>
              <w:jc w:val="right"/>
              <w:spacing w:after="0"/>
              <w:rPr>
                <w:sz w:val="20"/>
                <w:szCs w:val="20"/>
                <w:color w:val="auto"/>
              </w:rPr>
            </w:pPr>
            <w:r>
              <w:rPr>
                <w:rFonts w:ascii="Arial" w:cs="Arial" w:eastAsia="Arial" w:hAnsi="Arial"/>
                <w:sz w:val="11"/>
                <w:szCs w:val="11"/>
                <w:color w:val="auto"/>
                <w:w w:val="90"/>
              </w:rPr>
              <w:t>L+525</w:t>
            </w: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6,272</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6,216</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6,209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200" w:type="dxa"/>
            <w:vAlign w:val="bottom"/>
            <w:shd w:val="clear" w:color="auto" w:fill="CCECFF"/>
          </w:tcPr>
          <w:p>
            <w:pPr>
              <w:ind w:left="20"/>
              <w:spacing w:after="0"/>
              <w:rPr>
                <w:sz w:val="20"/>
                <w:szCs w:val="20"/>
                <w:color w:val="auto"/>
              </w:rPr>
            </w:pPr>
            <w:r>
              <w:rPr>
                <w:rFonts w:ascii="Arial" w:cs="Arial" w:eastAsia="Arial" w:hAnsi="Arial"/>
                <w:sz w:val="11"/>
                <w:szCs w:val="11"/>
                <w:color w:val="auto"/>
              </w:rPr>
              <w:t>Apex Service Partners, LLC Term Loan B</w:t>
            </w:r>
          </w:p>
        </w:tc>
        <w:tc>
          <w:tcPr>
            <w:tcW w:w="740" w:type="dxa"/>
            <w:vAlign w:val="bottom"/>
            <w:shd w:val="clear" w:color="auto" w:fill="CCECFF"/>
          </w:tcPr>
          <w:p>
            <w:pPr>
              <w:jc w:val="center"/>
              <w:ind w:left="66"/>
              <w:spacing w:after="0"/>
              <w:rPr>
                <w:sz w:val="20"/>
                <w:szCs w:val="20"/>
                <w:color w:val="auto"/>
              </w:rPr>
            </w:pPr>
            <w:r>
              <w:rPr>
                <w:rFonts w:ascii="Arial" w:cs="Arial" w:eastAsia="Arial" w:hAnsi="Arial"/>
                <w:sz w:val="11"/>
                <w:szCs w:val="11"/>
                <w:color w:val="auto"/>
                <w:w w:val="90"/>
              </w:rPr>
              <w:t>07/31/2025</w:t>
            </w:r>
          </w:p>
        </w:tc>
        <w:tc>
          <w:tcPr>
            <w:tcW w:w="120" w:type="dxa"/>
            <w:vAlign w:val="bottom"/>
            <w:shd w:val="clear" w:color="auto" w:fill="CCECFF"/>
          </w:tcPr>
          <w:p>
            <w:pPr>
              <w:spacing w:after="0"/>
              <w:rPr>
                <w:sz w:val="12"/>
                <w:szCs w:val="12"/>
                <w:color w:val="auto"/>
              </w:rPr>
            </w:pPr>
          </w:p>
        </w:tc>
        <w:tc>
          <w:tcPr>
            <w:tcW w:w="22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Diversified Consumer Services</w:t>
            </w:r>
          </w:p>
        </w:tc>
        <w:tc>
          <w:tcPr>
            <w:tcW w:w="120" w:type="dxa"/>
            <w:vAlign w:val="bottom"/>
            <w:shd w:val="clear" w:color="auto" w:fill="CCECFF"/>
          </w:tcPr>
          <w:p>
            <w:pPr>
              <w:spacing w:after="0"/>
              <w:rPr>
                <w:sz w:val="12"/>
                <w:szCs w:val="12"/>
                <w:color w:val="auto"/>
              </w:rPr>
            </w:pPr>
          </w:p>
        </w:tc>
        <w:tc>
          <w:tcPr>
            <w:tcW w:w="8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6.50 %</w:t>
            </w:r>
          </w:p>
        </w:tc>
        <w:tc>
          <w:tcPr>
            <w:tcW w:w="160" w:type="dxa"/>
            <w:vAlign w:val="bottom"/>
            <w:shd w:val="clear" w:color="auto" w:fill="CCECFF"/>
          </w:tcPr>
          <w:p>
            <w:pPr>
              <w:spacing w:after="0"/>
              <w:rPr>
                <w:sz w:val="12"/>
                <w:szCs w:val="12"/>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w:t>
            </w:r>
          </w:p>
        </w:tc>
        <w:tc>
          <w:tcPr>
            <w:tcW w:w="32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0"/>
              </w:rPr>
              <w:t>L+550</w:t>
            </w:r>
          </w:p>
        </w:tc>
        <w:tc>
          <w:tcPr>
            <w:tcW w:w="20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300</w:t>
            </w:r>
          </w:p>
        </w:tc>
        <w:tc>
          <w:tcPr>
            <w:tcW w:w="2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300</w:t>
            </w:r>
          </w:p>
        </w:tc>
        <w:tc>
          <w:tcPr>
            <w:tcW w:w="2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4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297</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3200" w:type="dxa"/>
            <w:vAlign w:val="bottom"/>
          </w:tcPr>
          <w:p>
            <w:pPr>
              <w:ind w:left="20"/>
              <w:spacing w:after="0" w:line="105" w:lineRule="exact"/>
              <w:rPr>
                <w:sz w:val="20"/>
                <w:szCs w:val="20"/>
                <w:color w:val="auto"/>
              </w:rPr>
            </w:pPr>
            <w:r>
              <w:rPr>
                <w:rFonts w:ascii="Arial" w:cs="Arial" w:eastAsia="Arial" w:hAnsi="Arial"/>
                <w:sz w:val="11"/>
                <w:szCs w:val="11"/>
                <w:color w:val="auto"/>
              </w:rPr>
              <w:t>Apex Service Partners, LLC Term Loan C</w:t>
            </w:r>
          </w:p>
        </w:tc>
        <w:tc>
          <w:tcPr>
            <w:tcW w:w="740" w:type="dxa"/>
            <w:vAlign w:val="bottom"/>
          </w:tcPr>
          <w:p>
            <w:pPr>
              <w:jc w:val="center"/>
              <w:ind w:left="66"/>
              <w:spacing w:after="0" w:line="105" w:lineRule="exact"/>
              <w:rPr>
                <w:sz w:val="20"/>
                <w:szCs w:val="20"/>
                <w:color w:val="auto"/>
              </w:rPr>
            </w:pPr>
            <w:r>
              <w:rPr>
                <w:rFonts w:ascii="Arial" w:cs="Arial" w:eastAsia="Arial" w:hAnsi="Arial"/>
                <w:sz w:val="11"/>
                <w:szCs w:val="11"/>
                <w:color w:val="auto"/>
                <w:w w:val="90"/>
              </w:rPr>
              <w:t>07/31/2025</w:t>
            </w:r>
          </w:p>
        </w:tc>
        <w:tc>
          <w:tcPr>
            <w:tcW w:w="120" w:type="dxa"/>
            <w:vAlign w:val="bottom"/>
          </w:tcPr>
          <w:p>
            <w:pPr>
              <w:spacing w:after="0"/>
              <w:rPr>
                <w:sz w:val="9"/>
                <w:szCs w:val="9"/>
                <w:color w:val="auto"/>
              </w:rPr>
            </w:pPr>
          </w:p>
        </w:tc>
        <w:tc>
          <w:tcPr>
            <w:tcW w:w="2260" w:type="dxa"/>
            <w:vAlign w:val="bottom"/>
          </w:tcPr>
          <w:p>
            <w:pPr>
              <w:jc w:val="center"/>
              <w:spacing w:after="0" w:line="105" w:lineRule="exact"/>
              <w:rPr>
                <w:sz w:val="20"/>
                <w:szCs w:val="20"/>
                <w:color w:val="auto"/>
              </w:rPr>
            </w:pPr>
            <w:r>
              <w:rPr>
                <w:rFonts w:ascii="Arial" w:cs="Arial" w:eastAsia="Arial" w:hAnsi="Arial"/>
                <w:sz w:val="11"/>
                <w:szCs w:val="11"/>
                <w:color w:val="auto"/>
                <w:w w:val="89"/>
              </w:rPr>
              <w:t>Diversified Consumer Services</w:t>
            </w:r>
          </w:p>
        </w:tc>
        <w:tc>
          <w:tcPr>
            <w:tcW w:w="120" w:type="dxa"/>
            <w:vAlign w:val="bottom"/>
          </w:tcPr>
          <w:p>
            <w:pPr>
              <w:spacing w:after="0"/>
              <w:rPr>
                <w:sz w:val="9"/>
                <w:szCs w:val="9"/>
                <w:color w:val="auto"/>
              </w:rPr>
            </w:pPr>
          </w:p>
        </w:tc>
        <w:tc>
          <w:tcPr>
            <w:tcW w:w="820" w:type="dxa"/>
            <w:vAlign w:val="bottom"/>
            <w:gridSpan w:val="2"/>
          </w:tcPr>
          <w:p>
            <w:pPr>
              <w:jc w:val="right"/>
              <w:spacing w:after="0" w:line="105" w:lineRule="exact"/>
              <w:rPr>
                <w:sz w:val="20"/>
                <w:szCs w:val="20"/>
                <w:color w:val="auto"/>
              </w:rPr>
            </w:pPr>
            <w:r>
              <w:rPr>
                <w:rFonts w:ascii="Arial" w:cs="Arial" w:eastAsia="Arial" w:hAnsi="Arial"/>
                <w:sz w:val="11"/>
                <w:szCs w:val="11"/>
                <w:color w:val="auto"/>
              </w:rPr>
              <w:t>6.25 %</w:t>
            </w:r>
          </w:p>
        </w:tc>
        <w:tc>
          <w:tcPr>
            <w:tcW w:w="160" w:type="dxa"/>
            <w:vAlign w:val="bottom"/>
          </w:tcPr>
          <w:p>
            <w:pPr>
              <w:spacing w:after="0"/>
              <w:rPr>
                <w:sz w:val="9"/>
                <w:szCs w:val="9"/>
                <w:color w:val="auto"/>
              </w:rPr>
            </w:pPr>
          </w:p>
        </w:tc>
        <w:tc>
          <w:tcPr>
            <w:tcW w:w="660" w:type="dxa"/>
            <w:vAlign w:val="bottom"/>
          </w:tcPr>
          <w:p>
            <w:pPr>
              <w:jc w:val="right"/>
              <w:spacing w:after="0" w:line="105" w:lineRule="exact"/>
              <w:rPr>
                <w:sz w:val="20"/>
                <w:szCs w:val="20"/>
                <w:color w:val="auto"/>
              </w:rPr>
            </w:pPr>
            <w:r>
              <w:rPr>
                <w:rFonts w:ascii="Arial" w:cs="Arial" w:eastAsia="Arial" w:hAnsi="Arial"/>
                <w:sz w:val="11"/>
                <w:szCs w:val="11"/>
                <w:color w:val="auto"/>
              </w:rPr>
              <w:t>1M</w:t>
            </w:r>
          </w:p>
        </w:tc>
        <w:tc>
          <w:tcPr>
            <w:tcW w:w="320" w:type="dxa"/>
            <w:vAlign w:val="bottom"/>
          </w:tcPr>
          <w:p>
            <w:pPr>
              <w:jc w:val="right"/>
              <w:spacing w:after="0" w:line="105" w:lineRule="exact"/>
              <w:rPr>
                <w:sz w:val="20"/>
                <w:szCs w:val="20"/>
                <w:color w:val="auto"/>
              </w:rPr>
            </w:pPr>
            <w:r>
              <w:rPr>
                <w:rFonts w:ascii="Arial" w:cs="Arial" w:eastAsia="Arial" w:hAnsi="Arial"/>
                <w:sz w:val="11"/>
                <w:szCs w:val="11"/>
                <w:color w:val="auto"/>
                <w:w w:val="90"/>
              </w:rPr>
              <w:t>L+525</w:t>
            </w:r>
          </w:p>
        </w:tc>
        <w:tc>
          <w:tcPr>
            <w:tcW w:w="200" w:type="dxa"/>
            <w:vAlign w:val="bottom"/>
          </w:tcPr>
          <w:p>
            <w:pPr>
              <w:spacing w:after="0"/>
              <w:rPr>
                <w:sz w:val="9"/>
                <w:szCs w:val="9"/>
                <w:color w:val="auto"/>
              </w:rPr>
            </w:pPr>
          </w:p>
        </w:tc>
        <w:tc>
          <w:tcPr>
            <w:tcW w:w="700" w:type="dxa"/>
            <w:vAlign w:val="bottom"/>
          </w:tcPr>
          <w:p>
            <w:pPr>
              <w:jc w:val="right"/>
              <w:spacing w:after="0" w:line="105" w:lineRule="exact"/>
              <w:rPr>
                <w:sz w:val="20"/>
                <w:szCs w:val="20"/>
                <w:color w:val="auto"/>
              </w:rPr>
            </w:pPr>
            <w:r>
              <w:rPr>
                <w:rFonts w:ascii="Arial" w:cs="Arial" w:eastAsia="Arial" w:hAnsi="Arial"/>
                <w:sz w:val="11"/>
                <w:szCs w:val="11"/>
                <w:color w:val="auto"/>
              </w:rPr>
              <w:t>6,897</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jc w:val="right"/>
              <w:spacing w:after="0" w:line="105" w:lineRule="exact"/>
              <w:rPr>
                <w:sz w:val="20"/>
                <w:szCs w:val="20"/>
                <w:color w:val="auto"/>
              </w:rPr>
            </w:pPr>
            <w:r>
              <w:rPr>
                <w:rFonts w:ascii="Arial" w:cs="Arial" w:eastAsia="Arial" w:hAnsi="Arial"/>
                <w:sz w:val="11"/>
                <w:szCs w:val="11"/>
                <w:color w:val="auto"/>
              </w:rPr>
              <w:t>6,802</w:t>
            </w: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jc w:val="right"/>
              <w:spacing w:after="0" w:line="105" w:lineRule="exact"/>
              <w:rPr>
                <w:sz w:val="20"/>
                <w:szCs w:val="20"/>
                <w:color w:val="auto"/>
              </w:rPr>
            </w:pPr>
            <w:r>
              <w:rPr>
                <w:rFonts w:ascii="Arial" w:cs="Arial" w:eastAsia="Arial" w:hAnsi="Arial"/>
                <w:sz w:val="11"/>
                <w:szCs w:val="11"/>
                <w:color w:val="auto"/>
              </w:rPr>
              <w:t>6,828</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Apex Service Partners, LLC Term Loan C </w:t>
            </w:r>
            <w:r>
              <w:rPr>
                <w:rFonts w:ascii="Arial" w:cs="Arial" w:eastAsia="Arial" w:hAnsi="Arial"/>
                <w:sz w:val="14"/>
                <w:szCs w:val="14"/>
                <w:color w:val="auto"/>
                <w:vertAlign w:val="superscript"/>
              </w:rPr>
              <w:t>(7),(9)</w:t>
            </w:r>
          </w:p>
        </w:tc>
        <w:tc>
          <w:tcPr>
            <w:tcW w:w="740" w:type="dxa"/>
            <w:vAlign w:val="bottom"/>
          </w:tcPr>
          <w:p>
            <w:pPr>
              <w:jc w:val="center"/>
              <w:ind w:left="66"/>
              <w:spacing w:after="0"/>
              <w:rPr>
                <w:sz w:val="20"/>
                <w:szCs w:val="20"/>
                <w:color w:val="auto"/>
              </w:rPr>
            </w:pPr>
            <w:r>
              <w:rPr>
                <w:rFonts w:ascii="Arial" w:cs="Arial" w:eastAsia="Arial" w:hAnsi="Arial"/>
                <w:sz w:val="11"/>
                <w:szCs w:val="11"/>
                <w:color w:val="auto"/>
                <w:w w:val="90"/>
              </w:rPr>
              <w:t>01/31/2022</w:t>
            </w:r>
          </w:p>
        </w:tc>
        <w:tc>
          <w:tcPr>
            <w:tcW w:w="120" w:type="dxa"/>
            <w:vAlign w:val="bottom"/>
          </w:tcPr>
          <w:p>
            <w:pPr>
              <w:spacing w:after="0"/>
              <w:rPr>
                <w:sz w:val="11"/>
                <w:szCs w:val="11"/>
                <w:color w:val="auto"/>
              </w:rPr>
            </w:pPr>
          </w:p>
        </w:tc>
        <w:tc>
          <w:tcPr>
            <w:tcW w:w="2260" w:type="dxa"/>
            <w:vAlign w:val="bottom"/>
          </w:tcPr>
          <w:p>
            <w:pPr>
              <w:jc w:val="center"/>
              <w:spacing w:after="0"/>
              <w:rPr>
                <w:sz w:val="20"/>
                <w:szCs w:val="20"/>
                <w:color w:val="auto"/>
              </w:rPr>
            </w:pPr>
            <w:r>
              <w:rPr>
                <w:rFonts w:ascii="Arial" w:cs="Arial" w:eastAsia="Arial" w:hAnsi="Arial"/>
                <w:sz w:val="11"/>
                <w:szCs w:val="11"/>
                <w:color w:val="auto"/>
                <w:w w:val="89"/>
              </w:rPr>
              <w:t>Diversified Consumer Services</w:t>
            </w:r>
          </w:p>
        </w:tc>
        <w:tc>
          <w:tcPr>
            <w:tcW w:w="120" w:type="dxa"/>
            <w:vAlign w:val="bottom"/>
          </w:tcPr>
          <w:p>
            <w:pPr>
              <w:spacing w:after="0"/>
              <w:rPr>
                <w:sz w:val="11"/>
                <w:szCs w:val="11"/>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13,179</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auto"/>
              </w:rPr>
              <w:t>(16 )</w:t>
            </w:r>
          </w:p>
        </w:tc>
        <w:tc>
          <w:tcPr>
            <w:tcW w:w="0" w:type="dxa"/>
            <w:vAlign w:val="bottom"/>
          </w:tcPr>
          <w:p>
            <w:pPr>
              <w:spacing w:after="0"/>
              <w:rPr>
                <w:sz w:val="1"/>
                <w:szCs w:val="1"/>
                <w:color w:val="auto"/>
              </w:rPr>
            </w:pPr>
          </w:p>
        </w:tc>
      </w:tr>
      <w:tr>
        <w:trPr>
          <w:trHeight w:val="135"/>
        </w:trPr>
        <w:tc>
          <w:tcPr>
            <w:tcW w:w="320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Apex Service Partners, LLC (Revolver) </w:t>
            </w:r>
            <w:r>
              <w:rPr>
                <w:rFonts w:ascii="Arial" w:cs="Arial" w:eastAsia="Arial" w:hAnsi="Arial"/>
                <w:sz w:val="14"/>
                <w:szCs w:val="14"/>
                <w:color w:val="auto"/>
                <w:vertAlign w:val="superscript"/>
              </w:rPr>
              <w:t>(7)</w:t>
            </w:r>
          </w:p>
        </w:tc>
        <w:tc>
          <w:tcPr>
            <w:tcW w:w="740" w:type="dxa"/>
            <w:vAlign w:val="bottom"/>
          </w:tcPr>
          <w:p>
            <w:pPr>
              <w:jc w:val="center"/>
              <w:ind w:left="66"/>
              <w:spacing w:after="0"/>
              <w:rPr>
                <w:sz w:val="20"/>
                <w:szCs w:val="20"/>
                <w:color w:val="auto"/>
              </w:rPr>
            </w:pPr>
            <w:r>
              <w:rPr>
                <w:rFonts w:ascii="Arial" w:cs="Arial" w:eastAsia="Arial" w:hAnsi="Arial"/>
                <w:sz w:val="11"/>
                <w:szCs w:val="11"/>
                <w:color w:val="auto"/>
                <w:w w:val="90"/>
              </w:rPr>
              <w:t>07/29/2024</w:t>
            </w:r>
          </w:p>
        </w:tc>
        <w:tc>
          <w:tcPr>
            <w:tcW w:w="120" w:type="dxa"/>
            <w:vAlign w:val="bottom"/>
          </w:tcPr>
          <w:p>
            <w:pPr>
              <w:spacing w:after="0"/>
              <w:rPr>
                <w:sz w:val="11"/>
                <w:szCs w:val="11"/>
                <w:color w:val="auto"/>
              </w:rPr>
            </w:pPr>
          </w:p>
        </w:tc>
        <w:tc>
          <w:tcPr>
            <w:tcW w:w="2260" w:type="dxa"/>
            <w:vAlign w:val="bottom"/>
          </w:tcPr>
          <w:p>
            <w:pPr>
              <w:jc w:val="center"/>
              <w:spacing w:after="0"/>
              <w:rPr>
                <w:sz w:val="20"/>
                <w:szCs w:val="20"/>
                <w:color w:val="auto"/>
              </w:rPr>
            </w:pPr>
            <w:r>
              <w:rPr>
                <w:rFonts w:ascii="Arial" w:cs="Arial" w:eastAsia="Arial" w:hAnsi="Arial"/>
                <w:sz w:val="11"/>
                <w:szCs w:val="11"/>
                <w:color w:val="auto"/>
                <w:w w:val="89"/>
              </w:rPr>
              <w:t>Diversified Consumer Services</w:t>
            </w:r>
          </w:p>
        </w:tc>
        <w:tc>
          <w:tcPr>
            <w:tcW w:w="120" w:type="dxa"/>
            <w:vAlign w:val="bottom"/>
          </w:tcPr>
          <w:p>
            <w:pPr>
              <w:spacing w:after="0"/>
              <w:rPr>
                <w:sz w:val="11"/>
                <w:szCs w:val="11"/>
                <w:color w:val="auto"/>
              </w:rPr>
            </w:pPr>
          </w:p>
        </w:tc>
        <w:tc>
          <w:tcPr>
            <w:tcW w:w="820" w:type="dxa"/>
            <w:vAlign w:val="bottom"/>
            <w:gridSpan w:val="2"/>
          </w:tcPr>
          <w:p>
            <w:pPr>
              <w:jc w:val="right"/>
              <w:spacing w:after="0"/>
              <w:rPr>
                <w:sz w:val="20"/>
                <w:szCs w:val="20"/>
                <w:color w:val="auto"/>
              </w:rPr>
            </w:pPr>
            <w:r>
              <w:rPr>
                <w:rFonts w:ascii="Arial" w:cs="Arial" w:eastAsia="Arial" w:hAnsi="Arial"/>
                <w:sz w:val="11"/>
                <w:szCs w:val="11"/>
                <w:color w:val="auto"/>
              </w:rPr>
              <w:t>6.25 %</w:t>
            </w:r>
          </w:p>
        </w:tc>
        <w:tc>
          <w:tcPr>
            <w:tcW w:w="1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1M</w:t>
            </w:r>
          </w:p>
        </w:tc>
        <w:tc>
          <w:tcPr>
            <w:tcW w:w="320" w:type="dxa"/>
            <w:vAlign w:val="bottom"/>
          </w:tcPr>
          <w:p>
            <w:pPr>
              <w:jc w:val="right"/>
              <w:spacing w:after="0"/>
              <w:rPr>
                <w:sz w:val="20"/>
                <w:szCs w:val="20"/>
                <w:color w:val="auto"/>
              </w:rPr>
            </w:pPr>
            <w:r>
              <w:rPr>
                <w:rFonts w:ascii="Arial" w:cs="Arial" w:eastAsia="Arial" w:hAnsi="Arial"/>
                <w:sz w:val="11"/>
                <w:szCs w:val="11"/>
                <w:color w:val="auto"/>
                <w:w w:val="90"/>
              </w:rPr>
              <w:t>L+525</w:t>
            </w:r>
          </w:p>
        </w:tc>
        <w:tc>
          <w:tcPr>
            <w:tcW w:w="20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473</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473</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465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20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Apex Service Partners, LLC (Revolver) </w:t>
            </w:r>
            <w:r>
              <w:rPr>
                <w:rFonts w:ascii="Arial" w:cs="Arial" w:eastAsia="Arial" w:hAnsi="Arial"/>
                <w:sz w:val="14"/>
                <w:szCs w:val="14"/>
                <w:color w:val="auto"/>
                <w:vertAlign w:val="superscript"/>
              </w:rPr>
              <w:t>(7), (9)</w:t>
            </w:r>
          </w:p>
        </w:tc>
        <w:tc>
          <w:tcPr>
            <w:tcW w:w="740" w:type="dxa"/>
            <w:vAlign w:val="bottom"/>
          </w:tcPr>
          <w:p>
            <w:pPr>
              <w:jc w:val="center"/>
              <w:ind w:left="66"/>
              <w:spacing w:after="0"/>
              <w:rPr>
                <w:sz w:val="20"/>
                <w:szCs w:val="20"/>
                <w:color w:val="auto"/>
              </w:rPr>
            </w:pPr>
            <w:r>
              <w:rPr>
                <w:rFonts w:ascii="Arial" w:cs="Arial" w:eastAsia="Arial" w:hAnsi="Arial"/>
                <w:sz w:val="11"/>
                <w:szCs w:val="11"/>
                <w:color w:val="auto"/>
                <w:w w:val="90"/>
              </w:rPr>
              <w:t>07/29/2024</w:t>
            </w:r>
          </w:p>
        </w:tc>
        <w:tc>
          <w:tcPr>
            <w:tcW w:w="120" w:type="dxa"/>
            <w:vAlign w:val="bottom"/>
          </w:tcPr>
          <w:p>
            <w:pPr>
              <w:spacing w:after="0"/>
              <w:rPr>
                <w:sz w:val="13"/>
                <w:szCs w:val="13"/>
                <w:color w:val="auto"/>
              </w:rPr>
            </w:pPr>
          </w:p>
        </w:tc>
        <w:tc>
          <w:tcPr>
            <w:tcW w:w="2260" w:type="dxa"/>
            <w:vAlign w:val="bottom"/>
          </w:tcPr>
          <w:p>
            <w:pPr>
              <w:jc w:val="center"/>
              <w:spacing w:after="0"/>
              <w:rPr>
                <w:sz w:val="20"/>
                <w:szCs w:val="20"/>
                <w:color w:val="auto"/>
              </w:rPr>
            </w:pPr>
            <w:r>
              <w:rPr>
                <w:rFonts w:ascii="Arial" w:cs="Arial" w:eastAsia="Arial" w:hAnsi="Arial"/>
                <w:sz w:val="11"/>
                <w:szCs w:val="11"/>
                <w:color w:val="auto"/>
                <w:w w:val="89"/>
              </w:rPr>
              <w:t>Diversified Consumer Services</w:t>
            </w:r>
          </w:p>
        </w:tc>
        <w:tc>
          <w:tcPr>
            <w:tcW w:w="12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1,372</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auto"/>
              </w:rPr>
              <w:t>(24 )</w:t>
            </w:r>
          </w:p>
        </w:tc>
        <w:tc>
          <w:tcPr>
            <w:tcW w:w="0" w:type="dxa"/>
            <w:vAlign w:val="bottom"/>
          </w:tcPr>
          <w:p>
            <w:pPr>
              <w:spacing w:after="0"/>
              <w:rPr>
                <w:sz w:val="1"/>
                <w:szCs w:val="1"/>
                <w:color w:val="auto"/>
              </w:rPr>
            </w:pPr>
          </w:p>
        </w:tc>
      </w:tr>
      <w:tr>
        <w:trPr>
          <w:trHeight w:val="108"/>
        </w:trPr>
        <w:tc>
          <w:tcPr>
            <w:tcW w:w="3200" w:type="dxa"/>
            <w:vAlign w:val="bottom"/>
          </w:tcPr>
          <w:p>
            <w:pPr>
              <w:ind w:left="20"/>
              <w:spacing w:after="0" w:line="108" w:lineRule="exact"/>
              <w:rPr>
                <w:sz w:val="20"/>
                <w:szCs w:val="20"/>
                <w:color w:val="auto"/>
              </w:rPr>
            </w:pPr>
            <w:r>
              <w:rPr>
                <w:rFonts w:ascii="Arial" w:cs="Arial" w:eastAsia="Arial" w:hAnsi="Arial"/>
                <w:sz w:val="11"/>
                <w:szCs w:val="11"/>
                <w:color w:val="auto"/>
              </w:rPr>
              <w:t>API Technologies Corp.</w:t>
            </w:r>
          </w:p>
        </w:tc>
        <w:tc>
          <w:tcPr>
            <w:tcW w:w="740" w:type="dxa"/>
            <w:vAlign w:val="bottom"/>
          </w:tcPr>
          <w:p>
            <w:pPr>
              <w:jc w:val="center"/>
              <w:ind w:left="66"/>
              <w:spacing w:after="0" w:line="108" w:lineRule="exact"/>
              <w:rPr>
                <w:sz w:val="20"/>
                <w:szCs w:val="20"/>
                <w:color w:val="auto"/>
              </w:rPr>
            </w:pPr>
            <w:r>
              <w:rPr>
                <w:rFonts w:ascii="Arial" w:cs="Arial" w:eastAsia="Arial" w:hAnsi="Arial"/>
                <w:sz w:val="11"/>
                <w:szCs w:val="11"/>
                <w:color w:val="auto"/>
                <w:w w:val="90"/>
              </w:rPr>
              <w:t>05/11/2026</w:t>
            </w:r>
          </w:p>
        </w:tc>
        <w:tc>
          <w:tcPr>
            <w:tcW w:w="120" w:type="dxa"/>
            <w:vAlign w:val="bottom"/>
          </w:tcPr>
          <w:p>
            <w:pPr>
              <w:spacing w:after="0"/>
              <w:rPr>
                <w:sz w:val="9"/>
                <w:szCs w:val="9"/>
                <w:color w:val="auto"/>
              </w:rPr>
            </w:pPr>
          </w:p>
        </w:tc>
        <w:tc>
          <w:tcPr>
            <w:tcW w:w="2260" w:type="dxa"/>
            <w:vAlign w:val="bottom"/>
          </w:tcPr>
          <w:p>
            <w:pPr>
              <w:jc w:val="center"/>
              <w:spacing w:after="0" w:line="108" w:lineRule="exact"/>
              <w:rPr>
                <w:sz w:val="20"/>
                <w:szCs w:val="20"/>
                <w:color w:val="auto"/>
              </w:rPr>
            </w:pPr>
            <w:r>
              <w:rPr>
                <w:rFonts w:ascii="Arial" w:cs="Arial" w:eastAsia="Arial" w:hAnsi="Arial"/>
                <w:sz w:val="11"/>
                <w:szCs w:val="11"/>
                <w:color w:val="auto"/>
                <w:w w:val="89"/>
              </w:rPr>
              <w:t>Electronic Equipment, Instruments, and</w:t>
            </w:r>
          </w:p>
        </w:tc>
        <w:tc>
          <w:tcPr>
            <w:tcW w:w="120" w:type="dxa"/>
            <w:vAlign w:val="bottom"/>
          </w:tcPr>
          <w:p>
            <w:pPr>
              <w:spacing w:after="0"/>
              <w:rPr>
                <w:sz w:val="9"/>
                <w:szCs w:val="9"/>
                <w:color w:val="auto"/>
              </w:rPr>
            </w:pPr>
          </w:p>
        </w:tc>
        <w:tc>
          <w:tcPr>
            <w:tcW w:w="820" w:type="dxa"/>
            <w:vAlign w:val="bottom"/>
            <w:gridSpan w:val="2"/>
          </w:tcPr>
          <w:p>
            <w:pPr>
              <w:jc w:val="right"/>
              <w:spacing w:after="0" w:line="108" w:lineRule="exact"/>
              <w:rPr>
                <w:sz w:val="20"/>
                <w:szCs w:val="20"/>
                <w:color w:val="auto"/>
              </w:rPr>
            </w:pPr>
            <w:r>
              <w:rPr>
                <w:rFonts w:ascii="Arial" w:cs="Arial" w:eastAsia="Arial" w:hAnsi="Arial"/>
                <w:sz w:val="11"/>
                <w:szCs w:val="11"/>
                <w:color w:val="auto"/>
              </w:rPr>
              <w:t>4.33 %</w:t>
            </w:r>
          </w:p>
        </w:tc>
        <w:tc>
          <w:tcPr>
            <w:tcW w:w="160" w:type="dxa"/>
            <w:vAlign w:val="bottom"/>
          </w:tcPr>
          <w:p>
            <w:pPr>
              <w:spacing w:after="0"/>
              <w:rPr>
                <w:sz w:val="9"/>
                <w:szCs w:val="9"/>
                <w:color w:val="auto"/>
              </w:rPr>
            </w:pPr>
          </w:p>
        </w:tc>
        <w:tc>
          <w:tcPr>
            <w:tcW w:w="660" w:type="dxa"/>
            <w:vAlign w:val="bottom"/>
          </w:tcPr>
          <w:p>
            <w:pPr>
              <w:jc w:val="right"/>
              <w:spacing w:after="0" w:line="108" w:lineRule="exact"/>
              <w:rPr>
                <w:sz w:val="20"/>
                <w:szCs w:val="20"/>
                <w:color w:val="auto"/>
              </w:rPr>
            </w:pPr>
            <w:r>
              <w:rPr>
                <w:rFonts w:ascii="Arial" w:cs="Arial" w:eastAsia="Arial" w:hAnsi="Arial"/>
                <w:sz w:val="11"/>
                <w:szCs w:val="11"/>
                <w:color w:val="auto"/>
              </w:rPr>
              <w:t>1M</w:t>
            </w:r>
          </w:p>
        </w:tc>
        <w:tc>
          <w:tcPr>
            <w:tcW w:w="320" w:type="dxa"/>
            <w:vAlign w:val="bottom"/>
          </w:tcPr>
          <w:p>
            <w:pPr>
              <w:jc w:val="right"/>
              <w:spacing w:after="0" w:line="108" w:lineRule="exact"/>
              <w:rPr>
                <w:sz w:val="20"/>
                <w:szCs w:val="20"/>
                <w:color w:val="auto"/>
              </w:rPr>
            </w:pPr>
            <w:r>
              <w:rPr>
                <w:rFonts w:ascii="Arial" w:cs="Arial" w:eastAsia="Arial" w:hAnsi="Arial"/>
                <w:sz w:val="11"/>
                <w:szCs w:val="11"/>
                <w:color w:val="auto"/>
                <w:w w:val="90"/>
              </w:rPr>
              <w:t>L+425</w:t>
            </w:r>
          </w:p>
        </w:tc>
        <w:tc>
          <w:tcPr>
            <w:tcW w:w="200" w:type="dxa"/>
            <w:vAlign w:val="bottom"/>
          </w:tcPr>
          <w:p>
            <w:pPr>
              <w:spacing w:after="0"/>
              <w:rPr>
                <w:sz w:val="9"/>
                <w:szCs w:val="9"/>
                <w:color w:val="auto"/>
              </w:rPr>
            </w:pPr>
          </w:p>
        </w:tc>
        <w:tc>
          <w:tcPr>
            <w:tcW w:w="700" w:type="dxa"/>
            <w:vAlign w:val="bottom"/>
          </w:tcPr>
          <w:p>
            <w:pPr>
              <w:jc w:val="right"/>
              <w:spacing w:after="0" w:line="108" w:lineRule="exact"/>
              <w:rPr>
                <w:sz w:val="20"/>
                <w:szCs w:val="20"/>
                <w:color w:val="auto"/>
              </w:rPr>
            </w:pPr>
            <w:r>
              <w:rPr>
                <w:rFonts w:ascii="Arial" w:cs="Arial" w:eastAsia="Arial" w:hAnsi="Arial"/>
                <w:sz w:val="11"/>
                <w:szCs w:val="11"/>
                <w:color w:val="auto"/>
              </w:rPr>
              <w:t>5,865</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jc w:val="right"/>
              <w:spacing w:after="0" w:line="108" w:lineRule="exact"/>
              <w:rPr>
                <w:sz w:val="20"/>
                <w:szCs w:val="20"/>
                <w:color w:val="auto"/>
              </w:rPr>
            </w:pPr>
            <w:r>
              <w:rPr>
                <w:rFonts w:ascii="Arial" w:cs="Arial" w:eastAsia="Arial" w:hAnsi="Arial"/>
                <w:sz w:val="11"/>
                <w:szCs w:val="11"/>
                <w:color w:val="auto"/>
              </w:rPr>
              <w:t>5,841</w:t>
            </w: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jc w:val="right"/>
              <w:spacing w:after="0" w:line="108" w:lineRule="exact"/>
              <w:rPr>
                <w:sz w:val="20"/>
                <w:szCs w:val="20"/>
                <w:color w:val="auto"/>
              </w:rPr>
            </w:pPr>
            <w:r>
              <w:rPr>
                <w:rFonts w:ascii="Arial" w:cs="Arial" w:eastAsia="Arial" w:hAnsi="Arial"/>
                <w:sz w:val="11"/>
                <w:szCs w:val="11"/>
                <w:color w:val="auto"/>
              </w:rPr>
              <w:t>5,689</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60" w:type="dxa"/>
            <w:vAlign w:val="bottom"/>
          </w:tcPr>
          <w:p>
            <w:pPr>
              <w:jc w:val="center"/>
              <w:spacing w:after="0"/>
              <w:rPr>
                <w:sz w:val="20"/>
                <w:szCs w:val="20"/>
                <w:color w:val="auto"/>
              </w:rPr>
            </w:pPr>
            <w:r>
              <w:rPr>
                <w:rFonts w:ascii="Arial" w:cs="Arial" w:eastAsia="Arial" w:hAnsi="Arial"/>
                <w:sz w:val="11"/>
                <w:szCs w:val="11"/>
                <w:color w:val="auto"/>
                <w:w w:val="86"/>
              </w:rPr>
              <w:t>Components</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3200" w:type="dxa"/>
            <w:vAlign w:val="bottom"/>
          </w:tcPr>
          <w:p>
            <w:pPr>
              <w:ind w:left="20"/>
              <w:spacing w:after="0" w:line="115" w:lineRule="exact"/>
              <w:rPr>
                <w:sz w:val="20"/>
                <w:szCs w:val="20"/>
                <w:color w:val="auto"/>
              </w:rPr>
            </w:pPr>
            <w:r>
              <w:rPr>
                <w:rFonts w:ascii="Arial" w:cs="Arial" w:eastAsia="Arial" w:hAnsi="Arial"/>
                <w:sz w:val="11"/>
                <w:szCs w:val="11"/>
                <w:color w:val="auto"/>
              </w:rPr>
              <w:t>Applied Technical Services, LLC</w:t>
            </w:r>
          </w:p>
        </w:tc>
        <w:tc>
          <w:tcPr>
            <w:tcW w:w="740" w:type="dxa"/>
            <w:vAlign w:val="bottom"/>
          </w:tcPr>
          <w:p>
            <w:pPr>
              <w:jc w:val="center"/>
              <w:ind w:left="66"/>
              <w:spacing w:after="0" w:line="115" w:lineRule="exact"/>
              <w:rPr>
                <w:sz w:val="20"/>
                <w:szCs w:val="20"/>
                <w:color w:val="auto"/>
              </w:rPr>
            </w:pPr>
            <w:r>
              <w:rPr>
                <w:rFonts w:ascii="Arial" w:cs="Arial" w:eastAsia="Arial" w:hAnsi="Arial"/>
                <w:sz w:val="11"/>
                <w:szCs w:val="11"/>
                <w:color w:val="auto"/>
                <w:w w:val="90"/>
              </w:rPr>
              <w:t>12/29/2026</w:t>
            </w:r>
          </w:p>
        </w:tc>
        <w:tc>
          <w:tcPr>
            <w:tcW w:w="120" w:type="dxa"/>
            <w:vAlign w:val="bottom"/>
          </w:tcPr>
          <w:p>
            <w:pPr>
              <w:spacing w:after="0"/>
              <w:rPr>
                <w:sz w:val="9"/>
                <w:szCs w:val="9"/>
                <w:color w:val="auto"/>
              </w:rPr>
            </w:pPr>
          </w:p>
        </w:tc>
        <w:tc>
          <w:tcPr>
            <w:tcW w:w="2260" w:type="dxa"/>
            <w:vAlign w:val="bottom"/>
          </w:tcPr>
          <w:p>
            <w:pPr>
              <w:jc w:val="center"/>
              <w:spacing w:after="0" w:line="115" w:lineRule="exact"/>
              <w:rPr>
                <w:sz w:val="20"/>
                <w:szCs w:val="20"/>
                <w:color w:val="auto"/>
              </w:rPr>
            </w:pPr>
            <w:r>
              <w:rPr>
                <w:rFonts w:ascii="Arial" w:cs="Arial" w:eastAsia="Arial" w:hAnsi="Arial"/>
                <w:sz w:val="11"/>
                <w:szCs w:val="11"/>
                <w:color w:val="auto"/>
                <w:w w:val="90"/>
              </w:rPr>
              <w:t>Commercial Services &amp; Supplies</w:t>
            </w:r>
          </w:p>
        </w:tc>
        <w:tc>
          <w:tcPr>
            <w:tcW w:w="120" w:type="dxa"/>
            <w:vAlign w:val="bottom"/>
          </w:tcPr>
          <w:p>
            <w:pPr>
              <w:spacing w:after="0"/>
              <w:rPr>
                <w:sz w:val="9"/>
                <w:szCs w:val="9"/>
                <w:color w:val="auto"/>
              </w:rPr>
            </w:pPr>
          </w:p>
        </w:tc>
        <w:tc>
          <w:tcPr>
            <w:tcW w:w="8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6.75 %</w:t>
            </w:r>
          </w:p>
        </w:tc>
        <w:tc>
          <w:tcPr>
            <w:tcW w:w="160" w:type="dxa"/>
            <w:vAlign w:val="bottom"/>
          </w:tcPr>
          <w:p>
            <w:pPr>
              <w:spacing w:after="0"/>
              <w:rPr>
                <w:sz w:val="9"/>
                <w:szCs w:val="9"/>
                <w:color w:val="auto"/>
              </w:rPr>
            </w:pPr>
          </w:p>
        </w:tc>
        <w:tc>
          <w:tcPr>
            <w:tcW w:w="660" w:type="dxa"/>
            <w:vAlign w:val="bottom"/>
          </w:tcPr>
          <w:p>
            <w:pPr>
              <w:jc w:val="right"/>
              <w:spacing w:after="0" w:line="115" w:lineRule="exact"/>
              <w:rPr>
                <w:sz w:val="20"/>
                <w:szCs w:val="20"/>
                <w:color w:val="auto"/>
              </w:rPr>
            </w:pPr>
            <w:r>
              <w:rPr>
                <w:rFonts w:ascii="Arial" w:cs="Arial" w:eastAsia="Arial" w:hAnsi="Arial"/>
                <w:sz w:val="11"/>
                <w:szCs w:val="11"/>
                <w:color w:val="auto"/>
              </w:rPr>
              <w:t>3M</w:t>
            </w:r>
          </w:p>
        </w:tc>
        <w:tc>
          <w:tcPr>
            <w:tcW w:w="320" w:type="dxa"/>
            <w:vAlign w:val="bottom"/>
          </w:tcPr>
          <w:p>
            <w:pPr>
              <w:jc w:val="right"/>
              <w:spacing w:after="0" w:line="115" w:lineRule="exact"/>
              <w:rPr>
                <w:sz w:val="20"/>
                <w:szCs w:val="20"/>
                <w:color w:val="auto"/>
              </w:rPr>
            </w:pPr>
            <w:r>
              <w:rPr>
                <w:rFonts w:ascii="Arial" w:cs="Arial" w:eastAsia="Arial" w:hAnsi="Arial"/>
                <w:sz w:val="11"/>
                <w:szCs w:val="11"/>
                <w:color w:val="auto"/>
                <w:w w:val="90"/>
              </w:rPr>
              <w:t>L+575</w:t>
            </w:r>
          </w:p>
        </w:tc>
        <w:tc>
          <w:tcPr>
            <w:tcW w:w="200" w:type="dxa"/>
            <w:vAlign w:val="bottom"/>
          </w:tcPr>
          <w:p>
            <w:pPr>
              <w:spacing w:after="0"/>
              <w:rPr>
                <w:sz w:val="9"/>
                <w:szCs w:val="9"/>
                <w:color w:val="auto"/>
              </w:rPr>
            </w:pPr>
          </w:p>
        </w:tc>
        <w:tc>
          <w:tcPr>
            <w:tcW w:w="700" w:type="dxa"/>
            <w:vAlign w:val="bottom"/>
          </w:tcPr>
          <w:p>
            <w:pPr>
              <w:jc w:val="right"/>
              <w:spacing w:after="0" w:line="115" w:lineRule="exact"/>
              <w:rPr>
                <w:sz w:val="20"/>
                <w:szCs w:val="20"/>
                <w:color w:val="auto"/>
              </w:rPr>
            </w:pPr>
            <w:r>
              <w:rPr>
                <w:rFonts w:ascii="Arial" w:cs="Arial" w:eastAsia="Arial" w:hAnsi="Arial"/>
                <w:sz w:val="11"/>
                <w:szCs w:val="11"/>
                <w:color w:val="auto"/>
              </w:rPr>
              <w:t>4,963</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jc w:val="right"/>
              <w:spacing w:after="0" w:line="115" w:lineRule="exact"/>
              <w:rPr>
                <w:sz w:val="20"/>
                <w:szCs w:val="20"/>
                <w:color w:val="auto"/>
              </w:rPr>
            </w:pPr>
            <w:r>
              <w:rPr>
                <w:rFonts w:ascii="Arial" w:cs="Arial" w:eastAsia="Arial" w:hAnsi="Arial"/>
                <w:sz w:val="11"/>
                <w:szCs w:val="11"/>
                <w:color w:val="auto"/>
              </w:rPr>
              <w:t>4,863</w:t>
            </w: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jc w:val="right"/>
              <w:spacing w:after="0" w:line="115" w:lineRule="exact"/>
              <w:rPr>
                <w:sz w:val="20"/>
                <w:szCs w:val="20"/>
                <w:color w:val="auto"/>
              </w:rPr>
            </w:pPr>
            <w:r>
              <w:rPr>
                <w:rFonts w:ascii="Arial" w:cs="Arial" w:eastAsia="Arial" w:hAnsi="Arial"/>
                <w:sz w:val="11"/>
                <w:szCs w:val="11"/>
                <w:color w:val="auto"/>
              </w:rPr>
              <w:t>4,863</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Applied Technical Services, LLC </w:t>
            </w:r>
            <w:r>
              <w:rPr>
                <w:rFonts w:ascii="Arial" w:cs="Arial" w:eastAsia="Arial" w:hAnsi="Arial"/>
                <w:sz w:val="14"/>
                <w:szCs w:val="14"/>
                <w:color w:val="auto"/>
                <w:vertAlign w:val="superscript"/>
              </w:rPr>
              <w:t>(7), (9)</w:t>
            </w:r>
          </w:p>
        </w:tc>
        <w:tc>
          <w:tcPr>
            <w:tcW w:w="740" w:type="dxa"/>
            <w:vAlign w:val="bottom"/>
          </w:tcPr>
          <w:p>
            <w:pPr>
              <w:jc w:val="center"/>
              <w:ind w:left="66"/>
              <w:spacing w:after="0"/>
              <w:rPr>
                <w:sz w:val="20"/>
                <w:szCs w:val="20"/>
                <w:color w:val="auto"/>
              </w:rPr>
            </w:pPr>
            <w:r>
              <w:rPr>
                <w:rFonts w:ascii="Arial" w:cs="Arial" w:eastAsia="Arial" w:hAnsi="Arial"/>
                <w:sz w:val="11"/>
                <w:szCs w:val="11"/>
                <w:color w:val="auto"/>
                <w:w w:val="90"/>
              </w:rPr>
              <w:t>06/29/2022</w:t>
            </w:r>
          </w:p>
        </w:tc>
        <w:tc>
          <w:tcPr>
            <w:tcW w:w="120" w:type="dxa"/>
            <w:vAlign w:val="bottom"/>
          </w:tcPr>
          <w:p>
            <w:pPr>
              <w:spacing w:after="0"/>
              <w:rPr>
                <w:sz w:val="11"/>
                <w:szCs w:val="11"/>
                <w:color w:val="auto"/>
              </w:rPr>
            </w:pPr>
          </w:p>
        </w:tc>
        <w:tc>
          <w:tcPr>
            <w:tcW w:w="2260" w:type="dxa"/>
            <w:vAlign w:val="bottom"/>
          </w:tcPr>
          <w:p>
            <w:pPr>
              <w:jc w:val="center"/>
              <w:spacing w:after="0"/>
              <w:rPr>
                <w:sz w:val="20"/>
                <w:szCs w:val="20"/>
                <w:color w:val="auto"/>
              </w:rPr>
            </w:pPr>
            <w:r>
              <w:rPr>
                <w:rFonts w:ascii="Arial" w:cs="Arial" w:eastAsia="Arial" w:hAnsi="Arial"/>
                <w:sz w:val="11"/>
                <w:szCs w:val="11"/>
                <w:color w:val="auto"/>
                <w:w w:val="90"/>
              </w:rPr>
              <w:t>Commercial Services &amp; Supplies</w:t>
            </w:r>
          </w:p>
        </w:tc>
        <w:tc>
          <w:tcPr>
            <w:tcW w:w="120" w:type="dxa"/>
            <w:vAlign w:val="bottom"/>
          </w:tcPr>
          <w:p>
            <w:pPr>
              <w:spacing w:after="0"/>
              <w:rPr>
                <w:sz w:val="11"/>
                <w:szCs w:val="11"/>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8,567</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auto"/>
              </w:rPr>
              <w:t>(75 )</w:t>
            </w:r>
          </w:p>
        </w:tc>
        <w:tc>
          <w:tcPr>
            <w:tcW w:w="0" w:type="dxa"/>
            <w:vAlign w:val="bottom"/>
          </w:tcPr>
          <w:p>
            <w:pPr>
              <w:spacing w:after="0"/>
              <w:rPr>
                <w:sz w:val="1"/>
                <w:szCs w:val="1"/>
                <w:color w:val="auto"/>
              </w:rPr>
            </w:pPr>
          </w:p>
        </w:tc>
      </w:tr>
      <w:tr>
        <w:trPr>
          <w:trHeight w:val="155"/>
        </w:trPr>
        <w:tc>
          <w:tcPr>
            <w:tcW w:w="320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Applied Technical Services, LLC (Revolver) </w:t>
            </w:r>
            <w:r>
              <w:rPr>
                <w:rFonts w:ascii="Arial" w:cs="Arial" w:eastAsia="Arial" w:hAnsi="Arial"/>
                <w:sz w:val="14"/>
                <w:szCs w:val="14"/>
                <w:color w:val="auto"/>
                <w:vertAlign w:val="superscript"/>
              </w:rPr>
              <w:t>(7), (9)</w:t>
            </w:r>
          </w:p>
        </w:tc>
        <w:tc>
          <w:tcPr>
            <w:tcW w:w="740" w:type="dxa"/>
            <w:vAlign w:val="bottom"/>
          </w:tcPr>
          <w:p>
            <w:pPr>
              <w:jc w:val="center"/>
              <w:ind w:left="66"/>
              <w:spacing w:after="0"/>
              <w:rPr>
                <w:sz w:val="20"/>
                <w:szCs w:val="20"/>
                <w:color w:val="auto"/>
              </w:rPr>
            </w:pPr>
            <w:r>
              <w:rPr>
                <w:rFonts w:ascii="Arial" w:cs="Arial" w:eastAsia="Arial" w:hAnsi="Arial"/>
                <w:sz w:val="11"/>
                <w:szCs w:val="11"/>
                <w:color w:val="auto"/>
                <w:w w:val="90"/>
              </w:rPr>
              <w:t>12/29/2026</w:t>
            </w:r>
          </w:p>
        </w:tc>
        <w:tc>
          <w:tcPr>
            <w:tcW w:w="120" w:type="dxa"/>
            <w:vAlign w:val="bottom"/>
          </w:tcPr>
          <w:p>
            <w:pPr>
              <w:spacing w:after="0"/>
              <w:rPr>
                <w:sz w:val="13"/>
                <w:szCs w:val="13"/>
                <w:color w:val="auto"/>
              </w:rPr>
            </w:pPr>
          </w:p>
        </w:tc>
        <w:tc>
          <w:tcPr>
            <w:tcW w:w="2260" w:type="dxa"/>
            <w:vAlign w:val="bottom"/>
          </w:tcPr>
          <w:p>
            <w:pPr>
              <w:jc w:val="center"/>
              <w:spacing w:after="0"/>
              <w:rPr>
                <w:sz w:val="20"/>
                <w:szCs w:val="20"/>
                <w:color w:val="auto"/>
              </w:rPr>
            </w:pPr>
            <w:r>
              <w:rPr>
                <w:rFonts w:ascii="Arial" w:cs="Arial" w:eastAsia="Arial" w:hAnsi="Arial"/>
                <w:sz w:val="11"/>
                <w:szCs w:val="11"/>
                <w:color w:val="auto"/>
                <w:w w:val="90"/>
              </w:rPr>
              <w:t>Commercial Services &amp; Supplies</w:t>
            </w:r>
          </w:p>
        </w:tc>
        <w:tc>
          <w:tcPr>
            <w:tcW w:w="12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1,273</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auto"/>
              </w:rPr>
              <w:t>(25 )</w:t>
            </w:r>
          </w:p>
        </w:tc>
        <w:tc>
          <w:tcPr>
            <w:tcW w:w="0" w:type="dxa"/>
            <w:vAlign w:val="bottom"/>
          </w:tcPr>
          <w:p>
            <w:pPr>
              <w:spacing w:after="0"/>
              <w:rPr>
                <w:sz w:val="1"/>
                <w:szCs w:val="1"/>
                <w:color w:val="auto"/>
              </w:rPr>
            </w:pPr>
          </w:p>
        </w:tc>
      </w:tr>
      <w:tr>
        <w:trPr>
          <w:trHeight w:val="115"/>
        </w:trPr>
        <w:tc>
          <w:tcPr>
            <w:tcW w:w="3200" w:type="dxa"/>
            <w:vAlign w:val="bottom"/>
          </w:tcPr>
          <w:p>
            <w:pPr>
              <w:ind w:left="20"/>
              <w:spacing w:after="0" w:line="115" w:lineRule="exact"/>
              <w:rPr>
                <w:sz w:val="20"/>
                <w:szCs w:val="20"/>
                <w:color w:val="auto"/>
              </w:rPr>
            </w:pPr>
            <w:r>
              <w:rPr>
                <w:rFonts w:ascii="Arial" w:cs="Arial" w:eastAsia="Arial" w:hAnsi="Arial"/>
                <w:sz w:val="11"/>
                <w:szCs w:val="11"/>
                <w:color w:val="auto"/>
              </w:rPr>
              <w:t>By Light Professional IT Services, LLC</w:t>
            </w:r>
          </w:p>
        </w:tc>
        <w:tc>
          <w:tcPr>
            <w:tcW w:w="740" w:type="dxa"/>
            <w:vAlign w:val="bottom"/>
          </w:tcPr>
          <w:p>
            <w:pPr>
              <w:jc w:val="center"/>
              <w:ind w:left="66"/>
              <w:spacing w:after="0" w:line="115" w:lineRule="exact"/>
              <w:rPr>
                <w:sz w:val="20"/>
                <w:szCs w:val="20"/>
                <w:color w:val="auto"/>
              </w:rPr>
            </w:pPr>
            <w:r>
              <w:rPr>
                <w:rFonts w:ascii="Arial" w:cs="Arial" w:eastAsia="Arial" w:hAnsi="Arial"/>
                <w:sz w:val="11"/>
                <w:szCs w:val="11"/>
                <w:color w:val="auto"/>
                <w:w w:val="90"/>
              </w:rPr>
              <w:t>05/16/2022</w:t>
            </w:r>
          </w:p>
        </w:tc>
        <w:tc>
          <w:tcPr>
            <w:tcW w:w="120" w:type="dxa"/>
            <w:vAlign w:val="bottom"/>
          </w:tcPr>
          <w:p>
            <w:pPr>
              <w:spacing w:after="0"/>
              <w:rPr>
                <w:sz w:val="9"/>
                <w:szCs w:val="9"/>
                <w:color w:val="auto"/>
              </w:rPr>
            </w:pPr>
          </w:p>
        </w:tc>
        <w:tc>
          <w:tcPr>
            <w:tcW w:w="2260" w:type="dxa"/>
            <w:vAlign w:val="bottom"/>
          </w:tcPr>
          <w:p>
            <w:pPr>
              <w:jc w:val="center"/>
              <w:spacing w:after="0" w:line="115" w:lineRule="exact"/>
              <w:rPr>
                <w:sz w:val="20"/>
                <w:szCs w:val="20"/>
                <w:color w:val="auto"/>
              </w:rPr>
            </w:pPr>
            <w:r>
              <w:rPr>
                <w:rFonts w:ascii="Arial" w:cs="Arial" w:eastAsia="Arial" w:hAnsi="Arial"/>
                <w:sz w:val="11"/>
                <w:szCs w:val="11"/>
                <w:color w:val="auto"/>
                <w:w w:val="89"/>
              </w:rPr>
              <w:t>High Tech Industries</w:t>
            </w:r>
          </w:p>
        </w:tc>
        <w:tc>
          <w:tcPr>
            <w:tcW w:w="120" w:type="dxa"/>
            <w:vAlign w:val="bottom"/>
          </w:tcPr>
          <w:p>
            <w:pPr>
              <w:spacing w:after="0"/>
              <w:rPr>
                <w:sz w:val="9"/>
                <w:szCs w:val="9"/>
                <w:color w:val="auto"/>
              </w:rPr>
            </w:pPr>
          </w:p>
        </w:tc>
        <w:tc>
          <w:tcPr>
            <w:tcW w:w="8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7.25 %</w:t>
            </w:r>
          </w:p>
        </w:tc>
        <w:tc>
          <w:tcPr>
            <w:tcW w:w="160" w:type="dxa"/>
            <w:vAlign w:val="bottom"/>
          </w:tcPr>
          <w:p>
            <w:pPr>
              <w:spacing w:after="0"/>
              <w:rPr>
                <w:sz w:val="9"/>
                <w:szCs w:val="9"/>
                <w:color w:val="auto"/>
              </w:rPr>
            </w:pPr>
          </w:p>
        </w:tc>
        <w:tc>
          <w:tcPr>
            <w:tcW w:w="660" w:type="dxa"/>
            <w:vAlign w:val="bottom"/>
          </w:tcPr>
          <w:p>
            <w:pPr>
              <w:jc w:val="right"/>
              <w:spacing w:after="0" w:line="115" w:lineRule="exact"/>
              <w:rPr>
                <w:sz w:val="20"/>
                <w:szCs w:val="20"/>
                <w:color w:val="auto"/>
              </w:rPr>
            </w:pPr>
            <w:r>
              <w:rPr>
                <w:rFonts w:ascii="Arial" w:cs="Arial" w:eastAsia="Arial" w:hAnsi="Arial"/>
                <w:sz w:val="11"/>
                <w:szCs w:val="11"/>
                <w:color w:val="auto"/>
              </w:rPr>
              <w:t>3M</w:t>
            </w:r>
          </w:p>
        </w:tc>
        <w:tc>
          <w:tcPr>
            <w:tcW w:w="320" w:type="dxa"/>
            <w:vAlign w:val="bottom"/>
          </w:tcPr>
          <w:p>
            <w:pPr>
              <w:jc w:val="right"/>
              <w:spacing w:after="0" w:line="115" w:lineRule="exact"/>
              <w:rPr>
                <w:sz w:val="20"/>
                <w:szCs w:val="20"/>
                <w:color w:val="auto"/>
              </w:rPr>
            </w:pPr>
            <w:r>
              <w:rPr>
                <w:rFonts w:ascii="Arial" w:cs="Arial" w:eastAsia="Arial" w:hAnsi="Arial"/>
                <w:sz w:val="11"/>
                <w:szCs w:val="11"/>
                <w:color w:val="auto"/>
                <w:w w:val="90"/>
              </w:rPr>
              <w:t>L+625</w:t>
            </w:r>
          </w:p>
        </w:tc>
        <w:tc>
          <w:tcPr>
            <w:tcW w:w="200" w:type="dxa"/>
            <w:vAlign w:val="bottom"/>
          </w:tcPr>
          <w:p>
            <w:pPr>
              <w:spacing w:after="0"/>
              <w:rPr>
                <w:sz w:val="9"/>
                <w:szCs w:val="9"/>
                <w:color w:val="auto"/>
              </w:rPr>
            </w:pPr>
          </w:p>
        </w:tc>
        <w:tc>
          <w:tcPr>
            <w:tcW w:w="700" w:type="dxa"/>
            <w:vAlign w:val="bottom"/>
          </w:tcPr>
          <w:p>
            <w:pPr>
              <w:jc w:val="right"/>
              <w:spacing w:after="0" w:line="115" w:lineRule="exact"/>
              <w:rPr>
                <w:sz w:val="20"/>
                <w:szCs w:val="20"/>
                <w:color w:val="auto"/>
              </w:rPr>
            </w:pPr>
            <w:r>
              <w:rPr>
                <w:rFonts w:ascii="Arial" w:cs="Arial" w:eastAsia="Arial" w:hAnsi="Arial"/>
                <w:sz w:val="11"/>
                <w:szCs w:val="11"/>
                <w:color w:val="auto"/>
              </w:rPr>
              <w:t>22,681</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jc w:val="right"/>
              <w:spacing w:after="0" w:line="115" w:lineRule="exact"/>
              <w:rPr>
                <w:sz w:val="20"/>
                <w:szCs w:val="20"/>
                <w:color w:val="auto"/>
              </w:rPr>
            </w:pPr>
            <w:r>
              <w:rPr>
                <w:rFonts w:ascii="Arial" w:cs="Arial" w:eastAsia="Arial" w:hAnsi="Arial"/>
                <w:sz w:val="11"/>
                <w:szCs w:val="11"/>
                <w:color w:val="auto"/>
              </w:rPr>
              <w:t>22,627</w:t>
            </w: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jc w:val="right"/>
              <w:spacing w:after="0" w:line="115" w:lineRule="exact"/>
              <w:rPr>
                <w:sz w:val="20"/>
                <w:szCs w:val="20"/>
                <w:color w:val="auto"/>
              </w:rPr>
            </w:pPr>
            <w:r>
              <w:rPr>
                <w:rFonts w:ascii="Arial" w:cs="Arial" w:eastAsia="Arial" w:hAnsi="Arial"/>
                <w:sz w:val="11"/>
                <w:szCs w:val="11"/>
                <w:color w:val="auto"/>
              </w:rPr>
              <w:t>22,681</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By Light Professional IT Services, LLC (Revolver) </w:t>
            </w:r>
            <w:r>
              <w:rPr>
                <w:rFonts w:ascii="Arial" w:cs="Arial" w:eastAsia="Arial" w:hAnsi="Arial"/>
                <w:sz w:val="14"/>
                <w:szCs w:val="14"/>
                <w:color w:val="auto"/>
                <w:vertAlign w:val="superscript"/>
              </w:rPr>
              <w:t>(9)</w:t>
            </w:r>
          </w:p>
        </w:tc>
        <w:tc>
          <w:tcPr>
            <w:tcW w:w="740" w:type="dxa"/>
            <w:vAlign w:val="bottom"/>
          </w:tcPr>
          <w:p>
            <w:pPr>
              <w:jc w:val="center"/>
              <w:ind w:left="66"/>
              <w:spacing w:after="0"/>
              <w:rPr>
                <w:sz w:val="20"/>
                <w:szCs w:val="20"/>
                <w:color w:val="auto"/>
              </w:rPr>
            </w:pPr>
            <w:r>
              <w:rPr>
                <w:rFonts w:ascii="Arial" w:cs="Arial" w:eastAsia="Arial" w:hAnsi="Arial"/>
                <w:sz w:val="11"/>
                <w:szCs w:val="11"/>
                <w:color w:val="auto"/>
                <w:w w:val="90"/>
              </w:rPr>
              <w:t>05/16/2022</w:t>
            </w:r>
          </w:p>
        </w:tc>
        <w:tc>
          <w:tcPr>
            <w:tcW w:w="120" w:type="dxa"/>
            <w:vAlign w:val="bottom"/>
          </w:tcPr>
          <w:p>
            <w:pPr>
              <w:spacing w:after="0"/>
              <w:rPr>
                <w:sz w:val="11"/>
                <w:szCs w:val="11"/>
                <w:color w:val="auto"/>
              </w:rPr>
            </w:pPr>
          </w:p>
        </w:tc>
        <w:tc>
          <w:tcPr>
            <w:tcW w:w="2260" w:type="dxa"/>
            <w:vAlign w:val="bottom"/>
          </w:tcPr>
          <w:p>
            <w:pPr>
              <w:jc w:val="center"/>
              <w:spacing w:after="0"/>
              <w:rPr>
                <w:sz w:val="20"/>
                <w:szCs w:val="20"/>
                <w:color w:val="auto"/>
              </w:rPr>
            </w:pPr>
            <w:r>
              <w:rPr>
                <w:rFonts w:ascii="Arial" w:cs="Arial" w:eastAsia="Arial" w:hAnsi="Arial"/>
                <w:sz w:val="11"/>
                <w:szCs w:val="11"/>
                <w:color w:val="auto"/>
                <w:w w:val="89"/>
              </w:rPr>
              <w:t>High Tech Industries</w:t>
            </w:r>
          </w:p>
        </w:tc>
        <w:tc>
          <w:tcPr>
            <w:tcW w:w="120" w:type="dxa"/>
            <w:vAlign w:val="bottom"/>
          </w:tcPr>
          <w:p>
            <w:pPr>
              <w:spacing w:after="0"/>
              <w:rPr>
                <w:sz w:val="11"/>
                <w:szCs w:val="11"/>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3,063</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5"/>
        </w:trPr>
        <w:tc>
          <w:tcPr>
            <w:tcW w:w="320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Cadence Aerospace, LLC </w:t>
            </w:r>
            <w:r>
              <w:rPr>
                <w:rFonts w:ascii="Arial" w:cs="Arial" w:eastAsia="Arial" w:hAnsi="Arial"/>
                <w:sz w:val="14"/>
                <w:szCs w:val="14"/>
                <w:color w:val="auto"/>
                <w:vertAlign w:val="superscript"/>
              </w:rPr>
              <w:t>(7)</w:t>
            </w:r>
          </w:p>
        </w:tc>
        <w:tc>
          <w:tcPr>
            <w:tcW w:w="740" w:type="dxa"/>
            <w:vAlign w:val="bottom"/>
          </w:tcPr>
          <w:p>
            <w:pPr>
              <w:jc w:val="center"/>
              <w:ind w:left="66"/>
              <w:spacing w:after="0"/>
              <w:rPr>
                <w:sz w:val="20"/>
                <w:szCs w:val="20"/>
                <w:color w:val="auto"/>
              </w:rPr>
            </w:pPr>
            <w:r>
              <w:rPr>
                <w:rFonts w:ascii="Arial" w:cs="Arial" w:eastAsia="Arial" w:hAnsi="Arial"/>
                <w:sz w:val="11"/>
                <w:szCs w:val="11"/>
                <w:color w:val="auto"/>
                <w:w w:val="90"/>
              </w:rPr>
              <w:t>11/14/2023</w:t>
            </w:r>
          </w:p>
        </w:tc>
        <w:tc>
          <w:tcPr>
            <w:tcW w:w="120" w:type="dxa"/>
            <w:vAlign w:val="bottom"/>
          </w:tcPr>
          <w:p>
            <w:pPr>
              <w:spacing w:after="0"/>
              <w:rPr>
                <w:sz w:val="13"/>
                <w:szCs w:val="13"/>
                <w:color w:val="auto"/>
              </w:rPr>
            </w:pPr>
          </w:p>
        </w:tc>
        <w:tc>
          <w:tcPr>
            <w:tcW w:w="2260" w:type="dxa"/>
            <w:vAlign w:val="bottom"/>
          </w:tcPr>
          <w:p>
            <w:pPr>
              <w:jc w:val="center"/>
              <w:spacing w:after="0"/>
              <w:rPr>
                <w:sz w:val="20"/>
                <w:szCs w:val="20"/>
                <w:color w:val="auto"/>
              </w:rPr>
            </w:pPr>
            <w:r>
              <w:rPr>
                <w:rFonts w:ascii="Arial" w:cs="Arial" w:eastAsia="Arial" w:hAnsi="Arial"/>
                <w:sz w:val="11"/>
                <w:szCs w:val="11"/>
                <w:color w:val="auto"/>
                <w:w w:val="86"/>
              </w:rPr>
              <w:t>Aerospace and Defense</w:t>
            </w:r>
          </w:p>
        </w:tc>
        <w:tc>
          <w:tcPr>
            <w:tcW w:w="120" w:type="dxa"/>
            <w:vAlign w:val="bottom"/>
          </w:tcPr>
          <w:p>
            <w:pPr>
              <w:spacing w:after="0"/>
              <w:rPr>
                <w:sz w:val="13"/>
                <w:szCs w:val="13"/>
                <w:color w:val="auto"/>
              </w:rPr>
            </w:pPr>
          </w:p>
        </w:tc>
        <w:tc>
          <w:tcPr>
            <w:tcW w:w="820" w:type="dxa"/>
            <w:vAlign w:val="bottom"/>
            <w:gridSpan w:val="2"/>
          </w:tcPr>
          <w:p>
            <w:pPr>
              <w:jc w:val="right"/>
              <w:spacing w:after="0"/>
              <w:rPr>
                <w:sz w:val="20"/>
                <w:szCs w:val="20"/>
                <w:color w:val="auto"/>
              </w:rPr>
            </w:pPr>
            <w:r>
              <w:rPr>
                <w:rFonts w:ascii="Arial" w:cs="Arial" w:eastAsia="Arial" w:hAnsi="Arial"/>
                <w:sz w:val="11"/>
                <w:szCs w:val="11"/>
                <w:color w:val="auto"/>
              </w:rPr>
              <w:t>9.50 %</w:t>
            </w: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3M</w:t>
            </w:r>
          </w:p>
        </w:tc>
        <w:tc>
          <w:tcPr>
            <w:tcW w:w="320" w:type="dxa"/>
            <w:vAlign w:val="bottom"/>
          </w:tcPr>
          <w:p>
            <w:pPr>
              <w:jc w:val="right"/>
              <w:spacing w:after="0"/>
              <w:rPr>
                <w:sz w:val="20"/>
                <w:szCs w:val="20"/>
                <w:color w:val="auto"/>
              </w:rPr>
            </w:pPr>
            <w:r>
              <w:rPr>
                <w:rFonts w:ascii="Arial" w:cs="Arial" w:eastAsia="Arial" w:hAnsi="Arial"/>
                <w:sz w:val="11"/>
                <w:szCs w:val="11"/>
                <w:color w:val="auto"/>
                <w:w w:val="90"/>
              </w:rPr>
              <w:t>L+850</w:t>
            </w: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3,002</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2,985</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2,928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3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(PIK 9.50%)</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200" w:type="dxa"/>
            <w:vAlign w:val="bottom"/>
            <w:shd w:val="clear" w:color="auto" w:fill="CCECFF"/>
          </w:tcPr>
          <w:p>
            <w:pPr>
              <w:ind w:left="20"/>
              <w:spacing w:after="0"/>
              <w:rPr>
                <w:sz w:val="20"/>
                <w:szCs w:val="20"/>
                <w:color w:val="auto"/>
              </w:rPr>
            </w:pPr>
            <w:r>
              <w:rPr>
                <w:rFonts w:ascii="Arial" w:cs="Arial" w:eastAsia="Arial" w:hAnsi="Arial"/>
                <w:sz w:val="11"/>
                <w:szCs w:val="11"/>
                <w:color w:val="auto"/>
              </w:rPr>
              <w:t>Cano Health, LLC</w:t>
            </w:r>
          </w:p>
        </w:tc>
        <w:tc>
          <w:tcPr>
            <w:tcW w:w="740" w:type="dxa"/>
            <w:vAlign w:val="bottom"/>
            <w:shd w:val="clear" w:color="auto" w:fill="CCECFF"/>
          </w:tcPr>
          <w:p>
            <w:pPr>
              <w:jc w:val="center"/>
              <w:ind w:left="66"/>
              <w:spacing w:after="0"/>
              <w:rPr>
                <w:sz w:val="20"/>
                <w:szCs w:val="20"/>
                <w:color w:val="auto"/>
              </w:rPr>
            </w:pPr>
            <w:r>
              <w:rPr>
                <w:rFonts w:ascii="Arial" w:cs="Arial" w:eastAsia="Arial" w:hAnsi="Arial"/>
                <w:sz w:val="11"/>
                <w:szCs w:val="11"/>
                <w:color w:val="auto"/>
                <w:w w:val="90"/>
              </w:rPr>
              <w:t>11/23/2027</w:t>
            </w:r>
          </w:p>
        </w:tc>
        <w:tc>
          <w:tcPr>
            <w:tcW w:w="120" w:type="dxa"/>
            <w:vAlign w:val="bottom"/>
            <w:shd w:val="clear" w:color="auto" w:fill="CCECFF"/>
          </w:tcPr>
          <w:p>
            <w:pPr>
              <w:spacing w:after="0"/>
              <w:rPr>
                <w:sz w:val="12"/>
                <w:szCs w:val="12"/>
                <w:color w:val="auto"/>
              </w:rPr>
            </w:pPr>
          </w:p>
        </w:tc>
        <w:tc>
          <w:tcPr>
            <w:tcW w:w="22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Healthcare and Pharmaceuticals</w:t>
            </w:r>
          </w:p>
        </w:tc>
        <w:tc>
          <w:tcPr>
            <w:tcW w:w="120" w:type="dxa"/>
            <w:vAlign w:val="bottom"/>
            <w:shd w:val="clear" w:color="auto" w:fill="CCECFF"/>
          </w:tcPr>
          <w:p>
            <w:pPr>
              <w:spacing w:after="0"/>
              <w:rPr>
                <w:sz w:val="12"/>
                <w:szCs w:val="12"/>
                <w:color w:val="auto"/>
              </w:rPr>
            </w:pPr>
          </w:p>
        </w:tc>
        <w:tc>
          <w:tcPr>
            <w:tcW w:w="8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5.25 %</w:t>
            </w:r>
          </w:p>
        </w:tc>
        <w:tc>
          <w:tcPr>
            <w:tcW w:w="160" w:type="dxa"/>
            <w:vAlign w:val="bottom"/>
            <w:shd w:val="clear" w:color="auto" w:fill="CCECFF"/>
          </w:tcPr>
          <w:p>
            <w:pPr>
              <w:spacing w:after="0"/>
              <w:rPr>
                <w:sz w:val="12"/>
                <w:szCs w:val="12"/>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w:t>
            </w:r>
          </w:p>
        </w:tc>
        <w:tc>
          <w:tcPr>
            <w:tcW w:w="32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0"/>
              </w:rPr>
              <w:t>L+450</w:t>
            </w:r>
          </w:p>
        </w:tc>
        <w:tc>
          <w:tcPr>
            <w:tcW w:w="20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2,653</w:t>
            </w:r>
          </w:p>
        </w:tc>
        <w:tc>
          <w:tcPr>
            <w:tcW w:w="2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2,647</w:t>
            </w:r>
          </w:p>
        </w:tc>
        <w:tc>
          <w:tcPr>
            <w:tcW w:w="2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4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2,654</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3200" w:type="dxa"/>
            <w:vAlign w:val="bottom"/>
          </w:tcPr>
          <w:p>
            <w:pPr>
              <w:ind w:left="20"/>
              <w:spacing w:after="0" w:line="105" w:lineRule="exact"/>
              <w:rPr>
                <w:sz w:val="20"/>
                <w:szCs w:val="20"/>
                <w:color w:val="auto"/>
              </w:rPr>
            </w:pPr>
            <w:r>
              <w:rPr>
                <w:rFonts w:ascii="Arial" w:cs="Arial" w:eastAsia="Arial" w:hAnsi="Arial"/>
                <w:sz w:val="11"/>
                <w:szCs w:val="11"/>
                <w:color w:val="auto"/>
              </w:rPr>
              <w:t>CF512, Inc.</w:t>
            </w:r>
          </w:p>
        </w:tc>
        <w:tc>
          <w:tcPr>
            <w:tcW w:w="740" w:type="dxa"/>
            <w:vAlign w:val="bottom"/>
          </w:tcPr>
          <w:p>
            <w:pPr>
              <w:jc w:val="center"/>
              <w:ind w:left="66"/>
              <w:spacing w:after="0" w:line="105" w:lineRule="exact"/>
              <w:rPr>
                <w:sz w:val="20"/>
                <w:szCs w:val="20"/>
                <w:color w:val="auto"/>
              </w:rPr>
            </w:pPr>
            <w:r>
              <w:rPr>
                <w:rFonts w:ascii="Arial" w:cs="Arial" w:eastAsia="Arial" w:hAnsi="Arial"/>
                <w:sz w:val="11"/>
                <w:szCs w:val="11"/>
                <w:color w:val="auto"/>
                <w:w w:val="90"/>
              </w:rPr>
              <w:t>08/20/2026</w:t>
            </w:r>
          </w:p>
        </w:tc>
        <w:tc>
          <w:tcPr>
            <w:tcW w:w="120" w:type="dxa"/>
            <w:vAlign w:val="bottom"/>
          </w:tcPr>
          <w:p>
            <w:pPr>
              <w:spacing w:after="0"/>
              <w:rPr>
                <w:sz w:val="9"/>
                <w:szCs w:val="9"/>
                <w:color w:val="auto"/>
              </w:rPr>
            </w:pPr>
          </w:p>
        </w:tc>
        <w:tc>
          <w:tcPr>
            <w:tcW w:w="2260" w:type="dxa"/>
            <w:vAlign w:val="bottom"/>
          </w:tcPr>
          <w:p>
            <w:pPr>
              <w:jc w:val="center"/>
              <w:spacing w:after="0" w:line="105" w:lineRule="exact"/>
              <w:rPr>
                <w:sz w:val="20"/>
                <w:szCs w:val="20"/>
                <w:color w:val="auto"/>
              </w:rPr>
            </w:pPr>
            <w:r>
              <w:rPr>
                <w:rFonts w:ascii="Arial" w:cs="Arial" w:eastAsia="Arial" w:hAnsi="Arial"/>
                <w:sz w:val="11"/>
                <w:szCs w:val="11"/>
                <w:color w:val="auto"/>
                <w:w w:val="93"/>
              </w:rPr>
              <w:t>Media</w:t>
            </w:r>
          </w:p>
        </w:tc>
        <w:tc>
          <w:tcPr>
            <w:tcW w:w="120" w:type="dxa"/>
            <w:vAlign w:val="bottom"/>
          </w:tcPr>
          <w:p>
            <w:pPr>
              <w:spacing w:after="0"/>
              <w:rPr>
                <w:sz w:val="9"/>
                <w:szCs w:val="9"/>
                <w:color w:val="auto"/>
              </w:rPr>
            </w:pPr>
          </w:p>
        </w:tc>
        <w:tc>
          <w:tcPr>
            <w:tcW w:w="820" w:type="dxa"/>
            <w:vAlign w:val="bottom"/>
            <w:gridSpan w:val="2"/>
          </w:tcPr>
          <w:p>
            <w:pPr>
              <w:jc w:val="right"/>
              <w:spacing w:after="0" w:line="105" w:lineRule="exact"/>
              <w:rPr>
                <w:sz w:val="20"/>
                <w:szCs w:val="20"/>
                <w:color w:val="auto"/>
              </w:rPr>
            </w:pPr>
            <w:r>
              <w:rPr>
                <w:rFonts w:ascii="Arial" w:cs="Arial" w:eastAsia="Arial" w:hAnsi="Arial"/>
                <w:sz w:val="11"/>
                <w:szCs w:val="11"/>
                <w:color w:val="auto"/>
              </w:rPr>
              <w:t>7.00 %</w:t>
            </w:r>
          </w:p>
        </w:tc>
        <w:tc>
          <w:tcPr>
            <w:tcW w:w="160" w:type="dxa"/>
            <w:vAlign w:val="bottom"/>
          </w:tcPr>
          <w:p>
            <w:pPr>
              <w:spacing w:after="0"/>
              <w:rPr>
                <w:sz w:val="9"/>
                <w:szCs w:val="9"/>
                <w:color w:val="auto"/>
              </w:rPr>
            </w:pPr>
          </w:p>
        </w:tc>
        <w:tc>
          <w:tcPr>
            <w:tcW w:w="660" w:type="dxa"/>
            <w:vAlign w:val="bottom"/>
          </w:tcPr>
          <w:p>
            <w:pPr>
              <w:jc w:val="right"/>
              <w:spacing w:after="0" w:line="105" w:lineRule="exact"/>
              <w:rPr>
                <w:sz w:val="20"/>
                <w:szCs w:val="20"/>
                <w:color w:val="auto"/>
              </w:rPr>
            </w:pPr>
            <w:r>
              <w:rPr>
                <w:rFonts w:ascii="Arial" w:cs="Arial" w:eastAsia="Arial" w:hAnsi="Arial"/>
                <w:sz w:val="11"/>
                <w:szCs w:val="11"/>
                <w:color w:val="auto"/>
              </w:rPr>
              <w:t>3M</w:t>
            </w:r>
          </w:p>
        </w:tc>
        <w:tc>
          <w:tcPr>
            <w:tcW w:w="320" w:type="dxa"/>
            <w:vAlign w:val="bottom"/>
          </w:tcPr>
          <w:p>
            <w:pPr>
              <w:jc w:val="right"/>
              <w:spacing w:after="0" w:line="105" w:lineRule="exact"/>
              <w:rPr>
                <w:sz w:val="20"/>
                <w:szCs w:val="20"/>
                <w:color w:val="auto"/>
              </w:rPr>
            </w:pPr>
            <w:r>
              <w:rPr>
                <w:rFonts w:ascii="Arial" w:cs="Arial" w:eastAsia="Arial" w:hAnsi="Arial"/>
                <w:sz w:val="11"/>
                <w:szCs w:val="11"/>
                <w:color w:val="auto"/>
                <w:w w:val="90"/>
              </w:rPr>
              <w:t>L+600</w:t>
            </w:r>
          </w:p>
        </w:tc>
        <w:tc>
          <w:tcPr>
            <w:tcW w:w="200" w:type="dxa"/>
            <w:vAlign w:val="bottom"/>
          </w:tcPr>
          <w:p>
            <w:pPr>
              <w:spacing w:after="0"/>
              <w:rPr>
                <w:sz w:val="9"/>
                <w:szCs w:val="9"/>
                <w:color w:val="auto"/>
              </w:rPr>
            </w:pPr>
          </w:p>
        </w:tc>
        <w:tc>
          <w:tcPr>
            <w:tcW w:w="700" w:type="dxa"/>
            <w:vAlign w:val="bottom"/>
          </w:tcPr>
          <w:p>
            <w:pPr>
              <w:jc w:val="right"/>
              <w:spacing w:after="0" w:line="105" w:lineRule="exact"/>
              <w:rPr>
                <w:sz w:val="20"/>
                <w:szCs w:val="20"/>
                <w:color w:val="auto"/>
              </w:rPr>
            </w:pPr>
            <w:r>
              <w:rPr>
                <w:rFonts w:ascii="Arial" w:cs="Arial" w:eastAsia="Arial" w:hAnsi="Arial"/>
                <w:sz w:val="11"/>
                <w:szCs w:val="11"/>
                <w:color w:val="auto"/>
              </w:rPr>
              <w:t>10,500</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jc w:val="right"/>
              <w:spacing w:after="0" w:line="105" w:lineRule="exact"/>
              <w:rPr>
                <w:sz w:val="20"/>
                <w:szCs w:val="20"/>
                <w:color w:val="auto"/>
              </w:rPr>
            </w:pPr>
            <w:r>
              <w:rPr>
                <w:rFonts w:ascii="Arial" w:cs="Arial" w:eastAsia="Arial" w:hAnsi="Arial"/>
                <w:sz w:val="11"/>
                <w:szCs w:val="11"/>
                <w:color w:val="auto"/>
              </w:rPr>
              <w:t>10,293</w:t>
            </w: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jc w:val="right"/>
              <w:spacing w:after="0" w:line="105" w:lineRule="exact"/>
              <w:rPr>
                <w:sz w:val="20"/>
                <w:szCs w:val="20"/>
                <w:color w:val="auto"/>
              </w:rPr>
            </w:pPr>
            <w:r>
              <w:rPr>
                <w:rFonts w:ascii="Arial" w:cs="Arial" w:eastAsia="Arial" w:hAnsi="Arial"/>
                <w:sz w:val="11"/>
                <w:szCs w:val="11"/>
                <w:color w:val="auto"/>
              </w:rPr>
              <w:t>10,290</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CF512, Inc. </w:t>
            </w:r>
            <w:r>
              <w:rPr>
                <w:rFonts w:ascii="Arial" w:cs="Arial" w:eastAsia="Arial" w:hAnsi="Arial"/>
                <w:sz w:val="14"/>
                <w:szCs w:val="14"/>
                <w:color w:val="auto"/>
                <w:vertAlign w:val="superscript"/>
              </w:rPr>
              <w:t>(7), (9)</w:t>
            </w:r>
          </w:p>
        </w:tc>
        <w:tc>
          <w:tcPr>
            <w:tcW w:w="740" w:type="dxa"/>
            <w:vAlign w:val="bottom"/>
          </w:tcPr>
          <w:p>
            <w:pPr>
              <w:jc w:val="center"/>
              <w:ind w:left="66"/>
              <w:spacing w:after="0"/>
              <w:rPr>
                <w:sz w:val="20"/>
                <w:szCs w:val="20"/>
                <w:color w:val="auto"/>
              </w:rPr>
            </w:pPr>
            <w:r>
              <w:rPr>
                <w:rFonts w:ascii="Arial" w:cs="Arial" w:eastAsia="Arial" w:hAnsi="Arial"/>
                <w:sz w:val="11"/>
                <w:szCs w:val="11"/>
                <w:color w:val="auto"/>
                <w:w w:val="90"/>
              </w:rPr>
              <w:t>08/20/2026</w:t>
            </w:r>
          </w:p>
        </w:tc>
        <w:tc>
          <w:tcPr>
            <w:tcW w:w="120" w:type="dxa"/>
            <w:vAlign w:val="bottom"/>
          </w:tcPr>
          <w:p>
            <w:pPr>
              <w:spacing w:after="0"/>
              <w:rPr>
                <w:sz w:val="11"/>
                <w:szCs w:val="11"/>
                <w:color w:val="auto"/>
              </w:rPr>
            </w:pPr>
          </w:p>
        </w:tc>
        <w:tc>
          <w:tcPr>
            <w:tcW w:w="226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120" w:type="dxa"/>
            <w:vAlign w:val="bottom"/>
          </w:tcPr>
          <w:p>
            <w:pPr>
              <w:spacing w:after="0"/>
              <w:rPr>
                <w:sz w:val="11"/>
                <w:szCs w:val="11"/>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2,864</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auto"/>
              </w:rPr>
              <w:t>(29 )</w:t>
            </w:r>
          </w:p>
        </w:tc>
        <w:tc>
          <w:tcPr>
            <w:tcW w:w="0" w:type="dxa"/>
            <w:vAlign w:val="bottom"/>
          </w:tcPr>
          <w:p>
            <w:pPr>
              <w:spacing w:after="0"/>
              <w:rPr>
                <w:sz w:val="1"/>
                <w:szCs w:val="1"/>
                <w:color w:val="auto"/>
              </w:rPr>
            </w:pPr>
          </w:p>
        </w:tc>
      </w:tr>
      <w:tr>
        <w:trPr>
          <w:trHeight w:val="155"/>
        </w:trPr>
        <w:tc>
          <w:tcPr>
            <w:tcW w:w="320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CF512, Inc. (Revolver) </w:t>
            </w:r>
            <w:r>
              <w:rPr>
                <w:rFonts w:ascii="Arial" w:cs="Arial" w:eastAsia="Arial" w:hAnsi="Arial"/>
                <w:sz w:val="14"/>
                <w:szCs w:val="14"/>
                <w:color w:val="auto"/>
                <w:vertAlign w:val="superscript"/>
              </w:rPr>
              <w:t>(7), (9)</w:t>
            </w:r>
          </w:p>
        </w:tc>
        <w:tc>
          <w:tcPr>
            <w:tcW w:w="740" w:type="dxa"/>
            <w:vAlign w:val="bottom"/>
          </w:tcPr>
          <w:p>
            <w:pPr>
              <w:jc w:val="center"/>
              <w:ind w:left="66"/>
              <w:spacing w:after="0"/>
              <w:rPr>
                <w:sz w:val="20"/>
                <w:szCs w:val="20"/>
                <w:color w:val="auto"/>
              </w:rPr>
            </w:pPr>
            <w:r>
              <w:rPr>
                <w:rFonts w:ascii="Arial" w:cs="Arial" w:eastAsia="Arial" w:hAnsi="Arial"/>
                <w:sz w:val="11"/>
                <w:szCs w:val="11"/>
                <w:color w:val="auto"/>
                <w:w w:val="90"/>
              </w:rPr>
              <w:t>08/20/2026</w:t>
            </w:r>
          </w:p>
        </w:tc>
        <w:tc>
          <w:tcPr>
            <w:tcW w:w="120" w:type="dxa"/>
            <w:vAlign w:val="bottom"/>
          </w:tcPr>
          <w:p>
            <w:pPr>
              <w:spacing w:after="0"/>
              <w:rPr>
                <w:sz w:val="13"/>
                <w:szCs w:val="13"/>
                <w:color w:val="auto"/>
              </w:rPr>
            </w:pPr>
          </w:p>
        </w:tc>
        <w:tc>
          <w:tcPr>
            <w:tcW w:w="226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12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955</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auto"/>
              </w:rPr>
              <w:t>(19 )</w:t>
            </w:r>
          </w:p>
        </w:tc>
        <w:tc>
          <w:tcPr>
            <w:tcW w:w="0" w:type="dxa"/>
            <w:vAlign w:val="bottom"/>
          </w:tcPr>
          <w:p>
            <w:pPr>
              <w:spacing w:after="0"/>
              <w:rPr>
                <w:sz w:val="1"/>
                <w:szCs w:val="1"/>
                <w:color w:val="auto"/>
              </w:rPr>
            </w:pPr>
          </w:p>
        </w:tc>
      </w:tr>
      <w:tr>
        <w:trPr>
          <w:trHeight w:val="115"/>
        </w:trPr>
        <w:tc>
          <w:tcPr>
            <w:tcW w:w="3200" w:type="dxa"/>
            <w:vAlign w:val="bottom"/>
          </w:tcPr>
          <w:p>
            <w:pPr>
              <w:ind w:left="20"/>
              <w:spacing w:after="0" w:line="115" w:lineRule="exact"/>
              <w:rPr>
                <w:sz w:val="20"/>
                <w:szCs w:val="20"/>
                <w:color w:val="auto"/>
              </w:rPr>
            </w:pPr>
            <w:r>
              <w:rPr>
                <w:rFonts w:ascii="Arial" w:cs="Arial" w:eastAsia="Arial" w:hAnsi="Arial"/>
                <w:sz w:val="11"/>
                <w:szCs w:val="11"/>
                <w:color w:val="auto"/>
              </w:rPr>
              <w:t>CHA Holdings, Inc.</w:t>
            </w:r>
          </w:p>
        </w:tc>
        <w:tc>
          <w:tcPr>
            <w:tcW w:w="740" w:type="dxa"/>
            <w:vAlign w:val="bottom"/>
          </w:tcPr>
          <w:p>
            <w:pPr>
              <w:jc w:val="center"/>
              <w:ind w:left="66"/>
              <w:spacing w:after="0" w:line="115" w:lineRule="exact"/>
              <w:rPr>
                <w:sz w:val="20"/>
                <w:szCs w:val="20"/>
                <w:color w:val="auto"/>
              </w:rPr>
            </w:pPr>
            <w:r>
              <w:rPr>
                <w:rFonts w:ascii="Arial" w:cs="Arial" w:eastAsia="Arial" w:hAnsi="Arial"/>
                <w:sz w:val="11"/>
                <w:szCs w:val="11"/>
                <w:color w:val="auto"/>
                <w:w w:val="90"/>
              </w:rPr>
              <w:t>04/10/2025</w:t>
            </w:r>
          </w:p>
        </w:tc>
        <w:tc>
          <w:tcPr>
            <w:tcW w:w="120" w:type="dxa"/>
            <w:vAlign w:val="bottom"/>
          </w:tcPr>
          <w:p>
            <w:pPr>
              <w:spacing w:after="0"/>
              <w:rPr>
                <w:sz w:val="9"/>
                <w:szCs w:val="9"/>
                <w:color w:val="auto"/>
              </w:rPr>
            </w:pPr>
          </w:p>
        </w:tc>
        <w:tc>
          <w:tcPr>
            <w:tcW w:w="2260" w:type="dxa"/>
            <w:vAlign w:val="bottom"/>
          </w:tcPr>
          <w:p>
            <w:pPr>
              <w:jc w:val="center"/>
              <w:spacing w:after="0" w:line="115" w:lineRule="exact"/>
              <w:rPr>
                <w:sz w:val="20"/>
                <w:szCs w:val="20"/>
                <w:color w:val="auto"/>
              </w:rPr>
            </w:pPr>
            <w:r>
              <w:rPr>
                <w:rFonts w:ascii="Arial" w:cs="Arial" w:eastAsia="Arial" w:hAnsi="Arial"/>
                <w:sz w:val="11"/>
                <w:szCs w:val="11"/>
                <w:color w:val="auto"/>
                <w:w w:val="90"/>
              </w:rPr>
              <w:t>Environmental Industries</w:t>
            </w:r>
          </w:p>
        </w:tc>
        <w:tc>
          <w:tcPr>
            <w:tcW w:w="120" w:type="dxa"/>
            <w:vAlign w:val="bottom"/>
          </w:tcPr>
          <w:p>
            <w:pPr>
              <w:spacing w:after="0"/>
              <w:rPr>
                <w:sz w:val="9"/>
                <w:szCs w:val="9"/>
                <w:color w:val="auto"/>
              </w:rPr>
            </w:pPr>
          </w:p>
        </w:tc>
        <w:tc>
          <w:tcPr>
            <w:tcW w:w="8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5.50 %</w:t>
            </w:r>
          </w:p>
        </w:tc>
        <w:tc>
          <w:tcPr>
            <w:tcW w:w="160" w:type="dxa"/>
            <w:vAlign w:val="bottom"/>
          </w:tcPr>
          <w:p>
            <w:pPr>
              <w:spacing w:after="0"/>
              <w:rPr>
                <w:sz w:val="9"/>
                <w:szCs w:val="9"/>
                <w:color w:val="auto"/>
              </w:rPr>
            </w:pPr>
          </w:p>
        </w:tc>
        <w:tc>
          <w:tcPr>
            <w:tcW w:w="660" w:type="dxa"/>
            <w:vAlign w:val="bottom"/>
          </w:tcPr>
          <w:p>
            <w:pPr>
              <w:jc w:val="right"/>
              <w:spacing w:after="0" w:line="115" w:lineRule="exact"/>
              <w:rPr>
                <w:sz w:val="20"/>
                <w:szCs w:val="20"/>
                <w:color w:val="auto"/>
              </w:rPr>
            </w:pPr>
            <w:r>
              <w:rPr>
                <w:rFonts w:ascii="Arial" w:cs="Arial" w:eastAsia="Arial" w:hAnsi="Arial"/>
                <w:sz w:val="11"/>
                <w:szCs w:val="11"/>
                <w:color w:val="auto"/>
              </w:rPr>
              <w:t>3M</w:t>
            </w:r>
          </w:p>
        </w:tc>
        <w:tc>
          <w:tcPr>
            <w:tcW w:w="320" w:type="dxa"/>
            <w:vAlign w:val="bottom"/>
          </w:tcPr>
          <w:p>
            <w:pPr>
              <w:jc w:val="right"/>
              <w:spacing w:after="0" w:line="115" w:lineRule="exact"/>
              <w:rPr>
                <w:sz w:val="20"/>
                <w:szCs w:val="20"/>
                <w:color w:val="auto"/>
              </w:rPr>
            </w:pPr>
            <w:r>
              <w:rPr>
                <w:rFonts w:ascii="Arial" w:cs="Arial" w:eastAsia="Arial" w:hAnsi="Arial"/>
                <w:sz w:val="11"/>
                <w:szCs w:val="11"/>
                <w:color w:val="auto"/>
                <w:w w:val="90"/>
              </w:rPr>
              <w:t>L+450</w:t>
            </w:r>
          </w:p>
        </w:tc>
        <w:tc>
          <w:tcPr>
            <w:tcW w:w="200" w:type="dxa"/>
            <w:vAlign w:val="bottom"/>
          </w:tcPr>
          <w:p>
            <w:pPr>
              <w:spacing w:after="0"/>
              <w:rPr>
                <w:sz w:val="9"/>
                <w:szCs w:val="9"/>
                <w:color w:val="auto"/>
              </w:rPr>
            </w:pPr>
          </w:p>
        </w:tc>
        <w:tc>
          <w:tcPr>
            <w:tcW w:w="700" w:type="dxa"/>
            <w:vAlign w:val="bottom"/>
          </w:tcPr>
          <w:p>
            <w:pPr>
              <w:jc w:val="right"/>
              <w:spacing w:after="0" w:line="115" w:lineRule="exact"/>
              <w:rPr>
                <w:sz w:val="20"/>
                <w:szCs w:val="20"/>
                <w:color w:val="auto"/>
              </w:rPr>
            </w:pPr>
            <w:r>
              <w:rPr>
                <w:rFonts w:ascii="Arial" w:cs="Arial" w:eastAsia="Arial" w:hAnsi="Arial"/>
                <w:sz w:val="11"/>
                <w:szCs w:val="11"/>
                <w:color w:val="auto"/>
              </w:rPr>
              <w:t>1,597</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jc w:val="right"/>
              <w:spacing w:after="0" w:line="115" w:lineRule="exact"/>
              <w:rPr>
                <w:sz w:val="20"/>
                <w:szCs w:val="20"/>
                <w:color w:val="auto"/>
              </w:rPr>
            </w:pPr>
            <w:r>
              <w:rPr>
                <w:rFonts w:ascii="Arial" w:cs="Arial" w:eastAsia="Arial" w:hAnsi="Arial"/>
                <w:sz w:val="11"/>
                <w:szCs w:val="11"/>
                <w:color w:val="auto"/>
              </w:rPr>
              <w:t>1,593</w:t>
            </w: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jc w:val="right"/>
              <w:spacing w:after="0" w:line="115" w:lineRule="exact"/>
              <w:rPr>
                <w:sz w:val="20"/>
                <w:szCs w:val="20"/>
                <w:color w:val="auto"/>
              </w:rPr>
            </w:pPr>
            <w:r>
              <w:rPr>
                <w:rFonts w:ascii="Arial" w:cs="Arial" w:eastAsia="Arial" w:hAnsi="Arial"/>
                <w:sz w:val="11"/>
                <w:szCs w:val="11"/>
                <w:color w:val="auto"/>
              </w:rPr>
              <w:t>1,573</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320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Challenger Performance Optimization, Inc. (Revolver) </w:t>
            </w:r>
            <w:r>
              <w:rPr>
                <w:rFonts w:ascii="Arial" w:cs="Arial" w:eastAsia="Arial" w:hAnsi="Arial"/>
                <w:sz w:val="14"/>
                <w:szCs w:val="14"/>
                <w:color w:val="auto"/>
                <w:vertAlign w:val="superscript"/>
              </w:rPr>
              <w:t>(7), (9)</w:t>
            </w:r>
          </w:p>
        </w:tc>
        <w:tc>
          <w:tcPr>
            <w:tcW w:w="740" w:type="dxa"/>
            <w:vAlign w:val="bottom"/>
          </w:tcPr>
          <w:p>
            <w:pPr>
              <w:jc w:val="center"/>
              <w:ind w:left="66"/>
              <w:spacing w:after="0"/>
              <w:rPr>
                <w:sz w:val="20"/>
                <w:szCs w:val="20"/>
                <w:color w:val="auto"/>
              </w:rPr>
            </w:pPr>
            <w:r>
              <w:rPr>
                <w:rFonts w:ascii="Arial" w:cs="Arial" w:eastAsia="Arial" w:hAnsi="Arial"/>
                <w:sz w:val="11"/>
                <w:szCs w:val="11"/>
                <w:color w:val="auto"/>
                <w:w w:val="90"/>
              </w:rPr>
              <w:t>08/31/2023</w:t>
            </w:r>
          </w:p>
        </w:tc>
        <w:tc>
          <w:tcPr>
            <w:tcW w:w="120" w:type="dxa"/>
            <w:vAlign w:val="bottom"/>
          </w:tcPr>
          <w:p>
            <w:pPr>
              <w:spacing w:after="0"/>
              <w:rPr>
                <w:sz w:val="13"/>
                <w:szCs w:val="13"/>
                <w:color w:val="auto"/>
              </w:rPr>
            </w:pPr>
          </w:p>
        </w:tc>
        <w:tc>
          <w:tcPr>
            <w:tcW w:w="2260" w:type="dxa"/>
            <w:vAlign w:val="bottom"/>
          </w:tcPr>
          <w:p>
            <w:pPr>
              <w:jc w:val="center"/>
              <w:spacing w:after="0"/>
              <w:rPr>
                <w:sz w:val="20"/>
                <w:szCs w:val="20"/>
                <w:color w:val="auto"/>
              </w:rPr>
            </w:pPr>
            <w:r>
              <w:rPr>
                <w:rFonts w:ascii="Arial" w:cs="Arial" w:eastAsia="Arial" w:hAnsi="Arial"/>
                <w:sz w:val="11"/>
                <w:szCs w:val="11"/>
                <w:color w:val="auto"/>
                <w:w w:val="86"/>
              </w:rPr>
              <w:t>Business Services</w:t>
            </w:r>
          </w:p>
        </w:tc>
        <w:tc>
          <w:tcPr>
            <w:tcW w:w="12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711</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auto"/>
              </w:rPr>
              <w:t>(21 )</w:t>
            </w:r>
          </w:p>
        </w:tc>
        <w:tc>
          <w:tcPr>
            <w:tcW w:w="0" w:type="dxa"/>
            <w:vAlign w:val="bottom"/>
          </w:tcPr>
          <w:p>
            <w:pPr>
              <w:spacing w:after="0"/>
              <w:rPr>
                <w:sz w:val="1"/>
                <w:szCs w:val="1"/>
                <w:color w:val="auto"/>
              </w:rPr>
            </w:pPr>
          </w:p>
        </w:tc>
      </w:tr>
      <w:tr>
        <w:trPr>
          <w:trHeight w:val="115"/>
        </w:trPr>
        <w:tc>
          <w:tcPr>
            <w:tcW w:w="3200" w:type="dxa"/>
            <w:vAlign w:val="bottom"/>
          </w:tcPr>
          <w:p>
            <w:pPr>
              <w:ind w:left="20"/>
              <w:spacing w:after="0" w:line="115" w:lineRule="exact"/>
              <w:rPr>
                <w:sz w:val="20"/>
                <w:szCs w:val="20"/>
                <w:color w:val="auto"/>
              </w:rPr>
            </w:pPr>
            <w:r>
              <w:rPr>
                <w:rFonts w:ascii="Arial" w:cs="Arial" w:eastAsia="Arial" w:hAnsi="Arial"/>
                <w:sz w:val="11"/>
                <w:szCs w:val="11"/>
                <w:color w:val="auto"/>
              </w:rPr>
              <w:t>Compex Legal Services, Inc.</w:t>
            </w:r>
          </w:p>
        </w:tc>
        <w:tc>
          <w:tcPr>
            <w:tcW w:w="740" w:type="dxa"/>
            <w:vAlign w:val="bottom"/>
          </w:tcPr>
          <w:p>
            <w:pPr>
              <w:jc w:val="center"/>
              <w:ind w:left="66"/>
              <w:spacing w:after="0" w:line="115" w:lineRule="exact"/>
              <w:rPr>
                <w:sz w:val="20"/>
                <w:szCs w:val="20"/>
                <w:color w:val="auto"/>
              </w:rPr>
            </w:pPr>
            <w:r>
              <w:rPr>
                <w:rFonts w:ascii="Arial" w:cs="Arial" w:eastAsia="Arial" w:hAnsi="Arial"/>
                <w:sz w:val="11"/>
                <w:szCs w:val="11"/>
                <w:color w:val="auto"/>
                <w:w w:val="90"/>
              </w:rPr>
              <w:t>02/09/2026</w:t>
            </w:r>
          </w:p>
        </w:tc>
        <w:tc>
          <w:tcPr>
            <w:tcW w:w="120" w:type="dxa"/>
            <w:vAlign w:val="bottom"/>
          </w:tcPr>
          <w:p>
            <w:pPr>
              <w:spacing w:after="0"/>
              <w:rPr>
                <w:sz w:val="9"/>
                <w:szCs w:val="9"/>
                <w:color w:val="auto"/>
              </w:rPr>
            </w:pPr>
          </w:p>
        </w:tc>
        <w:tc>
          <w:tcPr>
            <w:tcW w:w="2260" w:type="dxa"/>
            <w:vAlign w:val="bottom"/>
          </w:tcPr>
          <w:p>
            <w:pPr>
              <w:jc w:val="center"/>
              <w:spacing w:after="0" w:line="115" w:lineRule="exact"/>
              <w:rPr>
                <w:sz w:val="20"/>
                <w:szCs w:val="20"/>
                <w:color w:val="auto"/>
              </w:rPr>
            </w:pPr>
            <w:r>
              <w:rPr>
                <w:rFonts w:ascii="Arial" w:cs="Arial" w:eastAsia="Arial" w:hAnsi="Arial"/>
                <w:sz w:val="11"/>
                <w:szCs w:val="11"/>
                <w:color w:val="auto"/>
                <w:w w:val="86"/>
              </w:rPr>
              <w:t>Professional Services</w:t>
            </w:r>
          </w:p>
        </w:tc>
        <w:tc>
          <w:tcPr>
            <w:tcW w:w="120" w:type="dxa"/>
            <w:vAlign w:val="bottom"/>
          </w:tcPr>
          <w:p>
            <w:pPr>
              <w:spacing w:after="0"/>
              <w:rPr>
                <w:sz w:val="9"/>
                <w:szCs w:val="9"/>
                <w:color w:val="auto"/>
              </w:rPr>
            </w:pPr>
          </w:p>
        </w:tc>
        <w:tc>
          <w:tcPr>
            <w:tcW w:w="8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6.75 %</w:t>
            </w:r>
          </w:p>
        </w:tc>
        <w:tc>
          <w:tcPr>
            <w:tcW w:w="160" w:type="dxa"/>
            <w:vAlign w:val="bottom"/>
          </w:tcPr>
          <w:p>
            <w:pPr>
              <w:spacing w:after="0"/>
              <w:rPr>
                <w:sz w:val="9"/>
                <w:szCs w:val="9"/>
                <w:color w:val="auto"/>
              </w:rPr>
            </w:pPr>
          </w:p>
        </w:tc>
        <w:tc>
          <w:tcPr>
            <w:tcW w:w="660" w:type="dxa"/>
            <w:vAlign w:val="bottom"/>
          </w:tcPr>
          <w:p>
            <w:pPr>
              <w:jc w:val="right"/>
              <w:spacing w:after="0" w:line="115" w:lineRule="exact"/>
              <w:rPr>
                <w:sz w:val="20"/>
                <w:szCs w:val="20"/>
                <w:color w:val="auto"/>
              </w:rPr>
            </w:pPr>
            <w:r>
              <w:rPr>
                <w:rFonts w:ascii="Arial" w:cs="Arial" w:eastAsia="Arial" w:hAnsi="Arial"/>
                <w:sz w:val="11"/>
                <w:szCs w:val="11"/>
                <w:color w:val="auto"/>
              </w:rPr>
              <w:t>3M</w:t>
            </w:r>
          </w:p>
        </w:tc>
        <w:tc>
          <w:tcPr>
            <w:tcW w:w="320" w:type="dxa"/>
            <w:vAlign w:val="bottom"/>
          </w:tcPr>
          <w:p>
            <w:pPr>
              <w:jc w:val="right"/>
              <w:spacing w:after="0" w:line="115" w:lineRule="exact"/>
              <w:rPr>
                <w:sz w:val="20"/>
                <w:szCs w:val="20"/>
                <w:color w:val="auto"/>
              </w:rPr>
            </w:pPr>
            <w:r>
              <w:rPr>
                <w:rFonts w:ascii="Arial" w:cs="Arial" w:eastAsia="Arial" w:hAnsi="Arial"/>
                <w:sz w:val="11"/>
                <w:szCs w:val="11"/>
                <w:color w:val="auto"/>
                <w:w w:val="90"/>
              </w:rPr>
              <w:t>L+575</w:t>
            </w:r>
          </w:p>
        </w:tc>
        <w:tc>
          <w:tcPr>
            <w:tcW w:w="200" w:type="dxa"/>
            <w:vAlign w:val="bottom"/>
          </w:tcPr>
          <w:p>
            <w:pPr>
              <w:spacing w:after="0"/>
              <w:rPr>
                <w:sz w:val="9"/>
                <w:szCs w:val="9"/>
                <w:color w:val="auto"/>
              </w:rPr>
            </w:pPr>
          </w:p>
        </w:tc>
        <w:tc>
          <w:tcPr>
            <w:tcW w:w="700" w:type="dxa"/>
            <w:vAlign w:val="bottom"/>
          </w:tcPr>
          <w:p>
            <w:pPr>
              <w:jc w:val="right"/>
              <w:spacing w:after="0" w:line="115" w:lineRule="exact"/>
              <w:rPr>
                <w:sz w:val="20"/>
                <w:szCs w:val="20"/>
                <w:color w:val="auto"/>
              </w:rPr>
            </w:pPr>
            <w:r>
              <w:rPr>
                <w:rFonts w:ascii="Arial" w:cs="Arial" w:eastAsia="Arial" w:hAnsi="Arial"/>
                <w:sz w:val="11"/>
                <w:szCs w:val="11"/>
                <w:color w:val="auto"/>
              </w:rPr>
              <w:t>7,653</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jc w:val="right"/>
              <w:spacing w:after="0" w:line="115" w:lineRule="exact"/>
              <w:rPr>
                <w:sz w:val="20"/>
                <w:szCs w:val="20"/>
                <w:color w:val="auto"/>
              </w:rPr>
            </w:pPr>
            <w:r>
              <w:rPr>
                <w:rFonts w:ascii="Arial" w:cs="Arial" w:eastAsia="Arial" w:hAnsi="Arial"/>
                <w:sz w:val="11"/>
                <w:szCs w:val="11"/>
                <w:color w:val="auto"/>
              </w:rPr>
              <w:t>7,530</w:t>
            </w: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jc w:val="right"/>
              <w:spacing w:after="0" w:line="115" w:lineRule="exact"/>
              <w:rPr>
                <w:sz w:val="20"/>
                <w:szCs w:val="20"/>
                <w:color w:val="auto"/>
              </w:rPr>
            </w:pPr>
            <w:r>
              <w:rPr>
                <w:rFonts w:ascii="Arial" w:cs="Arial" w:eastAsia="Arial" w:hAnsi="Arial"/>
                <w:sz w:val="11"/>
                <w:szCs w:val="11"/>
                <w:color w:val="auto"/>
              </w:rPr>
              <w:t>7,566</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Compex Legal Services, Inc. (Revolver) </w:t>
            </w:r>
            <w:r>
              <w:rPr>
                <w:rFonts w:ascii="Arial" w:cs="Arial" w:eastAsia="Arial" w:hAnsi="Arial"/>
                <w:sz w:val="14"/>
                <w:szCs w:val="14"/>
                <w:color w:val="auto"/>
                <w:vertAlign w:val="superscript"/>
              </w:rPr>
              <w:t>(7)</w:t>
            </w:r>
          </w:p>
        </w:tc>
        <w:tc>
          <w:tcPr>
            <w:tcW w:w="740" w:type="dxa"/>
            <w:vAlign w:val="bottom"/>
          </w:tcPr>
          <w:p>
            <w:pPr>
              <w:jc w:val="center"/>
              <w:ind w:left="66"/>
              <w:spacing w:after="0"/>
              <w:rPr>
                <w:sz w:val="20"/>
                <w:szCs w:val="20"/>
                <w:color w:val="auto"/>
              </w:rPr>
            </w:pPr>
            <w:r>
              <w:rPr>
                <w:rFonts w:ascii="Arial" w:cs="Arial" w:eastAsia="Arial" w:hAnsi="Arial"/>
                <w:sz w:val="11"/>
                <w:szCs w:val="11"/>
                <w:color w:val="auto"/>
                <w:w w:val="90"/>
              </w:rPr>
              <w:t>02/07/2025</w:t>
            </w:r>
          </w:p>
        </w:tc>
        <w:tc>
          <w:tcPr>
            <w:tcW w:w="120" w:type="dxa"/>
            <w:vAlign w:val="bottom"/>
          </w:tcPr>
          <w:p>
            <w:pPr>
              <w:spacing w:after="0"/>
              <w:rPr>
                <w:sz w:val="11"/>
                <w:szCs w:val="11"/>
                <w:color w:val="auto"/>
              </w:rPr>
            </w:pPr>
          </w:p>
        </w:tc>
        <w:tc>
          <w:tcPr>
            <w:tcW w:w="2260" w:type="dxa"/>
            <w:vAlign w:val="bottom"/>
          </w:tcPr>
          <w:p>
            <w:pPr>
              <w:jc w:val="center"/>
              <w:spacing w:after="0"/>
              <w:rPr>
                <w:sz w:val="20"/>
                <w:szCs w:val="20"/>
                <w:color w:val="auto"/>
              </w:rPr>
            </w:pPr>
            <w:r>
              <w:rPr>
                <w:rFonts w:ascii="Arial" w:cs="Arial" w:eastAsia="Arial" w:hAnsi="Arial"/>
                <w:sz w:val="11"/>
                <w:szCs w:val="11"/>
                <w:color w:val="auto"/>
                <w:w w:val="86"/>
              </w:rPr>
              <w:t>Professional Services</w:t>
            </w:r>
          </w:p>
        </w:tc>
        <w:tc>
          <w:tcPr>
            <w:tcW w:w="120" w:type="dxa"/>
            <w:vAlign w:val="bottom"/>
          </w:tcPr>
          <w:p>
            <w:pPr>
              <w:spacing w:after="0"/>
              <w:rPr>
                <w:sz w:val="11"/>
                <w:szCs w:val="11"/>
                <w:color w:val="auto"/>
              </w:rPr>
            </w:pPr>
          </w:p>
        </w:tc>
        <w:tc>
          <w:tcPr>
            <w:tcW w:w="820" w:type="dxa"/>
            <w:vAlign w:val="bottom"/>
            <w:gridSpan w:val="2"/>
          </w:tcPr>
          <w:p>
            <w:pPr>
              <w:jc w:val="right"/>
              <w:spacing w:after="0"/>
              <w:rPr>
                <w:sz w:val="20"/>
                <w:szCs w:val="20"/>
                <w:color w:val="auto"/>
              </w:rPr>
            </w:pPr>
            <w:r>
              <w:rPr>
                <w:rFonts w:ascii="Arial" w:cs="Arial" w:eastAsia="Arial" w:hAnsi="Arial"/>
                <w:sz w:val="11"/>
                <w:szCs w:val="11"/>
                <w:color w:val="auto"/>
              </w:rPr>
              <w:t>6.75 %</w:t>
            </w:r>
          </w:p>
        </w:tc>
        <w:tc>
          <w:tcPr>
            <w:tcW w:w="1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3M</w:t>
            </w:r>
          </w:p>
        </w:tc>
        <w:tc>
          <w:tcPr>
            <w:tcW w:w="320" w:type="dxa"/>
            <w:vAlign w:val="bottom"/>
          </w:tcPr>
          <w:p>
            <w:pPr>
              <w:jc w:val="right"/>
              <w:spacing w:after="0"/>
              <w:rPr>
                <w:sz w:val="20"/>
                <w:szCs w:val="20"/>
                <w:color w:val="auto"/>
              </w:rPr>
            </w:pPr>
            <w:r>
              <w:rPr>
                <w:rFonts w:ascii="Arial" w:cs="Arial" w:eastAsia="Arial" w:hAnsi="Arial"/>
                <w:sz w:val="11"/>
                <w:szCs w:val="11"/>
                <w:color w:val="auto"/>
                <w:w w:val="90"/>
              </w:rPr>
              <w:t>L+575</w:t>
            </w:r>
          </w:p>
        </w:tc>
        <w:tc>
          <w:tcPr>
            <w:tcW w:w="20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984</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984</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973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20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Compex Legal Services, Inc. (Revolver) </w:t>
            </w:r>
            <w:r>
              <w:rPr>
                <w:rFonts w:ascii="Arial" w:cs="Arial" w:eastAsia="Arial" w:hAnsi="Arial"/>
                <w:sz w:val="14"/>
                <w:szCs w:val="14"/>
                <w:color w:val="auto"/>
                <w:vertAlign w:val="superscript"/>
              </w:rPr>
              <w:t>(7), (9)</w:t>
            </w:r>
          </w:p>
        </w:tc>
        <w:tc>
          <w:tcPr>
            <w:tcW w:w="740" w:type="dxa"/>
            <w:vAlign w:val="bottom"/>
          </w:tcPr>
          <w:p>
            <w:pPr>
              <w:jc w:val="center"/>
              <w:ind w:left="66"/>
              <w:spacing w:after="0"/>
              <w:rPr>
                <w:sz w:val="20"/>
                <w:szCs w:val="20"/>
                <w:color w:val="auto"/>
              </w:rPr>
            </w:pPr>
            <w:r>
              <w:rPr>
                <w:rFonts w:ascii="Arial" w:cs="Arial" w:eastAsia="Arial" w:hAnsi="Arial"/>
                <w:sz w:val="11"/>
                <w:szCs w:val="11"/>
                <w:color w:val="auto"/>
                <w:w w:val="90"/>
              </w:rPr>
              <w:t>02/07/2025</w:t>
            </w:r>
          </w:p>
        </w:tc>
        <w:tc>
          <w:tcPr>
            <w:tcW w:w="120" w:type="dxa"/>
            <w:vAlign w:val="bottom"/>
          </w:tcPr>
          <w:p>
            <w:pPr>
              <w:spacing w:after="0"/>
              <w:rPr>
                <w:sz w:val="13"/>
                <w:szCs w:val="13"/>
                <w:color w:val="auto"/>
              </w:rPr>
            </w:pPr>
          </w:p>
        </w:tc>
        <w:tc>
          <w:tcPr>
            <w:tcW w:w="2260" w:type="dxa"/>
            <w:vAlign w:val="bottom"/>
          </w:tcPr>
          <w:p>
            <w:pPr>
              <w:jc w:val="center"/>
              <w:spacing w:after="0"/>
              <w:rPr>
                <w:sz w:val="20"/>
                <w:szCs w:val="20"/>
                <w:color w:val="auto"/>
              </w:rPr>
            </w:pPr>
            <w:r>
              <w:rPr>
                <w:rFonts w:ascii="Arial" w:cs="Arial" w:eastAsia="Arial" w:hAnsi="Arial"/>
                <w:sz w:val="11"/>
                <w:szCs w:val="11"/>
                <w:color w:val="auto"/>
                <w:w w:val="86"/>
              </w:rPr>
              <w:t>Professional Services</w:t>
            </w:r>
          </w:p>
        </w:tc>
        <w:tc>
          <w:tcPr>
            <w:tcW w:w="12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422</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auto"/>
              </w:rPr>
              <w:t>(5 )</w:t>
            </w:r>
          </w:p>
        </w:tc>
        <w:tc>
          <w:tcPr>
            <w:tcW w:w="0" w:type="dxa"/>
            <w:vAlign w:val="bottom"/>
          </w:tcPr>
          <w:p>
            <w:pPr>
              <w:spacing w:after="0"/>
              <w:rPr>
                <w:sz w:val="1"/>
                <w:szCs w:val="1"/>
                <w:color w:val="auto"/>
              </w:rPr>
            </w:pPr>
          </w:p>
        </w:tc>
      </w:tr>
      <w:tr>
        <w:trPr>
          <w:trHeight w:val="135"/>
        </w:trPr>
        <w:tc>
          <w:tcPr>
            <w:tcW w:w="3200" w:type="dxa"/>
            <w:vAlign w:val="bottom"/>
          </w:tcPr>
          <w:p>
            <w:pPr>
              <w:ind w:left="20"/>
              <w:spacing w:after="0"/>
              <w:rPr>
                <w:sz w:val="20"/>
                <w:szCs w:val="20"/>
                <w:color w:val="auto"/>
              </w:rPr>
            </w:pPr>
            <w:r>
              <w:rPr>
                <w:rFonts w:ascii="Arial" w:cs="Arial" w:eastAsia="Arial" w:hAnsi="Arial"/>
                <w:sz w:val="11"/>
                <w:szCs w:val="11"/>
                <w:color w:val="auto"/>
              </w:rPr>
              <w:t>Confluent Health, LLC</w:t>
            </w:r>
          </w:p>
        </w:tc>
        <w:tc>
          <w:tcPr>
            <w:tcW w:w="740" w:type="dxa"/>
            <w:vAlign w:val="bottom"/>
          </w:tcPr>
          <w:p>
            <w:pPr>
              <w:jc w:val="center"/>
              <w:ind w:left="66"/>
              <w:spacing w:after="0"/>
              <w:rPr>
                <w:sz w:val="20"/>
                <w:szCs w:val="20"/>
                <w:color w:val="auto"/>
              </w:rPr>
            </w:pPr>
            <w:r>
              <w:rPr>
                <w:rFonts w:ascii="Arial" w:cs="Arial" w:eastAsia="Arial" w:hAnsi="Arial"/>
                <w:sz w:val="11"/>
                <w:szCs w:val="11"/>
                <w:color w:val="auto"/>
                <w:w w:val="90"/>
              </w:rPr>
              <w:t>06/24/2026</w:t>
            </w:r>
          </w:p>
        </w:tc>
        <w:tc>
          <w:tcPr>
            <w:tcW w:w="120" w:type="dxa"/>
            <w:vAlign w:val="bottom"/>
          </w:tcPr>
          <w:p>
            <w:pPr>
              <w:spacing w:after="0"/>
              <w:rPr>
                <w:sz w:val="11"/>
                <w:szCs w:val="11"/>
                <w:color w:val="auto"/>
              </w:rPr>
            </w:pPr>
          </w:p>
        </w:tc>
        <w:tc>
          <w:tcPr>
            <w:tcW w:w="2260" w:type="dxa"/>
            <w:vAlign w:val="bottom"/>
          </w:tcPr>
          <w:p>
            <w:pPr>
              <w:jc w:val="center"/>
              <w:spacing w:after="0"/>
              <w:rPr>
                <w:sz w:val="20"/>
                <w:szCs w:val="20"/>
                <w:color w:val="auto"/>
              </w:rPr>
            </w:pPr>
            <w:r>
              <w:rPr>
                <w:rFonts w:ascii="Arial" w:cs="Arial" w:eastAsia="Arial" w:hAnsi="Arial"/>
                <w:sz w:val="11"/>
                <w:szCs w:val="11"/>
                <w:color w:val="auto"/>
                <w:w w:val="87"/>
              </w:rPr>
              <w:t>Health Providers and Services</w:t>
            </w:r>
          </w:p>
        </w:tc>
        <w:tc>
          <w:tcPr>
            <w:tcW w:w="120" w:type="dxa"/>
            <w:vAlign w:val="bottom"/>
          </w:tcPr>
          <w:p>
            <w:pPr>
              <w:spacing w:after="0"/>
              <w:rPr>
                <w:sz w:val="11"/>
                <w:szCs w:val="11"/>
                <w:color w:val="auto"/>
              </w:rPr>
            </w:pPr>
          </w:p>
        </w:tc>
        <w:tc>
          <w:tcPr>
            <w:tcW w:w="820" w:type="dxa"/>
            <w:vAlign w:val="bottom"/>
            <w:gridSpan w:val="2"/>
          </w:tcPr>
          <w:p>
            <w:pPr>
              <w:jc w:val="right"/>
              <w:spacing w:after="0"/>
              <w:rPr>
                <w:sz w:val="20"/>
                <w:szCs w:val="20"/>
                <w:color w:val="auto"/>
              </w:rPr>
            </w:pPr>
            <w:r>
              <w:rPr>
                <w:rFonts w:ascii="Arial" w:cs="Arial" w:eastAsia="Arial" w:hAnsi="Arial"/>
                <w:sz w:val="11"/>
                <w:szCs w:val="11"/>
                <w:color w:val="auto"/>
              </w:rPr>
              <w:t>5.08 %</w:t>
            </w:r>
          </w:p>
        </w:tc>
        <w:tc>
          <w:tcPr>
            <w:tcW w:w="1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1M</w:t>
            </w:r>
          </w:p>
        </w:tc>
        <w:tc>
          <w:tcPr>
            <w:tcW w:w="320" w:type="dxa"/>
            <w:vAlign w:val="bottom"/>
          </w:tcPr>
          <w:p>
            <w:pPr>
              <w:jc w:val="right"/>
              <w:spacing w:after="0"/>
              <w:rPr>
                <w:sz w:val="20"/>
                <w:szCs w:val="20"/>
                <w:color w:val="auto"/>
              </w:rPr>
            </w:pPr>
            <w:r>
              <w:rPr>
                <w:rFonts w:ascii="Arial" w:cs="Arial" w:eastAsia="Arial" w:hAnsi="Arial"/>
                <w:sz w:val="11"/>
                <w:szCs w:val="11"/>
                <w:color w:val="auto"/>
                <w:w w:val="90"/>
              </w:rPr>
              <w:t>L+500</w:t>
            </w:r>
          </w:p>
        </w:tc>
        <w:tc>
          <w:tcPr>
            <w:tcW w:w="20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3,910</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3,879</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3,910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3200" w:type="dxa"/>
            <w:vAlign w:val="bottom"/>
          </w:tcPr>
          <w:p>
            <w:pPr>
              <w:ind w:left="20"/>
              <w:spacing w:after="0" w:line="115" w:lineRule="exact"/>
              <w:rPr>
                <w:sz w:val="20"/>
                <w:szCs w:val="20"/>
                <w:color w:val="auto"/>
              </w:rPr>
            </w:pPr>
            <w:r>
              <w:rPr>
                <w:rFonts w:ascii="Arial" w:cs="Arial" w:eastAsia="Arial" w:hAnsi="Arial"/>
                <w:sz w:val="11"/>
                <w:szCs w:val="11"/>
                <w:color w:val="auto"/>
              </w:rPr>
              <w:t>Connatix Buyer, Inc.</w:t>
            </w:r>
          </w:p>
        </w:tc>
        <w:tc>
          <w:tcPr>
            <w:tcW w:w="740" w:type="dxa"/>
            <w:vAlign w:val="bottom"/>
          </w:tcPr>
          <w:p>
            <w:pPr>
              <w:jc w:val="center"/>
              <w:ind w:left="66"/>
              <w:spacing w:after="0" w:line="115" w:lineRule="exact"/>
              <w:rPr>
                <w:sz w:val="20"/>
                <w:szCs w:val="20"/>
                <w:color w:val="auto"/>
              </w:rPr>
            </w:pPr>
            <w:r>
              <w:rPr>
                <w:rFonts w:ascii="Arial" w:cs="Arial" w:eastAsia="Arial" w:hAnsi="Arial"/>
                <w:sz w:val="11"/>
                <w:szCs w:val="11"/>
                <w:color w:val="auto"/>
                <w:w w:val="90"/>
              </w:rPr>
              <w:t>07/13/2027</w:t>
            </w:r>
          </w:p>
        </w:tc>
        <w:tc>
          <w:tcPr>
            <w:tcW w:w="120" w:type="dxa"/>
            <w:vAlign w:val="bottom"/>
          </w:tcPr>
          <w:p>
            <w:pPr>
              <w:spacing w:after="0"/>
              <w:rPr>
                <w:sz w:val="9"/>
                <w:szCs w:val="9"/>
                <w:color w:val="auto"/>
              </w:rPr>
            </w:pPr>
          </w:p>
        </w:tc>
        <w:tc>
          <w:tcPr>
            <w:tcW w:w="2260" w:type="dxa"/>
            <w:vAlign w:val="bottom"/>
          </w:tcPr>
          <w:p>
            <w:pPr>
              <w:jc w:val="center"/>
              <w:spacing w:after="0" w:line="115" w:lineRule="exact"/>
              <w:rPr>
                <w:sz w:val="20"/>
                <w:szCs w:val="20"/>
                <w:color w:val="auto"/>
              </w:rPr>
            </w:pPr>
            <w:r>
              <w:rPr>
                <w:rFonts w:ascii="Arial" w:cs="Arial" w:eastAsia="Arial" w:hAnsi="Arial"/>
                <w:sz w:val="11"/>
                <w:szCs w:val="11"/>
                <w:color w:val="auto"/>
                <w:w w:val="93"/>
              </w:rPr>
              <w:t>Media</w:t>
            </w:r>
          </w:p>
        </w:tc>
        <w:tc>
          <w:tcPr>
            <w:tcW w:w="120" w:type="dxa"/>
            <w:vAlign w:val="bottom"/>
          </w:tcPr>
          <w:p>
            <w:pPr>
              <w:spacing w:after="0"/>
              <w:rPr>
                <w:sz w:val="9"/>
                <w:szCs w:val="9"/>
                <w:color w:val="auto"/>
              </w:rPr>
            </w:pPr>
          </w:p>
        </w:tc>
        <w:tc>
          <w:tcPr>
            <w:tcW w:w="8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6.25 %</w:t>
            </w:r>
          </w:p>
        </w:tc>
        <w:tc>
          <w:tcPr>
            <w:tcW w:w="160" w:type="dxa"/>
            <w:vAlign w:val="bottom"/>
          </w:tcPr>
          <w:p>
            <w:pPr>
              <w:spacing w:after="0"/>
              <w:rPr>
                <w:sz w:val="9"/>
                <w:szCs w:val="9"/>
                <w:color w:val="auto"/>
              </w:rPr>
            </w:pPr>
          </w:p>
        </w:tc>
        <w:tc>
          <w:tcPr>
            <w:tcW w:w="660" w:type="dxa"/>
            <w:vAlign w:val="bottom"/>
          </w:tcPr>
          <w:p>
            <w:pPr>
              <w:jc w:val="right"/>
              <w:spacing w:after="0" w:line="115" w:lineRule="exact"/>
              <w:rPr>
                <w:sz w:val="20"/>
                <w:szCs w:val="20"/>
                <w:color w:val="auto"/>
              </w:rPr>
            </w:pPr>
            <w:r>
              <w:rPr>
                <w:rFonts w:ascii="Arial" w:cs="Arial" w:eastAsia="Arial" w:hAnsi="Arial"/>
                <w:sz w:val="11"/>
                <w:szCs w:val="11"/>
                <w:color w:val="auto"/>
              </w:rPr>
              <w:t>3M</w:t>
            </w:r>
          </w:p>
        </w:tc>
        <w:tc>
          <w:tcPr>
            <w:tcW w:w="320" w:type="dxa"/>
            <w:vAlign w:val="bottom"/>
          </w:tcPr>
          <w:p>
            <w:pPr>
              <w:jc w:val="right"/>
              <w:spacing w:after="0" w:line="115" w:lineRule="exact"/>
              <w:rPr>
                <w:sz w:val="20"/>
                <w:szCs w:val="20"/>
                <w:color w:val="auto"/>
              </w:rPr>
            </w:pPr>
            <w:r>
              <w:rPr>
                <w:rFonts w:ascii="Arial" w:cs="Arial" w:eastAsia="Arial" w:hAnsi="Arial"/>
                <w:sz w:val="11"/>
                <w:szCs w:val="11"/>
                <w:color w:val="auto"/>
                <w:w w:val="90"/>
              </w:rPr>
              <w:t>L+550</w:t>
            </w:r>
          </w:p>
        </w:tc>
        <w:tc>
          <w:tcPr>
            <w:tcW w:w="200" w:type="dxa"/>
            <w:vAlign w:val="bottom"/>
          </w:tcPr>
          <w:p>
            <w:pPr>
              <w:spacing w:after="0"/>
              <w:rPr>
                <w:sz w:val="9"/>
                <w:szCs w:val="9"/>
                <w:color w:val="auto"/>
              </w:rPr>
            </w:pPr>
          </w:p>
        </w:tc>
        <w:tc>
          <w:tcPr>
            <w:tcW w:w="700" w:type="dxa"/>
            <w:vAlign w:val="bottom"/>
          </w:tcPr>
          <w:p>
            <w:pPr>
              <w:jc w:val="right"/>
              <w:spacing w:after="0" w:line="115" w:lineRule="exact"/>
              <w:rPr>
                <w:sz w:val="20"/>
                <w:szCs w:val="20"/>
                <w:color w:val="auto"/>
              </w:rPr>
            </w:pPr>
            <w:r>
              <w:rPr>
                <w:rFonts w:ascii="Arial" w:cs="Arial" w:eastAsia="Arial" w:hAnsi="Arial"/>
                <w:sz w:val="11"/>
                <w:szCs w:val="11"/>
                <w:color w:val="auto"/>
              </w:rPr>
              <w:t>4,000</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jc w:val="right"/>
              <w:spacing w:after="0" w:line="115" w:lineRule="exact"/>
              <w:rPr>
                <w:sz w:val="20"/>
                <w:szCs w:val="20"/>
                <w:color w:val="auto"/>
              </w:rPr>
            </w:pPr>
            <w:r>
              <w:rPr>
                <w:rFonts w:ascii="Arial" w:cs="Arial" w:eastAsia="Arial" w:hAnsi="Arial"/>
                <w:sz w:val="11"/>
                <w:szCs w:val="11"/>
                <w:color w:val="auto"/>
              </w:rPr>
              <w:t>3,921</w:t>
            </w: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jc w:val="right"/>
              <w:spacing w:after="0" w:line="115" w:lineRule="exact"/>
              <w:rPr>
                <w:sz w:val="20"/>
                <w:szCs w:val="20"/>
                <w:color w:val="auto"/>
              </w:rPr>
            </w:pPr>
            <w:r>
              <w:rPr>
                <w:rFonts w:ascii="Arial" w:cs="Arial" w:eastAsia="Arial" w:hAnsi="Arial"/>
                <w:sz w:val="11"/>
                <w:szCs w:val="11"/>
                <w:color w:val="auto"/>
              </w:rPr>
              <w:t>3,920</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Connatix Buyer, Inc. </w:t>
            </w:r>
            <w:r>
              <w:rPr>
                <w:rFonts w:ascii="Arial" w:cs="Arial" w:eastAsia="Arial" w:hAnsi="Arial"/>
                <w:sz w:val="14"/>
                <w:szCs w:val="14"/>
                <w:color w:val="auto"/>
                <w:vertAlign w:val="superscript"/>
              </w:rPr>
              <w:t>(7), (9)</w:t>
            </w:r>
          </w:p>
        </w:tc>
        <w:tc>
          <w:tcPr>
            <w:tcW w:w="740" w:type="dxa"/>
            <w:vAlign w:val="bottom"/>
          </w:tcPr>
          <w:p>
            <w:pPr>
              <w:jc w:val="center"/>
              <w:ind w:left="66"/>
              <w:spacing w:after="0"/>
              <w:rPr>
                <w:sz w:val="20"/>
                <w:szCs w:val="20"/>
                <w:color w:val="auto"/>
              </w:rPr>
            </w:pPr>
            <w:r>
              <w:rPr>
                <w:rFonts w:ascii="Arial" w:cs="Arial" w:eastAsia="Arial" w:hAnsi="Arial"/>
                <w:sz w:val="11"/>
                <w:szCs w:val="11"/>
                <w:color w:val="auto"/>
                <w:w w:val="90"/>
              </w:rPr>
              <w:t>01/13/2023</w:t>
            </w:r>
          </w:p>
        </w:tc>
        <w:tc>
          <w:tcPr>
            <w:tcW w:w="120" w:type="dxa"/>
            <w:vAlign w:val="bottom"/>
          </w:tcPr>
          <w:p>
            <w:pPr>
              <w:spacing w:after="0"/>
              <w:rPr>
                <w:sz w:val="11"/>
                <w:szCs w:val="11"/>
                <w:color w:val="auto"/>
              </w:rPr>
            </w:pPr>
          </w:p>
        </w:tc>
        <w:tc>
          <w:tcPr>
            <w:tcW w:w="226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120" w:type="dxa"/>
            <w:vAlign w:val="bottom"/>
          </w:tcPr>
          <w:p>
            <w:pPr>
              <w:spacing w:after="0"/>
              <w:rPr>
                <w:sz w:val="11"/>
                <w:szCs w:val="11"/>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2,105</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auto"/>
              </w:rPr>
              <w:t>(21 )</w:t>
            </w:r>
          </w:p>
        </w:tc>
        <w:tc>
          <w:tcPr>
            <w:tcW w:w="0" w:type="dxa"/>
            <w:vAlign w:val="bottom"/>
          </w:tcPr>
          <w:p>
            <w:pPr>
              <w:spacing w:after="0"/>
              <w:rPr>
                <w:sz w:val="1"/>
                <w:szCs w:val="1"/>
                <w:color w:val="auto"/>
              </w:rPr>
            </w:pPr>
          </w:p>
        </w:tc>
      </w:tr>
      <w:tr>
        <w:trPr>
          <w:trHeight w:val="135"/>
        </w:trPr>
        <w:tc>
          <w:tcPr>
            <w:tcW w:w="320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Connatix Buyer, Inc. (Revolver) </w:t>
            </w:r>
            <w:r>
              <w:rPr>
                <w:rFonts w:ascii="Arial" w:cs="Arial" w:eastAsia="Arial" w:hAnsi="Arial"/>
                <w:sz w:val="14"/>
                <w:szCs w:val="14"/>
                <w:color w:val="auto"/>
                <w:vertAlign w:val="superscript"/>
              </w:rPr>
              <w:t>(7)</w:t>
            </w:r>
          </w:p>
        </w:tc>
        <w:tc>
          <w:tcPr>
            <w:tcW w:w="740" w:type="dxa"/>
            <w:vAlign w:val="bottom"/>
          </w:tcPr>
          <w:p>
            <w:pPr>
              <w:jc w:val="center"/>
              <w:ind w:left="66"/>
              <w:spacing w:after="0"/>
              <w:rPr>
                <w:sz w:val="20"/>
                <w:szCs w:val="20"/>
                <w:color w:val="auto"/>
              </w:rPr>
            </w:pPr>
            <w:r>
              <w:rPr>
                <w:rFonts w:ascii="Arial" w:cs="Arial" w:eastAsia="Arial" w:hAnsi="Arial"/>
                <w:sz w:val="11"/>
                <w:szCs w:val="11"/>
                <w:color w:val="auto"/>
                <w:w w:val="90"/>
              </w:rPr>
              <w:t>07/13/2027</w:t>
            </w:r>
          </w:p>
        </w:tc>
        <w:tc>
          <w:tcPr>
            <w:tcW w:w="120" w:type="dxa"/>
            <w:vAlign w:val="bottom"/>
          </w:tcPr>
          <w:p>
            <w:pPr>
              <w:spacing w:after="0"/>
              <w:rPr>
                <w:sz w:val="11"/>
                <w:szCs w:val="11"/>
                <w:color w:val="auto"/>
              </w:rPr>
            </w:pPr>
          </w:p>
        </w:tc>
        <w:tc>
          <w:tcPr>
            <w:tcW w:w="226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120" w:type="dxa"/>
            <w:vAlign w:val="bottom"/>
          </w:tcPr>
          <w:p>
            <w:pPr>
              <w:spacing w:after="0"/>
              <w:rPr>
                <w:sz w:val="11"/>
                <w:szCs w:val="11"/>
                <w:color w:val="auto"/>
              </w:rPr>
            </w:pPr>
          </w:p>
        </w:tc>
        <w:tc>
          <w:tcPr>
            <w:tcW w:w="820" w:type="dxa"/>
            <w:vAlign w:val="bottom"/>
            <w:gridSpan w:val="2"/>
          </w:tcPr>
          <w:p>
            <w:pPr>
              <w:jc w:val="right"/>
              <w:spacing w:after="0"/>
              <w:rPr>
                <w:sz w:val="20"/>
                <w:szCs w:val="20"/>
                <w:color w:val="auto"/>
              </w:rPr>
            </w:pPr>
            <w:r>
              <w:rPr>
                <w:rFonts w:ascii="Arial" w:cs="Arial" w:eastAsia="Arial" w:hAnsi="Arial"/>
                <w:sz w:val="11"/>
                <w:szCs w:val="11"/>
                <w:color w:val="auto"/>
              </w:rPr>
              <w:t>6.25 %</w:t>
            </w:r>
          </w:p>
        </w:tc>
        <w:tc>
          <w:tcPr>
            <w:tcW w:w="1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3M</w:t>
            </w:r>
          </w:p>
        </w:tc>
        <w:tc>
          <w:tcPr>
            <w:tcW w:w="320" w:type="dxa"/>
            <w:vAlign w:val="bottom"/>
          </w:tcPr>
          <w:p>
            <w:pPr>
              <w:jc w:val="right"/>
              <w:spacing w:after="0"/>
              <w:rPr>
                <w:sz w:val="20"/>
                <w:szCs w:val="20"/>
                <w:color w:val="auto"/>
              </w:rPr>
            </w:pPr>
            <w:r>
              <w:rPr>
                <w:rFonts w:ascii="Arial" w:cs="Arial" w:eastAsia="Arial" w:hAnsi="Arial"/>
                <w:sz w:val="11"/>
                <w:szCs w:val="11"/>
                <w:color w:val="auto"/>
                <w:w w:val="90"/>
              </w:rPr>
              <w:t>L+550</w:t>
            </w:r>
          </w:p>
        </w:tc>
        <w:tc>
          <w:tcPr>
            <w:tcW w:w="20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123</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123</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121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20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Connatix Buyer, Inc. (Revolver) </w:t>
            </w:r>
            <w:r>
              <w:rPr>
                <w:rFonts w:ascii="Arial" w:cs="Arial" w:eastAsia="Arial" w:hAnsi="Arial"/>
                <w:sz w:val="14"/>
                <w:szCs w:val="14"/>
                <w:color w:val="auto"/>
                <w:vertAlign w:val="superscript"/>
              </w:rPr>
              <w:t>(7), (9)</w:t>
            </w:r>
          </w:p>
        </w:tc>
        <w:tc>
          <w:tcPr>
            <w:tcW w:w="740" w:type="dxa"/>
            <w:vAlign w:val="bottom"/>
          </w:tcPr>
          <w:p>
            <w:pPr>
              <w:jc w:val="center"/>
              <w:ind w:left="66"/>
              <w:spacing w:after="0"/>
              <w:rPr>
                <w:sz w:val="20"/>
                <w:szCs w:val="20"/>
                <w:color w:val="auto"/>
              </w:rPr>
            </w:pPr>
            <w:r>
              <w:rPr>
                <w:rFonts w:ascii="Arial" w:cs="Arial" w:eastAsia="Arial" w:hAnsi="Arial"/>
                <w:sz w:val="11"/>
                <w:szCs w:val="11"/>
                <w:color w:val="auto"/>
                <w:w w:val="90"/>
              </w:rPr>
              <w:t>07/13/2027</w:t>
            </w:r>
          </w:p>
        </w:tc>
        <w:tc>
          <w:tcPr>
            <w:tcW w:w="120" w:type="dxa"/>
            <w:vAlign w:val="bottom"/>
          </w:tcPr>
          <w:p>
            <w:pPr>
              <w:spacing w:after="0"/>
              <w:rPr>
                <w:sz w:val="13"/>
                <w:szCs w:val="13"/>
                <w:color w:val="auto"/>
              </w:rPr>
            </w:pPr>
          </w:p>
        </w:tc>
        <w:tc>
          <w:tcPr>
            <w:tcW w:w="226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12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1,111</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auto"/>
              </w:rPr>
              <w:t>(22 )</w:t>
            </w:r>
          </w:p>
        </w:tc>
        <w:tc>
          <w:tcPr>
            <w:tcW w:w="0" w:type="dxa"/>
            <w:vAlign w:val="bottom"/>
          </w:tcPr>
          <w:p>
            <w:pPr>
              <w:spacing w:after="0"/>
              <w:rPr>
                <w:sz w:val="1"/>
                <w:szCs w:val="1"/>
                <w:color w:val="auto"/>
              </w:rPr>
            </w:pPr>
          </w:p>
        </w:tc>
      </w:tr>
      <w:tr>
        <w:trPr>
          <w:trHeight w:val="115"/>
        </w:trPr>
        <w:tc>
          <w:tcPr>
            <w:tcW w:w="3200" w:type="dxa"/>
            <w:vAlign w:val="bottom"/>
          </w:tcPr>
          <w:p>
            <w:pPr>
              <w:ind w:left="20"/>
              <w:spacing w:after="0" w:line="115" w:lineRule="exact"/>
              <w:rPr>
                <w:sz w:val="20"/>
                <w:szCs w:val="20"/>
                <w:color w:val="auto"/>
              </w:rPr>
            </w:pPr>
            <w:r>
              <w:rPr>
                <w:rFonts w:ascii="Arial" w:cs="Arial" w:eastAsia="Arial" w:hAnsi="Arial"/>
                <w:sz w:val="11"/>
                <w:szCs w:val="11"/>
                <w:color w:val="auto"/>
              </w:rPr>
              <w:t>CoolSys, Inc.</w:t>
            </w:r>
          </w:p>
        </w:tc>
        <w:tc>
          <w:tcPr>
            <w:tcW w:w="740" w:type="dxa"/>
            <w:vAlign w:val="bottom"/>
          </w:tcPr>
          <w:p>
            <w:pPr>
              <w:jc w:val="center"/>
              <w:ind w:left="66"/>
              <w:spacing w:after="0" w:line="115" w:lineRule="exact"/>
              <w:rPr>
                <w:sz w:val="20"/>
                <w:szCs w:val="20"/>
                <w:color w:val="auto"/>
              </w:rPr>
            </w:pPr>
            <w:r>
              <w:rPr>
                <w:rFonts w:ascii="Arial" w:cs="Arial" w:eastAsia="Arial" w:hAnsi="Arial"/>
                <w:sz w:val="11"/>
                <w:szCs w:val="11"/>
                <w:color w:val="auto"/>
                <w:w w:val="90"/>
              </w:rPr>
              <w:t>08/04/2028</w:t>
            </w:r>
          </w:p>
        </w:tc>
        <w:tc>
          <w:tcPr>
            <w:tcW w:w="120" w:type="dxa"/>
            <w:vAlign w:val="bottom"/>
          </w:tcPr>
          <w:p>
            <w:pPr>
              <w:spacing w:after="0"/>
              <w:rPr>
                <w:sz w:val="9"/>
                <w:szCs w:val="9"/>
                <w:color w:val="auto"/>
              </w:rPr>
            </w:pPr>
          </w:p>
        </w:tc>
        <w:tc>
          <w:tcPr>
            <w:tcW w:w="2260" w:type="dxa"/>
            <w:vAlign w:val="bottom"/>
          </w:tcPr>
          <w:p>
            <w:pPr>
              <w:jc w:val="center"/>
              <w:spacing w:after="0" w:line="115" w:lineRule="exact"/>
              <w:rPr>
                <w:sz w:val="20"/>
                <w:szCs w:val="20"/>
                <w:color w:val="auto"/>
              </w:rPr>
            </w:pPr>
            <w:r>
              <w:rPr>
                <w:rFonts w:ascii="Arial" w:cs="Arial" w:eastAsia="Arial" w:hAnsi="Arial"/>
                <w:sz w:val="11"/>
                <w:szCs w:val="11"/>
                <w:color w:val="auto"/>
                <w:w w:val="90"/>
              </w:rPr>
              <w:t>Commercial Services &amp; Supplies</w:t>
            </w:r>
          </w:p>
        </w:tc>
        <w:tc>
          <w:tcPr>
            <w:tcW w:w="120" w:type="dxa"/>
            <w:vAlign w:val="bottom"/>
          </w:tcPr>
          <w:p>
            <w:pPr>
              <w:spacing w:after="0"/>
              <w:rPr>
                <w:sz w:val="9"/>
                <w:szCs w:val="9"/>
                <w:color w:val="auto"/>
              </w:rPr>
            </w:pPr>
          </w:p>
        </w:tc>
        <w:tc>
          <w:tcPr>
            <w:tcW w:w="8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5.50 %</w:t>
            </w:r>
          </w:p>
        </w:tc>
        <w:tc>
          <w:tcPr>
            <w:tcW w:w="160" w:type="dxa"/>
            <w:vAlign w:val="bottom"/>
          </w:tcPr>
          <w:p>
            <w:pPr>
              <w:spacing w:after="0"/>
              <w:rPr>
                <w:sz w:val="9"/>
                <w:szCs w:val="9"/>
                <w:color w:val="auto"/>
              </w:rPr>
            </w:pPr>
          </w:p>
        </w:tc>
        <w:tc>
          <w:tcPr>
            <w:tcW w:w="660" w:type="dxa"/>
            <w:vAlign w:val="bottom"/>
          </w:tcPr>
          <w:p>
            <w:pPr>
              <w:jc w:val="right"/>
              <w:spacing w:after="0" w:line="115" w:lineRule="exact"/>
              <w:rPr>
                <w:sz w:val="20"/>
                <w:szCs w:val="20"/>
                <w:color w:val="auto"/>
              </w:rPr>
            </w:pPr>
            <w:r>
              <w:rPr>
                <w:rFonts w:ascii="Arial" w:cs="Arial" w:eastAsia="Arial" w:hAnsi="Arial"/>
                <w:sz w:val="11"/>
                <w:szCs w:val="11"/>
                <w:color w:val="auto"/>
              </w:rPr>
              <w:t>3M</w:t>
            </w:r>
          </w:p>
        </w:tc>
        <w:tc>
          <w:tcPr>
            <w:tcW w:w="320" w:type="dxa"/>
            <w:vAlign w:val="bottom"/>
          </w:tcPr>
          <w:p>
            <w:pPr>
              <w:jc w:val="right"/>
              <w:spacing w:after="0" w:line="115" w:lineRule="exact"/>
              <w:rPr>
                <w:sz w:val="20"/>
                <w:szCs w:val="20"/>
                <w:color w:val="auto"/>
              </w:rPr>
            </w:pPr>
            <w:r>
              <w:rPr>
                <w:rFonts w:ascii="Arial" w:cs="Arial" w:eastAsia="Arial" w:hAnsi="Arial"/>
                <w:sz w:val="11"/>
                <w:szCs w:val="11"/>
                <w:color w:val="auto"/>
                <w:w w:val="90"/>
              </w:rPr>
              <w:t>L+475</w:t>
            </w:r>
          </w:p>
        </w:tc>
        <w:tc>
          <w:tcPr>
            <w:tcW w:w="200" w:type="dxa"/>
            <w:vAlign w:val="bottom"/>
          </w:tcPr>
          <w:p>
            <w:pPr>
              <w:spacing w:after="0"/>
              <w:rPr>
                <w:sz w:val="9"/>
                <w:szCs w:val="9"/>
                <w:color w:val="auto"/>
              </w:rPr>
            </w:pPr>
          </w:p>
        </w:tc>
        <w:tc>
          <w:tcPr>
            <w:tcW w:w="700" w:type="dxa"/>
            <w:vAlign w:val="bottom"/>
          </w:tcPr>
          <w:p>
            <w:pPr>
              <w:jc w:val="right"/>
              <w:spacing w:after="0" w:line="115" w:lineRule="exact"/>
              <w:rPr>
                <w:sz w:val="20"/>
                <w:szCs w:val="20"/>
                <w:color w:val="auto"/>
              </w:rPr>
            </w:pPr>
            <w:r>
              <w:rPr>
                <w:rFonts w:ascii="Arial" w:cs="Arial" w:eastAsia="Arial" w:hAnsi="Arial"/>
                <w:sz w:val="11"/>
                <w:szCs w:val="11"/>
                <w:color w:val="auto"/>
              </w:rPr>
              <w:t>1,909</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jc w:val="right"/>
              <w:spacing w:after="0" w:line="115" w:lineRule="exact"/>
              <w:rPr>
                <w:sz w:val="20"/>
                <w:szCs w:val="20"/>
                <w:color w:val="auto"/>
              </w:rPr>
            </w:pPr>
            <w:r>
              <w:rPr>
                <w:rFonts w:ascii="Arial" w:cs="Arial" w:eastAsia="Arial" w:hAnsi="Arial"/>
                <w:sz w:val="11"/>
                <w:szCs w:val="11"/>
                <w:color w:val="auto"/>
              </w:rPr>
              <w:t>1,890</w:t>
            </w: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jc w:val="right"/>
              <w:spacing w:after="0" w:line="115" w:lineRule="exact"/>
              <w:rPr>
                <w:sz w:val="20"/>
                <w:szCs w:val="20"/>
                <w:color w:val="auto"/>
              </w:rPr>
            </w:pPr>
            <w:r>
              <w:rPr>
                <w:rFonts w:ascii="Arial" w:cs="Arial" w:eastAsia="Arial" w:hAnsi="Arial"/>
                <w:sz w:val="11"/>
                <w:szCs w:val="11"/>
                <w:color w:val="auto"/>
              </w:rPr>
              <w:t>1,914</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CoolSys, Inc. </w:t>
            </w:r>
            <w:r>
              <w:rPr>
                <w:rFonts w:ascii="Arial" w:cs="Arial" w:eastAsia="Arial" w:hAnsi="Arial"/>
                <w:sz w:val="14"/>
                <w:szCs w:val="14"/>
                <w:color w:val="auto"/>
                <w:vertAlign w:val="superscript"/>
              </w:rPr>
              <w:t>(7), (9)</w:t>
            </w:r>
          </w:p>
        </w:tc>
        <w:tc>
          <w:tcPr>
            <w:tcW w:w="740" w:type="dxa"/>
            <w:vAlign w:val="bottom"/>
          </w:tcPr>
          <w:p>
            <w:pPr>
              <w:jc w:val="center"/>
              <w:ind w:left="66"/>
              <w:spacing w:after="0"/>
              <w:rPr>
                <w:sz w:val="20"/>
                <w:szCs w:val="20"/>
                <w:color w:val="auto"/>
              </w:rPr>
            </w:pPr>
            <w:r>
              <w:rPr>
                <w:rFonts w:ascii="Arial" w:cs="Arial" w:eastAsia="Arial" w:hAnsi="Arial"/>
                <w:sz w:val="11"/>
                <w:szCs w:val="11"/>
                <w:color w:val="auto"/>
                <w:w w:val="90"/>
              </w:rPr>
              <w:t>08/04/2028</w:t>
            </w:r>
          </w:p>
        </w:tc>
        <w:tc>
          <w:tcPr>
            <w:tcW w:w="120" w:type="dxa"/>
            <w:vAlign w:val="bottom"/>
          </w:tcPr>
          <w:p>
            <w:pPr>
              <w:spacing w:after="0"/>
              <w:rPr>
                <w:sz w:val="11"/>
                <w:szCs w:val="11"/>
                <w:color w:val="auto"/>
              </w:rPr>
            </w:pPr>
          </w:p>
        </w:tc>
        <w:tc>
          <w:tcPr>
            <w:tcW w:w="2260" w:type="dxa"/>
            <w:vAlign w:val="bottom"/>
          </w:tcPr>
          <w:p>
            <w:pPr>
              <w:jc w:val="center"/>
              <w:spacing w:after="0"/>
              <w:rPr>
                <w:sz w:val="20"/>
                <w:szCs w:val="20"/>
                <w:color w:val="auto"/>
              </w:rPr>
            </w:pPr>
            <w:r>
              <w:rPr>
                <w:rFonts w:ascii="Arial" w:cs="Arial" w:eastAsia="Arial" w:hAnsi="Arial"/>
                <w:sz w:val="11"/>
                <w:szCs w:val="11"/>
                <w:color w:val="auto"/>
                <w:w w:val="90"/>
              </w:rPr>
              <w:t>Commercial Services &amp; Supplies</w:t>
            </w:r>
          </w:p>
        </w:tc>
        <w:tc>
          <w:tcPr>
            <w:tcW w:w="120" w:type="dxa"/>
            <w:vAlign w:val="bottom"/>
          </w:tcPr>
          <w:p>
            <w:pPr>
              <w:spacing w:after="0"/>
              <w:rPr>
                <w:sz w:val="11"/>
                <w:szCs w:val="11"/>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848</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0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Crane 1 Services, Inc. </w:t>
            </w:r>
            <w:r>
              <w:rPr>
                <w:rFonts w:ascii="Arial" w:cs="Arial" w:eastAsia="Arial" w:hAnsi="Arial"/>
                <w:sz w:val="14"/>
                <w:szCs w:val="14"/>
                <w:color w:val="auto"/>
                <w:vertAlign w:val="superscript"/>
              </w:rPr>
              <w:t>(7), (9)</w:t>
            </w:r>
          </w:p>
        </w:tc>
        <w:tc>
          <w:tcPr>
            <w:tcW w:w="740" w:type="dxa"/>
            <w:vAlign w:val="bottom"/>
          </w:tcPr>
          <w:p>
            <w:pPr>
              <w:jc w:val="center"/>
              <w:ind w:left="66"/>
              <w:spacing w:after="0"/>
              <w:rPr>
                <w:sz w:val="20"/>
                <w:szCs w:val="20"/>
                <w:color w:val="auto"/>
              </w:rPr>
            </w:pPr>
            <w:r>
              <w:rPr>
                <w:rFonts w:ascii="Arial" w:cs="Arial" w:eastAsia="Arial" w:hAnsi="Arial"/>
                <w:sz w:val="11"/>
                <w:szCs w:val="11"/>
                <w:color w:val="auto"/>
                <w:w w:val="90"/>
              </w:rPr>
              <w:t>08/16/2023</w:t>
            </w:r>
          </w:p>
        </w:tc>
        <w:tc>
          <w:tcPr>
            <w:tcW w:w="120" w:type="dxa"/>
            <w:vAlign w:val="bottom"/>
          </w:tcPr>
          <w:p>
            <w:pPr>
              <w:spacing w:after="0"/>
              <w:rPr>
                <w:sz w:val="11"/>
                <w:szCs w:val="11"/>
                <w:color w:val="auto"/>
              </w:rPr>
            </w:pPr>
          </w:p>
        </w:tc>
        <w:tc>
          <w:tcPr>
            <w:tcW w:w="2260" w:type="dxa"/>
            <w:vAlign w:val="bottom"/>
          </w:tcPr>
          <w:p>
            <w:pPr>
              <w:jc w:val="center"/>
              <w:spacing w:after="0"/>
              <w:rPr>
                <w:sz w:val="20"/>
                <w:szCs w:val="20"/>
                <w:color w:val="auto"/>
              </w:rPr>
            </w:pPr>
            <w:r>
              <w:rPr>
                <w:rFonts w:ascii="Arial" w:cs="Arial" w:eastAsia="Arial" w:hAnsi="Arial"/>
                <w:sz w:val="11"/>
                <w:szCs w:val="11"/>
                <w:color w:val="auto"/>
                <w:w w:val="90"/>
              </w:rPr>
              <w:t>Commercial Services &amp; Supplies</w:t>
            </w:r>
          </w:p>
        </w:tc>
        <w:tc>
          <w:tcPr>
            <w:tcW w:w="120" w:type="dxa"/>
            <w:vAlign w:val="bottom"/>
          </w:tcPr>
          <w:p>
            <w:pPr>
              <w:spacing w:after="0"/>
              <w:rPr>
                <w:sz w:val="11"/>
                <w:szCs w:val="11"/>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897</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auto"/>
              </w:rPr>
              <w:t>(2 )</w:t>
            </w:r>
          </w:p>
        </w:tc>
        <w:tc>
          <w:tcPr>
            <w:tcW w:w="0" w:type="dxa"/>
            <w:vAlign w:val="bottom"/>
          </w:tcPr>
          <w:p>
            <w:pPr>
              <w:spacing w:after="0"/>
              <w:rPr>
                <w:sz w:val="1"/>
                <w:szCs w:val="1"/>
                <w:color w:val="auto"/>
              </w:rPr>
            </w:pPr>
          </w:p>
        </w:tc>
      </w:tr>
      <w:tr>
        <w:trPr>
          <w:trHeight w:val="155"/>
        </w:trPr>
        <w:tc>
          <w:tcPr>
            <w:tcW w:w="320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Crane 1 Services, Inc. (Revolver) </w:t>
            </w:r>
            <w:r>
              <w:rPr>
                <w:rFonts w:ascii="Arial" w:cs="Arial" w:eastAsia="Arial" w:hAnsi="Arial"/>
                <w:sz w:val="14"/>
                <w:szCs w:val="14"/>
                <w:color w:val="auto"/>
                <w:vertAlign w:val="superscript"/>
              </w:rPr>
              <w:t>(7), (9)</w:t>
            </w:r>
          </w:p>
        </w:tc>
        <w:tc>
          <w:tcPr>
            <w:tcW w:w="740" w:type="dxa"/>
            <w:vAlign w:val="bottom"/>
          </w:tcPr>
          <w:p>
            <w:pPr>
              <w:jc w:val="center"/>
              <w:ind w:left="66"/>
              <w:spacing w:after="0"/>
              <w:rPr>
                <w:sz w:val="20"/>
                <w:szCs w:val="20"/>
                <w:color w:val="auto"/>
              </w:rPr>
            </w:pPr>
            <w:r>
              <w:rPr>
                <w:rFonts w:ascii="Arial" w:cs="Arial" w:eastAsia="Arial" w:hAnsi="Arial"/>
                <w:sz w:val="11"/>
                <w:szCs w:val="11"/>
                <w:color w:val="auto"/>
                <w:w w:val="90"/>
              </w:rPr>
              <w:t>08/16/2027</w:t>
            </w:r>
          </w:p>
        </w:tc>
        <w:tc>
          <w:tcPr>
            <w:tcW w:w="120" w:type="dxa"/>
            <w:vAlign w:val="bottom"/>
          </w:tcPr>
          <w:p>
            <w:pPr>
              <w:spacing w:after="0"/>
              <w:rPr>
                <w:sz w:val="13"/>
                <w:szCs w:val="13"/>
                <w:color w:val="auto"/>
              </w:rPr>
            </w:pPr>
          </w:p>
        </w:tc>
        <w:tc>
          <w:tcPr>
            <w:tcW w:w="2260" w:type="dxa"/>
            <w:vAlign w:val="bottom"/>
          </w:tcPr>
          <w:p>
            <w:pPr>
              <w:jc w:val="center"/>
              <w:spacing w:after="0"/>
              <w:rPr>
                <w:sz w:val="20"/>
                <w:szCs w:val="20"/>
                <w:color w:val="auto"/>
              </w:rPr>
            </w:pPr>
            <w:r>
              <w:rPr>
                <w:rFonts w:ascii="Arial" w:cs="Arial" w:eastAsia="Arial" w:hAnsi="Arial"/>
                <w:sz w:val="11"/>
                <w:szCs w:val="11"/>
                <w:color w:val="auto"/>
                <w:w w:val="90"/>
              </w:rPr>
              <w:t>Commercial Services &amp; Supplies</w:t>
            </w:r>
          </w:p>
        </w:tc>
        <w:tc>
          <w:tcPr>
            <w:tcW w:w="12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336</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auto"/>
              </w:rPr>
              <w:t>(3 )</w:t>
            </w:r>
          </w:p>
        </w:tc>
        <w:tc>
          <w:tcPr>
            <w:tcW w:w="0" w:type="dxa"/>
            <w:vAlign w:val="bottom"/>
          </w:tcPr>
          <w:p>
            <w:pPr>
              <w:spacing w:after="0"/>
              <w:rPr>
                <w:sz w:val="1"/>
                <w:szCs w:val="1"/>
                <w:color w:val="auto"/>
              </w:rPr>
            </w:pPr>
          </w:p>
        </w:tc>
      </w:tr>
      <w:tr>
        <w:trPr>
          <w:trHeight w:val="115"/>
        </w:trPr>
        <w:tc>
          <w:tcPr>
            <w:tcW w:w="3200" w:type="dxa"/>
            <w:vAlign w:val="bottom"/>
          </w:tcPr>
          <w:p>
            <w:pPr>
              <w:ind w:left="20"/>
              <w:spacing w:after="0" w:line="115" w:lineRule="exact"/>
              <w:rPr>
                <w:sz w:val="20"/>
                <w:szCs w:val="20"/>
                <w:color w:val="auto"/>
              </w:rPr>
            </w:pPr>
            <w:r>
              <w:rPr>
                <w:rFonts w:ascii="Arial" w:cs="Arial" w:eastAsia="Arial" w:hAnsi="Arial"/>
                <w:sz w:val="11"/>
                <w:szCs w:val="11"/>
                <w:color w:val="auto"/>
              </w:rPr>
              <w:t>Crash Champions, LLC</w:t>
            </w:r>
          </w:p>
        </w:tc>
        <w:tc>
          <w:tcPr>
            <w:tcW w:w="740" w:type="dxa"/>
            <w:vAlign w:val="bottom"/>
          </w:tcPr>
          <w:p>
            <w:pPr>
              <w:jc w:val="center"/>
              <w:ind w:left="66"/>
              <w:spacing w:after="0" w:line="115" w:lineRule="exact"/>
              <w:rPr>
                <w:sz w:val="20"/>
                <w:szCs w:val="20"/>
                <w:color w:val="auto"/>
              </w:rPr>
            </w:pPr>
            <w:r>
              <w:rPr>
                <w:rFonts w:ascii="Arial" w:cs="Arial" w:eastAsia="Arial" w:hAnsi="Arial"/>
                <w:sz w:val="11"/>
                <w:szCs w:val="11"/>
                <w:color w:val="auto"/>
                <w:w w:val="90"/>
              </w:rPr>
              <w:t>08/05/2025</w:t>
            </w:r>
          </w:p>
        </w:tc>
        <w:tc>
          <w:tcPr>
            <w:tcW w:w="120" w:type="dxa"/>
            <w:vAlign w:val="bottom"/>
          </w:tcPr>
          <w:p>
            <w:pPr>
              <w:spacing w:after="0"/>
              <w:rPr>
                <w:sz w:val="9"/>
                <w:szCs w:val="9"/>
                <w:color w:val="auto"/>
              </w:rPr>
            </w:pPr>
          </w:p>
        </w:tc>
        <w:tc>
          <w:tcPr>
            <w:tcW w:w="2260" w:type="dxa"/>
            <w:vAlign w:val="bottom"/>
          </w:tcPr>
          <w:p>
            <w:pPr>
              <w:jc w:val="center"/>
              <w:spacing w:after="0" w:line="115" w:lineRule="exact"/>
              <w:rPr>
                <w:sz w:val="20"/>
                <w:szCs w:val="20"/>
                <w:color w:val="auto"/>
              </w:rPr>
            </w:pPr>
            <w:r>
              <w:rPr>
                <w:rFonts w:ascii="Arial" w:cs="Arial" w:eastAsia="Arial" w:hAnsi="Arial"/>
                <w:sz w:val="11"/>
                <w:szCs w:val="11"/>
                <w:color w:val="auto"/>
                <w:w w:val="92"/>
              </w:rPr>
              <w:t>Automobiles</w:t>
            </w:r>
          </w:p>
        </w:tc>
        <w:tc>
          <w:tcPr>
            <w:tcW w:w="120" w:type="dxa"/>
            <w:vAlign w:val="bottom"/>
          </w:tcPr>
          <w:p>
            <w:pPr>
              <w:spacing w:after="0"/>
              <w:rPr>
                <w:sz w:val="9"/>
                <w:szCs w:val="9"/>
                <w:color w:val="auto"/>
              </w:rPr>
            </w:pPr>
          </w:p>
        </w:tc>
        <w:tc>
          <w:tcPr>
            <w:tcW w:w="8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5.85 %</w:t>
            </w:r>
          </w:p>
        </w:tc>
        <w:tc>
          <w:tcPr>
            <w:tcW w:w="160" w:type="dxa"/>
            <w:vAlign w:val="bottom"/>
          </w:tcPr>
          <w:p>
            <w:pPr>
              <w:spacing w:after="0"/>
              <w:rPr>
                <w:sz w:val="9"/>
                <w:szCs w:val="9"/>
                <w:color w:val="auto"/>
              </w:rPr>
            </w:pPr>
          </w:p>
        </w:tc>
        <w:tc>
          <w:tcPr>
            <w:tcW w:w="660" w:type="dxa"/>
            <w:vAlign w:val="bottom"/>
          </w:tcPr>
          <w:p>
            <w:pPr>
              <w:jc w:val="right"/>
              <w:spacing w:after="0" w:line="115" w:lineRule="exact"/>
              <w:rPr>
                <w:sz w:val="20"/>
                <w:szCs w:val="20"/>
                <w:color w:val="auto"/>
              </w:rPr>
            </w:pPr>
            <w:r>
              <w:rPr>
                <w:rFonts w:ascii="Arial" w:cs="Arial" w:eastAsia="Arial" w:hAnsi="Arial"/>
                <w:sz w:val="11"/>
                <w:szCs w:val="11"/>
                <w:color w:val="auto"/>
              </w:rPr>
              <w:t>3M</w:t>
            </w:r>
          </w:p>
        </w:tc>
        <w:tc>
          <w:tcPr>
            <w:tcW w:w="320" w:type="dxa"/>
            <w:vAlign w:val="bottom"/>
          </w:tcPr>
          <w:p>
            <w:pPr>
              <w:jc w:val="right"/>
              <w:spacing w:after="0" w:line="115" w:lineRule="exact"/>
              <w:rPr>
                <w:sz w:val="20"/>
                <w:szCs w:val="20"/>
                <w:color w:val="auto"/>
              </w:rPr>
            </w:pPr>
            <w:r>
              <w:rPr>
                <w:rFonts w:ascii="Arial" w:cs="Arial" w:eastAsia="Arial" w:hAnsi="Arial"/>
                <w:sz w:val="11"/>
                <w:szCs w:val="11"/>
                <w:color w:val="auto"/>
                <w:w w:val="90"/>
              </w:rPr>
              <w:t>L+500</w:t>
            </w:r>
          </w:p>
        </w:tc>
        <w:tc>
          <w:tcPr>
            <w:tcW w:w="200" w:type="dxa"/>
            <w:vAlign w:val="bottom"/>
          </w:tcPr>
          <w:p>
            <w:pPr>
              <w:spacing w:after="0"/>
              <w:rPr>
                <w:sz w:val="9"/>
                <w:szCs w:val="9"/>
                <w:color w:val="auto"/>
              </w:rPr>
            </w:pPr>
          </w:p>
        </w:tc>
        <w:tc>
          <w:tcPr>
            <w:tcW w:w="700" w:type="dxa"/>
            <w:vAlign w:val="bottom"/>
          </w:tcPr>
          <w:p>
            <w:pPr>
              <w:jc w:val="right"/>
              <w:spacing w:after="0" w:line="115" w:lineRule="exact"/>
              <w:rPr>
                <w:sz w:val="20"/>
                <w:szCs w:val="20"/>
                <w:color w:val="auto"/>
              </w:rPr>
            </w:pPr>
            <w:r>
              <w:rPr>
                <w:rFonts w:ascii="Arial" w:cs="Arial" w:eastAsia="Arial" w:hAnsi="Arial"/>
                <w:sz w:val="11"/>
                <w:szCs w:val="11"/>
                <w:color w:val="auto"/>
              </w:rPr>
              <w:t>13,078</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jc w:val="right"/>
              <w:spacing w:after="0" w:line="115" w:lineRule="exact"/>
              <w:rPr>
                <w:sz w:val="20"/>
                <w:szCs w:val="20"/>
                <w:color w:val="auto"/>
              </w:rPr>
            </w:pPr>
            <w:r>
              <w:rPr>
                <w:rFonts w:ascii="Arial" w:cs="Arial" w:eastAsia="Arial" w:hAnsi="Arial"/>
                <w:sz w:val="11"/>
                <w:szCs w:val="11"/>
                <w:color w:val="auto"/>
              </w:rPr>
              <w:t>12,889</w:t>
            </w: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jc w:val="right"/>
              <w:spacing w:after="0" w:line="115" w:lineRule="exact"/>
              <w:rPr>
                <w:sz w:val="20"/>
                <w:szCs w:val="20"/>
                <w:color w:val="auto"/>
              </w:rPr>
            </w:pPr>
            <w:r>
              <w:rPr>
                <w:rFonts w:ascii="Arial" w:cs="Arial" w:eastAsia="Arial" w:hAnsi="Arial"/>
                <w:sz w:val="11"/>
                <w:szCs w:val="11"/>
                <w:color w:val="auto"/>
              </w:rPr>
              <w:t>12,817</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3200" w:type="dxa"/>
            <w:vAlign w:val="bottom"/>
          </w:tcPr>
          <w:p>
            <w:pPr>
              <w:ind w:left="20"/>
              <w:spacing w:after="0"/>
              <w:rPr>
                <w:sz w:val="20"/>
                <w:szCs w:val="20"/>
                <w:color w:val="auto"/>
              </w:rPr>
            </w:pPr>
            <w:r>
              <w:rPr>
                <w:rFonts w:ascii="Arial" w:cs="Arial" w:eastAsia="Arial" w:hAnsi="Arial"/>
                <w:sz w:val="11"/>
                <w:szCs w:val="11"/>
                <w:color w:val="auto"/>
              </w:rPr>
              <w:t xml:space="preserve">Crash Champions, LLC </w:t>
            </w:r>
            <w:r>
              <w:rPr>
                <w:rFonts w:ascii="Arial" w:cs="Arial" w:eastAsia="Arial" w:hAnsi="Arial"/>
                <w:sz w:val="14"/>
                <w:szCs w:val="14"/>
                <w:color w:val="auto"/>
                <w:vertAlign w:val="superscript"/>
              </w:rPr>
              <w:t>(7)(9)</w:t>
            </w:r>
          </w:p>
        </w:tc>
        <w:tc>
          <w:tcPr>
            <w:tcW w:w="740" w:type="dxa"/>
            <w:vAlign w:val="bottom"/>
          </w:tcPr>
          <w:p>
            <w:pPr>
              <w:jc w:val="center"/>
              <w:ind w:left="66"/>
              <w:spacing w:after="0"/>
              <w:rPr>
                <w:sz w:val="20"/>
                <w:szCs w:val="20"/>
                <w:color w:val="auto"/>
              </w:rPr>
            </w:pPr>
            <w:r>
              <w:rPr>
                <w:rFonts w:ascii="Arial" w:cs="Arial" w:eastAsia="Arial" w:hAnsi="Arial"/>
                <w:sz w:val="11"/>
                <w:szCs w:val="11"/>
                <w:color w:val="auto"/>
                <w:w w:val="90"/>
              </w:rPr>
              <w:t>05/14/2022</w:t>
            </w:r>
          </w:p>
        </w:tc>
        <w:tc>
          <w:tcPr>
            <w:tcW w:w="120" w:type="dxa"/>
            <w:vAlign w:val="bottom"/>
          </w:tcPr>
          <w:p>
            <w:pPr>
              <w:spacing w:after="0"/>
              <w:rPr>
                <w:sz w:val="14"/>
                <w:szCs w:val="14"/>
                <w:color w:val="auto"/>
              </w:rPr>
            </w:pPr>
          </w:p>
        </w:tc>
        <w:tc>
          <w:tcPr>
            <w:tcW w:w="2260" w:type="dxa"/>
            <w:vAlign w:val="bottom"/>
          </w:tcPr>
          <w:p>
            <w:pPr>
              <w:jc w:val="center"/>
              <w:spacing w:after="0"/>
              <w:rPr>
                <w:sz w:val="20"/>
                <w:szCs w:val="20"/>
                <w:color w:val="auto"/>
              </w:rPr>
            </w:pPr>
            <w:r>
              <w:rPr>
                <w:rFonts w:ascii="Arial" w:cs="Arial" w:eastAsia="Arial" w:hAnsi="Arial"/>
                <w:sz w:val="11"/>
                <w:szCs w:val="11"/>
                <w:color w:val="auto"/>
                <w:w w:val="92"/>
              </w:rPr>
              <w:t>Automobiles</w:t>
            </w:r>
          </w:p>
        </w:tc>
        <w:tc>
          <w:tcPr>
            <w:tcW w:w="12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12,912</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auto"/>
              </w:rPr>
              <w:t>(129 )</w:t>
            </w:r>
          </w:p>
        </w:tc>
        <w:tc>
          <w:tcPr>
            <w:tcW w:w="0" w:type="dxa"/>
            <w:vAlign w:val="bottom"/>
          </w:tcPr>
          <w:p>
            <w:pPr>
              <w:spacing w:after="0"/>
              <w:rPr>
                <w:sz w:val="1"/>
                <w:szCs w:val="1"/>
                <w:color w:val="auto"/>
              </w:rPr>
            </w:pPr>
          </w:p>
        </w:tc>
      </w:tr>
      <w:tr>
        <w:trPr>
          <w:trHeight w:val="135"/>
        </w:trPr>
        <w:tc>
          <w:tcPr>
            <w:tcW w:w="3200" w:type="dxa"/>
            <w:vAlign w:val="bottom"/>
            <w:shd w:val="clear" w:color="auto" w:fill="CCECFF"/>
          </w:tcPr>
          <w:p>
            <w:pPr>
              <w:ind w:left="20"/>
              <w:spacing w:after="0"/>
              <w:rPr>
                <w:sz w:val="20"/>
                <w:szCs w:val="20"/>
                <w:color w:val="auto"/>
              </w:rPr>
            </w:pPr>
            <w:r>
              <w:rPr>
                <w:rFonts w:ascii="Arial" w:cs="Arial" w:eastAsia="Arial" w:hAnsi="Arial"/>
                <w:sz w:val="11"/>
                <w:szCs w:val="11"/>
                <w:color w:val="auto"/>
              </w:rPr>
              <w:t>Digital Room Holdings, Inc.</w:t>
            </w:r>
          </w:p>
        </w:tc>
        <w:tc>
          <w:tcPr>
            <w:tcW w:w="740" w:type="dxa"/>
            <w:vAlign w:val="bottom"/>
            <w:shd w:val="clear" w:color="auto" w:fill="CCECFF"/>
          </w:tcPr>
          <w:p>
            <w:pPr>
              <w:jc w:val="center"/>
              <w:ind w:left="66"/>
              <w:spacing w:after="0"/>
              <w:rPr>
                <w:sz w:val="20"/>
                <w:szCs w:val="20"/>
                <w:color w:val="auto"/>
              </w:rPr>
            </w:pPr>
            <w:r>
              <w:rPr>
                <w:rFonts w:ascii="Arial" w:cs="Arial" w:eastAsia="Arial" w:hAnsi="Arial"/>
                <w:sz w:val="11"/>
                <w:szCs w:val="11"/>
                <w:color w:val="auto"/>
                <w:w w:val="90"/>
              </w:rPr>
              <w:t>05/22/2026</w:t>
            </w:r>
          </w:p>
        </w:tc>
        <w:tc>
          <w:tcPr>
            <w:tcW w:w="120" w:type="dxa"/>
            <w:vAlign w:val="bottom"/>
            <w:shd w:val="clear" w:color="auto" w:fill="CCECFF"/>
          </w:tcPr>
          <w:p>
            <w:pPr>
              <w:spacing w:after="0"/>
              <w:rPr>
                <w:sz w:val="11"/>
                <w:szCs w:val="11"/>
                <w:color w:val="auto"/>
              </w:rPr>
            </w:pPr>
          </w:p>
        </w:tc>
        <w:tc>
          <w:tcPr>
            <w:tcW w:w="22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1"/>
              </w:rPr>
              <w:t>Media: Advertising, Printing and Publishing</w:t>
            </w:r>
          </w:p>
        </w:tc>
        <w:tc>
          <w:tcPr>
            <w:tcW w:w="120" w:type="dxa"/>
            <w:vAlign w:val="bottom"/>
            <w:shd w:val="clear" w:color="auto" w:fill="CCECFF"/>
          </w:tcPr>
          <w:p>
            <w:pPr>
              <w:spacing w:after="0"/>
              <w:rPr>
                <w:sz w:val="11"/>
                <w:szCs w:val="11"/>
                <w:color w:val="auto"/>
              </w:rPr>
            </w:pPr>
          </w:p>
        </w:tc>
        <w:tc>
          <w:tcPr>
            <w:tcW w:w="8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5.08 %</w:t>
            </w:r>
          </w:p>
        </w:tc>
        <w:tc>
          <w:tcPr>
            <w:tcW w:w="16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w:t>
            </w:r>
          </w:p>
        </w:tc>
        <w:tc>
          <w:tcPr>
            <w:tcW w:w="32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0"/>
              </w:rPr>
              <w:t>L+500</w:t>
            </w:r>
          </w:p>
        </w:tc>
        <w:tc>
          <w:tcPr>
            <w:tcW w:w="20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6,547</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6,468</w:t>
            </w:r>
          </w:p>
        </w:tc>
        <w:tc>
          <w:tcPr>
            <w:tcW w:w="2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6,462</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3200" w:type="dxa"/>
            <w:vAlign w:val="bottom"/>
          </w:tcPr>
          <w:p>
            <w:pPr>
              <w:ind w:left="20"/>
              <w:spacing w:after="0" w:line="125" w:lineRule="exact"/>
              <w:rPr>
                <w:sz w:val="20"/>
                <w:szCs w:val="20"/>
                <w:color w:val="auto"/>
              </w:rPr>
            </w:pPr>
            <w:r>
              <w:rPr>
                <w:rFonts w:ascii="Arial" w:cs="Arial" w:eastAsia="Arial" w:hAnsi="Arial"/>
                <w:sz w:val="11"/>
                <w:szCs w:val="11"/>
                <w:color w:val="auto"/>
              </w:rPr>
              <w:t>Douglas Products and Packaging Company LLC</w:t>
            </w:r>
          </w:p>
        </w:tc>
        <w:tc>
          <w:tcPr>
            <w:tcW w:w="740" w:type="dxa"/>
            <w:vAlign w:val="bottom"/>
          </w:tcPr>
          <w:p>
            <w:pPr>
              <w:jc w:val="center"/>
              <w:ind w:left="66"/>
              <w:spacing w:after="0" w:line="125" w:lineRule="exact"/>
              <w:rPr>
                <w:sz w:val="20"/>
                <w:szCs w:val="20"/>
                <w:color w:val="auto"/>
              </w:rPr>
            </w:pPr>
            <w:r>
              <w:rPr>
                <w:rFonts w:ascii="Arial" w:cs="Arial" w:eastAsia="Arial" w:hAnsi="Arial"/>
                <w:sz w:val="11"/>
                <w:szCs w:val="11"/>
                <w:color w:val="auto"/>
                <w:w w:val="90"/>
              </w:rPr>
              <w:t>10/19/2022</w:t>
            </w:r>
          </w:p>
        </w:tc>
        <w:tc>
          <w:tcPr>
            <w:tcW w:w="120" w:type="dxa"/>
            <w:vAlign w:val="bottom"/>
          </w:tcPr>
          <w:p>
            <w:pPr>
              <w:spacing w:after="0"/>
              <w:rPr>
                <w:sz w:val="10"/>
                <w:szCs w:val="10"/>
                <w:color w:val="auto"/>
              </w:rPr>
            </w:pPr>
          </w:p>
        </w:tc>
        <w:tc>
          <w:tcPr>
            <w:tcW w:w="2260" w:type="dxa"/>
            <w:vAlign w:val="bottom"/>
          </w:tcPr>
          <w:p>
            <w:pPr>
              <w:jc w:val="center"/>
              <w:spacing w:after="0" w:line="125" w:lineRule="exact"/>
              <w:rPr>
                <w:sz w:val="20"/>
                <w:szCs w:val="20"/>
                <w:color w:val="auto"/>
              </w:rPr>
            </w:pPr>
            <w:r>
              <w:rPr>
                <w:rFonts w:ascii="Arial" w:cs="Arial" w:eastAsia="Arial" w:hAnsi="Arial"/>
                <w:sz w:val="11"/>
                <w:szCs w:val="11"/>
                <w:color w:val="auto"/>
                <w:w w:val="87"/>
              </w:rPr>
              <w:t>Chemicals, Plastics and Rubber</w:t>
            </w:r>
          </w:p>
        </w:tc>
        <w:tc>
          <w:tcPr>
            <w:tcW w:w="120" w:type="dxa"/>
            <w:vAlign w:val="bottom"/>
          </w:tcPr>
          <w:p>
            <w:pPr>
              <w:spacing w:after="0"/>
              <w:rPr>
                <w:sz w:val="10"/>
                <w:szCs w:val="10"/>
                <w:color w:val="auto"/>
              </w:rPr>
            </w:pPr>
          </w:p>
        </w:tc>
        <w:tc>
          <w:tcPr>
            <w:tcW w:w="820" w:type="dxa"/>
            <w:vAlign w:val="bottom"/>
            <w:gridSpan w:val="2"/>
          </w:tcPr>
          <w:p>
            <w:pPr>
              <w:jc w:val="right"/>
              <w:spacing w:after="0" w:line="125" w:lineRule="exact"/>
              <w:rPr>
                <w:sz w:val="20"/>
                <w:szCs w:val="20"/>
                <w:color w:val="auto"/>
              </w:rPr>
            </w:pPr>
            <w:r>
              <w:rPr>
                <w:rFonts w:ascii="Arial" w:cs="Arial" w:eastAsia="Arial" w:hAnsi="Arial"/>
                <w:sz w:val="11"/>
                <w:szCs w:val="11"/>
                <w:color w:val="auto"/>
              </w:rPr>
              <w:t>6.75 %</w:t>
            </w:r>
          </w:p>
        </w:tc>
        <w:tc>
          <w:tcPr>
            <w:tcW w:w="160" w:type="dxa"/>
            <w:vAlign w:val="bottom"/>
          </w:tcPr>
          <w:p>
            <w:pPr>
              <w:spacing w:after="0"/>
              <w:rPr>
                <w:sz w:val="10"/>
                <w:szCs w:val="10"/>
                <w:color w:val="auto"/>
              </w:rPr>
            </w:pPr>
          </w:p>
        </w:tc>
        <w:tc>
          <w:tcPr>
            <w:tcW w:w="660" w:type="dxa"/>
            <w:vAlign w:val="bottom"/>
          </w:tcPr>
          <w:p>
            <w:pPr>
              <w:jc w:val="right"/>
              <w:spacing w:after="0" w:line="125" w:lineRule="exact"/>
              <w:rPr>
                <w:sz w:val="20"/>
                <w:szCs w:val="20"/>
                <w:color w:val="auto"/>
              </w:rPr>
            </w:pPr>
            <w:r>
              <w:rPr>
                <w:rFonts w:ascii="Arial" w:cs="Arial" w:eastAsia="Arial" w:hAnsi="Arial"/>
                <w:sz w:val="11"/>
                <w:szCs w:val="11"/>
                <w:color w:val="auto"/>
              </w:rPr>
              <w:t>3M</w:t>
            </w:r>
          </w:p>
        </w:tc>
        <w:tc>
          <w:tcPr>
            <w:tcW w:w="320" w:type="dxa"/>
            <w:vAlign w:val="bottom"/>
          </w:tcPr>
          <w:p>
            <w:pPr>
              <w:jc w:val="right"/>
              <w:spacing w:after="0" w:line="125" w:lineRule="exact"/>
              <w:rPr>
                <w:sz w:val="20"/>
                <w:szCs w:val="20"/>
                <w:color w:val="auto"/>
              </w:rPr>
            </w:pPr>
            <w:r>
              <w:rPr>
                <w:rFonts w:ascii="Arial" w:cs="Arial" w:eastAsia="Arial" w:hAnsi="Arial"/>
                <w:sz w:val="11"/>
                <w:szCs w:val="11"/>
                <w:color w:val="auto"/>
                <w:w w:val="90"/>
              </w:rPr>
              <w:t>L+575</w:t>
            </w:r>
          </w:p>
        </w:tc>
        <w:tc>
          <w:tcPr>
            <w:tcW w:w="200" w:type="dxa"/>
            <w:vAlign w:val="bottom"/>
          </w:tcPr>
          <w:p>
            <w:pPr>
              <w:spacing w:after="0"/>
              <w:rPr>
                <w:sz w:val="10"/>
                <w:szCs w:val="10"/>
                <w:color w:val="auto"/>
              </w:rPr>
            </w:pPr>
          </w:p>
        </w:tc>
        <w:tc>
          <w:tcPr>
            <w:tcW w:w="700" w:type="dxa"/>
            <w:vAlign w:val="bottom"/>
          </w:tcPr>
          <w:p>
            <w:pPr>
              <w:jc w:val="right"/>
              <w:spacing w:after="0" w:line="125" w:lineRule="exact"/>
              <w:rPr>
                <w:sz w:val="20"/>
                <w:szCs w:val="20"/>
                <w:color w:val="auto"/>
              </w:rPr>
            </w:pPr>
            <w:r>
              <w:rPr>
                <w:rFonts w:ascii="Arial" w:cs="Arial" w:eastAsia="Arial" w:hAnsi="Arial"/>
                <w:sz w:val="11"/>
                <w:szCs w:val="11"/>
                <w:color w:val="auto"/>
              </w:rPr>
              <w:t>6,545</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jc w:val="right"/>
              <w:spacing w:after="0" w:line="125" w:lineRule="exact"/>
              <w:rPr>
                <w:sz w:val="20"/>
                <w:szCs w:val="20"/>
                <w:color w:val="auto"/>
              </w:rPr>
            </w:pPr>
            <w:r>
              <w:rPr>
                <w:rFonts w:ascii="Arial" w:cs="Arial" w:eastAsia="Arial" w:hAnsi="Arial"/>
                <w:sz w:val="11"/>
                <w:szCs w:val="11"/>
                <w:color w:val="auto"/>
              </w:rPr>
              <w:t>6,514</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jc w:val="right"/>
              <w:spacing w:after="0" w:line="125" w:lineRule="exact"/>
              <w:rPr>
                <w:sz w:val="20"/>
                <w:szCs w:val="20"/>
                <w:color w:val="auto"/>
              </w:rPr>
            </w:pPr>
            <w:r>
              <w:rPr>
                <w:rFonts w:ascii="Arial" w:cs="Arial" w:eastAsia="Arial" w:hAnsi="Arial"/>
                <w:sz w:val="11"/>
                <w:szCs w:val="11"/>
                <w:color w:val="auto"/>
              </w:rPr>
              <w:t>6,545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3200" w:type="dxa"/>
            <w:vAlign w:val="bottom"/>
          </w:tcPr>
          <w:p>
            <w:pPr>
              <w:ind w:left="20"/>
              <w:spacing w:after="0" w:line="115" w:lineRule="exact"/>
              <w:rPr>
                <w:sz w:val="20"/>
                <w:szCs w:val="20"/>
                <w:color w:val="auto"/>
              </w:rPr>
            </w:pPr>
            <w:r>
              <w:rPr>
                <w:rFonts w:ascii="Arial" w:cs="Arial" w:eastAsia="Arial" w:hAnsi="Arial"/>
                <w:sz w:val="11"/>
                <w:szCs w:val="11"/>
                <w:color w:val="auto"/>
              </w:rPr>
              <w:t>Douglas Products and Packaging Company LLC (Revolver)</w:t>
            </w:r>
          </w:p>
        </w:tc>
        <w:tc>
          <w:tcPr>
            <w:tcW w:w="740" w:type="dxa"/>
            <w:vAlign w:val="bottom"/>
          </w:tcPr>
          <w:p>
            <w:pPr>
              <w:jc w:val="center"/>
              <w:ind w:left="66"/>
              <w:spacing w:after="0" w:line="115" w:lineRule="exact"/>
              <w:rPr>
                <w:sz w:val="20"/>
                <w:szCs w:val="20"/>
                <w:color w:val="auto"/>
              </w:rPr>
            </w:pPr>
            <w:r>
              <w:rPr>
                <w:rFonts w:ascii="Arial" w:cs="Arial" w:eastAsia="Arial" w:hAnsi="Arial"/>
                <w:sz w:val="11"/>
                <w:szCs w:val="11"/>
                <w:color w:val="auto"/>
                <w:w w:val="90"/>
              </w:rPr>
              <w:t>10/19/2022</w:t>
            </w:r>
          </w:p>
        </w:tc>
        <w:tc>
          <w:tcPr>
            <w:tcW w:w="120" w:type="dxa"/>
            <w:vAlign w:val="bottom"/>
          </w:tcPr>
          <w:p>
            <w:pPr>
              <w:spacing w:after="0"/>
              <w:rPr>
                <w:sz w:val="9"/>
                <w:szCs w:val="9"/>
                <w:color w:val="auto"/>
              </w:rPr>
            </w:pPr>
          </w:p>
        </w:tc>
        <w:tc>
          <w:tcPr>
            <w:tcW w:w="2260" w:type="dxa"/>
            <w:vAlign w:val="bottom"/>
          </w:tcPr>
          <w:p>
            <w:pPr>
              <w:jc w:val="center"/>
              <w:spacing w:after="0" w:line="115" w:lineRule="exact"/>
              <w:rPr>
                <w:sz w:val="20"/>
                <w:szCs w:val="20"/>
                <w:color w:val="auto"/>
              </w:rPr>
            </w:pPr>
            <w:r>
              <w:rPr>
                <w:rFonts w:ascii="Arial" w:cs="Arial" w:eastAsia="Arial" w:hAnsi="Arial"/>
                <w:sz w:val="11"/>
                <w:szCs w:val="11"/>
                <w:color w:val="auto"/>
                <w:w w:val="87"/>
              </w:rPr>
              <w:t>Chemicals, Plastics and Rubber</w:t>
            </w:r>
          </w:p>
        </w:tc>
        <w:tc>
          <w:tcPr>
            <w:tcW w:w="120" w:type="dxa"/>
            <w:vAlign w:val="bottom"/>
          </w:tcPr>
          <w:p>
            <w:pPr>
              <w:spacing w:after="0"/>
              <w:rPr>
                <w:sz w:val="9"/>
                <w:szCs w:val="9"/>
                <w:color w:val="auto"/>
              </w:rPr>
            </w:pPr>
          </w:p>
        </w:tc>
        <w:tc>
          <w:tcPr>
            <w:tcW w:w="8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8.00 %</w:t>
            </w: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320" w:type="dxa"/>
            <w:vAlign w:val="bottom"/>
          </w:tcPr>
          <w:p>
            <w:pPr>
              <w:jc w:val="right"/>
              <w:spacing w:after="0" w:line="115" w:lineRule="exact"/>
              <w:rPr>
                <w:sz w:val="20"/>
                <w:szCs w:val="20"/>
                <w:color w:val="auto"/>
              </w:rPr>
            </w:pPr>
            <w:r>
              <w:rPr>
                <w:rFonts w:ascii="Arial" w:cs="Arial" w:eastAsia="Arial" w:hAnsi="Arial"/>
                <w:sz w:val="11"/>
                <w:szCs w:val="11"/>
                <w:color w:val="auto"/>
                <w:w w:val="87"/>
              </w:rPr>
              <w:t>P+475</w:t>
            </w:r>
          </w:p>
        </w:tc>
        <w:tc>
          <w:tcPr>
            <w:tcW w:w="200" w:type="dxa"/>
            <w:vAlign w:val="bottom"/>
          </w:tcPr>
          <w:p>
            <w:pPr>
              <w:spacing w:after="0"/>
              <w:rPr>
                <w:sz w:val="9"/>
                <w:szCs w:val="9"/>
                <w:color w:val="auto"/>
              </w:rPr>
            </w:pPr>
          </w:p>
        </w:tc>
        <w:tc>
          <w:tcPr>
            <w:tcW w:w="700" w:type="dxa"/>
            <w:vAlign w:val="bottom"/>
          </w:tcPr>
          <w:p>
            <w:pPr>
              <w:jc w:val="right"/>
              <w:spacing w:after="0" w:line="115" w:lineRule="exact"/>
              <w:rPr>
                <w:sz w:val="20"/>
                <w:szCs w:val="20"/>
                <w:color w:val="auto"/>
              </w:rPr>
            </w:pPr>
            <w:r>
              <w:rPr>
                <w:rFonts w:ascii="Arial" w:cs="Arial" w:eastAsia="Arial" w:hAnsi="Arial"/>
                <w:sz w:val="11"/>
                <w:szCs w:val="11"/>
                <w:color w:val="auto"/>
              </w:rPr>
              <w:t>2,927</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jc w:val="right"/>
              <w:spacing w:after="0" w:line="115" w:lineRule="exact"/>
              <w:rPr>
                <w:sz w:val="20"/>
                <w:szCs w:val="20"/>
                <w:color w:val="auto"/>
              </w:rPr>
            </w:pPr>
            <w:r>
              <w:rPr>
                <w:rFonts w:ascii="Arial" w:cs="Arial" w:eastAsia="Arial" w:hAnsi="Arial"/>
                <w:sz w:val="11"/>
                <w:szCs w:val="11"/>
                <w:color w:val="auto"/>
              </w:rPr>
              <w:t>2,927</w:t>
            </w: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jc w:val="right"/>
              <w:spacing w:after="0" w:line="115" w:lineRule="exact"/>
              <w:rPr>
                <w:sz w:val="20"/>
                <w:szCs w:val="20"/>
                <w:color w:val="auto"/>
              </w:rPr>
            </w:pPr>
            <w:r>
              <w:rPr>
                <w:rFonts w:ascii="Arial" w:cs="Arial" w:eastAsia="Arial" w:hAnsi="Arial"/>
                <w:sz w:val="11"/>
                <w:szCs w:val="11"/>
                <w:color w:val="auto"/>
              </w:rPr>
              <w:t>2,927</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3200" w:type="dxa"/>
            <w:vAlign w:val="bottom"/>
          </w:tcPr>
          <w:p>
            <w:pPr>
              <w:ind w:left="20"/>
              <w:spacing w:after="0"/>
              <w:rPr>
                <w:sz w:val="20"/>
                <w:szCs w:val="20"/>
                <w:color w:val="auto"/>
              </w:rPr>
            </w:pPr>
            <w:r>
              <w:rPr>
                <w:rFonts w:ascii="Arial" w:cs="Arial" w:eastAsia="Arial" w:hAnsi="Arial"/>
                <w:sz w:val="11"/>
                <w:szCs w:val="11"/>
                <w:color w:val="auto"/>
              </w:rPr>
              <w:t xml:space="preserve">Douglas Products and Packaging Company LLC (Revolver) </w:t>
            </w:r>
            <w:r>
              <w:rPr>
                <w:rFonts w:ascii="Arial" w:cs="Arial" w:eastAsia="Arial" w:hAnsi="Arial"/>
                <w:sz w:val="14"/>
                <w:szCs w:val="14"/>
                <w:color w:val="auto"/>
                <w:vertAlign w:val="superscript"/>
              </w:rPr>
              <w:t>(9)</w:t>
            </w:r>
          </w:p>
        </w:tc>
        <w:tc>
          <w:tcPr>
            <w:tcW w:w="740" w:type="dxa"/>
            <w:vAlign w:val="bottom"/>
          </w:tcPr>
          <w:p>
            <w:pPr>
              <w:jc w:val="center"/>
              <w:ind w:left="66"/>
              <w:spacing w:after="0"/>
              <w:rPr>
                <w:sz w:val="20"/>
                <w:szCs w:val="20"/>
                <w:color w:val="auto"/>
              </w:rPr>
            </w:pPr>
            <w:r>
              <w:rPr>
                <w:rFonts w:ascii="Arial" w:cs="Arial" w:eastAsia="Arial" w:hAnsi="Arial"/>
                <w:sz w:val="11"/>
                <w:szCs w:val="11"/>
                <w:color w:val="auto"/>
                <w:w w:val="90"/>
              </w:rPr>
              <w:t>10/19/2022</w:t>
            </w:r>
          </w:p>
        </w:tc>
        <w:tc>
          <w:tcPr>
            <w:tcW w:w="120" w:type="dxa"/>
            <w:vAlign w:val="bottom"/>
          </w:tcPr>
          <w:p>
            <w:pPr>
              <w:spacing w:after="0"/>
              <w:rPr>
                <w:sz w:val="14"/>
                <w:szCs w:val="14"/>
                <w:color w:val="auto"/>
              </w:rPr>
            </w:pPr>
          </w:p>
        </w:tc>
        <w:tc>
          <w:tcPr>
            <w:tcW w:w="2260" w:type="dxa"/>
            <w:vAlign w:val="bottom"/>
          </w:tcPr>
          <w:p>
            <w:pPr>
              <w:jc w:val="center"/>
              <w:spacing w:after="0"/>
              <w:rPr>
                <w:sz w:val="20"/>
                <w:szCs w:val="20"/>
                <w:color w:val="auto"/>
              </w:rPr>
            </w:pPr>
            <w:r>
              <w:rPr>
                <w:rFonts w:ascii="Arial" w:cs="Arial" w:eastAsia="Arial" w:hAnsi="Arial"/>
                <w:sz w:val="11"/>
                <w:szCs w:val="11"/>
                <w:color w:val="auto"/>
                <w:w w:val="87"/>
              </w:rPr>
              <w:t>Chemicals, Plastics and Rubber</w:t>
            </w:r>
          </w:p>
        </w:tc>
        <w:tc>
          <w:tcPr>
            <w:tcW w:w="12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1,464</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3200" w:type="dxa"/>
            <w:vAlign w:val="bottom"/>
            <w:shd w:val="clear" w:color="auto" w:fill="CCECFF"/>
          </w:tcPr>
          <w:p>
            <w:pPr>
              <w:ind w:left="20"/>
              <w:spacing w:after="0"/>
              <w:rPr>
                <w:sz w:val="20"/>
                <w:szCs w:val="20"/>
                <w:color w:val="auto"/>
              </w:rPr>
            </w:pPr>
            <w:r>
              <w:rPr>
                <w:rFonts w:ascii="Arial" w:cs="Arial" w:eastAsia="Arial" w:hAnsi="Arial"/>
                <w:sz w:val="11"/>
                <w:szCs w:val="11"/>
                <w:color w:val="auto"/>
              </w:rPr>
              <w:t>Douglas Sewer Intermediate, LLC</w:t>
            </w:r>
          </w:p>
        </w:tc>
        <w:tc>
          <w:tcPr>
            <w:tcW w:w="740" w:type="dxa"/>
            <w:vAlign w:val="bottom"/>
            <w:shd w:val="clear" w:color="auto" w:fill="CCECFF"/>
          </w:tcPr>
          <w:p>
            <w:pPr>
              <w:jc w:val="center"/>
              <w:ind w:left="66"/>
              <w:spacing w:after="0"/>
              <w:rPr>
                <w:sz w:val="20"/>
                <w:szCs w:val="20"/>
                <w:color w:val="auto"/>
              </w:rPr>
            </w:pPr>
            <w:r>
              <w:rPr>
                <w:rFonts w:ascii="Arial" w:cs="Arial" w:eastAsia="Arial" w:hAnsi="Arial"/>
                <w:sz w:val="11"/>
                <w:szCs w:val="11"/>
                <w:color w:val="auto"/>
                <w:w w:val="90"/>
              </w:rPr>
              <w:t>10/19/2022</w:t>
            </w:r>
          </w:p>
        </w:tc>
        <w:tc>
          <w:tcPr>
            <w:tcW w:w="120" w:type="dxa"/>
            <w:vAlign w:val="bottom"/>
            <w:shd w:val="clear" w:color="auto" w:fill="CCECFF"/>
          </w:tcPr>
          <w:p>
            <w:pPr>
              <w:spacing w:after="0"/>
              <w:rPr>
                <w:sz w:val="11"/>
                <w:szCs w:val="11"/>
                <w:color w:val="auto"/>
              </w:rPr>
            </w:pPr>
          </w:p>
        </w:tc>
        <w:tc>
          <w:tcPr>
            <w:tcW w:w="22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Chemicals, Plastics and Rubber</w:t>
            </w:r>
          </w:p>
        </w:tc>
        <w:tc>
          <w:tcPr>
            <w:tcW w:w="120" w:type="dxa"/>
            <w:vAlign w:val="bottom"/>
            <w:shd w:val="clear" w:color="auto" w:fill="CCECFF"/>
          </w:tcPr>
          <w:p>
            <w:pPr>
              <w:spacing w:after="0"/>
              <w:rPr>
                <w:sz w:val="11"/>
                <w:szCs w:val="11"/>
                <w:color w:val="auto"/>
              </w:rPr>
            </w:pPr>
          </w:p>
        </w:tc>
        <w:tc>
          <w:tcPr>
            <w:tcW w:w="8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6.75 %</w:t>
            </w:r>
          </w:p>
        </w:tc>
        <w:tc>
          <w:tcPr>
            <w:tcW w:w="16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w:t>
            </w:r>
          </w:p>
        </w:tc>
        <w:tc>
          <w:tcPr>
            <w:tcW w:w="32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0"/>
              </w:rPr>
              <w:t>L+575</w:t>
            </w:r>
          </w:p>
        </w:tc>
        <w:tc>
          <w:tcPr>
            <w:tcW w:w="20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3,961</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3,942</w:t>
            </w:r>
          </w:p>
        </w:tc>
        <w:tc>
          <w:tcPr>
            <w:tcW w:w="2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3,961</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3200" w:type="dxa"/>
            <w:vAlign w:val="bottom"/>
          </w:tcPr>
          <w:p>
            <w:pPr>
              <w:ind w:left="20"/>
              <w:spacing w:after="0" w:line="105" w:lineRule="exact"/>
              <w:rPr>
                <w:sz w:val="20"/>
                <w:szCs w:val="20"/>
                <w:color w:val="auto"/>
              </w:rPr>
            </w:pPr>
            <w:r>
              <w:rPr>
                <w:rFonts w:ascii="Arial" w:cs="Arial" w:eastAsia="Arial" w:hAnsi="Arial"/>
                <w:sz w:val="11"/>
                <w:szCs w:val="11"/>
                <w:color w:val="auto"/>
              </w:rPr>
              <w:t>Dr. Squatch, LLC</w:t>
            </w:r>
          </w:p>
        </w:tc>
        <w:tc>
          <w:tcPr>
            <w:tcW w:w="740" w:type="dxa"/>
            <w:vAlign w:val="bottom"/>
          </w:tcPr>
          <w:p>
            <w:pPr>
              <w:jc w:val="center"/>
              <w:ind w:left="66"/>
              <w:spacing w:after="0" w:line="105" w:lineRule="exact"/>
              <w:rPr>
                <w:sz w:val="20"/>
                <w:szCs w:val="20"/>
                <w:color w:val="auto"/>
              </w:rPr>
            </w:pPr>
            <w:r>
              <w:rPr>
                <w:rFonts w:ascii="Arial" w:cs="Arial" w:eastAsia="Arial" w:hAnsi="Arial"/>
                <w:sz w:val="11"/>
                <w:szCs w:val="11"/>
                <w:color w:val="auto"/>
                <w:w w:val="90"/>
              </w:rPr>
              <w:t>08/27/2026</w:t>
            </w:r>
          </w:p>
        </w:tc>
        <w:tc>
          <w:tcPr>
            <w:tcW w:w="120" w:type="dxa"/>
            <w:vAlign w:val="bottom"/>
          </w:tcPr>
          <w:p>
            <w:pPr>
              <w:spacing w:after="0"/>
              <w:rPr>
                <w:sz w:val="9"/>
                <w:szCs w:val="9"/>
                <w:color w:val="auto"/>
              </w:rPr>
            </w:pPr>
          </w:p>
        </w:tc>
        <w:tc>
          <w:tcPr>
            <w:tcW w:w="2260" w:type="dxa"/>
            <w:vAlign w:val="bottom"/>
          </w:tcPr>
          <w:p>
            <w:pPr>
              <w:jc w:val="center"/>
              <w:spacing w:after="0" w:line="105" w:lineRule="exact"/>
              <w:rPr>
                <w:sz w:val="20"/>
                <w:szCs w:val="20"/>
                <w:color w:val="auto"/>
              </w:rPr>
            </w:pPr>
            <w:r>
              <w:rPr>
                <w:rFonts w:ascii="Arial" w:cs="Arial" w:eastAsia="Arial" w:hAnsi="Arial"/>
                <w:sz w:val="11"/>
                <w:szCs w:val="11"/>
                <w:color w:val="auto"/>
                <w:w w:val="86"/>
              </w:rPr>
              <w:t>Personal Products</w:t>
            </w:r>
          </w:p>
        </w:tc>
        <w:tc>
          <w:tcPr>
            <w:tcW w:w="120" w:type="dxa"/>
            <w:vAlign w:val="bottom"/>
          </w:tcPr>
          <w:p>
            <w:pPr>
              <w:spacing w:after="0"/>
              <w:rPr>
                <w:sz w:val="9"/>
                <w:szCs w:val="9"/>
                <w:color w:val="auto"/>
              </w:rPr>
            </w:pPr>
          </w:p>
        </w:tc>
        <w:tc>
          <w:tcPr>
            <w:tcW w:w="820" w:type="dxa"/>
            <w:vAlign w:val="bottom"/>
            <w:gridSpan w:val="2"/>
          </w:tcPr>
          <w:p>
            <w:pPr>
              <w:jc w:val="right"/>
              <w:spacing w:after="0" w:line="105" w:lineRule="exact"/>
              <w:rPr>
                <w:sz w:val="20"/>
                <w:szCs w:val="20"/>
                <w:color w:val="auto"/>
              </w:rPr>
            </w:pPr>
            <w:r>
              <w:rPr>
                <w:rFonts w:ascii="Arial" w:cs="Arial" w:eastAsia="Arial" w:hAnsi="Arial"/>
                <w:sz w:val="11"/>
                <w:szCs w:val="11"/>
                <w:color w:val="auto"/>
              </w:rPr>
              <w:t>7.00 %</w:t>
            </w:r>
          </w:p>
        </w:tc>
        <w:tc>
          <w:tcPr>
            <w:tcW w:w="160" w:type="dxa"/>
            <w:vAlign w:val="bottom"/>
          </w:tcPr>
          <w:p>
            <w:pPr>
              <w:spacing w:after="0"/>
              <w:rPr>
                <w:sz w:val="9"/>
                <w:szCs w:val="9"/>
                <w:color w:val="auto"/>
              </w:rPr>
            </w:pPr>
          </w:p>
        </w:tc>
        <w:tc>
          <w:tcPr>
            <w:tcW w:w="660" w:type="dxa"/>
            <w:vAlign w:val="bottom"/>
          </w:tcPr>
          <w:p>
            <w:pPr>
              <w:jc w:val="right"/>
              <w:spacing w:after="0" w:line="105" w:lineRule="exact"/>
              <w:rPr>
                <w:sz w:val="20"/>
                <w:szCs w:val="20"/>
                <w:color w:val="auto"/>
              </w:rPr>
            </w:pPr>
            <w:r>
              <w:rPr>
                <w:rFonts w:ascii="Arial" w:cs="Arial" w:eastAsia="Arial" w:hAnsi="Arial"/>
                <w:sz w:val="11"/>
                <w:szCs w:val="11"/>
                <w:color w:val="auto"/>
              </w:rPr>
              <w:t>3M</w:t>
            </w:r>
          </w:p>
        </w:tc>
        <w:tc>
          <w:tcPr>
            <w:tcW w:w="320" w:type="dxa"/>
            <w:vAlign w:val="bottom"/>
          </w:tcPr>
          <w:p>
            <w:pPr>
              <w:jc w:val="right"/>
              <w:spacing w:after="0" w:line="105" w:lineRule="exact"/>
              <w:rPr>
                <w:sz w:val="20"/>
                <w:szCs w:val="20"/>
                <w:color w:val="auto"/>
              </w:rPr>
            </w:pPr>
            <w:r>
              <w:rPr>
                <w:rFonts w:ascii="Arial" w:cs="Arial" w:eastAsia="Arial" w:hAnsi="Arial"/>
                <w:sz w:val="11"/>
                <w:szCs w:val="11"/>
                <w:color w:val="auto"/>
                <w:w w:val="90"/>
              </w:rPr>
              <w:t>L+600</w:t>
            </w:r>
          </w:p>
        </w:tc>
        <w:tc>
          <w:tcPr>
            <w:tcW w:w="200" w:type="dxa"/>
            <w:vAlign w:val="bottom"/>
          </w:tcPr>
          <w:p>
            <w:pPr>
              <w:spacing w:after="0"/>
              <w:rPr>
                <w:sz w:val="9"/>
                <w:szCs w:val="9"/>
                <w:color w:val="auto"/>
              </w:rPr>
            </w:pPr>
          </w:p>
        </w:tc>
        <w:tc>
          <w:tcPr>
            <w:tcW w:w="700" w:type="dxa"/>
            <w:vAlign w:val="bottom"/>
          </w:tcPr>
          <w:p>
            <w:pPr>
              <w:jc w:val="right"/>
              <w:spacing w:after="0" w:line="105" w:lineRule="exact"/>
              <w:rPr>
                <w:sz w:val="20"/>
                <w:szCs w:val="20"/>
                <w:color w:val="auto"/>
              </w:rPr>
            </w:pPr>
            <w:r>
              <w:rPr>
                <w:rFonts w:ascii="Arial" w:cs="Arial" w:eastAsia="Arial" w:hAnsi="Arial"/>
                <w:sz w:val="11"/>
                <w:szCs w:val="11"/>
                <w:color w:val="auto"/>
              </w:rPr>
              <w:t>9,485</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jc w:val="right"/>
              <w:spacing w:after="0" w:line="105" w:lineRule="exact"/>
              <w:rPr>
                <w:sz w:val="20"/>
                <w:szCs w:val="20"/>
                <w:color w:val="auto"/>
              </w:rPr>
            </w:pPr>
            <w:r>
              <w:rPr>
                <w:rFonts w:ascii="Arial" w:cs="Arial" w:eastAsia="Arial" w:hAnsi="Arial"/>
                <w:sz w:val="11"/>
                <w:szCs w:val="11"/>
                <w:color w:val="auto"/>
              </w:rPr>
              <w:t>9,297</w:t>
            </w: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jc w:val="right"/>
              <w:spacing w:after="0" w:line="105" w:lineRule="exact"/>
              <w:rPr>
                <w:sz w:val="20"/>
                <w:szCs w:val="20"/>
                <w:color w:val="auto"/>
              </w:rPr>
            </w:pPr>
            <w:r>
              <w:rPr>
                <w:rFonts w:ascii="Arial" w:cs="Arial" w:eastAsia="Arial" w:hAnsi="Arial"/>
                <w:sz w:val="11"/>
                <w:szCs w:val="11"/>
                <w:color w:val="auto"/>
              </w:rPr>
              <w:t>9,296</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Dr. Squatch, LLC (Revolver) </w:t>
            </w:r>
            <w:r>
              <w:rPr>
                <w:rFonts w:ascii="Arial" w:cs="Arial" w:eastAsia="Arial" w:hAnsi="Arial"/>
                <w:sz w:val="14"/>
                <w:szCs w:val="14"/>
                <w:color w:val="auto"/>
                <w:vertAlign w:val="superscript"/>
              </w:rPr>
              <w:t>(7)</w:t>
            </w:r>
          </w:p>
        </w:tc>
        <w:tc>
          <w:tcPr>
            <w:tcW w:w="740" w:type="dxa"/>
            <w:vAlign w:val="bottom"/>
          </w:tcPr>
          <w:p>
            <w:pPr>
              <w:jc w:val="center"/>
              <w:ind w:left="66"/>
              <w:spacing w:after="0"/>
              <w:rPr>
                <w:sz w:val="20"/>
                <w:szCs w:val="20"/>
                <w:color w:val="auto"/>
              </w:rPr>
            </w:pPr>
            <w:r>
              <w:rPr>
                <w:rFonts w:ascii="Arial" w:cs="Arial" w:eastAsia="Arial" w:hAnsi="Arial"/>
                <w:sz w:val="11"/>
                <w:szCs w:val="11"/>
                <w:color w:val="auto"/>
                <w:w w:val="90"/>
              </w:rPr>
              <w:t>08/27/2026</w:t>
            </w:r>
          </w:p>
        </w:tc>
        <w:tc>
          <w:tcPr>
            <w:tcW w:w="120" w:type="dxa"/>
            <w:vAlign w:val="bottom"/>
          </w:tcPr>
          <w:p>
            <w:pPr>
              <w:spacing w:after="0"/>
              <w:rPr>
                <w:sz w:val="11"/>
                <w:szCs w:val="11"/>
                <w:color w:val="auto"/>
              </w:rPr>
            </w:pPr>
          </w:p>
        </w:tc>
        <w:tc>
          <w:tcPr>
            <w:tcW w:w="2260" w:type="dxa"/>
            <w:vAlign w:val="bottom"/>
          </w:tcPr>
          <w:p>
            <w:pPr>
              <w:jc w:val="center"/>
              <w:spacing w:after="0"/>
              <w:rPr>
                <w:sz w:val="20"/>
                <w:szCs w:val="20"/>
                <w:color w:val="auto"/>
              </w:rPr>
            </w:pPr>
            <w:r>
              <w:rPr>
                <w:rFonts w:ascii="Arial" w:cs="Arial" w:eastAsia="Arial" w:hAnsi="Arial"/>
                <w:sz w:val="11"/>
                <w:szCs w:val="11"/>
                <w:color w:val="auto"/>
                <w:w w:val="86"/>
              </w:rPr>
              <w:t>Personal Products</w:t>
            </w:r>
          </w:p>
        </w:tc>
        <w:tc>
          <w:tcPr>
            <w:tcW w:w="120" w:type="dxa"/>
            <w:vAlign w:val="bottom"/>
          </w:tcPr>
          <w:p>
            <w:pPr>
              <w:spacing w:after="0"/>
              <w:rPr>
                <w:sz w:val="11"/>
                <w:szCs w:val="11"/>
                <w:color w:val="auto"/>
              </w:rPr>
            </w:pPr>
          </w:p>
        </w:tc>
        <w:tc>
          <w:tcPr>
            <w:tcW w:w="820" w:type="dxa"/>
            <w:vAlign w:val="bottom"/>
            <w:gridSpan w:val="2"/>
          </w:tcPr>
          <w:p>
            <w:pPr>
              <w:jc w:val="right"/>
              <w:spacing w:after="0"/>
              <w:rPr>
                <w:sz w:val="20"/>
                <w:szCs w:val="20"/>
                <w:color w:val="auto"/>
              </w:rPr>
            </w:pPr>
            <w:r>
              <w:rPr>
                <w:rFonts w:ascii="Arial" w:cs="Arial" w:eastAsia="Arial" w:hAnsi="Arial"/>
                <w:sz w:val="11"/>
                <w:szCs w:val="11"/>
                <w:color w:val="auto"/>
              </w:rPr>
              <w:t>7.00 %</w:t>
            </w:r>
          </w:p>
        </w:tc>
        <w:tc>
          <w:tcPr>
            <w:tcW w:w="1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3M</w:t>
            </w:r>
          </w:p>
        </w:tc>
        <w:tc>
          <w:tcPr>
            <w:tcW w:w="320" w:type="dxa"/>
            <w:vAlign w:val="bottom"/>
          </w:tcPr>
          <w:p>
            <w:pPr>
              <w:jc w:val="right"/>
              <w:spacing w:after="0"/>
              <w:rPr>
                <w:sz w:val="20"/>
                <w:szCs w:val="20"/>
                <w:color w:val="auto"/>
              </w:rPr>
            </w:pPr>
            <w:r>
              <w:rPr>
                <w:rFonts w:ascii="Arial" w:cs="Arial" w:eastAsia="Arial" w:hAnsi="Arial"/>
                <w:sz w:val="11"/>
                <w:szCs w:val="11"/>
                <w:color w:val="auto"/>
                <w:w w:val="90"/>
              </w:rPr>
              <w:t>L+600</w:t>
            </w:r>
          </w:p>
        </w:tc>
        <w:tc>
          <w:tcPr>
            <w:tcW w:w="20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2,459</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2,459</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2,410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20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Dr. Squatch, LLC (Revolver) </w:t>
            </w:r>
            <w:r>
              <w:rPr>
                <w:rFonts w:ascii="Arial" w:cs="Arial" w:eastAsia="Arial" w:hAnsi="Arial"/>
                <w:sz w:val="14"/>
                <w:szCs w:val="14"/>
                <w:color w:val="auto"/>
                <w:vertAlign w:val="superscript"/>
              </w:rPr>
              <w:t>(7), (9)</w:t>
            </w:r>
          </w:p>
        </w:tc>
        <w:tc>
          <w:tcPr>
            <w:tcW w:w="740" w:type="dxa"/>
            <w:vAlign w:val="bottom"/>
          </w:tcPr>
          <w:p>
            <w:pPr>
              <w:jc w:val="center"/>
              <w:ind w:left="66"/>
              <w:spacing w:after="0"/>
              <w:rPr>
                <w:sz w:val="20"/>
                <w:szCs w:val="20"/>
                <w:color w:val="auto"/>
              </w:rPr>
            </w:pPr>
            <w:r>
              <w:rPr>
                <w:rFonts w:ascii="Arial" w:cs="Arial" w:eastAsia="Arial" w:hAnsi="Arial"/>
                <w:sz w:val="11"/>
                <w:szCs w:val="11"/>
                <w:color w:val="auto"/>
                <w:w w:val="90"/>
              </w:rPr>
              <w:t>08/27/2026</w:t>
            </w:r>
          </w:p>
        </w:tc>
        <w:tc>
          <w:tcPr>
            <w:tcW w:w="120" w:type="dxa"/>
            <w:vAlign w:val="bottom"/>
          </w:tcPr>
          <w:p>
            <w:pPr>
              <w:spacing w:after="0"/>
              <w:rPr>
                <w:sz w:val="13"/>
                <w:szCs w:val="13"/>
                <w:color w:val="auto"/>
              </w:rPr>
            </w:pPr>
          </w:p>
        </w:tc>
        <w:tc>
          <w:tcPr>
            <w:tcW w:w="2260" w:type="dxa"/>
            <w:vAlign w:val="bottom"/>
          </w:tcPr>
          <w:p>
            <w:pPr>
              <w:jc w:val="center"/>
              <w:spacing w:after="0"/>
              <w:rPr>
                <w:sz w:val="20"/>
                <w:szCs w:val="20"/>
                <w:color w:val="auto"/>
              </w:rPr>
            </w:pPr>
            <w:r>
              <w:rPr>
                <w:rFonts w:ascii="Arial" w:cs="Arial" w:eastAsia="Arial" w:hAnsi="Arial"/>
                <w:sz w:val="11"/>
                <w:szCs w:val="11"/>
                <w:color w:val="auto"/>
                <w:w w:val="86"/>
              </w:rPr>
              <w:t>Personal Products</w:t>
            </w:r>
          </w:p>
        </w:tc>
        <w:tc>
          <w:tcPr>
            <w:tcW w:w="12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894</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auto"/>
              </w:rPr>
              <w:t>(18 )</w:t>
            </w:r>
          </w:p>
        </w:tc>
        <w:tc>
          <w:tcPr>
            <w:tcW w:w="0" w:type="dxa"/>
            <w:vAlign w:val="bottom"/>
          </w:tcPr>
          <w:p>
            <w:pPr>
              <w:spacing w:after="0"/>
              <w:rPr>
                <w:sz w:val="1"/>
                <w:szCs w:val="1"/>
                <w:color w:val="auto"/>
              </w:rPr>
            </w:pPr>
          </w:p>
        </w:tc>
      </w:tr>
      <w:tr>
        <w:trPr>
          <w:trHeight w:val="115"/>
        </w:trPr>
        <w:tc>
          <w:tcPr>
            <w:tcW w:w="3200" w:type="dxa"/>
            <w:vAlign w:val="bottom"/>
          </w:tcPr>
          <w:p>
            <w:pPr>
              <w:ind w:left="20"/>
              <w:spacing w:after="0" w:line="115" w:lineRule="exact"/>
              <w:rPr>
                <w:sz w:val="20"/>
                <w:szCs w:val="20"/>
                <w:color w:val="auto"/>
              </w:rPr>
            </w:pPr>
            <w:r>
              <w:rPr>
                <w:rFonts w:ascii="Arial" w:cs="Arial" w:eastAsia="Arial" w:hAnsi="Arial"/>
                <w:sz w:val="11"/>
                <w:szCs w:val="11"/>
                <w:color w:val="auto"/>
              </w:rPr>
              <w:t>DRS Holdings III, Inc.</w:t>
            </w:r>
          </w:p>
        </w:tc>
        <w:tc>
          <w:tcPr>
            <w:tcW w:w="740" w:type="dxa"/>
            <w:vAlign w:val="bottom"/>
          </w:tcPr>
          <w:p>
            <w:pPr>
              <w:jc w:val="center"/>
              <w:ind w:left="66"/>
              <w:spacing w:after="0" w:line="115" w:lineRule="exact"/>
              <w:rPr>
                <w:sz w:val="20"/>
                <w:szCs w:val="20"/>
                <w:color w:val="auto"/>
              </w:rPr>
            </w:pPr>
            <w:r>
              <w:rPr>
                <w:rFonts w:ascii="Arial" w:cs="Arial" w:eastAsia="Arial" w:hAnsi="Arial"/>
                <w:sz w:val="11"/>
                <w:szCs w:val="11"/>
                <w:color w:val="auto"/>
                <w:w w:val="90"/>
              </w:rPr>
              <w:t>11/03/2025</w:t>
            </w:r>
          </w:p>
        </w:tc>
        <w:tc>
          <w:tcPr>
            <w:tcW w:w="120" w:type="dxa"/>
            <w:vAlign w:val="bottom"/>
          </w:tcPr>
          <w:p>
            <w:pPr>
              <w:spacing w:after="0"/>
              <w:rPr>
                <w:sz w:val="9"/>
                <w:szCs w:val="9"/>
                <w:color w:val="auto"/>
              </w:rPr>
            </w:pPr>
          </w:p>
        </w:tc>
        <w:tc>
          <w:tcPr>
            <w:tcW w:w="2260" w:type="dxa"/>
            <w:vAlign w:val="bottom"/>
          </w:tcPr>
          <w:p>
            <w:pPr>
              <w:jc w:val="center"/>
              <w:spacing w:after="0" w:line="115" w:lineRule="exact"/>
              <w:rPr>
                <w:sz w:val="20"/>
                <w:szCs w:val="20"/>
                <w:color w:val="auto"/>
              </w:rPr>
            </w:pPr>
            <w:r>
              <w:rPr>
                <w:rFonts w:ascii="Arial" w:cs="Arial" w:eastAsia="Arial" w:hAnsi="Arial"/>
                <w:sz w:val="11"/>
                <w:szCs w:val="11"/>
                <w:color w:val="auto"/>
                <w:w w:val="86"/>
              </w:rPr>
              <w:t>Personal Products</w:t>
            </w:r>
          </w:p>
        </w:tc>
        <w:tc>
          <w:tcPr>
            <w:tcW w:w="120" w:type="dxa"/>
            <w:vAlign w:val="bottom"/>
          </w:tcPr>
          <w:p>
            <w:pPr>
              <w:spacing w:after="0"/>
              <w:rPr>
                <w:sz w:val="9"/>
                <w:szCs w:val="9"/>
                <w:color w:val="auto"/>
              </w:rPr>
            </w:pPr>
          </w:p>
        </w:tc>
        <w:tc>
          <w:tcPr>
            <w:tcW w:w="8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7.25 %</w:t>
            </w:r>
          </w:p>
        </w:tc>
        <w:tc>
          <w:tcPr>
            <w:tcW w:w="160" w:type="dxa"/>
            <w:vAlign w:val="bottom"/>
          </w:tcPr>
          <w:p>
            <w:pPr>
              <w:spacing w:after="0"/>
              <w:rPr>
                <w:sz w:val="9"/>
                <w:szCs w:val="9"/>
                <w:color w:val="auto"/>
              </w:rPr>
            </w:pPr>
          </w:p>
        </w:tc>
        <w:tc>
          <w:tcPr>
            <w:tcW w:w="660" w:type="dxa"/>
            <w:vAlign w:val="bottom"/>
          </w:tcPr>
          <w:p>
            <w:pPr>
              <w:jc w:val="right"/>
              <w:spacing w:after="0" w:line="115" w:lineRule="exact"/>
              <w:rPr>
                <w:sz w:val="20"/>
                <w:szCs w:val="20"/>
                <w:color w:val="auto"/>
              </w:rPr>
            </w:pPr>
            <w:r>
              <w:rPr>
                <w:rFonts w:ascii="Arial" w:cs="Arial" w:eastAsia="Arial" w:hAnsi="Arial"/>
                <w:sz w:val="11"/>
                <w:szCs w:val="11"/>
                <w:color w:val="auto"/>
              </w:rPr>
              <w:t>3M</w:t>
            </w:r>
          </w:p>
        </w:tc>
        <w:tc>
          <w:tcPr>
            <w:tcW w:w="320" w:type="dxa"/>
            <w:vAlign w:val="bottom"/>
          </w:tcPr>
          <w:p>
            <w:pPr>
              <w:jc w:val="right"/>
              <w:spacing w:after="0" w:line="115" w:lineRule="exact"/>
              <w:rPr>
                <w:sz w:val="20"/>
                <w:szCs w:val="20"/>
                <w:color w:val="auto"/>
              </w:rPr>
            </w:pPr>
            <w:r>
              <w:rPr>
                <w:rFonts w:ascii="Arial" w:cs="Arial" w:eastAsia="Arial" w:hAnsi="Arial"/>
                <w:sz w:val="11"/>
                <w:szCs w:val="11"/>
                <w:color w:val="auto"/>
                <w:w w:val="90"/>
              </w:rPr>
              <w:t>L+625</w:t>
            </w:r>
          </w:p>
        </w:tc>
        <w:tc>
          <w:tcPr>
            <w:tcW w:w="200" w:type="dxa"/>
            <w:vAlign w:val="bottom"/>
          </w:tcPr>
          <w:p>
            <w:pPr>
              <w:spacing w:after="0"/>
              <w:rPr>
                <w:sz w:val="9"/>
                <w:szCs w:val="9"/>
                <w:color w:val="auto"/>
              </w:rPr>
            </w:pPr>
          </w:p>
        </w:tc>
        <w:tc>
          <w:tcPr>
            <w:tcW w:w="700" w:type="dxa"/>
            <w:vAlign w:val="bottom"/>
          </w:tcPr>
          <w:p>
            <w:pPr>
              <w:jc w:val="right"/>
              <w:spacing w:after="0" w:line="115" w:lineRule="exact"/>
              <w:rPr>
                <w:sz w:val="20"/>
                <w:szCs w:val="20"/>
                <w:color w:val="auto"/>
              </w:rPr>
            </w:pPr>
            <w:r>
              <w:rPr>
                <w:rFonts w:ascii="Arial" w:cs="Arial" w:eastAsia="Arial" w:hAnsi="Arial"/>
                <w:sz w:val="11"/>
                <w:szCs w:val="11"/>
                <w:color w:val="auto"/>
              </w:rPr>
              <w:t>17,671</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jc w:val="right"/>
              <w:spacing w:after="0" w:line="115" w:lineRule="exact"/>
              <w:rPr>
                <w:sz w:val="20"/>
                <w:szCs w:val="20"/>
                <w:color w:val="auto"/>
              </w:rPr>
            </w:pPr>
            <w:r>
              <w:rPr>
                <w:rFonts w:ascii="Arial" w:cs="Arial" w:eastAsia="Arial" w:hAnsi="Arial"/>
                <w:sz w:val="11"/>
                <w:szCs w:val="11"/>
                <w:color w:val="auto"/>
              </w:rPr>
              <w:t>17,515</w:t>
            </w: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jc w:val="right"/>
              <w:spacing w:after="0" w:line="115" w:lineRule="exact"/>
              <w:rPr>
                <w:sz w:val="20"/>
                <w:szCs w:val="20"/>
                <w:color w:val="auto"/>
              </w:rPr>
            </w:pPr>
            <w:r>
              <w:rPr>
                <w:rFonts w:ascii="Arial" w:cs="Arial" w:eastAsia="Arial" w:hAnsi="Arial"/>
                <w:sz w:val="11"/>
                <w:szCs w:val="11"/>
                <w:color w:val="auto"/>
              </w:rPr>
              <w:t>17,547</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3200" w:type="dxa"/>
            <w:vAlign w:val="bottom"/>
          </w:tcPr>
          <w:p>
            <w:pPr>
              <w:ind w:left="20"/>
              <w:spacing w:after="0"/>
              <w:rPr>
                <w:sz w:val="20"/>
                <w:szCs w:val="20"/>
                <w:color w:val="auto"/>
              </w:rPr>
            </w:pPr>
            <w:r>
              <w:rPr>
                <w:rFonts w:ascii="Arial" w:cs="Arial" w:eastAsia="Arial" w:hAnsi="Arial"/>
                <w:sz w:val="11"/>
                <w:szCs w:val="11"/>
                <w:color w:val="auto"/>
              </w:rPr>
              <w:t xml:space="preserve">DRS Holdings III, Inc. (Revolver) </w:t>
            </w:r>
            <w:r>
              <w:rPr>
                <w:rFonts w:ascii="Arial" w:cs="Arial" w:eastAsia="Arial" w:hAnsi="Arial"/>
                <w:sz w:val="14"/>
                <w:szCs w:val="14"/>
                <w:color w:val="auto"/>
                <w:vertAlign w:val="superscript"/>
              </w:rPr>
              <w:t>(7), (9)</w:t>
            </w:r>
          </w:p>
        </w:tc>
        <w:tc>
          <w:tcPr>
            <w:tcW w:w="740" w:type="dxa"/>
            <w:vAlign w:val="bottom"/>
          </w:tcPr>
          <w:p>
            <w:pPr>
              <w:jc w:val="center"/>
              <w:ind w:left="66"/>
              <w:spacing w:after="0"/>
              <w:rPr>
                <w:sz w:val="20"/>
                <w:szCs w:val="20"/>
                <w:color w:val="auto"/>
              </w:rPr>
            </w:pPr>
            <w:r>
              <w:rPr>
                <w:rFonts w:ascii="Arial" w:cs="Arial" w:eastAsia="Arial" w:hAnsi="Arial"/>
                <w:sz w:val="11"/>
                <w:szCs w:val="11"/>
                <w:color w:val="auto"/>
                <w:w w:val="90"/>
              </w:rPr>
              <w:t>11/03/2025</w:t>
            </w:r>
          </w:p>
        </w:tc>
        <w:tc>
          <w:tcPr>
            <w:tcW w:w="120" w:type="dxa"/>
            <w:vAlign w:val="bottom"/>
          </w:tcPr>
          <w:p>
            <w:pPr>
              <w:spacing w:after="0"/>
              <w:rPr>
                <w:sz w:val="14"/>
                <w:szCs w:val="14"/>
                <w:color w:val="auto"/>
              </w:rPr>
            </w:pPr>
          </w:p>
        </w:tc>
        <w:tc>
          <w:tcPr>
            <w:tcW w:w="2260" w:type="dxa"/>
            <w:vAlign w:val="bottom"/>
          </w:tcPr>
          <w:p>
            <w:pPr>
              <w:jc w:val="center"/>
              <w:spacing w:after="0"/>
              <w:rPr>
                <w:sz w:val="20"/>
                <w:szCs w:val="20"/>
                <w:color w:val="auto"/>
              </w:rPr>
            </w:pPr>
            <w:r>
              <w:rPr>
                <w:rFonts w:ascii="Arial" w:cs="Arial" w:eastAsia="Arial" w:hAnsi="Arial"/>
                <w:sz w:val="11"/>
                <w:szCs w:val="11"/>
                <w:color w:val="auto"/>
                <w:w w:val="86"/>
              </w:rPr>
              <w:t>Personal Products</w:t>
            </w:r>
          </w:p>
        </w:tc>
        <w:tc>
          <w:tcPr>
            <w:tcW w:w="12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1,426</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auto"/>
              </w:rPr>
              <w:t>(10 )</w:t>
            </w:r>
          </w:p>
        </w:tc>
        <w:tc>
          <w:tcPr>
            <w:tcW w:w="0" w:type="dxa"/>
            <w:vAlign w:val="bottom"/>
          </w:tcPr>
          <w:p>
            <w:pPr>
              <w:spacing w:after="0"/>
              <w:rPr>
                <w:sz w:val="1"/>
                <w:szCs w:val="1"/>
                <w:color w:val="auto"/>
              </w:rPr>
            </w:pPr>
          </w:p>
        </w:tc>
      </w:tr>
      <w:tr>
        <w:trPr>
          <w:trHeight w:val="125"/>
        </w:trPr>
        <w:tc>
          <w:tcPr>
            <w:tcW w:w="3200" w:type="dxa"/>
            <w:vAlign w:val="bottom"/>
            <w:shd w:val="clear" w:color="auto" w:fill="CCECFF"/>
          </w:tcPr>
          <w:p>
            <w:pPr>
              <w:ind w:left="20"/>
              <w:spacing w:after="0" w:line="125" w:lineRule="exact"/>
              <w:rPr>
                <w:sz w:val="20"/>
                <w:szCs w:val="20"/>
                <w:color w:val="auto"/>
              </w:rPr>
            </w:pPr>
            <w:r>
              <w:rPr>
                <w:rFonts w:ascii="Arial" w:cs="Arial" w:eastAsia="Arial" w:hAnsi="Arial"/>
                <w:sz w:val="11"/>
                <w:szCs w:val="11"/>
                <w:color w:val="auto"/>
              </w:rPr>
              <w:t>East Valley Tourist Development Authority</w:t>
            </w:r>
          </w:p>
        </w:tc>
        <w:tc>
          <w:tcPr>
            <w:tcW w:w="740" w:type="dxa"/>
            <w:vAlign w:val="bottom"/>
            <w:shd w:val="clear" w:color="auto" w:fill="CCECFF"/>
          </w:tcPr>
          <w:p>
            <w:pPr>
              <w:jc w:val="center"/>
              <w:ind w:left="66"/>
              <w:spacing w:after="0" w:line="125" w:lineRule="exact"/>
              <w:rPr>
                <w:sz w:val="20"/>
                <w:szCs w:val="20"/>
                <w:color w:val="auto"/>
              </w:rPr>
            </w:pPr>
            <w:r>
              <w:rPr>
                <w:rFonts w:ascii="Arial" w:cs="Arial" w:eastAsia="Arial" w:hAnsi="Arial"/>
                <w:sz w:val="11"/>
                <w:szCs w:val="11"/>
                <w:color w:val="auto"/>
                <w:w w:val="90"/>
              </w:rPr>
              <w:t>03/07/2022</w:t>
            </w:r>
          </w:p>
        </w:tc>
        <w:tc>
          <w:tcPr>
            <w:tcW w:w="120" w:type="dxa"/>
            <w:vAlign w:val="bottom"/>
            <w:shd w:val="clear" w:color="auto" w:fill="CCECFF"/>
          </w:tcPr>
          <w:p>
            <w:pPr>
              <w:spacing w:after="0"/>
              <w:rPr>
                <w:sz w:val="10"/>
                <w:szCs w:val="10"/>
                <w:color w:val="auto"/>
              </w:rPr>
            </w:pPr>
          </w:p>
        </w:tc>
        <w:tc>
          <w:tcPr>
            <w:tcW w:w="2260" w:type="dxa"/>
            <w:vAlign w:val="bottom"/>
            <w:shd w:val="clear" w:color="auto" w:fill="CCECFF"/>
          </w:tcPr>
          <w:p>
            <w:pPr>
              <w:jc w:val="center"/>
              <w:spacing w:after="0" w:line="125" w:lineRule="exact"/>
              <w:rPr>
                <w:sz w:val="20"/>
                <w:szCs w:val="20"/>
                <w:color w:val="auto"/>
              </w:rPr>
            </w:pPr>
            <w:r>
              <w:rPr>
                <w:rFonts w:ascii="Arial" w:cs="Arial" w:eastAsia="Arial" w:hAnsi="Arial"/>
                <w:sz w:val="11"/>
                <w:szCs w:val="11"/>
                <w:color w:val="auto"/>
                <w:w w:val="90"/>
              </w:rPr>
              <w:t>Hotel, Gaming and Leisure</w:t>
            </w:r>
          </w:p>
        </w:tc>
        <w:tc>
          <w:tcPr>
            <w:tcW w:w="120" w:type="dxa"/>
            <w:vAlign w:val="bottom"/>
            <w:shd w:val="clear" w:color="auto" w:fill="CCECFF"/>
          </w:tcPr>
          <w:p>
            <w:pPr>
              <w:spacing w:after="0"/>
              <w:rPr>
                <w:sz w:val="10"/>
                <w:szCs w:val="10"/>
                <w:color w:val="auto"/>
              </w:rPr>
            </w:pPr>
          </w:p>
        </w:tc>
        <w:tc>
          <w:tcPr>
            <w:tcW w:w="820" w:type="dxa"/>
            <w:vAlign w:val="bottom"/>
            <w:gridSpan w:val="2"/>
            <w:shd w:val="clear" w:color="auto" w:fill="CCECFF"/>
          </w:tcPr>
          <w:p>
            <w:pPr>
              <w:jc w:val="right"/>
              <w:spacing w:after="0" w:line="125" w:lineRule="exact"/>
              <w:rPr>
                <w:sz w:val="20"/>
                <w:szCs w:val="20"/>
                <w:color w:val="auto"/>
              </w:rPr>
            </w:pPr>
            <w:r>
              <w:rPr>
                <w:rFonts w:ascii="Arial" w:cs="Arial" w:eastAsia="Arial" w:hAnsi="Arial"/>
                <w:sz w:val="11"/>
                <w:szCs w:val="11"/>
                <w:color w:val="auto"/>
              </w:rPr>
              <w:t>9.00 %</w:t>
            </w:r>
          </w:p>
        </w:tc>
        <w:tc>
          <w:tcPr>
            <w:tcW w:w="160" w:type="dxa"/>
            <w:vAlign w:val="bottom"/>
            <w:shd w:val="clear" w:color="auto" w:fill="CCECFF"/>
          </w:tcPr>
          <w:p>
            <w:pPr>
              <w:spacing w:after="0"/>
              <w:rPr>
                <w:sz w:val="10"/>
                <w:szCs w:val="10"/>
                <w:color w:val="auto"/>
              </w:rPr>
            </w:pPr>
          </w:p>
        </w:tc>
        <w:tc>
          <w:tcPr>
            <w:tcW w:w="660" w:type="dxa"/>
            <w:vAlign w:val="bottom"/>
            <w:shd w:val="clear" w:color="auto" w:fill="CCECFF"/>
          </w:tcPr>
          <w:p>
            <w:pPr>
              <w:jc w:val="right"/>
              <w:spacing w:after="0" w:line="125" w:lineRule="exact"/>
              <w:rPr>
                <w:sz w:val="20"/>
                <w:szCs w:val="20"/>
                <w:color w:val="auto"/>
              </w:rPr>
            </w:pPr>
            <w:r>
              <w:rPr>
                <w:rFonts w:ascii="Arial" w:cs="Arial" w:eastAsia="Arial" w:hAnsi="Arial"/>
                <w:sz w:val="11"/>
                <w:szCs w:val="11"/>
                <w:color w:val="auto"/>
              </w:rPr>
              <w:t>3M</w:t>
            </w:r>
          </w:p>
        </w:tc>
        <w:tc>
          <w:tcPr>
            <w:tcW w:w="320" w:type="dxa"/>
            <w:vAlign w:val="bottom"/>
            <w:shd w:val="clear" w:color="auto" w:fill="CCECFF"/>
          </w:tcPr>
          <w:p>
            <w:pPr>
              <w:jc w:val="right"/>
              <w:spacing w:after="0" w:line="125" w:lineRule="exact"/>
              <w:rPr>
                <w:sz w:val="20"/>
                <w:szCs w:val="20"/>
                <w:color w:val="auto"/>
              </w:rPr>
            </w:pPr>
            <w:r>
              <w:rPr>
                <w:rFonts w:ascii="Arial" w:cs="Arial" w:eastAsia="Arial" w:hAnsi="Arial"/>
                <w:sz w:val="11"/>
                <w:szCs w:val="11"/>
                <w:color w:val="auto"/>
                <w:w w:val="90"/>
              </w:rPr>
              <w:t>L+800</w:t>
            </w:r>
          </w:p>
        </w:tc>
        <w:tc>
          <w:tcPr>
            <w:tcW w:w="200" w:type="dxa"/>
            <w:vAlign w:val="bottom"/>
            <w:shd w:val="clear" w:color="auto" w:fill="CCECFF"/>
          </w:tcPr>
          <w:p>
            <w:pPr>
              <w:spacing w:after="0"/>
              <w:rPr>
                <w:sz w:val="10"/>
                <w:szCs w:val="10"/>
                <w:color w:val="auto"/>
              </w:rPr>
            </w:pPr>
          </w:p>
        </w:tc>
        <w:tc>
          <w:tcPr>
            <w:tcW w:w="700" w:type="dxa"/>
            <w:vAlign w:val="bottom"/>
            <w:shd w:val="clear" w:color="auto" w:fill="CCECFF"/>
          </w:tcPr>
          <w:p>
            <w:pPr>
              <w:jc w:val="right"/>
              <w:spacing w:after="0" w:line="125" w:lineRule="exact"/>
              <w:rPr>
                <w:sz w:val="20"/>
                <w:szCs w:val="20"/>
                <w:color w:val="auto"/>
              </w:rPr>
            </w:pPr>
            <w:r>
              <w:rPr>
                <w:rFonts w:ascii="Arial" w:cs="Arial" w:eastAsia="Arial" w:hAnsi="Arial"/>
                <w:sz w:val="11"/>
                <w:szCs w:val="11"/>
                <w:color w:val="auto"/>
              </w:rPr>
              <w:t>13,217</w:t>
            </w:r>
          </w:p>
        </w:tc>
        <w:tc>
          <w:tcPr>
            <w:tcW w:w="22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540" w:type="dxa"/>
            <w:vAlign w:val="bottom"/>
            <w:shd w:val="clear" w:color="auto" w:fill="CCECFF"/>
          </w:tcPr>
          <w:p>
            <w:pPr>
              <w:jc w:val="right"/>
              <w:spacing w:after="0" w:line="125" w:lineRule="exact"/>
              <w:rPr>
                <w:sz w:val="20"/>
                <w:szCs w:val="20"/>
                <w:color w:val="auto"/>
              </w:rPr>
            </w:pPr>
            <w:r>
              <w:rPr>
                <w:rFonts w:ascii="Arial" w:cs="Arial" w:eastAsia="Arial" w:hAnsi="Arial"/>
                <w:sz w:val="11"/>
                <w:szCs w:val="11"/>
                <w:color w:val="auto"/>
              </w:rPr>
              <w:t>13,191</w:t>
            </w:r>
          </w:p>
        </w:tc>
        <w:tc>
          <w:tcPr>
            <w:tcW w:w="22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480" w:type="dxa"/>
            <w:vAlign w:val="bottom"/>
            <w:shd w:val="clear" w:color="auto" w:fill="CCECFF"/>
          </w:tcPr>
          <w:p>
            <w:pPr>
              <w:jc w:val="right"/>
              <w:spacing w:after="0" w:line="125" w:lineRule="exact"/>
              <w:rPr>
                <w:sz w:val="20"/>
                <w:szCs w:val="20"/>
                <w:color w:val="auto"/>
              </w:rPr>
            </w:pPr>
            <w:r>
              <w:rPr>
                <w:rFonts w:ascii="Arial" w:cs="Arial" w:eastAsia="Arial" w:hAnsi="Arial"/>
                <w:sz w:val="11"/>
                <w:szCs w:val="11"/>
                <w:color w:val="auto"/>
              </w:rPr>
              <w:t>13,019</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3200" w:type="dxa"/>
            <w:vAlign w:val="bottom"/>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22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82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(PIK 3.50%)</w:t>
            </w:r>
          </w:p>
        </w:tc>
        <w:tc>
          <w:tcPr>
            <w:tcW w:w="16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32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4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3200" w:type="dxa"/>
            <w:vAlign w:val="bottom"/>
          </w:tcPr>
          <w:p>
            <w:pPr>
              <w:ind w:left="20"/>
              <w:spacing w:after="0" w:line="105" w:lineRule="exact"/>
              <w:rPr>
                <w:sz w:val="20"/>
                <w:szCs w:val="20"/>
                <w:color w:val="auto"/>
              </w:rPr>
            </w:pPr>
            <w:r>
              <w:rPr>
                <w:rFonts w:ascii="Arial" w:cs="Arial" w:eastAsia="Arial" w:hAnsi="Arial"/>
                <w:sz w:val="11"/>
                <w:szCs w:val="11"/>
                <w:color w:val="auto"/>
              </w:rPr>
              <w:t>ECL Entertainment, LLC</w:t>
            </w:r>
          </w:p>
        </w:tc>
        <w:tc>
          <w:tcPr>
            <w:tcW w:w="740" w:type="dxa"/>
            <w:vAlign w:val="bottom"/>
          </w:tcPr>
          <w:p>
            <w:pPr>
              <w:jc w:val="center"/>
              <w:ind w:left="66"/>
              <w:spacing w:after="0" w:line="105" w:lineRule="exact"/>
              <w:rPr>
                <w:sz w:val="20"/>
                <w:szCs w:val="20"/>
                <w:color w:val="auto"/>
              </w:rPr>
            </w:pPr>
            <w:r>
              <w:rPr>
                <w:rFonts w:ascii="Arial" w:cs="Arial" w:eastAsia="Arial" w:hAnsi="Arial"/>
                <w:sz w:val="11"/>
                <w:szCs w:val="11"/>
                <w:color w:val="auto"/>
                <w:w w:val="90"/>
              </w:rPr>
              <w:t>03/31/2028</w:t>
            </w:r>
          </w:p>
        </w:tc>
        <w:tc>
          <w:tcPr>
            <w:tcW w:w="120" w:type="dxa"/>
            <w:vAlign w:val="bottom"/>
          </w:tcPr>
          <w:p>
            <w:pPr>
              <w:spacing w:after="0"/>
              <w:rPr>
                <w:sz w:val="9"/>
                <w:szCs w:val="9"/>
                <w:color w:val="auto"/>
              </w:rPr>
            </w:pPr>
          </w:p>
        </w:tc>
        <w:tc>
          <w:tcPr>
            <w:tcW w:w="2260" w:type="dxa"/>
            <w:vAlign w:val="bottom"/>
          </w:tcPr>
          <w:p>
            <w:pPr>
              <w:jc w:val="center"/>
              <w:spacing w:after="0" w:line="105" w:lineRule="exact"/>
              <w:rPr>
                <w:sz w:val="20"/>
                <w:szCs w:val="20"/>
                <w:color w:val="auto"/>
              </w:rPr>
            </w:pPr>
            <w:r>
              <w:rPr>
                <w:rFonts w:ascii="Arial" w:cs="Arial" w:eastAsia="Arial" w:hAnsi="Arial"/>
                <w:sz w:val="11"/>
                <w:szCs w:val="11"/>
                <w:color w:val="auto"/>
                <w:w w:val="87"/>
              </w:rPr>
              <w:t>Hotels, Restaurants and Leisure</w:t>
            </w:r>
          </w:p>
        </w:tc>
        <w:tc>
          <w:tcPr>
            <w:tcW w:w="120" w:type="dxa"/>
            <w:vAlign w:val="bottom"/>
          </w:tcPr>
          <w:p>
            <w:pPr>
              <w:spacing w:after="0"/>
              <w:rPr>
                <w:sz w:val="9"/>
                <w:szCs w:val="9"/>
                <w:color w:val="auto"/>
              </w:rPr>
            </w:pPr>
          </w:p>
        </w:tc>
        <w:tc>
          <w:tcPr>
            <w:tcW w:w="820" w:type="dxa"/>
            <w:vAlign w:val="bottom"/>
            <w:gridSpan w:val="2"/>
          </w:tcPr>
          <w:p>
            <w:pPr>
              <w:jc w:val="right"/>
              <w:spacing w:after="0" w:line="105" w:lineRule="exact"/>
              <w:rPr>
                <w:sz w:val="20"/>
                <w:szCs w:val="20"/>
                <w:color w:val="auto"/>
              </w:rPr>
            </w:pPr>
            <w:r>
              <w:rPr>
                <w:rFonts w:ascii="Arial" w:cs="Arial" w:eastAsia="Arial" w:hAnsi="Arial"/>
                <w:sz w:val="11"/>
                <w:szCs w:val="11"/>
                <w:color w:val="auto"/>
              </w:rPr>
              <w:t>8.25 %</w:t>
            </w:r>
          </w:p>
        </w:tc>
        <w:tc>
          <w:tcPr>
            <w:tcW w:w="160" w:type="dxa"/>
            <w:vAlign w:val="bottom"/>
          </w:tcPr>
          <w:p>
            <w:pPr>
              <w:spacing w:after="0"/>
              <w:rPr>
                <w:sz w:val="9"/>
                <w:szCs w:val="9"/>
                <w:color w:val="auto"/>
              </w:rPr>
            </w:pPr>
          </w:p>
        </w:tc>
        <w:tc>
          <w:tcPr>
            <w:tcW w:w="660" w:type="dxa"/>
            <w:vAlign w:val="bottom"/>
          </w:tcPr>
          <w:p>
            <w:pPr>
              <w:jc w:val="right"/>
              <w:spacing w:after="0" w:line="105" w:lineRule="exact"/>
              <w:rPr>
                <w:sz w:val="20"/>
                <w:szCs w:val="20"/>
                <w:color w:val="auto"/>
              </w:rPr>
            </w:pPr>
            <w:r>
              <w:rPr>
                <w:rFonts w:ascii="Arial" w:cs="Arial" w:eastAsia="Arial" w:hAnsi="Arial"/>
                <w:sz w:val="11"/>
                <w:szCs w:val="11"/>
                <w:color w:val="auto"/>
              </w:rPr>
              <w:t>1M</w:t>
            </w:r>
          </w:p>
        </w:tc>
        <w:tc>
          <w:tcPr>
            <w:tcW w:w="320" w:type="dxa"/>
            <w:vAlign w:val="bottom"/>
          </w:tcPr>
          <w:p>
            <w:pPr>
              <w:jc w:val="right"/>
              <w:spacing w:after="0" w:line="105" w:lineRule="exact"/>
              <w:rPr>
                <w:sz w:val="20"/>
                <w:szCs w:val="20"/>
                <w:color w:val="auto"/>
              </w:rPr>
            </w:pPr>
            <w:r>
              <w:rPr>
                <w:rFonts w:ascii="Arial" w:cs="Arial" w:eastAsia="Arial" w:hAnsi="Arial"/>
                <w:sz w:val="11"/>
                <w:szCs w:val="11"/>
                <w:color w:val="auto"/>
                <w:w w:val="90"/>
              </w:rPr>
              <w:t>L+750</w:t>
            </w:r>
          </w:p>
        </w:tc>
        <w:tc>
          <w:tcPr>
            <w:tcW w:w="200" w:type="dxa"/>
            <w:vAlign w:val="bottom"/>
          </w:tcPr>
          <w:p>
            <w:pPr>
              <w:spacing w:after="0"/>
              <w:rPr>
                <w:sz w:val="9"/>
                <w:szCs w:val="9"/>
                <w:color w:val="auto"/>
              </w:rPr>
            </w:pPr>
          </w:p>
        </w:tc>
        <w:tc>
          <w:tcPr>
            <w:tcW w:w="700" w:type="dxa"/>
            <w:vAlign w:val="bottom"/>
          </w:tcPr>
          <w:p>
            <w:pPr>
              <w:jc w:val="right"/>
              <w:spacing w:after="0" w:line="105" w:lineRule="exact"/>
              <w:rPr>
                <w:sz w:val="20"/>
                <w:szCs w:val="20"/>
                <w:color w:val="auto"/>
              </w:rPr>
            </w:pPr>
            <w:r>
              <w:rPr>
                <w:rFonts w:ascii="Arial" w:cs="Arial" w:eastAsia="Arial" w:hAnsi="Arial"/>
                <w:sz w:val="11"/>
                <w:szCs w:val="11"/>
                <w:color w:val="auto"/>
              </w:rPr>
              <w:t>5,256</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jc w:val="right"/>
              <w:spacing w:after="0" w:line="105" w:lineRule="exact"/>
              <w:rPr>
                <w:sz w:val="20"/>
                <w:szCs w:val="20"/>
                <w:color w:val="auto"/>
              </w:rPr>
            </w:pPr>
            <w:r>
              <w:rPr>
                <w:rFonts w:ascii="Arial" w:cs="Arial" w:eastAsia="Arial" w:hAnsi="Arial"/>
                <w:sz w:val="11"/>
                <w:szCs w:val="11"/>
                <w:color w:val="auto"/>
              </w:rPr>
              <w:t>5,205</w:t>
            </w: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jc w:val="right"/>
              <w:spacing w:after="0" w:line="105" w:lineRule="exact"/>
              <w:rPr>
                <w:sz w:val="20"/>
                <w:szCs w:val="20"/>
                <w:color w:val="auto"/>
              </w:rPr>
            </w:pPr>
            <w:r>
              <w:rPr>
                <w:rFonts w:ascii="Arial" w:cs="Arial" w:eastAsia="Arial" w:hAnsi="Arial"/>
                <w:sz w:val="11"/>
                <w:szCs w:val="11"/>
                <w:color w:val="auto"/>
              </w:rPr>
              <w:t>5,374</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3200" w:type="dxa"/>
            <w:vAlign w:val="bottom"/>
          </w:tcPr>
          <w:p>
            <w:pPr>
              <w:ind w:left="20"/>
              <w:spacing w:after="0" w:line="129" w:lineRule="exact"/>
              <w:rPr>
                <w:sz w:val="20"/>
                <w:szCs w:val="20"/>
                <w:color w:val="auto"/>
              </w:rPr>
            </w:pPr>
            <w:r>
              <w:rPr>
                <w:rFonts w:ascii="Arial" w:cs="Arial" w:eastAsia="Arial" w:hAnsi="Arial"/>
                <w:sz w:val="11"/>
                <w:szCs w:val="11"/>
                <w:color w:val="auto"/>
              </w:rPr>
              <w:t xml:space="preserve">ECM Industries, LLC (Revolver) </w:t>
            </w:r>
            <w:r>
              <w:rPr>
                <w:rFonts w:ascii="Arial" w:cs="Arial" w:eastAsia="Arial" w:hAnsi="Arial"/>
                <w:sz w:val="14"/>
                <w:szCs w:val="14"/>
                <w:color w:val="auto"/>
                <w:vertAlign w:val="superscript"/>
              </w:rPr>
              <w:t>(9)</w:t>
            </w:r>
          </w:p>
        </w:tc>
        <w:tc>
          <w:tcPr>
            <w:tcW w:w="740" w:type="dxa"/>
            <w:vAlign w:val="bottom"/>
          </w:tcPr>
          <w:p>
            <w:pPr>
              <w:jc w:val="center"/>
              <w:ind w:left="66"/>
              <w:spacing w:after="0"/>
              <w:rPr>
                <w:sz w:val="20"/>
                <w:szCs w:val="20"/>
                <w:color w:val="auto"/>
              </w:rPr>
            </w:pPr>
            <w:r>
              <w:rPr>
                <w:rFonts w:ascii="Arial" w:cs="Arial" w:eastAsia="Arial" w:hAnsi="Arial"/>
                <w:sz w:val="11"/>
                <w:szCs w:val="11"/>
                <w:color w:val="auto"/>
                <w:w w:val="90"/>
              </w:rPr>
              <w:t>12/23/2025</w:t>
            </w:r>
          </w:p>
        </w:tc>
        <w:tc>
          <w:tcPr>
            <w:tcW w:w="120" w:type="dxa"/>
            <w:vAlign w:val="bottom"/>
          </w:tcPr>
          <w:p>
            <w:pPr>
              <w:spacing w:after="0"/>
              <w:rPr>
                <w:sz w:val="11"/>
                <w:szCs w:val="11"/>
                <w:color w:val="auto"/>
              </w:rPr>
            </w:pPr>
          </w:p>
        </w:tc>
        <w:tc>
          <w:tcPr>
            <w:tcW w:w="2260" w:type="dxa"/>
            <w:vAlign w:val="bottom"/>
          </w:tcPr>
          <w:p>
            <w:pPr>
              <w:jc w:val="center"/>
              <w:spacing w:after="0"/>
              <w:rPr>
                <w:sz w:val="20"/>
                <w:szCs w:val="20"/>
                <w:color w:val="auto"/>
              </w:rPr>
            </w:pPr>
            <w:r>
              <w:rPr>
                <w:rFonts w:ascii="Arial" w:cs="Arial" w:eastAsia="Arial" w:hAnsi="Arial"/>
                <w:sz w:val="11"/>
                <w:szCs w:val="11"/>
                <w:color w:val="auto"/>
                <w:w w:val="89"/>
              </w:rPr>
              <w:t>Electronic Equipment, Instruments, and</w:t>
            </w:r>
          </w:p>
        </w:tc>
        <w:tc>
          <w:tcPr>
            <w:tcW w:w="120" w:type="dxa"/>
            <w:vAlign w:val="bottom"/>
          </w:tcPr>
          <w:p>
            <w:pPr>
              <w:spacing w:after="0"/>
              <w:rPr>
                <w:sz w:val="11"/>
                <w:szCs w:val="11"/>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914</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auto"/>
              </w:rPr>
              <w:t>(5 )</w:t>
            </w:r>
          </w:p>
        </w:tc>
        <w:tc>
          <w:tcPr>
            <w:tcW w:w="0" w:type="dxa"/>
            <w:vAlign w:val="bottom"/>
          </w:tcPr>
          <w:p>
            <w:pPr>
              <w:spacing w:after="0"/>
              <w:rPr>
                <w:sz w:val="1"/>
                <w:szCs w:val="1"/>
                <w:color w:val="auto"/>
              </w:rPr>
            </w:pPr>
          </w:p>
        </w:tc>
      </w:tr>
      <w:tr>
        <w:trPr>
          <w:trHeight w:val="135"/>
        </w:trPr>
        <w:tc>
          <w:tcPr>
            <w:tcW w:w="3200" w:type="dxa"/>
            <w:vAlign w:val="bottom"/>
            <w:vMerge w:val="restart"/>
          </w:tcPr>
          <w:p>
            <w:pPr>
              <w:ind w:left="20"/>
              <w:spacing w:after="0"/>
              <w:rPr>
                <w:sz w:val="20"/>
                <w:szCs w:val="20"/>
                <w:color w:val="auto"/>
              </w:rPr>
            </w:pPr>
            <w:r>
              <w:rPr>
                <w:rFonts w:ascii="Arial" w:cs="Arial" w:eastAsia="Arial" w:hAnsi="Arial"/>
                <w:sz w:val="11"/>
                <w:szCs w:val="11"/>
                <w:color w:val="auto"/>
              </w:rPr>
              <w:t xml:space="preserve">eCommission Financial Services, Inc. </w:t>
            </w:r>
            <w:r>
              <w:rPr>
                <w:rFonts w:ascii="Arial" w:cs="Arial" w:eastAsia="Arial" w:hAnsi="Arial"/>
                <w:sz w:val="14"/>
                <w:szCs w:val="14"/>
                <w:color w:val="auto"/>
                <w:vertAlign w:val="superscript"/>
              </w:rPr>
              <w:t>(10)</w:t>
            </w: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60" w:type="dxa"/>
            <w:vAlign w:val="bottom"/>
          </w:tcPr>
          <w:p>
            <w:pPr>
              <w:jc w:val="center"/>
              <w:spacing w:after="0"/>
              <w:rPr>
                <w:sz w:val="20"/>
                <w:szCs w:val="20"/>
                <w:color w:val="auto"/>
              </w:rPr>
            </w:pPr>
            <w:r>
              <w:rPr>
                <w:rFonts w:ascii="Arial" w:cs="Arial" w:eastAsia="Arial" w:hAnsi="Arial"/>
                <w:sz w:val="11"/>
                <w:szCs w:val="11"/>
                <w:color w:val="auto"/>
                <w:w w:val="86"/>
              </w:rPr>
              <w:t>Components</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3200" w:type="dxa"/>
            <w:vAlign w:val="bottom"/>
            <w:vMerge w:val="continue"/>
          </w:tcPr>
          <w:p>
            <w:pPr>
              <w:spacing w:after="0"/>
              <w:rPr>
                <w:sz w:val="9"/>
                <w:szCs w:val="9"/>
                <w:color w:val="auto"/>
              </w:rPr>
            </w:pPr>
          </w:p>
        </w:tc>
        <w:tc>
          <w:tcPr>
            <w:tcW w:w="740" w:type="dxa"/>
            <w:vAlign w:val="bottom"/>
          </w:tcPr>
          <w:p>
            <w:pPr>
              <w:jc w:val="center"/>
              <w:ind w:left="66"/>
              <w:spacing w:after="0" w:line="115" w:lineRule="exact"/>
              <w:rPr>
                <w:sz w:val="20"/>
                <w:szCs w:val="20"/>
                <w:color w:val="auto"/>
              </w:rPr>
            </w:pPr>
            <w:r>
              <w:rPr>
                <w:rFonts w:ascii="Arial" w:cs="Arial" w:eastAsia="Arial" w:hAnsi="Arial"/>
                <w:sz w:val="11"/>
                <w:szCs w:val="11"/>
                <w:color w:val="auto"/>
                <w:w w:val="90"/>
              </w:rPr>
              <w:t>10/05/2023</w:t>
            </w:r>
          </w:p>
        </w:tc>
        <w:tc>
          <w:tcPr>
            <w:tcW w:w="120" w:type="dxa"/>
            <w:vAlign w:val="bottom"/>
          </w:tcPr>
          <w:p>
            <w:pPr>
              <w:spacing w:after="0"/>
              <w:rPr>
                <w:sz w:val="9"/>
                <w:szCs w:val="9"/>
                <w:color w:val="auto"/>
              </w:rPr>
            </w:pPr>
          </w:p>
        </w:tc>
        <w:tc>
          <w:tcPr>
            <w:tcW w:w="2260" w:type="dxa"/>
            <w:vAlign w:val="bottom"/>
          </w:tcPr>
          <w:p>
            <w:pPr>
              <w:jc w:val="center"/>
              <w:spacing w:after="0" w:line="115" w:lineRule="exact"/>
              <w:rPr>
                <w:sz w:val="20"/>
                <w:szCs w:val="20"/>
                <w:color w:val="auto"/>
              </w:rPr>
            </w:pPr>
            <w:r>
              <w:rPr>
                <w:rFonts w:ascii="Arial" w:cs="Arial" w:eastAsia="Arial" w:hAnsi="Arial"/>
                <w:sz w:val="11"/>
                <w:szCs w:val="11"/>
                <w:color w:val="auto"/>
                <w:w w:val="88"/>
              </w:rPr>
              <w:t>Banking, Finance, Insurance &amp; Real Estate</w:t>
            </w:r>
          </w:p>
        </w:tc>
        <w:tc>
          <w:tcPr>
            <w:tcW w:w="120" w:type="dxa"/>
            <w:vAlign w:val="bottom"/>
          </w:tcPr>
          <w:p>
            <w:pPr>
              <w:spacing w:after="0"/>
              <w:rPr>
                <w:sz w:val="9"/>
                <w:szCs w:val="9"/>
                <w:color w:val="auto"/>
              </w:rPr>
            </w:pPr>
          </w:p>
        </w:tc>
        <w:tc>
          <w:tcPr>
            <w:tcW w:w="8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6.00 %</w:t>
            </w:r>
          </w:p>
        </w:tc>
        <w:tc>
          <w:tcPr>
            <w:tcW w:w="160" w:type="dxa"/>
            <w:vAlign w:val="bottom"/>
          </w:tcPr>
          <w:p>
            <w:pPr>
              <w:spacing w:after="0"/>
              <w:rPr>
                <w:sz w:val="9"/>
                <w:szCs w:val="9"/>
                <w:color w:val="auto"/>
              </w:rPr>
            </w:pPr>
          </w:p>
        </w:tc>
        <w:tc>
          <w:tcPr>
            <w:tcW w:w="660" w:type="dxa"/>
            <w:vAlign w:val="bottom"/>
          </w:tcPr>
          <w:p>
            <w:pPr>
              <w:jc w:val="right"/>
              <w:spacing w:after="0" w:line="115" w:lineRule="exact"/>
              <w:rPr>
                <w:sz w:val="20"/>
                <w:szCs w:val="20"/>
                <w:color w:val="auto"/>
              </w:rPr>
            </w:pPr>
            <w:r>
              <w:rPr>
                <w:rFonts w:ascii="Arial" w:cs="Arial" w:eastAsia="Arial" w:hAnsi="Arial"/>
                <w:sz w:val="11"/>
                <w:szCs w:val="11"/>
                <w:color w:val="auto"/>
              </w:rPr>
              <w:t>1M</w:t>
            </w:r>
          </w:p>
        </w:tc>
        <w:tc>
          <w:tcPr>
            <w:tcW w:w="320" w:type="dxa"/>
            <w:vAlign w:val="bottom"/>
          </w:tcPr>
          <w:p>
            <w:pPr>
              <w:jc w:val="right"/>
              <w:spacing w:after="0" w:line="115" w:lineRule="exact"/>
              <w:rPr>
                <w:sz w:val="20"/>
                <w:szCs w:val="20"/>
                <w:color w:val="auto"/>
              </w:rPr>
            </w:pPr>
            <w:r>
              <w:rPr>
                <w:rFonts w:ascii="Arial" w:cs="Arial" w:eastAsia="Arial" w:hAnsi="Arial"/>
                <w:sz w:val="11"/>
                <w:szCs w:val="11"/>
                <w:color w:val="auto"/>
                <w:w w:val="90"/>
              </w:rPr>
              <w:t>L+500</w:t>
            </w:r>
          </w:p>
        </w:tc>
        <w:tc>
          <w:tcPr>
            <w:tcW w:w="200" w:type="dxa"/>
            <w:vAlign w:val="bottom"/>
          </w:tcPr>
          <w:p>
            <w:pPr>
              <w:spacing w:after="0"/>
              <w:rPr>
                <w:sz w:val="9"/>
                <w:szCs w:val="9"/>
                <w:color w:val="auto"/>
              </w:rPr>
            </w:pPr>
          </w:p>
        </w:tc>
        <w:tc>
          <w:tcPr>
            <w:tcW w:w="700" w:type="dxa"/>
            <w:vAlign w:val="bottom"/>
          </w:tcPr>
          <w:p>
            <w:pPr>
              <w:jc w:val="right"/>
              <w:spacing w:after="0" w:line="115" w:lineRule="exact"/>
              <w:rPr>
                <w:sz w:val="20"/>
                <w:szCs w:val="20"/>
                <w:color w:val="auto"/>
              </w:rPr>
            </w:pPr>
            <w:r>
              <w:rPr>
                <w:rFonts w:ascii="Arial" w:cs="Arial" w:eastAsia="Arial" w:hAnsi="Arial"/>
                <w:sz w:val="11"/>
                <w:szCs w:val="11"/>
                <w:color w:val="auto"/>
              </w:rPr>
              <w:t>6,951</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jc w:val="right"/>
              <w:spacing w:after="0" w:line="115" w:lineRule="exact"/>
              <w:rPr>
                <w:sz w:val="20"/>
                <w:szCs w:val="20"/>
                <w:color w:val="auto"/>
              </w:rPr>
            </w:pPr>
            <w:r>
              <w:rPr>
                <w:rFonts w:ascii="Arial" w:cs="Arial" w:eastAsia="Arial" w:hAnsi="Arial"/>
                <w:sz w:val="11"/>
                <w:szCs w:val="11"/>
                <w:color w:val="auto"/>
              </w:rPr>
              <w:t>6,951</w:t>
            </w: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jc w:val="right"/>
              <w:spacing w:after="0" w:line="115" w:lineRule="exact"/>
              <w:rPr>
                <w:sz w:val="20"/>
                <w:szCs w:val="20"/>
                <w:color w:val="auto"/>
              </w:rPr>
            </w:pPr>
            <w:r>
              <w:rPr>
                <w:rFonts w:ascii="Arial" w:cs="Arial" w:eastAsia="Arial" w:hAnsi="Arial"/>
                <w:sz w:val="11"/>
                <w:szCs w:val="11"/>
                <w:color w:val="auto"/>
              </w:rPr>
              <w:t>6,951</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320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eCommission Financial Services, Inc. (Revolver) </w:t>
            </w:r>
            <w:r>
              <w:rPr>
                <w:rFonts w:ascii="Arial" w:cs="Arial" w:eastAsia="Arial" w:hAnsi="Arial"/>
                <w:sz w:val="14"/>
                <w:szCs w:val="14"/>
                <w:color w:val="auto"/>
                <w:vertAlign w:val="superscript"/>
              </w:rPr>
              <w:t>(7), (9), (10)</w:t>
            </w:r>
          </w:p>
        </w:tc>
        <w:tc>
          <w:tcPr>
            <w:tcW w:w="740" w:type="dxa"/>
            <w:vAlign w:val="bottom"/>
          </w:tcPr>
          <w:p>
            <w:pPr>
              <w:jc w:val="center"/>
              <w:ind w:left="66"/>
              <w:spacing w:after="0"/>
              <w:rPr>
                <w:sz w:val="20"/>
                <w:szCs w:val="20"/>
                <w:color w:val="auto"/>
              </w:rPr>
            </w:pPr>
            <w:r>
              <w:rPr>
                <w:rFonts w:ascii="Arial" w:cs="Arial" w:eastAsia="Arial" w:hAnsi="Arial"/>
                <w:sz w:val="11"/>
                <w:szCs w:val="11"/>
                <w:color w:val="auto"/>
                <w:w w:val="90"/>
              </w:rPr>
              <w:t>10/05/2023</w:t>
            </w:r>
          </w:p>
        </w:tc>
        <w:tc>
          <w:tcPr>
            <w:tcW w:w="120" w:type="dxa"/>
            <w:vAlign w:val="bottom"/>
          </w:tcPr>
          <w:p>
            <w:pPr>
              <w:spacing w:after="0"/>
              <w:rPr>
                <w:sz w:val="13"/>
                <w:szCs w:val="13"/>
                <w:color w:val="auto"/>
              </w:rPr>
            </w:pPr>
          </w:p>
        </w:tc>
        <w:tc>
          <w:tcPr>
            <w:tcW w:w="2260" w:type="dxa"/>
            <w:vAlign w:val="bottom"/>
          </w:tcPr>
          <w:p>
            <w:pPr>
              <w:jc w:val="center"/>
              <w:spacing w:after="0"/>
              <w:rPr>
                <w:sz w:val="20"/>
                <w:szCs w:val="20"/>
                <w:color w:val="auto"/>
              </w:rPr>
            </w:pPr>
            <w:r>
              <w:rPr>
                <w:rFonts w:ascii="Arial" w:cs="Arial" w:eastAsia="Arial" w:hAnsi="Arial"/>
                <w:sz w:val="11"/>
                <w:szCs w:val="11"/>
                <w:color w:val="auto"/>
                <w:w w:val="88"/>
              </w:rPr>
              <w:t>Banking, Finance, Insurance &amp; Real Estate</w:t>
            </w:r>
          </w:p>
        </w:tc>
        <w:tc>
          <w:tcPr>
            <w:tcW w:w="12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5,000</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5"/>
        </w:trPr>
        <w:tc>
          <w:tcPr>
            <w:tcW w:w="3200" w:type="dxa"/>
            <w:vAlign w:val="bottom"/>
          </w:tcPr>
          <w:p>
            <w:pPr>
              <w:ind w:left="20"/>
              <w:spacing w:after="0" w:line="115" w:lineRule="exact"/>
              <w:rPr>
                <w:sz w:val="20"/>
                <w:szCs w:val="20"/>
                <w:color w:val="auto"/>
              </w:rPr>
            </w:pPr>
            <w:r>
              <w:rPr>
                <w:rFonts w:ascii="Arial" w:cs="Arial" w:eastAsia="Arial" w:hAnsi="Arial"/>
                <w:sz w:val="11"/>
                <w:szCs w:val="11"/>
                <w:color w:val="auto"/>
              </w:rPr>
              <w:t>Efficient Collaborative Retail Marketing Company, LLC</w:t>
            </w:r>
          </w:p>
        </w:tc>
        <w:tc>
          <w:tcPr>
            <w:tcW w:w="740" w:type="dxa"/>
            <w:vAlign w:val="bottom"/>
          </w:tcPr>
          <w:p>
            <w:pPr>
              <w:jc w:val="center"/>
              <w:ind w:left="66"/>
              <w:spacing w:after="0" w:line="115" w:lineRule="exact"/>
              <w:rPr>
                <w:sz w:val="20"/>
                <w:szCs w:val="20"/>
                <w:color w:val="auto"/>
              </w:rPr>
            </w:pPr>
            <w:r>
              <w:rPr>
                <w:rFonts w:ascii="Arial" w:cs="Arial" w:eastAsia="Arial" w:hAnsi="Arial"/>
                <w:sz w:val="11"/>
                <w:szCs w:val="11"/>
                <w:color w:val="auto"/>
                <w:w w:val="90"/>
              </w:rPr>
              <w:t>06/15/2022</w:t>
            </w:r>
          </w:p>
        </w:tc>
        <w:tc>
          <w:tcPr>
            <w:tcW w:w="120" w:type="dxa"/>
            <w:vAlign w:val="bottom"/>
          </w:tcPr>
          <w:p>
            <w:pPr>
              <w:spacing w:after="0"/>
              <w:rPr>
                <w:sz w:val="9"/>
                <w:szCs w:val="9"/>
                <w:color w:val="auto"/>
              </w:rPr>
            </w:pPr>
          </w:p>
        </w:tc>
        <w:tc>
          <w:tcPr>
            <w:tcW w:w="2260" w:type="dxa"/>
            <w:vAlign w:val="bottom"/>
          </w:tcPr>
          <w:p>
            <w:pPr>
              <w:jc w:val="center"/>
              <w:spacing w:after="0" w:line="115" w:lineRule="exact"/>
              <w:rPr>
                <w:sz w:val="20"/>
                <w:szCs w:val="20"/>
                <w:color w:val="auto"/>
              </w:rPr>
            </w:pPr>
            <w:r>
              <w:rPr>
                <w:rFonts w:ascii="Arial" w:cs="Arial" w:eastAsia="Arial" w:hAnsi="Arial"/>
                <w:sz w:val="11"/>
                <w:szCs w:val="11"/>
                <w:color w:val="auto"/>
                <w:w w:val="91"/>
              </w:rPr>
              <w:t>Media: Diversified and Production</w:t>
            </w:r>
          </w:p>
        </w:tc>
        <w:tc>
          <w:tcPr>
            <w:tcW w:w="120" w:type="dxa"/>
            <w:vAlign w:val="bottom"/>
          </w:tcPr>
          <w:p>
            <w:pPr>
              <w:spacing w:after="0"/>
              <w:rPr>
                <w:sz w:val="9"/>
                <w:szCs w:val="9"/>
                <w:color w:val="auto"/>
              </w:rPr>
            </w:pPr>
          </w:p>
        </w:tc>
        <w:tc>
          <w:tcPr>
            <w:tcW w:w="8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7.75 %</w:t>
            </w:r>
          </w:p>
        </w:tc>
        <w:tc>
          <w:tcPr>
            <w:tcW w:w="160" w:type="dxa"/>
            <w:vAlign w:val="bottom"/>
          </w:tcPr>
          <w:p>
            <w:pPr>
              <w:spacing w:after="0"/>
              <w:rPr>
                <w:sz w:val="9"/>
                <w:szCs w:val="9"/>
                <w:color w:val="auto"/>
              </w:rPr>
            </w:pPr>
          </w:p>
        </w:tc>
        <w:tc>
          <w:tcPr>
            <w:tcW w:w="660" w:type="dxa"/>
            <w:vAlign w:val="bottom"/>
          </w:tcPr>
          <w:p>
            <w:pPr>
              <w:jc w:val="right"/>
              <w:spacing w:after="0" w:line="115" w:lineRule="exact"/>
              <w:rPr>
                <w:sz w:val="20"/>
                <w:szCs w:val="20"/>
                <w:color w:val="auto"/>
              </w:rPr>
            </w:pPr>
            <w:r>
              <w:rPr>
                <w:rFonts w:ascii="Arial" w:cs="Arial" w:eastAsia="Arial" w:hAnsi="Arial"/>
                <w:sz w:val="11"/>
                <w:szCs w:val="11"/>
                <w:color w:val="auto"/>
              </w:rPr>
              <w:t>3M</w:t>
            </w:r>
          </w:p>
        </w:tc>
        <w:tc>
          <w:tcPr>
            <w:tcW w:w="320" w:type="dxa"/>
            <w:vAlign w:val="bottom"/>
          </w:tcPr>
          <w:p>
            <w:pPr>
              <w:jc w:val="right"/>
              <w:spacing w:after="0" w:line="115" w:lineRule="exact"/>
              <w:rPr>
                <w:sz w:val="20"/>
                <w:szCs w:val="20"/>
                <w:color w:val="auto"/>
              </w:rPr>
            </w:pPr>
            <w:r>
              <w:rPr>
                <w:rFonts w:ascii="Arial" w:cs="Arial" w:eastAsia="Arial" w:hAnsi="Arial"/>
                <w:sz w:val="11"/>
                <w:szCs w:val="11"/>
                <w:color w:val="auto"/>
                <w:w w:val="90"/>
              </w:rPr>
              <w:t>L+675</w:t>
            </w:r>
          </w:p>
        </w:tc>
        <w:tc>
          <w:tcPr>
            <w:tcW w:w="200" w:type="dxa"/>
            <w:vAlign w:val="bottom"/>
          </w:tcPr>
          <w:p>
            <w:pPr>
              <w:spacing w:after="0"/>
              <w:rPr>
                <w:sz w:val="9"/>
                <w:szCs w:val="9"/>
                <w:color w:val="auto"/>
              </w:rPr>
            </w:pPr>
          </w:p>
        </w:tc>
        <w:tc>
          <w:tcPr>
            <w:tcW w:w="700" w:type="dxa"/>
            <w:vAlign w:val="bottom"/>
          </w:tcPr>
          <w:p>
            <w:pPr>
              <w:jc w:val="right"/>
              <w:spacing w:after="0" w:line="115" w:lineRule="exact"/>
              <w:rPr>
                <w:sz w:val="20"/>
                <w:szCs w:val="20"/>
                <w:color w:val="auto"/>
              </w:rPr>
            </w:pPr>
            <w:r>
              <w:rPr>
                <w:rFonts w:ascii="Arial" w:cs="Arial" w:eastAsia="Arial" w:hAnsi="Arial"/>
                <w:sz w:val="11"/>
                <w:szCs w:val="11"/>
                <w:color w:val="auto"/>
              </w:rPr>
              <w:t>7,189</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jc w:val="right"/>
              <w:spacing w:after="0" w:line="115" w:lineRule="exact"/>
              <w:rPr>
                <w:sz w:val="20"/>
                <w:szCs w:val="20"/>
                <w:color w:val="auto"/>
              </w:rPr>
            </w:pPr>
            <w:r>
              <w:rPr>
                <w:rFonts w:ascii="Arial" w:cs="Arial" w:eastAsia="Arial" w:hAnsi="Arial"/>
                <w:sz w:val="11"/>
                <w:szCs w:val="11"/>
                <w:color w:val="auto"/>
              </w:rPr>
              <w:t>7,180</w:t>
            </w: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jc w:val="right"/>
              <w:spacing w:after="0" w:line="115" w:lineRule="exact"/>
              <w:rPr>
                <w:sz w:val="20"/>
                <w:szCs w:val="20"/>
                <w:color w:val="auto"/>
              </w:rPr>
            </w:pPr>
            <w:r>
              <w:rPr>
                <w:rFonts w:ascii="Arial" w:cs="Arial" w:eastAsia="Arial" w:hAnsi="Arial"/>
                <w:sz w:val="11"/>
                <w:szCs w:val="11"/>
                <w:color w:val="auto"/>
              </w:rPr>
              <w:t>7,153</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320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Findex Group Limited </w:t>
            </w:r>
            <w:r>
              <w:rPr>
                <w:rFonts w:ascii="Arial" w:cs="Arial" w:eastAsia="Arial" w:hAnsi="Arial"/>
                <w:sz w:val="14"/>
                <w:szCs w:val="14"/>
                <w:color w:val="auto"/>
                <w:vertAlign w:val="superscript"/>
              </w:rPr>
              <w:t>(5)(10)(11)</w:t>
            </w:r>
          </w:p>
        </w:tc>
        <w:tc>
          <w:tcPr>
            <w:tcW w:w="740" w:type="dxa"/>
            <w:vAlign w:val="bottom"/>
          </w:tcPr>
          <w:p>
            <w:pPr>
              <w:jc w:val="center"/>
              <w:ind w:left="66"/>
              <w:spacing w:after="0"/>
              <w:rPr>
                <w:sz w:val="20"/>
                <w:szCs w:val="20"/>
                <w:color w:val="auto"/>
              </w:rPr>
            </w:pPr>
            <w:r>
              <w:rPr>
                <w:rFonts w:ascii="Arial" w:cs="Arial" w:eastAsia="Arial" w:hAnsi="Arial"/>
                <w:sz w:val="11"/>
                <w:szCs w:val="11"/>
                <w:color w:val="auto"/>
                <w:w w:val="90"/>
              </w:rPr>
              <w:t>05/31/2024</w:t>
            </w:r>
          </w:p>
        </w:tc>
        <w:tc>
          <w:tcPr>
            <w:tcW w:w="120" w:type="dxa"/>
            <w:vAlign w:val="bottom"/>
          </w:tcPr>
          <w:p>
            <w:pPr>
              <w:spacing w:after="0"/>
              <w:rPr>
                <w:sz w:val="13"/>
                <w:szCs w:val="13"/>
                <w:color w:val="auto"/>
              </w:rPr>
            </w:pPr>
          </w:p>
        </w:tc>
        <w:tc>
          <w:tcPr>
            <w:tcW w:w="2260" w:type="dxa"/>
            <w:vAlign w:val="bottom"/>
          </w:tcPr>
          <w:p>
            <w:pPr>
              <w:jc w:val="center"/>
              <w:spacing w:after="0"/>
              <w:rPr>
                <w:sz w:val="20"/>
                <w:szCs w:val="20"/>
                <w:color w:val="auto"/>
              </w:rPr>
            </w:pPr>
            <w:r>
              <w:rPr>
                <w:rFonts w:ascii="Arial" w:cs="Arial" w:eastAsia="Arial" w:hAnsi="Arial"/>
                <w:sz w:val="11"/>
                <w:szCs w:val="11"/>
                <w:color w:val="auto"/>
                <w:w w:val="90"/>
              </w:rPr>
              <w:t>Diversified Financial Services</w:t>
            </w:r>
          </w:p>
        </w:tc>
        <w:tc>
          <w:tcPr>
            <w:tcW w:w="120" w:type="dxa"/>
            <w:vAlign w:val="bottom"/>
          </w:tcPr>
          <w:p>
            <w:pPr>
              <w:spacing w:after="0"/>
              <w:rPr>
                <w:sz w:val="13"/>
                <w:szCs w:val="13"/>
                <w:color w:val="auto"/>
              </w:rPr>
            </w:pPr>
          </w:p>
        </w:tc>
        <w:tc>
          <w:tcPr>
            <w:tcW w:w="820" w:type="dxa"/>
            <w:vAlign w:val="bottom"/>
            <w:gridSpan w:val="2"/>
          </w:tcPr>
          <w:p>
            <w:pPr>
              <w:jc w:val="right"/>
              <w:spacing w:after="0"/>
              <w:rPr>
                <w:sz w:val="20"/>
                <w:szCs w:val="20"/>
                <w:color w:val="auto"/>
              </w:rPr>
            </w:pPr>
            <w:r>
              <w:rPr>
                <w:rFonts w:ascii="Arial" w:cs="Arial" w:eastAsia="Arial" w:hAnsi="Arial"/>
                <w:sz w:val="11"/>
                <w:szCs w:val="11"/>
                <w:color w:val="auto"/>
              </w:rPr>
              <w:t>5.07 %</w:t>
            </w: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3M</w:t>
            </w:r>
          </w:p>
        </w:tc>
        <w:tc>
          <w:tcPr>
            <w:tcW w:w="320" w:type="dxa"/>
            <w:vAlign w:val="bottom"/>
          </w:tcPr>
          <w:p>
            <w:pPr>
              <w:jc w:val="right"/>
              <w:spacing w:after="0"/>
              <w:rPr>
                <w:sz w:val="20"/>
                <w:szCs w:val="20"/>
                <w:color w:val="auto"/>
              </w:rPr>
            </w:pPr>
            <w:r>
              <w:rPr>
                <w:rFonts w:ascii="Arial" w:cs="Arial" w:eastAsia="Arial" w:hAnsi="Arial"/>
                <w:sz w:val="11"/>
                <w:szCs w:val="11"/>
                <w:color w:val="auto"/>
                <w:w w:val="90"/>
              </w:rPr>
              <w:t>L+500</w:t>
            </w: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AUD 10,000</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7,323</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7,151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3200" w:type="dxa"/>
            <w:vAlign w:val="bottom"/>
          </w:tcPr>
          <w:p>
            <w:pPr>
              <w:ind w:left="20"/>
              <w:spacing w:after="0" w:line="115" w:lineRule="exact"/>
              <w:rPr>
                <w:sz w:val="20"/>
                <w:szCs w:val="20"/>
                <w:color w:val="auto"/>
              </w:rPr>
            </w:pPr>
            <w:r>
              <w:rPr>
                <w:rFonts w:ascii="Arial" w:cs="Arial" w:eastAsia="Arial" w:hAnsi="Arial"/>
                <w:sz w:val="11"/>
                <w:szCs w:val="11"/>
                <w:color w:val="auto"/>
              </w:rPr>
              <w:t>Gantech Acquisition Corp.</w:t>
            </w:r>
          </w:p>
        </w:tc>
        <w:tc>
          <w:tcPr>
            <w:tcW w:w="740" w:type="dxa"/>
            <w:vAlign w:val="bottom"/>
          </w:tcPr>
          <w:p>
            <w:pPr>
              <w:jc w:val="center"/>
              <w:ind w:left="66"/>
              <w:spacing w:after="0" w:line="115" w:lineRule="exact"/>
              <w:rPr>
                <w:sz w:val="20"/>
                <w:szCs w:val="20"/>
                <w:color w:val="auto"/>
              </w:rPr>
            </w:pPr>
            <w:r>
              <w:rPr>
                <w:rFonts w:ascii="Arial" w:cs="Arial" w:eastAsia="Arial" w:hAnsi="Arial"/>
                <w:sz w:val="11"/>
                <w:szCs w:val="11"/>
                <w:color w:val="auto"/>
                <w:w w:val="90"/>
              </w:rPr>
              <w:t>05/14/2026</w:t>
            </w:r>
          </w:p>
        </w:tc>
        <w:tc>
          <w:tcPr>
            <w:tcW w:w="120" w:type="dxa"/>
            <w:vAlign w:val="bottom"/>
          </w:tcPr>
          <w:p>
            <w:pPr>
              <w:spacing w:after="0"/>
              <w:rPr>
                <w:sz w:val="9"/>
                <w:szCs w:val="9"/>
                <w:color w:val="auto"/>
              </w:rPr>
            </w:pPr>
          </w:p>
        </w:tc>
        <w:tc>
          <w:tcPr>
            <w:tcW w:w="2260" w:type="dxa"/>
            <w:vAlign w:val="bottom"/>
          </w:tcPr>
          <w:p>
            <w:pPr>
              <w:jc w:val="center"/>
              <w:spacing w:after="0" w:line="115" w:lineRule="exact"/>
              <w:rPr>
                <w:sz w:val="20"/>
                <w:szCs w:val="20"/>
                <w:color w:val="auto"/>
              </w:rPr>
            </w:pPr>
            <w:r>
              <w:rPr>
                <w:rFonts w:ascii="Arial" w:cs="Arial" w:eastAsia="Arial" w:hAnsi="Arial"/>
                <w:sz w:val="11"/>
                <w:szCs w:val="11"/>
                <w:color w:val="auto"/>
                <w:w w:val="90"/>
              </w:rPr>
              <w:t>IT Services</w:t>
            </w:r>
          </w:p>
        </w:tc>
        <w:tc>
          <w:tcPr>
            <w:tcW w:w="120" w:type="dxa"/>
            <w:vAlign w:val="bottom"/>
          </w:tcPr>
          <w:p>
            <w:pPr>
              <w:spacing w:after="0"/>
              <w:rPr>
                <w:sz w:val="9"/>
                <w:szCs w:val="9"/>
                <w:color w:val="auto"/>
              </w:rPr>
            </w:pPr>
          </w:p>
        </w:tc>
        <w:tc>
          <w:tcPr>
            <w:tcW w:w="8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7.25 %</w:t>
            </w:r>
          </w:p>
        </w:tc>
        <w:tc>
          <w:tcPr>
            <w:tcW w:w="160" w:type="dxa"/>
            <w:vAlign w:val="bottom"/>
          </w:tcPr>
          <w:p>
            <w:pPr>
              <w:spacing w:after="0"/>
              <w:rPr>
                <w:sz w:val="9"/>
                <w:szCs w:val="9"/>
                <w:color w:val="auto"/>
              </w:rPr>
            </w:pPr>
          </w:p>
        </w:tc>
        <w:tc>
          <w:tcPr>
            <w:tcW w:w="660" w:type="dxa"/>
            <w:vAlign w:val="bottom"/>
          </w:tcPr>
          <w:p>
            <w:pPr>
              <w:jc w:val="right"/>
              <w:spacing w:after="0" w:line="115" w:lineRule="exact"/>
              <w:rPr>
                <w:sz w:val="20"/>
                <w:szCs w:val="20"/>
                <w:color w:val="auto"/>
              </w:rPr>
            </w:pPr>
            <w:r>
              <w:rPr>
                <w:rFonts w:ascii="Arial" w:cs="Arial" w:eastAsia="Arial" w:hAnsi="Arial"/>
                <w:sz w:val="11"/>
                <w:szCs w:val="11"/>
                <w:color w:val="auto"/>
              </w:rPr>
              <w:t>1M</w:t>
            </w:r>
          </w:p>
        </w:tc>
        <w:tc>
          <w:tcPr>
            <w:tcW w:w="320" w:type="dxa"/>
            <w:vAlign w:val="bottom"/>
          </w:tcPr>
          <w:p>
            <w:pPr>
              <w:jc w:val="right"/>
              <w:spacing w:after="0" w:line="115" w:lineRule="exact"/>
              <w:rPr>
                <w:sz w:val="20"/>
                <w:szCs w:val="20"/>
                <w:color w:val="auto"/>
              </w:rPr>
            </w:pPr>
            <w:r>
              <w:rPr>
                <w:rFonts w:ascii="Arial" w:cs="Arial" w:eastAsia="Arial" w:hAnsi="Arial"/>
                <w:sz w:val="11"/>
                <w:szCs w:val="11"/>
                <w:color w:val="auto"/>
                <w:w w:val="90"/>
              </w:rPr>
              <w:t>L+625</w:t>
            </w:r>
          </w:p>
        </w:tc>
        <w:tc>
          <w:tcPr>
            <w:tcW w:w="200" w:type="dxa"/>
            <w:vAlign w:val="bottom"/>
          </w:tcPr>
          <w:p>
            <w:pPr>
              <w:spacing w:after="0"/>
              <w:rPr>
                <w:sz w:val="9"/>
                <w:szCs w:val="9"/>
                <w:color w:val="auto"/>
              </w:rPr>
            </w:pPr>
          </w:p>
        </w:tc>
        <w:tc>
          <w:tcPr>
            <w:tcW w:w="700" w:type="dxa"/>
            <w:vAlign w:val="bottom"/>
          </w:tcPr>
          <w:p>
            <w:pPr>
              <w:jc w:val="right"/>
              <w:spacing w:after="0" w:line="115" w:lineRule="exact"/>
              <w:rPr>
                <w:sz w:val="20"/>
                <w:szCs w:val="20"/>
                <w:color w:val="auto"/>
              </w:rPr>
            </w:pPr>
            <w:r>
              <w:rPr>
                <w:rFonts w:ascii="Arial" w:cs="Arial" w:eastAsia="Arial" w:hAnsi="Arial"/>
                <w:sz w:val="11"/>
                <w:szCs w:val="11"/>
                <w:color w:val="auto"/>
              </w:rPr>
              <w:t>17,413</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jc w:val="right"/>
              <w:spacing w:after="0" w:line="115" w:lineRule="exact"/>
              <w:rPr>
                <w:sz w:val="20"/>
                <w:szCs w:val="20"/>
                <w:color w:val="auto"/>
              </w:rPr>
            </w:pPr>
            <w:r>
              <w:rPr>
                <w:rFonts w:ascii="Arial" w:cs="Arial" w:eastAsia="Arial" w:hAnsi="Arial"/>
                <w:sz w:val="11"/>
                <w:szCs w:val="11"/>
                <w:color w:val="auto"/>
              </w:rPr>
              <w:t>17,082</w:t>
            </w: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jc w:val="right"/>
              <w:spacing w:after="0" w:line="115" w:lineRule="exact"/>
              <w:rPr>
                <w:sz w:val="20"/>
                <w:szCs w:val="20"/>
                <w:color w:val="auto"/>
              </w:rPr>
            </w:pPr>
            <w:r>
              <w:rPr>
                <w:rFonts w:ascii="Arial" w:cs="Arial" w:eastAsia="Arial" w:hAnsi="Arial"/>
                <w:sz w:val="11"/>
                <w:szCs w:val="11"/>
                <w:color w:val="auto"/>
              </w:rPr>
              <w:t>17,064</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Gantech Acquisition Corp. (Revolver) </w:t>
            </w:r>
            <w:r>
              <w:rPr>
                <w:rFonts w:ascii="Arial" w:cs="Arial" w:eastAsia="Arial" w:hAnsi="Arial"/>
                <w:sz w:val="14"/>
                <w:szCs w:val="14"/>
                <w:color w:val="auto"/>
                <w:vertAlign w:val="superscript"/>
              </w:rPr>
              <w:t>(7)</w:t>
            </w:r>
          </w:p>
        </w:tc>
        <w:tc>
          <w:tcPr>
            <w:tcW w:w="740" w:type="dxa"/>
            <w:vAlign w:val="bottom"/>
          </w:tcPr>
          <w:p>
            <w:pPr>
              <w:jc w:val="center"/>
              <w:ind w:left="66"/>
              <w:spacing w:after="0"/>
              <w:rPr>
                <w:sz w:val="20"/>
                <w:szCs w:val="20"/>
                <w:color w:val="auto"/>
              </w:rPr>
            </w:pPr>
            <w:r>
              <w:rPr>
                <w:rFonts w:ascii="Arial" w:cs="Arial" w:eastAsia="Arial" w:hAnsi="Arial"/>
                <w:sz w:val="11"/>
                <w:szCs w:val="11"/>
                <w:color w:val="auto"/>
                <w:w w:val="90"/>
              </w:rPr>
              <w:t>05/14/2026</w:t>
            </w:r>
          </w:p>
        </w:tc>
        <w:tc>
          <w:tcPr>
            <w:tcW w:w="120" w:type="dxa"/>
            <w:vAlign w:val="bottom"/>
          </w:tcPr>
          <w:p>
            <w:pPr>
              <w:spacing w:after="0"/>
              <w:rPr>
                <w:sz w:val="11"/>
                <w:szCs w:val="11"/>
                <w:color w:val="auto"/>
              </w:rPr>
            </w:pPr>
          </w:p>
        </w:tc>
        <w:tc>
          <w:tcPr>
            <w:tcW w:w="2260" w:type="dxa"/>
            <w:vAlign w:val="bottom"/>
          </w:tcPr>
          <w:p>
            <w:pPr>
              <w:jc w:val="center"/>
              <w:spacing w:after="0"/>
              <w:rPr>
                <w:sz w:val="20"/>
                <w:szCs w:val="20"/>
                <w:color w:val="auto"/>
              </w:rPr>
            </w:pPr>
            <w:r>
              <w:rPr>
                <w:rFonts w:ascii="Arial" w:cs="Arial" w:eastAsia="Arial" w:hAnsi="Arial"/>
                <w:sz w:val="11"/>
                <w:szCs w:val="11"/>
                <w:color w:val="auto"/>
                <w:w w:val="90"/>
              </w:rPr>
              <w:t>IT Services</w:t>
            </w:r>
          </w:p>
        </w:tc>
        <w:tc>
          <w:tcPr>
            <w:tcW w:w="120" w:type="dxa"/>
            <w:vAlign w:val="bottom"/>
          </w:tcPr>
          <w:p>
            <w:pPr>
              <w:spacing w:after="0"/>
              <w:rPr>
                <w:sz w:val="11"/>
                <w:szCs w:val="11"/>
                <w:color w:val="auto"/>
              </w:rPr>
            </w:pPr>
          </w:p>
        </w:tc>
        <w:tc>
          <w:tcPr>
            <w:tcW w:w="820" w:type="dxa"/>
            <w:vAlign w:val="bottom"/>
            <w:gridSpan w:val="2"/>
          </w:tcPr>
          <w:p>
            <w:pPr>
              <w:jc w:val="right"/>
              <w:spacing w:after="0"/>
              <w:rPr>
                <w:sz w:val="20"/>
                <w:szCs w:val="20"/>
                <w:color w:val="auto"/>
              </w:rPr>
            </w:pPr>
            <w:r>
              <w:rPr>
                <w:rFonts w:ascii="Arial" w:cs="Arial" w:eastAsia="Arial" w:hAnsi="Arial"/>
                <w:sz w:val="11"/>
                <w:szCs w:val="11"/>
                <w:color w:val="auto"/>
              </w:rPr>
              <w:t>7.25 %</w:t>
            </w:r>
          </w:p>
        </w:tc>
        <w:tc>
          <w:tcPr>
            <w:tcW w:w="1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1M</w:t>
            </w:r>
          </w:p>
        </w:tc>
        <w:tc>
          <w:tcPr>
            <w:tcW w:w="320" w:type="dxa"/>
            <w:vAlign w:val="bottom"/>
          </w:tcPr>
          <w:p>
            <w:pPr>
              <w:jc w:val="right"/>
              <w:spacing w:after="0"/>
              <w:rPr>
                <w:sz w:val="20"/>
                <w:szCs w:val="20"/>
                <w:color w:val="auto"/>
              </w:rPr>
            </w:pPr>
            <w:r>
              <w:rPr>
                <w:rFonts w:ascii="Arial" w:cs="Arial" w:eastAsia="Arial" w:hAnsi="Arial"/>
                <w:sz w:val="11"/>
                <w:szCs w:val="11"/>
                <w:color w:val="auto"/>
                <w:w w:val="90"/>
              </w:rPr>
              <w:t>L+625</w:t>
            </w:r>
          </w:p>
        </w:tc>
        <w:tc>
          <w:tcPr>
            <w:tcW w:w="20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933</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933</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915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20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Gantech Acquisition Corp. (Revolver) </w:t>
            </w:r>
            <w:r>
              <w:rPr>
                <w:rFonts w:ascii="Arial" w:cs="Arial" w:eastAsia="Arial" w:hAnsi="Arial"/>
                <w:sz w:val="14"/>
                <w:szCs w:val="14"/>
                <w:color w:val="auto"/>
                <w:vertAlign w:val="superscript"/>
              </w:rPr>
              <w:t>(7), (9)</w:t>
            </w:r>
          </w:p>
        </w:tc>
        <w:tc>
          <w:tcPr>
            <w:tcW w:w="740" w:type="dxa"/>
            <w:vAlign w:val="bottom"/>
          </w:tcPr>
          <w:p>
            <w:pPr>
              <w:jc w:val="center"/>
              <w:ind w:left="66"/>
              <w:spacing w:after="0"/>
              <w:rPr>
                <w:sz w:val="20"/>
                <w:szCs w:val="20"/>
                <w:color w:val="auto"/>
              </w:rPr>
            </w:pPr>
            <w:r>
              <w:rPr>
                <w:rFonts w:ascii="Arial" w:cs="Arial" w:eastAsia="Arial" w:hAnsi="Arial"/>
                <w:sz w:val="11"/>
                <w:szCs w:val="11"/>
                <w:color w:val="auto"/>
                <w:w w:val="90"/>
              </w:rPr>
              <w:t>05/14/2026</w:t>
            </w:r>
          </w:p>
        </w:tc>
        <w:tc>
          <w:tcPr>
            <w:tcW w:w="120" w:type="dxa"/>
            <w:vAlign w:val="bottom"/>
          </w:tcPr>
          <w:p>
            <w:pPr>
              <w:spacing w:after="0"/>
              <w:rPr>
                <w:sz w:val="13"/>
                <w:szCs w:val="13"/>
                <w:color w:val="auto"/>
              </w:rPr>
            </w:pPr>
          </w:p>
        </w:tc>
        <w:tc>
          <w:tcPr>
            <w:tcW w:w="2260" w:type="dxa"/>
            <w:vAlign w:val="bottom"/>
          </w:tcPr>
          <w:p>
            <w:pPr>
              <w:jc w:val="center"/>
              <w:spacing w:after="0"/>
              <w:rPr>
                <w:sz w:val="20"/>
                <w:szCs w:val="20"/>
                <w:color w:val="auto"/>
              </w:rPr>
            </w:pPr>
            <w:r>
              <w:rPr>
                <w:rFonts w:ascii="Arial" w:cs="Arial" w:eastAsia="Arial" w:hAnsi="Arial"/>
                <w:sz w:val="11"/>
                <w:szCs w:val="11"/>
                <w:color w:val="auto"/>
                <w:w w:val="90"/>
              </w:rPr>
              <w:t>IT Services</w:t>
            </w:r>
          </w:p>
        </w:tc>
        <w:tc>
          <w:tcPr>
            <w:tcW w:w="12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2,800</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auto"/>
              </w:rPr>
              <w:t>(56 )</w:t>
            </w:r>
          </w:p>
        </w:tc>
        <w:tc>
          <w:tcPr>
            <w:tcW w:w="0" w:type="dxa"/>
            <w:vAlign w:val="bottom"/>
          </w:tcPr>
          <w:p>
            <w:pPr>
              <w:spacing w:after="0"/>
              <w:rPr>
                <w:sz w:val="1"/>
                <w:szCs w:val="1"/>
                <w:color w:val="auto"/>
              </w:rPr>
            </w:pPr>
          </w:p>
        </w:tc>
      </w:tr>
      <w:tr>
        <w:trPr>
          <w:trHeight w:val="115"/>
        </w:trPr>
        <w:tc>
          <w:tcPr>
            <w:tcW w:w="3200" w:type="dxa"/>
            <w:vAlign w:val="bottom"/>
          </w:tcPr>
          <w:p>
            <w:pPr>
              <w:ind w:left="20"/>
              <w:spacing w:after="0" w:line="115" w:lineRule="exact"/>
              <w:rPr>
                <w:sz w:val="20"/>
                <w:szCs w:val="20"/>
                <w:color w:val="auto"/>
              </w:rPr>
            </w:pPr>
            <w:r>
              <w:rPr>
                <w:rFonts w:ascii="Arial" w:cs="Arial" w:eastAsia="Arial" w:hAnsi="Arial"/>
                <w:sz w:val="11"/>
                <w:szCs w:val="11"/>
                <w:color w:val="auto"/>
              </w:rPr>
              <w:t>Global Holdings InterCo LLC</w:t>
            </w:r>
          </w:p>
        </w:tc>
        <w:tc>
          <w:tcPr>
            <w:tcW w:w="740" w:type="dxa"/>
            <w:vAlign w:val="bottom"/>
          </w:tcPr>
          <w:p>
            <w:pPr>
              <w:jc w:val="center"/>
              <w:ind w:left="66"/>
              <w:spacing w:after="0" w:line="115" w:lineRule="exact"/>
              <w:rPr>
                <w:sz w:val="20"/>
                <w:szCs w:val="20"/>
                <w:color w:val="auto"/>
              </w:rPr>
            </w:pPr>
            <w:r>
              <w:rPr>
                <w:rFonts w:ascii="Arial" w:cs="Arial" w:eastAsia="Arial" w:hAnsi="Arial"/>
                <w:sz w:val="11"/>
                <w:szCs w:val="11"/>
                <w:color w:val="auto"/>
                <w:w w:val="90"/>
              </w:rPr>
              <w:t>03/16/2026</w:t>
            </w:r>
          </w:p>
        </w:tc>
        <w:tc>
          <w:tcPr>
            <w:tcW w:w="120" w:type="dxa"/>
            <w:vAlign w:val="bottom"/>
          </w:tcPr>
          <w:p>
            <w:pPr>
              <w:spacing w:after="0"/>
              <w:rPr>
                <w:sz w:val="9"/>
                <w:szCs w:val="9"/>
                <w:color w:val="auto"/>
              </w:rPr>
            </w:pPr>
          </w:p>
        </w:tc>
        <w:tc>
          <w:tcPr>
            <w:tcW w:w="2260" w:type="dxa"/>
            <w:vAlign w:val="bottom"/>
          </w:tcPr>
          <w:p>
            <w:pPr>
              <w:jc w:val="center"/>
              <w:spacing w:after="0" w:line="115" w:lineRule="exact"/>
              <w:rPr>
                <w:sz w:val="20"/>
                <w:szCs w:val="20"/>
                <w:color w:val="auto"/>
              </w:rPr>
            </w:pPr>
            <w:r>
              <w:rPr>
                <w:rFonts w:ascii="Arial" w:cs="Arial" w:eastAsia="Arial" w:hAnsi="Arial"/>
                <w:sz w:val="11"/>
                <w:szCs w:val="11"/>
                <w:color w:val="auto"/>
                <w:w w:val="90"/>
              </w:rPr>
              <w:t>Diversified Financial Services</w:t>
            </w:r>
          </w:p>
        </w:tc>
        <w:tc>
          <w:tcPr>
            <w:tcW w:w="120" w:type="dxa"/>
            <w:vAlign w:val="bottom"/>
          </w:tcPr>
          <w:p>
            <w:pPr>
              <w:spacing w:after="0"/>
              <w:rPr>
                <w:sz w:val="9"/>
                <w:szCs w:val="9"/>
                <w:color w:val="auto"/>
              </w:rPr>
            </w:pPr>
          </w:p>
        </w:tc>
        <w:tc>
          <w:tcPr>
            <w:tcW w:w="8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7.00 %</w:t>
            </w:r>
          </w:p>
        </w:tc>
        <w:tc>
          <w:tcPr>
            <w:tcW w:w="160" w:type="dxa"/>
            <w:vAlign w:val="bottom"/>
          </w:tcPr>
          <w:p>
            <w:pPr>
              <w:spacing w:after="0"/>
              <w:rPr>
                <w:sz w:val="9"/>
                <w:szCs w:val="9"/>
                <w:color w:val="auto"/>
              </w:rPr>
            </w:pPr>
          </w:p>
        </w:tc>
        <w:tc>
          <w:tcPr>
            <w:tcW w:w="660" w:type="dxa"/>
            <w:vAlign w:val="bottom"/>
          </w:tcPr>
          <w:p>
            <w:pPr>
              <w:jc w:val="right"/>
              <w:spacing w:after="0" w:line="115" w:lineRule="exact"/>
              <w:rPr>
                <w:sz w:val="20"/>
                <w:szCs w:val="20"/>
                <w:color w:val="auto"/>
              </w:rPr>
            </w:pPr>
            <w:r>
              <w:rPr>
                <w:rFonts w:ascii="Arial" w:cs="Arial" w:eastAsia="Arial" w:hAnsi="Arial"/>
                <w:sz w:val="11"/>
                <w:szCs w:val="11"/>
                <w:color w:val="auto"/>
              </w:rPr>
              <w:t>3M</w:t>
            </w:r>
          </w:p>
        </w:tc>
        <w:tc>
          <w:tcPr>
            <w:tcW w:w="320" w:type="dxa"/>
            <w:vAlign w:val="bottom"/>
          </w:tcPr>
          <w:p>
            <w:pPr>
              <w:jc w:val="right"/>
              <w:spacing w:after="0" w:line="115" w:lineRule="exact"/>
              <w:rPr>
                <w:sz w:val="20"/>
                <w:szCs w:val="20"/>
                <w:color w:val="auto"/>
              </w:rPr>
            </w:pPr>
            <w:r>
              <w:rPr>
                <w:rFonts w:ascii="Arial" w:cs="Arial" w:eastAsia="Arial" w:hAnsi="Arial"/>
                <w:sz w:val="11"/>
                <w:szCs w:val="11"/>
                <w:color w:val="auto"/>
                <w:w w:val="90"/>
              </w:rPr>
              <w:t>L+600</w:t>
            </w:r>
          </w:p>
        </w:tc>
        <w:tc>
          <w:tcPr>
            <w:tcW w:w="200" w:type="dxa"/>
            <w:vAlign w:val="bottom"/>
          </w:tcPr>
          <w:p>
            <w:pPr>
              <w:spacing w:after="0"/>
              <w:rPr>
                <w:sz w:val="9"/>
                <w:szCs w:val="9"/>
                <w:color w:val="auto"/>
              </w:rPr>
            </w:pPr>
          </w:p>
        </w:tc>
        <w:tc>
          <w:tcPr>
            <w:tcW w:w="700" w:type="dxa"/>
            <w:vAlign w:val="bottom"/>
          </w:tcPr>
          <w:p>
            <w:pPr>
              <w:jc w:val="right"/>
              <w:spacing w:after="0" w:line="115" w:lineRule="exact"/>
              <w:rPr>
                <w:sz w:val="20"/>
                <w:szCs w:val="20"/>
                <w:color w:val="auto"/>
              </w:rPr>
            </w:pPr>
            <w:r>
              <w:rPr>
                <w:rFonts w:ascii="Arial" w:cs="Arial" w:eastAsia="Arial" w:hAnsi="Arial"/>
                <w:sz w:val="11"/>
                <w:szCs w:val="11"/>
                <w:color w:val="auto"/>
              </w:rPr>
              <w:t>3,483</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jc w:val="right"/>
              <w:spacing w:after="0" w:line="115" w:lineRule="exact"/>
              <w:rPr>
                <w:sz w:val="20"/>
                <w:szCs w:val="20"/>
                <w:color w:val="auto"/>
              </w:rPr>
            </w:pPr>
            <w:r>
              <w:rPr>
                <w:rFonts w:ascii="Arial" w:cs="Arial" w:eastAsia="Arial" w:hAnsi="Arial"/>
                <w:sz w:val="11"/>
                <w:szCs w:val="11"/>
                <w:color w:val="auto"/>
              </w:rPr>
              <w:t>3,435</w:t>
            </w: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jc w:val="right"/>
              <w:spacing w:after="0" w:line="115" w:lineRule="exact"/>
              <w:rPr>
                <w:sz w:val="20"/>
                <w:szCs w:val="20"/>
                <w:color w:val="auto"/>
              </w:rPr>
            </w:pPr>
            <w:r>
              <w:rPr>
                <w:rFonts w:ascii="Arial" w:cs="Arial" w:eastAsia="Arial" w:hAnsi="Arial"/>
                <w:sz w:val="11"/>
                <w:szCs w:val="11"/>
                <w:color w:val="auto"/>
              </w:rPr>
              <w:t>3,465</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Graffiti Buyer, Inc. </w:t>
            </w:r>
            <w:r>
              <w:rPr>
                <w:rFonts w:ascii="Arial" w:cs="Arial" w:eastAsia="Arial" w:hAnsi="Arial"/>
                <w:sz w:val="14"/>
                <w:szCs w:val="14"/>
                <w:color w:val="auto"/>
                <w:vertAlign w:val="superscript"/>
              </w:rPr>
              <w:t>(7), (9)</w:t>
            </w:r>
          </w:p>
        </w:tc>
        <w:tc>
          <w:tcPr>
            <w:tcW w:w="740" w:type="dxa"/>
            <w:vAlign w:val="bottom"/>
          </w:tcPr>
          <w:p>
            <w:pPr>
              <w:jc w:val="center"/>
              <w:ind w:left="66"/>
              <w:spacing w:after="0"/>
              <w:rPr>
                <w:sz w:val="20"/>
                <w:szCs w:val="20"/>
                <w:color w:val="auto"/>
              </w:rPr>
            </w:pPr>
            <w:r>
              <w:rPr>
                <w:rFonts w:ascii="Arial" w:cs="Arial" w:eastAsia="Arial" w:hAnsi="Arial"/>
                <w:sz w:val="11"/>
                <w:szCs w:val="11"/>
                <w:color w:val="auto"/>
                <w:w w:val="90"/>
              </w:rPr>
              <w:t>08/10/2023</w:t>
            </w:r>
          </w:p>
        </w:tc>
        <w:tc>
          <w:tcPr>
            <w:tcW w:w="120" w:type="dxa"/>
            <w:vAlign w:val="bottom"/>
          </w:tcPr>
          <w:p>
            <w:pPr>
              <w:spacing w:after="0"/>
              <w:rPr>
                <w:sz w:val="11"/>
                <w:szCs w:val="11"/>
                <w:color w:val="auto"/>
              </w:rPr>
            </w:pPr>
          </w:p>
        </w:tc>
        <w:tc>
          <w:tcPr>
            <w:tcW w:w="2260" w:type="dxa"/>
            <w:vAlign w:val="bottom"/>
          </w:tcPr>
          <w:p>
            <w:pPr>
              <w:jc w:val="center"/>
              <w:spacing w:after="0"/>
              <w:rPr>
                <w:sz w:val="20"/>
                <w:szCs w:val="20"/>
                <w:color w:val="auto"/>
              </w:rPr>
            </w:pPr>
            <w:r>
              <w:rPr>
                <w:rFonts w:ascii="Arial" w:cs="Arial" w:eastAsia="Arial" w:hAnsi="Arial"/>
                <w:sz w:val="11"/>
                <w:szCs w:val="11"/>
                <w:color w:val="auto"/>
                <w:w w:val="90"/>
              </w:rPr>
              <w:t>Trading Companies &amp; Distributors</w:t>
            </w:r>
          </w:p>
        </w:tc>
        <w:tc>
          <w:tcPr>
            <w:tcW w:w="120" w:type="dxa"/>
            <w:vAlign w:val="bottom"/>
          </w:tcPr>
          <w:p>
            <w:pPr>
              <w:spacing w:after="0"/>
              <w:rPr>
                <w:sz w:val="11"/>
                <w:szCs w:val="11"/>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1,071</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auto"/>
              </w:rPr>
              <w:t>(5 )</w:t>
            </w:r>
          </w:p>
        </w:tc>
        <w:tc>
          <w:tcPr>
            <w:tcW w:w="0" w:type="dxa"/>
            <w:vAlign w:val="bottom"/>
          </w:tcPr>
          <w:p>
            <w:pPr>
              <w:spacing w:after="0"/>
              <w:rPr>
                <w:sz w:val="1"/>
                <w:szCs w:val="1"/>
                <w:color w:val="auto"/>
              </w:rPr>
            </w:pPr>
          </w:p>
        </w:tc>
      </w:tr>
      <w:tr>
        <w:trPr>
          <w:trHeight w:val="155"/>
        </w:trPr>
        <w:tc>
          <w:tcPr>
            <w:tcW w:w="320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Graffiti Buyer, Inc. (Revolver) </w:t>
            </w:r>
            <w:r>
              <w:rPr>
                <w:rFonts w:ascii="Arial" w:cs="Arial" w:eastAsia="Arial" w:hAnsi="Arial"/>
                <w:sz w:val="14"/>
                <w:szCs w:val="14"/>
                <w:color w:val="auto"/>
                <w:vertAlign w:val="superscript"/>
              </w:rPr>
              <w:t>(7), (9)</w:t>
            </w:r>
          </w:p>
        </w:tc>
        <w:tc>
          <w:tcPr>
            <w:tcW w:w="740" w:type="dxa"/>
            <w:vAlign w:val="bottom"/>
          </w:tcPr>
          <w:p>
            <w:pPr>
              <w:jc w:val="center"/>
              <w:ind w:left="66"/>
              <w:spacing w:after="0"/>
              <w:rPr>
                <w:sz w:val="20"/>
                <w:szCs w:val="20"/>
                <w:color w:val="auto"/>
              </w:rPr>
            </w:pPr>
            <w:r>
              <w:rPr>
                <w:rFonts w:ascii="Arial" w:cs="Arial" w:eastAsia="Arial" w:hAnsi="Arial"/>
                <w:sz w:val="11"/>
                <w:szCs w:val="11"/>
                <w:color w:val="auto"/>
                <w:w w:val="90"/>
              </w:rPr>
              <w:t>08/10/2027</w:t>
            </w:r>
          </w:p>
        </w:tc>
        <w:tc>
          <w:tcPr>
            <w:tcW w:w="120" w:type="dxa"/>
            <w:vAlign w:val="bottom"/>
          </w:tcPr>
          <w:p>
            <w:pPr>
              <w:spacing w:after="0"/>
              <w:rPr>
                <w:sz w:val="13"/>
                <w:szCs w:val="13"/>
                <w:color w:val="auto"/>
              </w:rPr>
            </w:pPr>
          </w:p>
        </w:tc>
        <w:tc>
          <w:tcPr>
            <w:tcW w:w="2260" w:type="dxa"/>
            <w:vAlign w:val="bottom"/>
          </w:tcPr>
          <w:p>
            <w:pPr>
              <w:jc w:val="center"/>
              <w:spacing w:after="0"/>
              <w:rPr>
                <w:sz w:val="20"/>
                <w:szCs w:val="20"/>
                <w:color w:val="auto"/>
              </w:rPr>
            </w:pPr>
            <w:r>
              <w:rPr>
                <w:rFonts w:ascii="Arial" w:cs="Arial" w:eastAsia="Arial" w:hAnsi="Arial"/>
                <w:sz w:val="11"/>
                <w:szCs w:val="11"/>
                <w:color w:val="auto"/>
                <w:w w:val="90"/>
              </w:rPr>
              <w:t>Trading Companies &amp; Distributors</w:t>
            </w:r>
          </w:p>
        </w:tc>
        <w:tc>
          <w:tcPr>
            <w:tcW w:w="12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865</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auto"/>
              </w:rPr>
              <w:t>(20 )</w:t>
            </w:r>
          </w:p>
        </w:tc>
        <w:tc>
          <w:tcPr>
            <w:tcW w:w="0" w:type="dxa"/>
            <w:vAlign w:val="bottom"/>
          </w:tcPr>
          <w:p>
            <w:pPr>
              <w:spacing w:after="0"/>
              <w:rPr>
                <w:sz w:val="1"/>
                <w:szCs w:val="1"/>
                <w:color w:val="auto"/>
              </w:rPr>
            </w:pPr>
          </w:p>
        </w:tc>
      </w:tr>
      <w:tr>
        <w:trPr>
          <w:trHeight w:val="115"/>
        </w:trPr>
        <w:tc>
          <w:tcPr>
            <w:tcW w:w="3200" w:type="dxa"/>
            <w:vAlign w:val="bottom"/>
          </w:tcPr>
          <w:p>
            <w:pPr>
              <w:ind w:left="20"/>
              <w:spacing w:after="0" w:line="115" w:lineRule="exact"/>
              <w:rPr>
                <w:sz w:val="20"/>
                <w:szCs w:val="20"/>
                <w:color w:val="auto"/>
              </w:rPr>
            </w:pPr>
            <w:r>
              <w:rPr>
                <w:rFonts w:ascii="Arial" w:cs="Arial" w:eastAsia="Arial" w:hAnsi="Arial"/>
                <w:sz w:val="11"/>
                <w:szCs w:val="11"/>
                <w:color w:val="auto"/>
              </w:rPr>
              <w:t>Hancock Roofing and Construction L.L.C.</w:t>
            </w:r>
          </w:p>
        </w:tc>
        <w:tc>
          <w:tcPr>
            <w:tcW w:w="740" w:type="dxa"/>
            <w:vAlign w:val="bottom"/>
          </w:tcPr>
          <w:p>
            <w:pPr>
              <w:jc w:val="center"/>
              <w:ind w:left="66"/>
              <w:spacing w:after="0" w:line="115" w:lineRule="exact"/>
              <w:rPr>
                <w:sz w:val="20"/>
                <w:szCs w:val="20"/>
                <w:color w:val="auto"/>
              </w:rPr>
            </w:pPr>
            <w:r>
              <w:rPr>
                <w:rFonts w:ascii="Arial" w:cs="Arial" w:eastAsia="Arial" w:hAnsi="Arial"/>
                <w:sz w:val="11"/>
                <w:szCs w:val="11"/>
                <w:color w:val="auto"/>
                <w:w w:val="90"/>
              </w:rPr>
              <w:t>12/31/2026</w:t>
            </w:r>
          </w:p>
        </w:tc>
        <w:tc>
          <w:tcPr>
            <w:tcW w:w="120" w:type="dxa"/>
            <w:vAlign w:val="bottom"/>
          </w:tcPr>
          <w:p>
            <w:pPr>
              <w:spacing w:after="0"/>
              <w:rPr>
                <w:sz w:val="9"/>
                <w:szCs w:val="9"/>
                <w:color w:val="auto"/>
              </w:rPr>
            </w:pPr>
          </w:p>
        </w:tc>
        <w:tc>
          <w:tcPr>
            <w:tcW w:w="2260" w:type="dxa"/>
            <w:vAlign w:val="bottom"/>
          </w:tcPr>
          <w:p>
            <w:pPr>
              <w:jc w:val="center"/>
              <w:spacing w:after="0" w:line="115" w:lineRule="exact"/>
              <w:rPr>
                <w:sz w:val="20"/>
                <w:szCs w:val="20"/>
                <w:color w:val="auto"/>
              </w:rPr>
            </w:pPr>
            <w:r>
              <w:rPr>
                <w:rFonts w:ascii="Arial" w:cs="Arial" w:eastAsia="Arial" w:hAnsi="Arial"/>
                <w:sz w:val="11"/>
                <w:szCs w:val="11"/>
                <w:color w:val="auto"/>
                <w:w w:val="86"/>
              </w:rPr>
              <w:t>Insurance</w:t>
            </w:r>
          </w:p>
        </w:tc>
        <w:tc>
          <w:tcPr>
            <w:tcW w:w="120" w:type="dxa"/>
            <w:vAlign w:val="bottom"/>
          </w:tcPr>
          <w:p>
            <w:pPr>
              <w:spacing w:after="0"/>
              <w:rPr>
                <w:sz w:val="9"/>
                <w:szCs w:val="9"/>
                <w:color w:val="auto"/>
              </w:rPr>
            </w:pPr>
          </w:p>
        </w:tc>
        <w:tc>
          <w:tcPr>
            <w:tcW w:w="8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6.00 %</w:t>
            </w:r>
          </w:p>
        </w:tc>
        <w:tc>
          <w:tcPr>
            <w:tcW w:w="160" w:type="dxa"/>
            <w:vAlign w:val="bottom"/>
          </w:tcPr>
          <w:p>
            <w:pPr>
              <w:spacing w:after="0"/>
              <w:rPr>
                <w:sz w:val="9"/>
                <w:szCs w:val="9"/>
                <w:color w:val="auto"/>
              </w:rPr>
            </w:pPr>
          </w:p>
        </w:tc>
        <w:tc>
          <w:tcPr>
            <w:tcW w:w="660" w:type="dxa"/>
            <w:vAlign w:val="bottom"/>
          </w:tcPr>
          <w:p>
            <w:pPr>
              <w:jc w:val="right"/>
              <w:spacing w:after="0" w:line="115" w:lineRule="exact"/>
              <w:rPr>
                <w:sz w:val="20"/>
                <w:szCs w:val="20"/>
                <w:color w:val="auto"/>
              </w:rPr>
            </w:pPr>
            <w:r>
              <w:rPr>
                <w:rFonts w:ascii="Arial" w:cs="Arial" w:eastAsia="Arial" w:hAnsi="Arial"/>
                <w:sz w:val="11"/>
                <w:szCs w:val="11"/>
                <w:color w:val="auto"/>
              </w:rPr>
              <w:t>3M</w:t>
            </w:r>
          </w:p>
        </w:tc>
        <w:tc>
          <w:tcPr>
            <w:tcW w:w="320" w:type="dxa"/>
            <w:vAlign w:val="bottom"/>
          </w:tcPr>
          <w:p>
            <w:pPr>
              <w:jc w:val="right"/>
              <w:spacing w:after="0" w:line="115" w:lineRule="exact"/>
              <w:rPr>
                <w:sz w:val="20"/>
                <w:szCs w:val="20"/>
                <w:color w:val="auto"/>
              </w:rPr>
            </w:pPr>
            <w:r>
              <w:rPr>
                <w:rFonts w:ascii="Arial" w:cs="Arial" w:eastAsia="Arial" w:hAnsi="Arial"/>
                <w:sz w:val="11"/>
                <w:szCs w:val="11"/>
                <w:color w:val="auto"/>
                <w:w w:val="90"/>
              </w:rPr>
              <w:t>L+500</w:t>
            </w:r>
          </w:p>
        </w:tc>
        <w:tc>
          <w:tcPr>
            <w:tcW w:w="200" w:type="dxa"/>
            <w:vAlign w:val="bottom"/>
          </w:tcPr>
          <w:p>
            <w:pPr>
              <w:spacing w:after="0"/>
              <w:rPr>
                <w:sz w:val="9"/>
                <w:szCs w:val="9"/>
                <w:color w:val="auto"/>
              </w:rPr>
            </w:pPr>
          </w:p>
        </w:tc>
        <w:tc>
          <w:tcPr>
            <w:tcW w:w="700" w:type="dxa"/>
            <w:vAlign w:val="bottom"/>
          </w:tcPr>
          <w:p>
            <w:pPr>
              <w:jc w:val="right"/>
              <w:spacing w:after="0" w:line="115" w:lineRule="exact"/>
              <w:rPr>
                <w:sz w:val="20"/>
                <w:szCs w:val="20"/>
                <w:color w:val="auto"/>
              </w:rPr>
            </w:pPr>
            <w:r>
              <w:rPr>
                <w:rFonts w:ascii="Arial" w:cs="Arial" w:eastAsia="Arial" w:hAnsi="Arial"/>
                <w:sz w:val="11"/>
                <w:szCs w:val="11"/>
                <w:color w:val="auto"/>
              </w:rPr>
              <w:t>3,474</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jc w:val="right"/>
              <w:spacing w:after="0" w:line="115" w:lineRule="exact"/>
              <w:rPr>
                <w:sz w:val="20"/>
                <w:szCs w:val="20"/>
                <w:color w:val="auto"/>
              </w:rPr>
            </w:pPr>
            <w:r>
              <w:rPr>
                <w:rFonts w:ascii="Arial" w:cs="Arial" w:eastAsia="Arial" w:hAnsi="Arial"/>
                <w:sz w:val="11"/>
                <w:szCs w:val="11"/>
                <w:color w:val="auto"/>
              </w:rPr>
              <w:t>3,397</w:t>
            </w: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jc w:val="right"/>
              <w:spacing w:after="0" w:line="115" w:lineRule="exact"/>
              <w:rPr>
                <w:sz w:val="20"/>
                <w:szCs w:val="20"/>
                <w:color w:val="auto"/>
              </w:rPr>
            </w:pPr>
            <w:r>
              <w:rPr>
                <w:rFonts w:ascii="Arial" w:cs="Arial" w:eastAsia="Arial" w:hAnsi="Arial"/>
                <w:sz w:val="11"/>
                <w:szCs w:val="11"/>
                <w:color w:val="auto"/>
              </w:rPr>
              <w:t>3,439</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Hancock Roofing and Construction L.L.C. </w:t>
            </w:r>
            <w:r>
              <w:rPr>
                <w:rFonts w:ascii="Arial" w:cs="Arial" w:eastAsia="Arial" w:hAnsi="Arial"/>
                <w:sz w:val="14"/>
                <w:szCs w:val="14"/>
                <w:color w:val="auto"/>
                <w:vertAlign w:val="superscript"/>
              </w:rPr>
              <w:t>(7), (9)</w:t>
            </w:r>
          </w:p>
        </w:tc>
        <w:tc>
          <w:tcPr>
            <w:tcW w:w="740" w:type="dxa"/>
            <w:vAlign w:val="bottom"/>
          </w:tcPr>
          <w:p>
            <w:pPr>
              <w:jc w:val="center"/>
              <w:ind w:left="66"/>
              <w:spacing w:after="0"/>
              <w:rPr>
                <w:sz w:val="20"/>
                <w:szCs w:val="20"/>
                <w:color w:val="auto"/>
              </w:rPr>
            </w:pPr>
            <w:r>
              <w:rPr>
                <w:rFonts w:ascii="Arial" w:cs="Arial" w:eastAsia="Arial" w:hAnsi="Arial"/>
                <w:sz w:val="11"/>
                <w:szCs w:val="11"/>
                <w:color w:val="auto"/>
                <w:w w:val="90"/>
              </w:rPr>
              <w:t>12/31/2022</w:t>
            </w:r>
          </w:p>
        </w:tc>
        <w:tc>
          <w:tcPr>
            <w:tcW w:w="120" w:type="dxa"/>
            <w:vAlign w:val="bottom"/>
          </w:tcPr>
          <w:p>
            <w:pPr>
              <w:spacing w:after="0"/>
              <w:rPr>
                <w:sz w:val="11"/>
                <w:szCs w:val="11"/>
                <w:color w:val="auto"/>
              </w:rPr>
            </w:pPr>
          </w:p>
        </w:tc>
        <w:tc>
          <w:tcPr>
            <w:tcW w:w="2260" w:type="dxa"/>
            <w:vAlign w:val="bottom"/>
          </w:tcPr>
          <w:p>
            <w:pPr>
              <w:jc w:val="center"/>
              <w:spacing w:after="0"/>
              <w:rPr>
                <w:sz w:val="20"/>
                <w:szCs w:val="20"/>
                <w:color w:val="auto"/>
              </w:rPr>
            </w:pPr>
            <w:r>
              <w:rPr>
                <w:rFonts w:ascii="Arial" w:cs="Arial" w:eastAsia="Arial" w:hAnsi="Arial"/>
                <w:sz w:val="11"/>
                <w:szCs w:val="11"/>
                <w:color w:val="auto"/>
                <w:w w:val="86"/>
              </w:rPr>
              <w:t>Insurance</w:t>
            </w:r>
          </w:p>
        </w:tc>
        <w:tc>
          <w:tcPr>
            <w:tcW w:w="120" w:type="dxa"/>
            <w:vAlign w:val="bottom"/>
          </w:tcPr>
          <w:p>
            <w:pPr>
              <w:spacing w:after="0"/>
              <w:rPr>
                <w:sz w:val="11"/>
                <w:szCs w:val="11"/>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1,500</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auto"/>
              </w:rPr>
              <w:t>(15 )</w:t>
            </w:r>
          </w:p>
        </w:tc>
        <w:tc>
          <w:tcPr>
            <w:tcW w:w="0" w:type="dxa"/>
            <w:vAlign w:val="bottom"/>
          </w:tcPr>
          <w:p>
            <w:pPr>
              <w:spacing w:after="0"/>
              <w:rPr>
                <w:sz w:val="1"/>
                <w:szCs w:val="1"/>
                <w:color w:val="auto"/>
              </w:rPr>
            </w:pPr>
          </w:p>
        </w:tc>
      </w:tr>
      <w:tr>
        <w:trPr>
          <w:trHeight w:val="165"/>
        </w:trPr>
        <w:tc>
          <w:tcPr>
            <w:tcW w:w="3200" w:type="dxa"/>
            <w:vAlign w:val="bottom"/>
          </w:tcPr>
          <w:p>
            <w:pPr>
              <w:ind w:left="20"/>
              <w:spacing w:after="0"/>
              <w:rPr>
                <w:sz w:val="20"/>
                <w:szCs w:val="20"/>
                <w:color w:val="auto"/>
              </w:rPr>
            </w:pPr>
            <w:r>
              <w:rPr>
                <w:rFonts w:ascii="Arial" w:cs="Arial" w:eastAsia="Arial" w:hAnsi="Arial"/>
                <w:sz w:val="11"/>
                <w:szCs w:val="11"/>
                <w:color w:val="auto"/>
              </w:rPr>
              <w:t xml:space="preserve">Hancock Roofing and Construction L.L.C. (Revolver) </w:t>
            </w:r>
            <w:r>
              <w:rPr>
                <w:rFonts w:ascii="Arial" w:cs="Arial" w:eastAsia="Arial" w:hAnsi="Arial"/>
                <w:sz w:val="14"/>
                <w:szCs w:val="14"/>
                <w:color w:val="auto"/>
                <w:vertAlign w:val="superscript"/>
              </w:rPr>
              <w:t>(7), (9)</w:t>
            </w:r>
          </w:p>
        </w:tc>
        <w:tc>
          <w:tcPr>
            <w:tcW w:w="740" w:type="dxa"/>
            <w:vAlign w:val="bottom"/>
          </w:tcPr>
          <w:p>
            <w:pPr>
              <w:jc w:val="center"/>
              <w:ind w:left="66"/>
              <w:spacing w:after="0"/>
              <w:rPr>
                <w:sz w:val="20"/>
                <w:szCs w:val="20"/>
                <w:color w:val="auto"/>
              </w:rPr>
            </w:pPr>
            <w:r>
              <w:rPr>
                <w:rFonts w:ascii="Arial" w:cs="Arial" w:eastAsia="Arial" w:hAnsi="Arial"/>
                <w:sz w:val="11"/>
                <w:szCs w:val="11"/>
                <w:color w:val="auto"/>
                <w:w w:val="90"/>
              </w:rPr>
              <w:t>12/31/2026</w:t>
            </w:r>
          </w:p>
        </w:tc>
        <w:tc>
          <w:tcPr>
            <w:tcW w:w="120" w:type="dxa"/>
            <w:vAlign w:val="bottom"/>
          </w:tcPr>
          <w:p>
            <w:pPr>
              <w:spacing w:after="0"/>
              <w:rPr>
                <w:sz w:val="14"/>
                <w:szCs w:val="14"/>
                <w:color w:val="auto"/>
              </w:rPr>
            </w:pPr>
          </w:p>
        </w:tc>
        <w:tc>
          <w:tcPr>
            <w:tcW w:w="2260" w:type="dxa"/>
            <w:vAlign w:val="bottom"/>
          </w:tcPr>
          <w:p>
            <w:pPr>
              <w:jc w:val="center"/>
              <w:spacing w:after="0"/>
              <w:rPr>
                <w:sz w:val="20"/>
                <w:szCs w:val="20"/>
                <w:color w:val="auto"/>
              </w:rPr>
            </w:pPr>
            <w:r>
              <w:rPr>
                <w:rFonts w:ascii="Arial" w:cs="Arial" w:eastAsia="Arial" w:hAnsi="Arial"/>
                <w:sz w:val="11"/>
                <w:szCs w:val="11"/>
                <w:color w:val="auto"/>
                <w:w w:val="86"/>
              </w:rPr>
              <w:t>Insurance</w:t>
            </w:r>
          </w:p>
        </w:tc>
        <w:tc>
          <w:tcPr>
            <w:tcW w:w="12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750</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auto"/>
              </w:rPr>
              <w:t>(8 )</w:t>
            </w:r>
          </w:p>
        </w:tc>
        <w:tc>
          <w:tcPr>
            <w:tcW w:w="0" w:type="dxa"/>
            <w:vAlign w:val="bottom"/>
          </w:tcPr>
          <w:p>
            <w:pPr>
              <w:spacing w:after="0"/>
              <w:rPr>
                <w:sz w:val="1"/>
                <w:szCs w:val="1"/>
                <w:color w:val="auto"/>
              </w:rPr>
            </w:pPr>
          </w:p>
        </w:tc>
      </w:tr>
      <w:tr>
        <w:trPr>
          <w:trHeight w:val="135"/>
        </w:trPr>
        <w:tc>
          <w:tcPr>
            <w:tcW w:w="3200" w:type="dxa"/>
            <w:vAlign w:val="bottom"/>
            <w:shd w:val="clear" w:color="auto" w:fill="CCECFF"/>
          </w:tcPr>
          <w:p>
            <w:pPr>
              <w:ind w:left="20"/>
              <w:spacing w:after="0"/>
              <w:rPr>
                <w:sz w:val="20"/>
                <w:szCs w:val="20"/>
                <w:color w:val="auto"/>
              </w:rPr>
            </w:pPr>
            <w:r>
              <w:rPr>
                <w:rFonts w:ascii="Arial" w:cs="Arial" w:eastAsia="Arial" w:hAnsi="Arial"/>
                <w:sz w:val="11"/>
                <w:szCs w:val="11"/>
                <w:color w:val="auto"/>
              </w:rPr>
              <w:t>Holdco Sands Intermediate, LLC</w:t>
            </w:r>
          </w:p>
        </w:tc>
        <w:tc>
          <w:tcPr>
            <w:tcW w:w="740" w:type="dxa"/>
            <w:vAlign w:val="bottom"/>
            <w:shd w:val="clear" w:color="auto" w:fill="CCECFF"/>
          </w:tcPr>
          <w:p>
            <w:pPr>
              <w:jc w:val="center"/>
              <w:ind w:left="66"/>
              <w:spacing w:after="0"/>
              <w:rPr>
                <w:sz w:val="20"/>
                <w:szCs w:val="20"/>
                <w:color w:val="auto"/>
              </w:rPr>
            </w:pPr>
            <w:r>
              <w:rPr>
                <w:rFonts w:ascii="Arial" w:cs="Arial" w:eastAsia="Arial" w:hAnsi="Arial"/>
                <w:sz w:val="11"/>
                <w:szCs w:val="11"/>
                <w:color w:val="auto"/>
                <w:w w:val="90"/>
              </w:rPr>
              <w:t>12/19/2025</w:t>
            </w:r>
          </w:p>
        </w:tc>
        <w:tc>
          <w:tcPr>
            <w:tcW w:w="120" w:type="dxa"/>
            <w:vAlign w:val="bottom"/>
            <w:shd w:val="clear" w:color="auto" w:fill="CCECFF"/>
          </w:tcPr>
          <w:p>
            <w:pPr>
              <w:spacing w:after="0"/>
              <w:rPr>
                <w:sz w:val="11"/>
                <w:szCs w:val="11"/>
                <w:color w:val="auto"/>
              </w:rPr>
            </w:pPr>
          </w:p>
        </w:tc>
        <w:tc>
          <w:tcPr>
            <w:tcW w:w="22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Aerospace and Defense</w:t>
            </w:r>
          </w:p>
        </w:tc>
        <w:tc>
          <w:tcPr>
            <w:tcW w:w="120" w:type="dxa"/>
            <w:vAlign w:val="bottom"/>
            <w:shd w:val="clear" w:color="auto" w:fill="CCECFF"/>
          </w:tcPr>
          <w:p>
            <w:pPr>
              <w:spacing w:after="0"/>
              <w:rPr>
                <w:sz w:val="11"/>
                <w:szCs w:val="11"/>
                <w:color w:val="auto"/>
              </w:rPr>
            </w:pPr>
          </w:p>
        </w:tc>
        <w:tc>
          <w:tcPr>
            <w:tcW w:w="8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7.50 %</w:t>
            </w:r>
          </w:p>
        </w:tc>
        <w:tc>
          <w:tcPr>
            <w:tcW w:w="16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w:t>
            </w:r>
          </w:p>
        </w:tc>
        <w:tc>
          <w:tcPr>
            <w:tcW w:w="32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0"/>
              </w:rPr>
              <w:t>L+600</w:t>
            </w:r>
          </w:p>
        </w:tc>
        <w:tc>
          <w:tcPr>
            <w:tcW w:w="20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2,983</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2,941</w:t>
            </w:r>
          </w:p>
        </w:tc>
        <w:tc>
          <w:tcPr>
            <w:tcW w:w="2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2,968</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3200" w:type="dxa"/>
            <w:vAlign w:val="bottom"/>
          </w:tcPr>
          <w:p>
            <w:pPr>
              <w:ind w:left="20"/>
              <w:spacing w:after="0" w:line="105" w:lineRule="exact"/>
              <w:rPr>
                <w:sz w:val="20"/>
                <w:szCs w:val="20"/>
                <w:color w:val="auto"/>
              </w:rPr>
            </w:pPr>
            <w:r>
              <w:rPr>
                <w:rFonts w:ascii="Arial" w:cs="Arial" w:eastAsia="Arial" w:hAnsi="Arial"/>
                <w:sz w:val="11"/>
                <w:szCs w:val="11"/>
                <w:color w:val="auto"/>
              </w:rPr>
              <w:t>HW Holdco, LLC</w:t>
            </w:r>
          </w:p>
        </w:tc>
        <w:tc>
          <w:tcPr>
            <w:tcW w:w="740" w:type="dxa"/>
            <w:vAlign w:val="bottom"/>
          </w:tcPr>
          <w:p>
            <w:pPr>
              <w:jc w:val="center"/>
              <w:ind w:left="66"/>
              <w:spacing w:after="0" w:line="105" w:lineRule="exact"/>
              <w:rPr>
                <w:sz w:val="20"/>
                <w:szCs w:val="20"/>
                <w:color w:val="auto"/>
              </w:rPr>
            </w:pPr>
            <w:r>
              <w:rPr>
                <w:rFonts w:ascii="Arial" w:cs="Arial" w:eastAsia="Arial" w:hAnsi="Arial"/>
                <w:sz w:val="11"/>
                <w:szCs w:val="11"/>
                <w:color w:val="auto"/>
                <w:w w:val="90"/>
              </w:rPr>
              <w:t>12/10/2024</w:t>
            </w:r>
          </w:p>
        </w:tc>
        <w:tc>
          <w:tcPr>
            <w:tcW w:w="120" w:type="dxa"/>
            <w:vAlign w:val="bottom"/>
          </w:tcPr>
          <w:p>
            <w:pPr>
              <w:spacing w:after="0"/>
              <w:rPr>
                <w:sz w:val="9"/>
                <w:szCs w:val="9"/>
                <w:color w:val="auto"/>
              </w:rPr>
            </w:pPr>
          </w:p>
        </w:tc>
        <w:tc>
          <w:tcPr>
            <w:tcW w:w="2260" w:type="dxa"/>
            <w:vAlign w:val="bottom"/>
          </w:tcPr>
          <w:p>
            <w:pPr>
              <w:jc w:val="center"/>
              <w:spacing w:after="0" w:line="105" w:lineRule="exact"/>
              <w:rPr>
                <w:sz w:val="20"/>
                <w:szCs w:val="20"/>
                <w:color w:val="auto"/>
              </w:rPr>
            </w:pPr>
            <w:r>
              <w:rPr>
                <w:rFonts w:ascii="Arial" w:cs="Arial" w:eastAsia="Arial" w:hAnsi="Arial"/>
                <w:sz w:val="11"/>
                <w:szCs w:val="11"/>
                <w:color w:val="auto"/>
                <w:w w:val="93"/>
              </w:rPr>
              <w:t>Media</w:t>
            </w:r>
          </w:p>
        </w:tc>
        <w:tc>
          <w:tcPr>
            <w:tcW w:w="120" w:type="dxa"/>
            <w:vAlign w:val="bottom"/>
          </w:tcPr>
          <w:p>
            <w:pPr>
              <w:spacing w:after="0"/>
              <w:rPr>
                <w:sz w:val="9"/>
                <w:szCs w:val="9"/>
                <w:color w:val="auto"/>
              </w:rPr>
            </w:pPr>
          </w:p>
        </w:tc>
        <w:tc>
          <w:tcPr>
            <w:tcW w:w="820" w:type="dxa"/>
            <w:vAlign w:val="bottom"/>
            <w:gridSpan w:val="2"/>
          </w:tcPr>
          <w:p>
            <w:pPr>
              <w:jc w:val="right"/>
              <w:spacing w:after="0" w:line="105" w:lineRule="exact"/>
              <w:rPr>
                <w:sz w:val="20"/>
                <w:szCs w:val="20"/>
                <w:color w:val="auto"/>
              </w:rPr>
            </w:pPr>
            <w:r>
              <w:rPr>
                <w:rFonts w:ascii="Arial" w:cs="Arial" w:eastAsia="Arial" w:hAnsi="Arial"/>
                <w:sz w:val="11"/>
                <w:szCs w:val="11"/>
                <w:color w:val="auto"/>
              </w:rPr>
              <w:t>5.50 %</w:t>
            </w:r>
          </w:p>
        </w:tc>
        <w:tc>
          <w:tcPr>
            <w:tcW w:w="160" w:type="dxa"/>
            <w:vAlign w:val="bottom"/>
          </w:tcPr>
          <w:p>
            <w:pPr>
              <w:spacing w:after="0"/>
              <w:rPr>
                <w:sz w:val="9"/>
                <w:szCs w:val="9"/>
                <w:color w:val="auto"/>
              </w:rPr>
            </w:pPr>
          </w:p>
        </w:tc>
        <w:tc>
          <w:tcPr>
            <w:tcW w:w="980" w:type="dxa"/>
            <w:vAlign w:val="bottom"/>
            <w:gridSpan w:val="2"/>
          </w:tcPr>
          <w:p>
            <w:pPr>
              <w:jc w:val="right"/>
              <w:spacing w:after="0" w:line="105" w:lineRule="exact"/>
              <w:rPr>
                <w:sz w:val="20"/>
                <w:szCs w:val="20"/>
                <w:color w:val="auto"/>
              </w:rPr>
            </w:pPr>
            <w:r>
              <w:rPr>
                <w:rFonts w:ascii="Arial" w:cs="Arial" w:eastAsia="Arial" w:hAnsi="Arial"/>
                <w:sz w:val="11"/>
                <w:szCs w:val="11"/>
                <w:color w:val="auto"/>
              </w:rPr>
              <w:t>1M L+450</w:t>
            </w:r>
          </w:p>
        </w:tc>
        <w:tc>
          <w:tcPr>
            <w:tcW w:w="200" w:type="dxa"/>
            <w:vAlign w:val="bottom"/>
          </w:tcPr>
          <w:p>
            <w:pPr>
              <w:spacing w:after="0"/>
              <w:rPr>
                <w:sz w:val="9"/>
                <w:szCs w:val="9"/>
                <w:color w:val="auto"/>
              </w:rPr>
            </w:pPr>
          </w:p>
        </w:tc>
        <w:tc>
          <w:tcPr>
            <w:tcW w:w="700" w:type="dxa"/>
            <w:vAlign w:val="bottom"/>
          </w:tcPr>
          <w:p>
            <w:pPr>
              <w:jc w:val="right"/>
              <w:spacing w:after="0" w:line="105" w:lineRule="exact"/>
              <w:rPr>
                <w:sz w:val="20"/>
                <w:szCs w:val="20"/>
                <w:color w:val="auto"/>
              </w:rPr>
            </w:pPr>
            <w:r>
              <w:rPr>
                <w:rFonts w:ascii="Arial" w:cs="Arial" w:eastAsia="Arial" w:hAnsi="Arial"/>
                <w:sz w:val="11"/>
                <w:szCs w:val="11"/>
                <w:color w:val="auto"/>
              </w:rPr>
              <w:t>7,341</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jc w:val="right"/>
              <w:spacing w:after="0" w:line="105" w:lineRule="exact"/>
              <w:rPr>
                <w:sz w:val="20"/>
                <w:szCs w:val="20"/>
                <w:color w:val="auto"/>
              </w:rPr>
            </w:pPr>
            <w:r>
              <w:rPr>
                <w:rFonts w:ascii="Arial" w:cs="Arial" w:eastAsia="Arial" w:hAnsi="Arial"/>
                <w:sz w:val="11"/>
                <w:szCs w:val="11"/>
                <w:color w:val="auto"/>
              </w:rPr>
              <w:t>7,296</w:t>
            </w: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jc w:val="right"/>
              <w:spacing w:after="0" w:line="105" w:lineRule="exact"/>
              <w:rPr>
                <w:sz w:val="20"/>
                <w:szCs w:val="20"/>
                <w:color w:val="auto"/>
              </w:rPr>
            </w:pPr>
            <w:r>
              <w:rPr>
                <w:rFonts w:ascii="Arial" w:cs="Arial" w:eastAsia="Arial" w:hAnsi="Arial"/>
                <w:sz w:val="11"/>
                <w:szCs w:val="11"/>
                <w:color w:val="auto"/>
              </w:rPr>
              <w:t>7,267</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HW Holdco, LLC (Revolver) </w:t>
            </w:r>
            <w:r>
              <w:rPr>
                <w:rFonts w:ascii="Arial" w:cs="Arial" w:eastAsia="Arial" w:hAnsi="Arial"/>
                <w:sz w:val="14"/>
                <w:szCs w:val="14"/>
                <w:color w:val="auto"/>
                <w:vertAlign w:val="superscript"/>
              </w:rPr>
              <w:t>(7)</w:t>
            </w:r>
          </w:p>
        </w:tc>
        <w:tc>
          <w:tcPr>
            <w:tcW w:w="740" w:type="dxa"/>
            <w:vAlign w:val="bottom"/>
          </w:tcPr>
          <w:p>
            <w:pPr>
              <w:jc w:val="center"/>
              <w:ind w:left="66"/>
              <w:spacing w:after="0"/>
              <w:rPr>
                <w:sz w:val="20"/>
                <w:szCs w:val="20"/>
                <w:color w:val="auto"/>
              </w:rPr>
            </w:pPr>
            <w:r>
              <w:rPr>
                <w:rFonts w:ascii="Arial" w:cs="Arial" w:eastAsia="Arial" w:hAnsi="Arial"/>
                <w:sz w:val="11"/>
                <w:szCs w:val="11"/>
                <w:color w:val="auto"/>
                <w:w w:val="90"/>
              </w:rPr>
              <w:t>12/10/2024</w:t>
            </w:r>
          </w:p>
        </w:tc>
        <w:tc>
          <w:tcPr>
            <w:tcW w:w="120" w:type="dxa"/>
            <w:vAlign w:val="bottom"/>
          </w:tcPr>
          <w:p>
            <w:pPr>
              <w:spacing w:after="0"/>
              <w:rPr>
                <w:sz w:val="11"/>
                <w:szCs w:val="11"/>
                <w:color w:val="auto"/>
              </w:rPr>
            </w:pPr>
          </w:p>
        </w:tc>
        <w:tc>
          <w:tcPr>
            <w:tcW w:w="226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120" w:type="dxa"/>
            <w:vAlign w:val="bottom"/>
          </w:tcPr>
          <w:p>
            <w:pPr>
              <w:spacing w:after="0"/>
              <w:rPr>
                <w:sz w:val="11"/>
                <w:szCs w:val="11"/>
                <w:color w:val="auto"/>
              </w:rPr>
            </w:pPr>
          </w:p>
        </w:tc>
        <w:tc>
          <w:tcPr>
            <w:tcW w:w="820" w:type="dxa"/>
            <w:vAlign w:val="bottom"/>
            <w:gridSpan w:val="2"/>
          </w:tcPr>
          <w:p>
            <w:pPr>
              <w:jc w:val="right"/>
              <w:spacing w:after="0"/>
              <w:rPr>
                <w:sz w:val="20"/>
                <w:szCs w:val="20"/>
                <w:color w:val="auto"/>
              </w:rPr>
            </w:pPr>
            <w:r>
              <w:rPr>
                <w:rFonts w:ascii="Arial" w:cs="Arial" w:eastAsia="Arial" w:hAnsi="Arial"/>
                <w:sz w:val="11"/>
                <w:szCs w:val="11"/>
                <w:color w:val="auto"/>
              </w:rPr>
              <w:t>5.50 %</w:t>
            </w:r>
          </w:p>
        </w:tc>
        <w:tc>
          <w:tcPr>
            <w:tcW w:w="160" w:type="dxa"/>
            <w:vAlign w:val="bottom"/>
          </w:tcPr>
          <w:p>
            <w:pPr>
              <w:spacing w:after="0"/>
              <w:rPr>
                <w:sz w:val="11"/>
                <w:szCs w:val="11"/>
                <w:color w:val="auto"/>
              </w:rPr>
            </w:pPr>
          </w:p>
        </w:tc>
        <w:tc>
          <w:tcPr>
            <w:tcW w:w="980" w:type="dxa"/>
            <w:vAlign w:val="bottom"/>
            <w:gridSpan w:val="2"/>
          </w:tcPr>
          <w:p>
            <w:pPr>
              <w:jc w:val="right"/>
              <w:spacing w:after="0"/>
              <w:rPr>
                <w:sz w:val="20"/>
                <w:szCs w:val="20"/>
                <w:color w:val="auto"/>
              </w:rPr>
            </w:pPr>
            <w:r>
              <w:rPr>
                <w:rFonts w:ascii="Arial" w:cs="Arial" w:eastAsia="Arial" w:hAnsi="Arial"/>
                <w:sz w:val="11"/>
                <w:szCs w:val="11"/>
                <w:color w:val="auto"/>
              </w:rPr>
              <w:t>1M L+450</w:t>
            </w:r>
          </w:p>
        </w:tc>
        <w:tc>
          <w:tcPr>
            <w:tcW w:w="20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523</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523</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517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0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HW Holdco, LLC (Revolver) </w:t>
            </w:r>
            <w:r>
              <w:rPr>
                <w:rFonts w:ascii="Arial" w:cs="Arial" w:eastAsia="Arial" w:hAnsi="Arial"/>
                <w:sz w:val="14"/>
                <w:szCs w:val="14"/>
                <w:color w:val="auto"/>
                <w:vertAlign w:val="superscript"/>
              </w:rPr>
              <w:t>(7), (9)</w:t>
            </w:r>
          </w:p>
        </w:tc>
        <w:tc>
          <w:tcPr>
            <w:tcW w:w="740" w:type="dxa"/>
            <w:vAlign w:val="bottom"/>
          </w:tcPr>
          <w:p>
            <w:pPr>
              <w:jc w:val="center"/>
              <w:ind w:left="66"/>
              <w:spacing w:after="0"/>
              <w:rPr>
                <w:sz w:val="20"/>
                <w:szCs w:val="20"/>
                <w:color w:val="auto"/>
              </w:rPr>
            </w:pPr>
            <w:r>
              <w:rPr>
                <w:rFonts w:ascii="Arial" w:cs="Arial" w:eastAsia="Arial" w:hAnsi="Arial"/>
                <w:sz w:val="11"/>
                <w:szCs w:val="11"/>
                <w:color w:val="auto"/>
                <w:w w:val="90"/>
              </w:rPr>
              <w:t>12/10/2024</w:t>
            </w:r>
          </w:p>
        </w:tc>
        <w:tc>
          <w:tcPr>
            <w:tcW w:w="120" w:type="dxa"/>
            <w:vAlign w:val="bottom"/>
          </w:tcPr>
          <w:p>
            <w:pPr>
              <w:spacing w:after="0"/>
              <w:rPr>
                <w:sz w:val="11"/>
                <w:szCs w:val="11"/>
                <w:color w:val="auto"/>
              </w:rPr>
            </w:pPr>
          </w:p>
        </w:tc>
        <w:tc>
          <w:tcPr>
            <w:tcW w:w="226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120" w:type="dxa"/>
            <w:vAlign w:val="bottom"/>
          </w:tcPr>
          <w:p>
            <w:pPr>
              <w:spacing w:after="0"/>
              <w:rPr>
                <w:sz w:val="11"/>
                <w:szCs w:val="11"/>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929</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auto"/>
              </w:rPr>
              <w:t>(9 )</w:t>
            </w:r>
          </w:p>
        </w:tc>
        <w:tc>
          <w:tcPr>
            <w:tcW w:w="0" w:type="dxa"/>
            <w:vAlign w:val="bottom"/>
          </w:tcPr>
          <w:p>
            <w:pPr>
              <w:spacing w:after="0"/>
              <w:rPr>
                <w:sz w:val="1"/>
                <w:szCs w:val="1"/>
                <w:color w:val="auto"/>
              </w:rPr>
            </w:pPr>
          </w:p>
        </w:tc>
      </w:tr>
      <w:tr>
        <w:trPr>
          <w:trHeight w:val="135"/>
        </w:trPr>
        <w:tc>
          <w:tcPr>
            <w:tcW w:w="320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IG Investments Holdings, LLC </w:t>
            </w:r>
            <w:r>
              <w:rPr>
                <w:rFonts w:ascii="Arial" w:cs="Arial" w:eastAsia="Arial" w:hAnsi="Arial"/>
                <w:sz w:val="14"/>
                <w:szCs w:val="14"/>
                <w:color w:val="auto"/>
                <w:vertAlign w:val="superscript"/>
              </w:rPr>
              <w:t>(7)</w:t>
            </w:r>
          </w:p>
        </w:tc>
        <w:tc>
          <w:tcPr>
            <w:tcW w:w="740" w:type="dxa"/>
            <w:vAlign w:val="bottom"/>
          </w:tcPr>
          <w:p>
            <w:pPr>
              <w:jc w:val="center"/>
              <w:ind w:left="66"/>
              <w:spacing w:after="0"/>
              <w:rPr>
                <w:sz w:val="20"/>
                <w:szCs w:val="20"/>
                <w:color w:val="auto"/>
              </w:rPr>
            </w:pPr>
            <w:r>
              <w:rPr>
                <w:rFonts w:ascii="Arial" w:cs="Arial" w:eastAsia="Arial" w:hAnsi="Arial"/>
                <w:sz w:val="11"/>
                <w:szCs w:val="11"/>
                <w:color w:val="auto"/>
                <w:w w:val="90"/>
              </w:rPr>
              <w:t>09/22/2028</w:t>
            </w:r>
          </w:p>
        </w:tc>
        <w:tc>
          <w:tcPr>
            <w:tcW w:w="120" w:type="dxa"/>
            <w:vAlign w:val="bottom"/>
          </w:tcPr>
          <w:p>
            <w:pPr>
              <w:spacing w:after="0"/>
              <w:rPr>
                <w:sz w:val="11"/>
                <w:szCs w:val="11"/>
                <w:color w:val="auto"/>
              </w:rPr>
            </w:pPr>
          </w:p>
        </w:tc>
        <w:tc>
          <w:tcPr>
            <w:tcW w:w="2260" w:type="dxa"/>
            <w:vAlign w:val="bottom"/>
          </w:tcPr>
          <w:p>
            <w:pPr>
              <w:jc w:val="center"/>
              <w:spacing w:after="0"/>
              <w:rPr>
                <w:sz w:val="20"/>
                <w:szCs w:val="20"/>
                <w:color w:val="auto"/>
              </w:rPr>
            </w:pPr>
            <w:r>
              <w:rPr>
                <w:rFonts w:ascii="Arial" w:cs="Arial" w:eastAsia="Arial" w:hAnsi="Arial"/>
                <w:sz w:val="11"/>
                <w:szCs w:val="11"/>
                <w:color w:val="auto"/>
                <w:w w:val="86"/>
              </w:rPr>
              <w:t>Professional Services</w:t>
            </w:r>
          </w:p>
        </w:tc>
        <w:tc>
          <w:tcPr>
            <w:tcW w:w="120" w:type="dxa"/>
            <w:vAlign w:val="bottom"/>
          </w:tcPr>
          <w:p>
            <w:pPr>
              <w:spacing w:after="0"/>
              <w:rPr>
                <w:sz w:val="11"/>
                <w:szCs w:val="11"/>
                <w:color w:val="auto"/>
              </w:rPr>
            </w:pPr>
          </w:p>
        </w:tc>
        <w:tc>
          <w:tcPr>
            <w:tcW w:w="820" w:type="dxa"/>
            <w:vAlign w:val="bottom"/>
            <w:gridSpan w:val="2"/>
          </w:tcPr>
          <w:p>
            <w:pPr>
              <w:jc w:val="right"/>
              <w:spacing w:after="0"/>
              <w:rPr>
                <w:sz w:val="20"/>
                <w:szCs w:val="20"/>
                <w:color w:val="auto"/>
              </w:rPr>
            </w:pPr>
            <w:r>
              <w:rPr>
                <w:rFonts w:ascii="Arial" w:cs="Arial" w:eastAsia="Arial" w:hAnsi="Arial"/>
                <w:sz w:val="11"/>
                <w:szCs w:val="11"/>
                <w:color w:val="auto"/>
              </w:rPr>
              <w:t>6.75 %</w:t>
            </w:r>
          </w:p>
        </w:tc>
        <w:tc>
          <w:tcPr>
            <w:tcW w:w="1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3M</w:t>
            </w:r>
          </w:p>
        </w:tc>
        <w:tc>
          <w:tcPr>
            <w:tcW w:w="320" w:type="dxa"/>
            <w:vAlign w:val="bottom"/>
          </w:tcPr>
          <w:p>
            <w:pPr>
              <w:jc w:val="right"/>
              <w:spacing w:after="0"/>
              <w:rPr>
                <w:sz w:val="20"/>
                <w:szCs w:val="20"/>
                <w:color w:val="auto"/>
              </w:rPr>
            </w:pPr>
            <w:r>
              <w:rPr>
                <w:rFonts w:ascii="Arial" w:cs="Arial" w:eastAsia="Arial" w:hAnsi="Arial"/>
                <w:sz w:val="11"/>
                <w:szCs w:val="11"/>
                <w:color w:val="auto"/>
                <w:w w:val="90"/>
              </w:rPr>
              <w:t>L+600</w:t>
            </w:r>
          </w:p>
        </w:tc>
        <w:tc>
          <w:tcPr>
            <w:tcW w:w="20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4,518</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4,428</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4,428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3200" w:type="dxa"/>
            <w:vAlign w:val="bottom"/>
          </w:tcPr>
          <w:p>
            <w:pPr>
              <w:ind w:left="20"/>
              <w:spacing w:after="0"/>
              <w:rPr>
                <w:sz w:val="20"/>
                <w:szCs w:val="20"/>
                <w:color w:val="auto"/>
              </w:rPr>
            </w:pPr>
            <w:r>
              <w:rPr>
                <w:rFonts w:ascii="Arial" w:cs="Arial" w:eastAsia="Arial" w:hAnsi="Arial"/>
                <w:sz w:val="11"/>
                <w:szCs w:val="11"/>
                <w:color w:val="auto"/>
              </w:rPr>
              <w:t xml:space="preserve">IG Investments Holdings, LLC (Revolver) </w:t>
            </w:r>
            <w:r>
              <w:rPr>
                <w:rFonts w:ascii="Arial" w:cs="Arial" w:eastAsia="Arial" w:hAnsi="Arial"/>
                <w:sz w:val="14"/>
                <w:szCs w:val="14"/>
                <w:color w:val="auto"/>
                <w:vertAlign w:val="superscript"/>
              </w:rPr>
              <w:t>(7), (9)</w:t>
            </w:r>
          </w:p>
        </w:tc>
        <w:tc>
          <w:tcPr>
            <w:tcW w:w="740" w:type="dxa"/>
            <w:vAlign w:val="bottom"/>
          </w:tcPr>
          <w:p>
            <w:pPr>
              <w:jc w:val="center"/>
              <w:ind w:left="66"/>
              <w:spacing w:after="0"/>
              <w:rPr>
                <w:sz w:val="20"/>
                <w:szCs w:val="20"/>
                <w:color w:val="auto"/>
              </w:rPr>
            </w:pPr>
            <w:r>
              <w:rPr>
                <w:rFonts w:ascii="Arial" w:cs="Arial" w:eastAsia="Arial" w:hAnsi="Arial"/>
                <w:sz w:val="11"/>
                <w:szCs w:val="11"/>
                <w:color w:val="auto"/>
                <w:w w:val="90"/>
              </w:rPr>
              <w:t>09/22/2027</w:t>
            </w:r>
          </w:p>
        </w:tc>
        <w:tc>
          <w:tcPr>
            <w:tcW w:w="120" w:type="dxa"/>
            <w:vAlign w:val="bottom"/>
          </w:tcPr>
          <w:p>
            <w:pPr>
              <w:spacing w:after="0"/>
              <w:rPr>
                <w:sz w:val="16"/>
                <w:szCs w:val="16"/>
                <w:color w:val="auto"/>
              </w:rPr>
            </w:pPr>
          </w:p>
        </w:tc>
        <w:tc>
          <w:tcPr>
            <w:tcW w:w="2260" w:type="dxa"/>
            <w:vAlign w:val="bottom"/>
          </w:tcPr>
          <w:p>
            <w:pPr>
              <w:jc w:val="center"/>
              <w:spacing w:after="0"/>
              <w:rPr>
                <w:sz w:val="20"/>
                <w:szCs w:val="20"/>
                <w:color w:val="auto"/>
              </w:rPr>
            </w:pPr>
            <w:r>
              <w:rPr>
                <w:rFonts w:ascii="Arial" w:cs="Arial" w:eastAsia="Arial" w:hAnsi="Arial"/>
                <w:sz w:val="11"/>
                <w:szCs w:val="11"/>
                <w:color w:val="auto"/>
                <w:w w:val="86"/>
              </w:rPr>
              <w:t>Professional Services</w:t>
            </w:r>
          </w:p>
        </w:tc>
        <w:tc>
          <w:tcPr>
            <w:tcW w:w="120" w:type="dxa"/>
            <w:vAlign w:val="bottom"/>
          </w:tcPr>
          <w:p>
            <w:pPr>
              <w:spacing w:after="0"/>
              <w:rPr>
                <w:sz w:val="16"/>
                <w:szCs w:val="16"/>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477</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-7188835</wp:posOffset>
            </wp:positionV>
            <wp:extent cx="7132320" cy="9398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-6837045</wp:posOffset>
            </wp:positionV>
            <wp:extent cx="7132320" cy="8572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-6665595</wp:posOffset>
            </wp:positionV>
            <wp:extent cx="7132320" cy="8572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-6494145</wp:posOffset>
            </wp:positionV>
            <wp:extent cx="7132320" cy="8572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-6322695</wp:posOffset>
            </wp:positionV>
            <wp:extent cx="7132320" cy="8572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-6151245</wp:posOffset>
            </wp:positionV>
            <wp:extent cx="7132320" cy="8572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-5979795</wp:posOffset>
            </wp:positionV>
            <wp:extent cx="7132320" cy="8572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-5636895</wp:posOffset>
            </wp:positionV>
            <wp:extent cx="7132320" cy="8572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-5465445</wp:posOffset>
            </wp:positionV>
            <wp:extent cx="7132320" cy="8572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-5225415</wp:posOffset>
            </wp:positionV>
            <wp:extent cx="7132320" cy="8572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-5053965</wp:posOffset>
            </wp:positionV>
            <wp:extent cx="7132320" cy="8572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-4882515</wp:posOffset>
            </wp:positionV>
            <wp:extent cx="7132320" cy="8572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-4453890</wp:posOffset>
            </wp:positionV>
            <wp:extent cx="7132320" cy="8572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-4282440</wp:posOffset>
            </wp:positionV>
            <wp:extent cx="7132320" cy="8572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-4110990</wp:posOffset>
            </wp:positionV>
            <wp:extent cx="7132320" cy="8572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-3939540</wp:posOffset>
            </wp:positionV>
            <wp:extent cx="7132320" cy="8572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-3768090</wp:posOffset>
            </wp:positionV>
            <wp:extent cx="7132320" cy="8572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-3596640</wp:posOffset>
            </wp:positionV>
            <wp:extent cx="7132320" cy="8572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-3425190</wp:posOffset>
            </wp:positionV>
            <wp:extent cx="7132320" cy="8572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-3253740</wp:posOffset>
            </wp:positionV>
            <wp:extent cx="7132320" cy="8572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-3082290</wp:posOffset>
            </wp:positionV>
            <wp:extent cx="7132320" cy="8572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-2739390</wp:posOffset>
            </wp:positionV>
            <wp:extent cx="7132320" cy="8572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-2396490</wp:posOffset>
            </wp:positionV>
            <wp:extent cx="7132320" cy="8572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-2225040</wp:posOffset>
            </wp:positionV>
            <wp:extent cx="7132320" cy="8572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-1796415</wp:posOffset>
            </wp:positionV>
            <wp:extent cx="7132320" cy="15430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-1556385</wp:posOffset>
            </wp:positionV>
            <wp:extent cx="7132320" cy="8572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-1384935</wp:posOffset>
            </wp:positionV>
            <wp:extent cx="7132320" cy="8572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-1213485</wp:posOffset>
            </wp:positionV>
            <wp:extent cx="7132320" cy="8572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-1042035</wp:posOffset>
            </wp:positionV>
            <wp:extent cx="7132320" cy="8572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-870585</wp:posOffset>
            </wp:positionV>
            <wp:extent cx="7132320" cy="8572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-699135</wp:posOffset>
            </wp:positionV>
            <wp:extent cx="7132320" cy="8572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-356235</wp:posOffset>
            </wp:positionV>
            <wp:extent cx="7132320" cy="8572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-184785</wp:posOffset>
            </wp:positionV>
            <wp:extent cx="7132320" cy="8572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32320" cy="85725"/>
                    </a:xfrm>
                    <a:prstGeom prst="rect">
                      <a:avLst/>
                    </a:prstGeom>
                    <a:noFill/>
                  </pic:spPr>
                </pic:pic>
              </a:graphicData>
            </a:graphic>
          </wp:anchor>
        </w:drawing>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SCHEDULE OF INVESTMENTS—(Continued)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SEPTEMBER 30, 2021</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data)</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tcPr>
          <w:p>
            <w:pPr>
              <w:jc w:val="center"/>
              <w:spacing w:after="0"/>
              <w:rPr>
                <w:sz w:val="20"/>
                <w:szCs w:val="20"/>
                <w:color w:val="auto"/>
              </w:rPr>
            </w:pPr>
            <w:r>
              <w:rPr>
                <w:rFonts w:ascii="Arial" w:cs="Arial" w:eastAsia="Arial" w:hAnsi="Arial"/>
                <w:sz w:val="11"/>
                <w:szCs w:val="11"/>
                <w:b w:val="1"/>
                <w:bCs w:val="1"/>
                <w:color w:val="auto"/>
                <w:w w:val="86"/>
              </w:rPr>
              <w:t>Basis Point</w:t>
            </w: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gridSpan w:val="2"/>
            <w:vMerge w:val="restart"/>
          </w:tcPr>
          <w:p>
            <w:pPr>
              <w:jc w:val="right"/>
              <w:ind w:right="346"/>
              <w:spacing w:after="0"/>
              <w:rPr>
                <w:sz w:val="20"/>
                <w:szCs w:val="20"/>
                <w:color w:val="auto"/>
              </w:rPr>
            </w:pPr>
            <w:r>
              <w:rPr>
                <w:rFonts w:ascii="Arial" w:cs="Arial" w:eastAsia="Arial" w:hAnsi="Arial"/>
                <w:sz w:val="11"/>
                <w:szCs w:val="11"/>
                <w:b w:val="1"/>
                <w:bCs w:val="1"/>
                <w:color w:val="auto"/>
              </w:rPr>
              <w:t>Current</w:t>
            </w:r>
          </w:p>
        </w:tc>
        <w:tc>
          <w:tcPr>
            <w:tcW w:w="94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85"/>
              </w:rPr>
              <w:t>Spread</w:t>
            </w:r>
          </w:p>
        </w:tc>
        <w:tc>
          <w:tcPr>
            <w:tcW w:w="220" w:type="dxa"/>
            <w:vAlign w:val="bottom"/>
          </w:tcPr>
          <w:p>
            <w:pPr>
              <w:spacing w:after="0"/>
              <w:rPr>
                <w:sz w:val="9"/>
                <w:szCs w:val="9"/>
                <w:color w:val="auto"/>
              </w:rPr>
            </w:pPr>
          </w:p>
        </w:tc>
        <w:tc>
          <w:tcPr>
            <w:tcW w:w="720" w:type="dxa"/>
            <w:vAlign w:val="bottom"/>
            <w:vMerge w:val="restart"/>
          </w:tcPr>
          <w:p>
            <w:pPr>
              <w:jc w:val="right"/>
              <w:ind w:right="186"/>
              <w:spacing w:after="0"/>
              <w:rPr>
                <w:sz w:val="20"/>
                <w:szCs w:val="20"/>
                <w:color w:val="auto"/>
              </w:rPr>
            </w:pPr>
            <w:r>
              <w:rPr>
                <w:rFonts w:ascii="Arial" w:cs="Arial" w:eastAsia="Arial" w:hAnsi="Arial"/>
                <w:sz w:val="11"/>
                <w:szCs w:val="11"/>
                <w:b w:val="1"/>
                <w:bCs w:val="1"/>
                <w:color w:val="auto"/>
              </w:rPr>
              <w:t>Par /</w:t>
            </w: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1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Issuer Name</w:t>
            </w:r>
          </w:p>
        </w:tc>
        <w:tc>
          <w:tcPr>
            <w:tcW w:w="140" w:type="dxa"/>
            <w:vAlign w:val="bottom"/>
          </w:tcPr>
          <w:p>
            <w:pPr>
              <w:spacing w:after="0"/>
              <w:rPr>
                <w:sz w:val="9"/>
                <w:szCs w:val="9"/>
                <w:color w:val="auto"/>
              </w:rPr>
            </w:pPr>
          </w:p>
        </w:tc>
        <w:tc>
          <w:tcPr>
            <w:tcW w:w="62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8"/>
              </w:rPr>
              <w:t>Maturity</w:t>
            </w:r>
          </w:p>
        </w:tc>
        <w:tc>
          <w:tcPr>
            <w:tcW w:w="140" w:type="dxa"/>
            <w:vAlign w:val="bottom"/>
          </w:tcPr>
          <w:p>
            <w:pPr>
              <w:spacing w:after="0"/>
              <w:rPr>
                <w:sz w:val="9"/>
                <w:szCs w:val="9"/>
                <w:color w:val="auto"/>
              </w:rPr>
            </w:pPr>
          </w:p>
        </w:tc>
        <w:tc>
          <w:tcPr>
            <w:tcW w:w="224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2"/>
              </w:rPr>
              <w:t>Industry</w:t>
            </w:r>
          </w:p>
        </w:tc>
        <w:tc>
          <w:tcPr>
            <w:tcW w:w="12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94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89"/>
              </w:rPr>
              <w:t>Above</w:t>
            </w:r>
          </w:p>
        </w:tc>
        <w:tc>
          <w:tcPr>
            <w:tcW w:w="2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vMerge w:val="restart"/>
          </w:tcPr>
          <w:p>
            <w:pPr>
              <w:jc w:val="right"/>
              <w:ind w:right="206"/>
              <w:spacing w:after="0"/>
              <w:rPr>
                <w:sz w:val="20"/>
                <w:szCs w:val="20"/>
                <w:color w:val="auto"/>
              </w:rPr>
            </w:pPr>
            <w:r>
              <w:rPr>
                <w:rFonts w:ascii="Arial" w:cs="Arial" w:eastAsia="Arial" w:hAnsi="Arial"/>
                <w:sz w:val="11"/>
                <w:szCs w:val="11"/>
                <w:b w:val="1"/>
                <w:bCs w:val="1"/>
                <w:color w:val="auto"/>
              </w:rPr>
              <w:t>Cost</w:t>
            </w:r>
          </w:p>
        </w:tc>
        <w:tc>
          <w:tcPr>
            <w:tcW w:w="220" w:type="dxa"/>
            <w:vAlign w:val="bottom"/>
          </w:tcPr>
          <w:p>
            <w:pPr>
              <w:spacing w:after="0"/>
              <w:rPr>
                <w:sz w:val="9"/>
                <w:szCs w:val="9"/>
                <w:color w:val="auto"/>
              </w:rPr>
            </w:pPr>
          </w:p>
        </w:tc>
        <w:tc>
          <w:tcPr>
            <w:tcW w:w="800" w:type="dxa"/>
            <w:vAlign w:val="bottom"/>
            <w:gridSpan w:val="3"/>
            <w:vMerge w:val="restart"/>
          </w:tcPr>
          <w:p>
            <w:pPr>
              <w:jc w:val="right"/>
              <w:ind w:right="160"/>
              <w:spacing w:after="0"/>
              <w:rPr>
                <w:sz w:val="20"/>
                <w:szCs w:val="20"/>
                <w:color w:val="auto"/>
              </w:rPr>
            </w:pPr>
            <w:r>
              <w:rPr>
                <w:rFonts w:ascii="Arial" w:cs="Arial" w:eastAsia="Arial" w:hAnsi="Arial"/>
                <w:sz w:val="11"/>
                <w:szCs w:val="11"/>
                <w:b w:val="1"/>
                <w:bCs w:val="1"/>
                <w:color w:val="auto"/>
                <w:w w:val="92"/>
              </w:rPr>
              <w:t xml:space="preserve">Fair Value </w:t>
            </w:r>
            <w:r>
              <w:rPr>
                <w:rFonts w:ascii="Arial" w:cs="Arial" w:eastAsia="Arial" w:hAnsi="Arial"/>
                <w:sz w:val="14"/>
                <w:szCs w:val="14"/>
                <w:b w:val="1"/>
                <w:bCs w:val="1"/>
                <w:color w:val="auto"/>
                <w:w w:val="92"/>
                <w:vertAlign w:val="superscript"/>
              </w:rPr>
              <w:t>(2)</w:t>
            </w:r>
          </w:p>
        </w:tc>
        <w:tc>
          <w:tcPr>
            <w:tcW w:w="0" w:type="dxa"/>
            <w:vAlign w:val="bottom"/>
          </w:tcPr>
          <w:p>
            <w:pPr>
              <w:spacing w:after="0"/>
              <w:rPr>
                <w:sz w:val="1"/>
                <w:szCs w:val="1"/>
                <w:color w:val="auto"/>
              </w:rPr>
            </w:pPr>
          </w:p>
        </w:tc>
      </w:tr>
      <w:tr>
        <w:trPr>
          <w:trHeight w:val="148"/>
        </w:trPr>
        <w:tc>
          <w:tcPr>
            <w:tcW w:w="31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2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346"/>
              <w:spacing w:after="0"/>
              <w:rPr>
                <w:sz w:val="20"/>
                <w:szCs w:val="20"/>
                <w:color w:val="auto"/>
              </w:rPr>
            </w:pPr>
            <w:r>
              <w:rPr>
                <w:rFonts w:ascii="Arial" w:cs="Arial" w:eastAsia="Arial" w:hAnsi="Arial"/>
                <w:sz w:val="11"/>
                <w:szCs w:val="11"/>
                <w:b w:val="1"/>
                <w:bCs w:val="1"/>
                <w:color w:val="auto"/>
              </w:rPr>
              <w:t>Coupon</w:t>
            </w:r>
          </w:p>
        </w:tc>
        <w:tc>
          <w:tcPr>
            <w:tcW w:w="940" w:type="dxa"/>
            <w:vAlign w:val="bottom"/>
          </w:tcPr>
          <w:p>
            <w:pPr>
              <w:jc w:val="center"/>
              <w:spacing w:after="0" w:line="149" w:lineRule="exact"/>
              <w:rPr>
                <w:sz w:val="20"/>
                <w:szCs w:val="20"/>
                <w:color w:val="auto"/>
              </w:rPr>
            </w:pPr>
            <w:r>
              <w:rPr>
                <w:rFonts w:ascii="Arial" w:cs="Arial" w:eastAsia="Arial" w:hAnsi="Arial"/>
                <w:sz w:val="11"/>
                <w:szCs w:val="11"/>
                <w:b w:val="1"/>
                <w:bCs w:val="1"/>
                <w:color w:val="auto"/>
                <w:w w:val="83"/>
              </w:rPr>
              <w:t xml:space="preserve">Index </w:t>
            </w:r>
            <w:r>
              <w:rPr>
                <w:rFonts w:ascii="Arial" w:cs="Arial" w:eastAsia="Arial" w:hAnsi="Arial"/>
                <w:sz w:val="14"/>
                <w:szCs w:val="14"/>
                <w:b w:val="1"/>
                <w:bCs w:val="1"/>
                <w:color w:val="auto"/>
                <w:w w:val="83"/>
                <w:vertAlign w:val="superscript"/>
              </w:rPr>
              <w:t>(1)</w:t>
            </w:r>
          </w:p>
        </w:tc>
        <w:tc>
          <w:tcPr>
            <w:tcW w:w="220" w:type="dxa"/>
            <w:vAlign w:val="bottom"/>
          </w:tcPr>
          <w:p>
            <w:pPr>
              <w:spacing w:after="0"/>
              <w:rPr>
                <w:sz w:val="12"/>
                <w:szCs w:val="12"/>
                <w:color w:val="auto"/>
              </w:rPr>
            </w:pPr>
          </w:p>
        </w:tc>
        <w:tc>
          <w:tcPr>
            <w:tcW w:w="720" w:type="dxa"/>
            <w:vAlign w:val="bottom"/>
          </w:tcPr>
          <w:p>
            <w:pPr>
              <w:jc w:val="right"/>
              <w:ind w:right="126"/>
              <w:spacing w:after="0"/>
              <w:rPr>
                <w:sz w:val="20"/>
                <w:szCs w:val="20"/>
                <w:color w:val="auto"/>
              </w:rPr>
            </w:pPr>
            <w:r>
              <w:rPr>
                <w:rFonts w:ascii="Arial" w:cs="Arial" w:eastAsia="Arial" w:hAnsi="Arial"/>
                <w:sz w:val="11"/>
                <w:szCs w:val="11"/>
                <w:b w:val="1"/>
                <w:bCs w:val="1"/>
                <w:color w:val="auto"/>
              </w:rPr>
              <w:t>Shares</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3180" w:type="dxa"/>
            <w:vAlign w:val="bottom"/>
            <w:tcBorders>
              <w:top w:val="single" w:sz="8" w:color="auto"/>
            </w:tcBorders>
          </w:tcPr>
          <w:p>
            <w:pPr>
              <w:ind w:left="20"/>
              <w:spacing w:after="0" w:line="99" w:lineRule="exact"/>
              <w:rPr>
                <w:sz w:val="20"/>
                <w:szCs w:val="20"/>
                <w:color w:val="auto"/>
              </w:rPr>
            </w:pPr>
            <w:r>
              <w:rPr>
                <w:rFonts w:ascii="Arial" w:cs="Arial" w:eastAsia="Arial" w:hAnsi="Arial"/>
                <w:sz w:val="11"/>
                <w:szCs w:val="11"/>
                <w:color w:val="auto"/>
              </w:rPr>
              <w:t>IMIA Holdings, Inc.</w:t>
            </w:r>
          </w:p>
        </w:tc>
        <w:tc>
          <w:tcPr>
            <w:tcW w:w="140" w:type="dxa"/>
            <w:vAlign w:val="bottom"/>
          </w:tcPr>
          <w:p>
            <w:pPr>
              <w:spacing w:after="0"/>
              <w:rPr>
                <w:sz w:val="8"/>
                <w:szCs w:val="8"/>
                <w:color w:val="auto"/>
              </w:rPr>
            </w:pPr>
          </w:p>
        </w:tc>
        <w:tc>
          <w:tcPr>
            <w:tcW w:w="620" w:type="dxa"/>
            <w:vAlign w:val="bottom"/>
            <w:tcBorders>
              <w:top w:val="single" w:sz="8" w:color="auto"/>
            </w:tcBorders>
          </w:tcPr>
          <w:p>
            <w:pPr>
              <w:jc w:val="center"/>
              <w:spacing w:after="0" w:line="99" w:lineRule="exact"/>
              <w:rPr>
                <w:sz w:val="20"/>
                <w:szCs w:val="20"/>
                <w:color w:val="auto"/>
              </w:rPr>
            </w:pPr>
            <w:r>
              <w:rPr>
                <w:rFonts w:ascii="Arial" w:cs="Arial" w:eastAsia="Arial" w:hAnsi="Arial"/>
                <w:sz w:val="11"/>
                <w:szCs w:val="11"/>
                <w:color w:val="auto"/>
                <w:w w:val="90"/>
              </w:rPr>
              <w:t>04/09/2027</w:t>
            </w:r>
          </w:p>
        </w:tc>
        <w:tc>
          <w:tcPr>
            <w:tcW w:w="140" w:type="dxa"/>
            <w:vAlign w:val="bottom"/>
          </w:tcPr>
          <w:p>
            <w:pPr>
              <w:spacing w:after="0"/>
              <w:rPr>
                <w:sz w:val="8"/>
                <w:szCs w:val="8"/>
                <w:color w:val="auto"/>
              </w:rPr>
            </w:pPr>
          </w:p>
        </w:tc>
        <w:tc>
          <w:tcPr>
            <w:tcW w:w="2240" w:type="dxa"/>
            <w:vAlign w:val="bottom"/>
            <w:tcBorders>
              <w:top w:val="single" w:sz="8" w:color="auto"/>
            </w:tcBorders>
          </w:tcPr>
          <w:p>
            <w:pPr>
              <w:jc w:val="center"/>
              <w:spacing w:after="0" w:line="99" w:lineRule="exact"/>
              <w:rPr>
                <w:sz w:val="20"/>
                <w:szCs w:val="20"/>
                <w:color w:val="auto"/>
              </w:rPr>
            </w:pPr>
            <w:r>
              <w:rPr>
                <w:rFonts w:ascii="Arial" w:cs="Arial" w:eastAsia="Arial" w:hAnsi="Arial"/>
                <w:sz w:val="11"/>
                <w:szCs w:val="11"/>
                <w:color w:val="auto"/>
                <w:w w:val="86"/>
              </w:rPr>
              <w:t>Aerospace and Defense</w:t>
            </w:r>
          </w:p>
        </w:tc>
        <w:tc>
          <w:tcPr>
            <w:tcW w:w="120" w:type="dxa"/>
            <w:vAlign w:val="bottom"/>
          </w:tcPr>
          <w:p>
            <w:pPr>
              <w:spacing w:after="0"/>
              <w:rPr>
                <w:sz w:val="8"/>
                <w:szCs w:val="8"/>
                <w:color w:val="auto"/>
              </w:rPr>
            </w:pPr>
          </w:p>
        </w:tc>
        <w:tc>
          <w:tcPr>
            <w:tcW w:w="720" w:type="dxa"/>
            <w:vAlign w:val="bottom"/>
            <w:tcBorders>
              <w:top w:val="single" w:sz="8" w:color="auto"/>
            </w:tcBorders>
          </w:tcPr>
          <w:p>
            <w:pPr>
              <w:jc w:val="right"/>
              <w:spacing w:after="0" w:line="99" w:lineRule="exact"/>
              <w:rPr>
                <w:sz w:val="20"/>
                <w:szCs w:val="20"/>
                <w:color w:val="auto"/>
              </w:rPr>
            </w:pPr>
            <w:r>
              <w:rPr>
                <w:rFonts w:ascii="Arial" w:cs="Arial" w:eastAsia="Arial" w:hAnsi="Arial"/>
                <w:sz w:val="11"/>
                <w:szCs w:val="11"/>
                <w:color w:val="auto"/>
              </w:rPr>
              <w:t>6.75</w:t>
            </w:r>
          </w:p>
        </w:tc>
        <w:tc>
          <w:tcPr>
            <w:tcW w:w="240" w:type="dxa"/>
            <w:vAlign w:val="bottom"/>
          </w:tcPr>
          <w:p>
            <w:pPr>
              <w:jc w:val="right"/>
              <w:ind w:right="86"/>
              <w:spacing w:after="0" w:line="99" w:lineRule="exact"/>
              <w:rPr>
                <w:sz w:val="20"/>
                <w:szCs w:val="20"/>
                <w:color w:val="auto"/>
              </w:rPr>
            </w:pPr>
            <w:r>
              <w:rPr>
                <w:rFonts w:ascii="Arial" w:cs="Arial" w:eastAsia="Arial" w:hAnsi="Arial"/>
                <w:sz w:val="11"/>
                <w:szCs w:val="11"/>
                <w:color w:val="auto"/>
                <w:w w:val="81"/>
              </w:rPr>
              <w:t>%</w:t>
            </w:r>
          </w:p>
        </w:tc>
        <w:tc>
          <w:tcPr>
            <w:tcW w:w="940" w:type="dxa"/>
            <w:vAlign w:val="bottom"/>
            <w:tcBorders>
              <w:top w:val="single" w:sz="8" w:color="auto"/>
            </w:tcBorders>
          </w:tcPr>
          <w:p>
            <w:pPr>
              <w:jc w:val="right"/>
              <w:spacing w:after="0" w:line="99" w:lineRule="exact"/>
              <w:rPr>
                <w:sz w:val="20"/>
                <w:szCs w:val="20"/>
                <w:color w:val="auto"/>
              </w:rPr>
            </w:pPr>
            <w:r>
              <w:rPr>
                <w:rFonts w:ascii="Arial" w:cs="Arial" w:eastAsia="Arial" w:hAnsi="Arial"/>
                <w:sz w:val="11"/>
                <w:szCs w:val="11"/>
                <w:color w:val="auto"/>
              </w:rPr>
              <w:t>3M L+600</w:t>
            </w:r>
          </w:p>
        </w:tc>
        <w:tc>
          <w:tcPr>
            <w:tcW w:w="220" w:type="dxa"/>
            <w:vAlign w:val="bottom"/>
          </w:tcPr>
          <w:p>
            <w:pPr>
              <w:spacing w:after="0"/>
              <w:rPr>
                <w:sz w:val="8"/>
                <w:szCs w:val="8"/>
                <w:color w:val="auto"/>
              </w:rPr>
            </w:pPr>
          </w:p>
        </w:tc>
        <w:tc>
          <w:tcPr>
            <w:tcW w:w="720" w:type="dxa"/>
            <w:vAlign w:val="bottom"/>
            <w:tcBorders>
              <w:top w:val="single" w:sz="8" w:color="auto"/>
            </w:tcBorders>
          </w:tcPr>
          <w:p>
            <w:pPr>
              <w:jc w:val="right"/>
              <w:spacing w:after="0" w:line="99" w:lineRule="exact"/>
              <w:rPr>
                <w:sz w:val="20"/>
                <w:szCs w:val="20"/>
                <w:color w:val="auto"/>
              </w:rPr>
            </w:pPr>
            <w:r>
              <w:rPr>
                <w:rFonts w:ascii="Arial" w:cs="Arial" w:eastAsia="Arial" w:hAnsi="Arial"/>
                <w:sz w:val="11"/>
                <w:szCs w:val="11"/>
                <w:color w:val="auto"/>
              </w:rPr>
              <w:t>13,144</w:t>
            </w:r>
          </w:p>
        </w:tc>
        <w:tc>
          <w:tcPr>
            <w:tcW w:w="240" w:type="dxa"/>
            <w:vAlign w:val="bottom"/>
          </w:tcPr>
          <w:p>
            <w:pPr>
              <w:spacing w:after="0"/>
              <w:rPr>
                <w:sz w:val="8"/>
                <w:szCs w:val="8"/>
                <w:color w:val="auto"/>
              </w:rPr>
            </w:pPr>
          </w:p>
        </w:tc>
        <w:tc>
          <w:tcPr>
            <w:tcW w:w="140" w:type="dxa"/>
            <w:vAlign w:val="bottom"/>
            <w:tcBorders>
              <w:top w:val="single" w:sz="8" w:color="auto"/>
            </w:tcBorders>
          </w:tcPr>
          <w:p>
            <w:pPr>
              <w:jc w:val="right"/>
              <w:ind w:right="31"/>
              <w:spacing w:after="0" w:line="99" w:lineRule="exact"/>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tcPr>
          <w:p>
            <w:pPr>
              <w:jc w:val="right"/>
              <w:spacing w:after="0" w:line="99" w:lineRule="exact"/>
              <w:rPr>
                <w:sz w:val="20"/>
                <w:szCs w:val="20"/>
                <w:color w:val="auto"/>
              </w:rPr>
            </w:pPr>
            <w:r>
              <w:rPr>
                <w:rFonts w:ascii="Arial" w:cs="Arial" w:eastAsia="Arial" w:hAnsi="Arial"/>
                <w:sz w:val="11"/>
                <w:szCs w:val="11"/>
                <w:color w:val="auto"/>
              </w:rPr>
              <w:t>12,904</w:t>
            </w:r>
          </w:p>
        </w:tc>
        <w:tc>
          <w:tcPr>
            <w:tcW w:w="220" w:type="dxa"/>
            <w:vAlign w:val="bottom"/>
          </w:tcPr>
          <w:p>
            <w:pPr>
              <w:spacing w:after="0"/>
              <w:rPr>
                <w:sz w:val="8"/>
                <w:szCs w:val="8"/>
                <w:color w:val="auto"/>
              </w:rPr>
            </w:pPr>
          </w:p>
        </w:tc>
        <w:tc>
          <w:tcPr>
            <w:tcW w:w="220" w:type="dxa"/>
            <w:vAlign w:val="bottom"/>
            <w:tcBorders>
              <w:top w:val="single" w:sz="8" w:color="auto"/>
            </w:tcBorders>
          </w:tcPr>
          <w:p>
            <w:pPr>
              <w:jc w:val="right"/>
              <w:ind w:right="86"/>
              <w:spacing w:after="0" w:line="99" w:lineRule="exact"/>
              <w:rPr>
                <w:sz w:val="20"/>
                <w:szCs w:val="20"/>
                <w:color w:val="auto"/>
              </w:rPr>
            </w:pPr>
            <w:r>
              <w:rPr>
                <w:rFonts w:ascii="Arial" w:cs="Arial" w:eastAsia="Arial" w:hAnsi="Arial"/>
                <w:sz w:val="11"/>
                <w:szCs w:val="11"/>
                <w:color w:val="auto"/>
                <w:w w:val="97"/>
              </w:rPr>
              <w:t>$</w:t>
            </w:r>
          </w:p>
        </w:tc>
        <w:tc>
          <w:tcPr>
            <w:tcW w:w="480" w:type="dxa"/>
            <w:vAlign w:val="bottom"/>
            <w:tcBorders>
              <w:top w:val="single" w:sz="8" w:color="auto"/>
            </w:tcBorders>
          </w:tcPr>
          <w:p>
            <w:pPr>
              <w:jc w:val="right"/>
              <w:spacing w:after="0" w:line="99" w:lineRule="exact"/>
              <w:rPr>
                <w:sz w:val="20"/>
                <w:szCs w:val="20"/>
                <w:color w:val="auto"/>
              </w:rPr>
            </w:pPr>
            <w:r>
              <w:rPr>
                <w:rFonts w:ascii="Arial" w:cs="Arial" w:eastAsia="Arial" w:hAnsi="Arial"/>
                <w:sz w:val="11"/>
                <w:szCs w:val="11"/>
                <w:color w:val="auto"/>
              </w:rPr>
              <w:t>12,881</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318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IMIA Holdings, Inc. (Revolver) </w:t>
            </w:r>
            <w:r>
              <w:rPr>
                <w:rFonts w:ascii="Arial" w:cs="Arial" w:eastAsia="Arial" w:hAnsi="Arial"/>
                <w:sz w:val="14"/>
                <w:szCs w:val="14"/>
                <w:color w:val="auto"/>
                <w:vertAlign w:val="superscript"/>
              </w:rPr>
              <w:t>(7), (9)</w:t>
            </w:r>
          </w:p>
        </w:tc>
        <w:tc>
          <w:tcPr>
            <w:tcW w:w="76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04/09/2027</w:t>
            </w:r>
          </w:p>
        </w:tc>
        <w:tc>
          <w:tcPr>
            <w:tcW w:w="140" w:type="dxa"/>
            <w:vAlign w:val="bottom"/>
          </w:tcPr>
          <w:p>
            <w:pPr>
              <w:spacing w:after="0"/>
              <w:rPr>
                <w:sz w:val="11"/>
                <w:szCs w:val="11"/>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86"/>
              </w:rPr>
              <w:t>Aerospace and Defense</w:t>
            </w:r>
          </w:p>
        </w:tc>
        <w:tc>
          <w:tcPr>
            <w:tcW w:w="120" w:type="dxa"/>
            <w:vAlign w:val="bottom"/>
          </w:tcPr>
          <w:p>
            <w:pPr>
              <w:spacing w:after="0"/>
              <w:rPr>
                <w:sz w:val="11"/>
                <w:szCs w:val="11"/>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2,343</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auto"/>
              </w:rPr>
              <w:t>(47 )</w:t>
            </w:r>
          </w:p>
        </w:tc>
        <w:tc>
          <w:tcPr>
            <w:tcW w:w="0" w:type="dxa"/>
            <w:vAlign w:val="bottom"/>
          </w:tcPr>
          <w:p>
            <w:pPr>
              <w:spacing w:after="0"/>
              <w:rPr>
                <w:sz w:val="1"/>
                <w:szCs w:val="1"/>
                <w:color w:val="auto"/>
              </w:rPr>
            </w:pPr>
          </w:p>
        </w:tc>
      </w:tr>
      <w:tr>
        <w:trPr>
          <w:trHeight w:val="135"/>
        </w:trPr>
        <w:tc>
          <w:tcPr>
            <w:tcW w:w="318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Innova Medical Ophthalmics Inc. </w:t>
            </w:r>
            <w:r>
              <w:rPr>
                <w:rFonts w:ascii="Arial" w:cs="Arial" w:eastAsia="Arial" w:hAnsi="Arial"/>
                <w:sz w:val="14"/>
                <w:szCs w:val="14"/>
                <w:color w:val="auto"/>
                <w:vertAlign w:val="superscript"/>
              </w:rPr>
              <w:t>(5), (10)</w:t>
            </w:r>
          </w:p>
        </w:tc>
        <w:tc>
          <w:tcPr>
            <w:tcW w:w="76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04/13/2023</w:t>
            </w:r>
          </w:p>
        </w:tc>
        <w:tc>
          <w:tcPr>
            <w:tcW w:w="140" w:type="dxa"/>
            <w:vAlign w:val="bottom"/>
          </w:tcPr>
          <w:p>
            <w:pPr>
              <w:spacing w:after="0"/>
              <w:rPr>
                <w:sz w:val="11"/>
                <w:szCs w:val="11"/>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91"/>
              </w:rPr>
              <w:t>Capital Equipment</w:t>
            </w:r>
          </w:p>
        </w:tc>
        <w:tc>
          <w:tcPr>
            <w:tcW w:w="1080" w:type="dxa"/>
            <w:vAlign w:val="bottom"/>
            <w:gridSpan w:val="3"/>
          </w:tcPr>
          <w:p>
            <w:pPr>
              <w:jc w:val="right"/>
              <w:ind w:right="86"/>
              <w:spacing w:after="0"/>
              <w:rPr>
                <w:sz w:val="20"/>
                <w:szCs w:val="20"/>
                <w:color w:val="auto"/>
              </w:rPr>
            </w:pPr>
            <w:r>
              <w:rPr>
                <w:rFonts w:ascii="Arial" w:cs="Arial" w:eastAsia="Arial" w:hAnsi="Arial"/>
                <w:sz w:val="11"/>
                <w:szCs w:val="11"/>
                <w:color w:val="auto"/>
              </w:rPr>
              <w:t>7.25 %</w:t>
            </w:r>
          </w:p>
        </w:tc>
        <w:tc>
          <w:tcPr>
            <w:tcW w:w="940" w:type="dxa"/>
            <w:vAlign w:val="bottom"/>
          </w:tcPr>
          <w:p>
            <w:pPr>
              <w:jc w:val="right"/>
              <w:spacing w:after="0"/>
              <w:rPr>
                <w:sz w:val="20"/>
                <w:szCs w:val="20"/>
                <w:color w:val="auto"/>
              </w:rPr>
            </w:pPr>
            <w:r>
              <w:rPr>
                <w:rFonts w:ascii="Arial" w:cs="Arial" w:eastAsia="Arial" w:hAnsi="Arial"/>
                <w:sz w:val="11"/>
                <w:szCs w:val="11"/>
                <w:color w:val="auto"/>
              </w:rPr>
              <w:t>3M L+625</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3,253</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3,234</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3,253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18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Innova Medical Ophthalmics Inc. (Revolver) </w:t>
            </w:r>
            <w:r>
              <w:rPr>
                <w:rFonts w:ascii="Arial" w:cs="Arial" w:eastAsia="Arial" w:hAnsi="Arial"/>
                <w:sz w:val="14"/>
                <w:szCs w:val="14"/>
                <w:color w:val="auto"/>
                <w:vertAlign w:val="superscript"/>
              </w:rPr>
              <w:t>(5), (7), (10)</w:t>
            </w:r>
          </w:p>
        </w:tc>
        <w:tc>
          <w:tcPr>
            <w:tcW w:w="76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04/13/2023</w:t>
            </w:r>
          </w:p>
        </w:tc>
        <w:tc>
          <w:tcPr>
            <w:tcW w:w="140" w:type="dxa"/>
            <w:vAlign w:val="bottom"/>
          </w:tcPr>
          <w:p>
            <w:pPr>
              <w:spacing w:after="0"/>
              <w:rPr>
                <w:sz w:val="13"/>
                <w:szCs w:val="13"/>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91"/>
              </w:rPr>
              <w:t>Capital Equipment</w:t>
            </w:r>
          </w:p>
        </w:tc>
        <w:tc>
          <w:tcPr>
            <w:tcW w:w="1080" w:type="dxa"/>
            <w:vAlign w:val="bottom"/>
            <w:gridSpan w:val="3"/>
          </w:tcPr>
          <w:p>
            <w:pPr>
              <w:jc w:val="right"/>
              <w:ind w:right="86"/>
              <w:spacing w:after="0"/>
              <w:rPr>
                <w:sz w:val="20"/>
                <w:szCs w:val="20"/>
                <w:color w:val="auto"/>
              </w:rPr>
            </w:pPr>
            <w:r>
              <w:rPr>
                <w:rFonts w:ascii="Arial" w:cs="Arial" w:eastAsia="Arial" w:hAnsi="Arial"/>
                <w:sz w:val="11"/>
                <w:szCs w:val="11"/>
                <w:color w:val="auto"/>
              </w:rPr>
              <w:t>7.25 %</w:t>
            </w:r>
          </w:p>
        </w:tc>
        <w:tc>
          <w:tcPr>
            <w:tcW w:w="940" w:type="dxa"/>
            <w:vAlign w:val="bottom"/>
          </w:tcPr>
          <w:p>
            <w:pPr>
              <w:jc w:val="right"/>
              <w:spacing w:after="0"/>
              <w:rPr>
                <w:sz w:val="20"/>
                <w:szCs w:val="20"/>
                <w:color w:val="auto"/>
              </w:rPr>
            </w:pPr>
            <w:r>
              <w:rPr>
                <w:rFonts w:ascii="Arial" w:cs="Arial" w:eastAsia="Arial" w:hAnsi="Arial"/>
                <w:sz w:val="11"/>
                <w:szCs w:val="11"/>
                <w:color w:val="auto"/>
              </w:rPr>
              <w:t>3M L+625</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534</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534</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534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3180" w:type="dxa"/>
            <w:vAlign w:val="bottom"/>
          </w:tcPr>
          <w:p>
            <w:pPr>
              <w:ind w:left="20"/>
              <w:spacing w:after="0" w:line="115" w:lineRule="exact"/>
              <w:rPr>
                <w:sz w:val="20"/>
                <w:szCs w:val="20"/>
                <w:color w:val="auto"/>
              </w:rPr>
            </w:pPr>
            <w:r>
              <w:rPr>
                <w:rFonts w:ascii="Arial" w:cs="Arial" w:eastAsia="Arial" w:hAnsi="Arial"/>
                <w:sz w:val="11"/>
                <w:szCs w:val="11"/>
                <w:color w:val="auto"/>
              </w:rPr>
              <w:t>Integrative Nutrition, LLC</w:t>
            </w:r>
          </w:p>
        </w:tc>
        <w:tc>
          <w:tcPr>
            <w:tcW w:w="760" w:type="dxa"/>
            <w:vAlign w:val="bottom"/>
            <w:gridSpan w:val="2"/>
          </w:tcPr>
          <w:p>
            <w:pPr>
              <w:jc w:val="center"/>
              <w:ind w:left="86"/>
              <w:spacing w:after="0" w:line="115" w:lineRule="exact"/>
              <w:rPr>
                <w:sz w:val="20"/>
                <w:szCs w:val="20"/>
                <w:color w:val="auto"/>
              </w:rPr>
            </w:pPr>
            <w:r>
              <w:rPr>
                <w:rFonts w:ascii="Arial" w:cs="Arial" w:eastAsia="Arial" w:hAnsi="Arial"/>
                <w:sz w:val="11"/>
                <w:szCs w:val="11"/>
                <w:color w:val="auto"/>
                <w:w w:val="90"/>
              </w:rPr>
              <w:t>09/29/2023</w:t>
            </w:r>
          </w:p>
        </w:tc>
        <w:tc>
          <w:tcPr>
            <w:tcW w:w="140" w:type="dxa"/>
            <w:vAlign w:val="bottom"/>
          </w:tcPr>
          <w:p>
            <w:pPr>
              <w:spacing w:after="0"/>
              <w:rPr>
                <w:sz w:val="9"/>
                <w:szCs w:val="9"/>
                <w:color w:val="auto"/>
              </w:rPr>
            </w:pPr>
          </w:p>
        </w:tc>
        <w:tc>
          <w:tcPr>
            <w:tcW w:w="2240" w:type="dxa"/>
            <w:vAlign w:val="bottom"/>
          </w:tcPr>
          <w:p>
            <w:pPr>
              <w:jc w:val="center"/>
              <w:spacing w:after="0" w:line="115" w:lineRule="exact"/>
              <w:rPr>
                <w:sz w:val="20"/>
                <w:szCs w:val="20"/>
                <w:color w:val="auto"/>
              </w:rPr>
            </w:pPr>
            <w:r>
              <w:rPr>
                <w:rFonts w:ascii="Arial" w:cs="Arial" w:eastAsia="Arial" w:hAnsi="Arial"/>
                <w:sz w:val="11"/>
                <w:szCs w:val="11"/>
                <w:color w:val="auto"/>
                <w:w w:val="87"/>
              </w:rPr>
              <w:t>Consumer Services</w:t>
            </w:r>
          </w:p>
        </w:tc>
        <w:tc>
          <w:tcPr>
            <w:tcW w:w="1080" w:type="dxa"/>
            <w:vAlign w:val="bottom"/>
            <w:gridSpan w:val="3"/>
          </w:tcPr>
          <w:p>
            <w:pPr>
              <w:jc w:val="right"/>
              <w:ind w:right="86"/>
              <w:spacing w:after="0" w:line="115" w:lineRule="exact"/>
              <w:rPr>
                <w:sz w:val="20"/>
                <w:szCs w:val="20"/>
                <w:color w:val="auto"/>
              </w:rPr>
            </w:pPr>
            <w:r>
              <w:rPr>
                <w:rFonts w:ascii="Arial" w:cs="Arial" w:eastAsia="Arial" w:hAnsi="Arial"/>
                <w:sz w:val="11"/>
                <w:szCs w:val="11"/>
                <w:color w:val="auto"/>
              </w:rPr>
              <w:t>5.50 %</w:t>
            </w:r>
          </w:p>
        </w:tc>
        <w:tc>
          <w:tcPr>
            <w:tcW w:w="940" w:type="dxa"/>
            <w:vAlign w:val="bottom"/>
          </w:tcPr>
          <w:p>
            <w:pPr>
              <w:jc w:val="right"/>
              <w:spacing w:after="0" w:line="115" w:lineRule="exact"/>
              <w:rPr>
                <w:sz w:val="20"/>
                <w:szCs w:val="20"/>
                <w:color w:val="auto"/>
              </w:rPr>
            </w:pPr>
            <w:r>
              <w:rPr>
                <w:rFonts w:ascii="Arial" w:cs="Arial" w:eastAsia="Arial" w:hAnsi="Arial"/>
                <w:sz w:val="11"/>
                <w:szCs w:val="11"/>
                <w:color w:val="auto"/>
              </w:rPr>
              <w:t>3M L+450</w:t>
            </w:r>
          </w:p>
        </w:tc>
        <w:tc>
          <w:tcPr>
            <w:tcW w:w="94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16,167</w:t>
            </w: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jc w:val="right"/>
              <w:spacing w:after="0" w:line="115" w:lineRule="exact"/>
              <w:rPr>
                <w:sz w:val="20"/>
                <w:szCs w:val="20"/>
                <w:color w:val="auto"/>
              </w:rPr>
            </w:pPr>
            <w:r>
              <w:rPr>
                <w:rFonts w:ascii="Arial" w:cs="Arial" w:eastAsia="Arial" w:hAnsi="Arial"/>
                <w:sz w:val="11"/>
                <w:szCs w:val="11"/>
                <w:color w:val="auto"/>
              </w:rPr>
              <w:t>16,095</w:t>
            </w: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jc w:val="right"/>
              <w:spacing w:after="0" w:line="115" w:lineRule="exact"/>
              <w:rPr>
                <w:sz w:val="20"/>
                <w:szCs w:val="20"/>
                <w:color w:val="auto"/>
              </w:rPr>
            </w:pPr>
            <w:r>
              <w:rPr>
                <w:rFonts w:ascii="Arial" w:cs="Arial" w:eastAsia="Arial" w:hAnsi="Arial"/>
                <w:sz w:val="11"/>
                <w:szCs w:val="11"/>
                <w:color w:val="auto"/>
              </w:rPr>
              <w:t>16,167</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18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Integrative Nutrition, LLC (Revolver) </w:t>
            </w:r>
            <w:r>
              <w:rPr>
                <w:rFonts w:ascii="Arial" w:cs="Arial" w:eastAsia="Arial" w:hAnsi="Arial"/>
                <w:sz w:val="14"/>
                <w:szCs w:val="14"/>
                <w:color w:val="auto"/>
                <w:vertAlign w:val="superscript"/>
              </w:rPr>
              <w:t>(7), (9)</w:t>
            </w:r>
          </w:p>
        </w:tc>
        <w:tc>
          <w:tcPr>
            <w:tcW w:w="76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09/29/2023</w:t>
            </w:r>
          </w:p>
        </w:tc>
        <w:tc>
          <w:tcPr>
            <w:tcW w:w="140" w:type="dxa"/>
            <w:vAlign w:val="bottom"/>
          </w:tcPr>
          <w:p>
            <w:pPr>
              <w:spacing w:after="0"/>
              <w:rPr>
                <w:sz w:val="11"/>
                <w:szCs w:val="11"/>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87"/>
              </w:rPr>
              <w:t>Consumer Services</w:t>
            </w:r>
          </w:p>
        </w:tc>
        <w:tc>
          <w:tcPr>
            <w:tcW w:w="120" w:type="dxa"/>
            <w:vAlign w:val="bottom"/>
          </w:tcPr>
          <w:p>
            <w:pPr>
              <w:spacing w:after="0"/>
              <w:rPr>
                <w:sz w:val="11"/>
                <w:szCs w:val="11"/>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5,000</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318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Integrity Marketing Acquisition, LLC </w:t>
            </w:r>
            <w:r>
              <w:rPr>
                <w:rFonts w:ascii="Arial" w:cs="Arial" w:eastAsia="Arial" w:hAnsi="Arial"/>
                <w:sz w:val="14"/>
                <w:szCs w:val="14"/>
                <w:color w:val="auto"/>
                <w:vertAlign w:val="superscript"/>
              </w:rPr>
              <w:t>(7)</w:t>
            </w:r>
          </w:p>
        </w:tc>
        <w:tc>
          <w:tcPr>
            <w:tcW w:w="76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08/27/2025</w:t>
            </w:r>
          </w:p>
        </w:tc>
        <w:tc>
          <w:tcPr>
            <w:tcW w:w="140" w:type="dxa"/>
            <w:vAlign w:val="bottom"/>
          </w:tcPr>
          <w:p>
            <w:pPr>
              <w:spacing w:after="0"/>
              <w:rPr>
                <w:sz w:val="11"/>
                <w:szCs w:val="11"/>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86"/>
              </w:rPr>
              <w:t>Insurance</w:t>
            </w:r>
          </w:p>
        </w:tc>
        <w:tc>
          <w:tcPr>
            <w:tcW w:w="1080" w:type="dxa"/>
            <w:vAlign w:val="bottom"/>
            <w:gridSpan w:val="3"/>
          </w:tcPr>
          <w:p>
            <w:pPr>
              <w:jc w:val="right"/>
              <w:ind w:right="86"/>
              <w:spacing w:after="0"/>
              <w:rPr>
                <w:sz w:val="20"/>
                <w:szCs w:val="20"/>
                <w:color w:val="auto"/>
              </w:rPr>
            </w:pPr>
            <w:r>
              <w:rPr>
                <w:rFonts w:ascii="Arial" w:cs="Arial" w:eastAsia="Arial" w:hAnsi="Arial"/>
                <w:sz w:val="11"/>
                <w:szCs w:val="11"/>
                <w:color w:val="auto"/>
              </w:rPr>
              <w:t>6.25 %</w:t>
            </w:r>
          </w:p>
        </w:tc>
        <w:tc>
          <w:tcPr>
            <w:tcW w:w="940" w:type="dxa"/>
            <w:vAlign w:val="bottom"/>
          </w:tcPr>
          <w:p>
            <w:pPr>
              <w:jc w:val="right"/>
              <w:spacing w:after="0"/>
              <w:rPr>
                <w:sz w:val="20"/>
                <w:szCs w:val="20"/>
                <w:color w:val="auto"/>
              </w:rPr>
            </w:pPr>
            <w:r>
              <w:rPr>
                <w:rFonts w:ascii="Arial" w:cs="Arial" w:eastAsia="Arial" w:hAnsi="Arial"/>
                <w:sz w:val="11"/>
                <w:szCs w:val="11"/>
                <w:color w:val="auto"/>
              </w:rPr>
              <w:t>3M L+550</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3,170</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3,147</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3,154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Integrity Marketing Acquisition, LLC </w:t>
            </w:r>
            <w:r>
              <w:rPr>
                <w:rFonts w:ascii="Arial" w:cs="Arial" w:eastAsia="Arial" w:hAnsi="Arial"/>
                <w:sz w:val="14"/>
                <w:szCs w:val="14"/>
                <w:color w:val="auto"/>
                <w:vertAlign w:val="superscript"/>
              </w:rPr>
              <w:t>(7), (9)</w:t>
            </w:r>
          </w:p>
        </w:tc>
        <w:tc>
          <w:tcPr>
            <w:tcW w:w="76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07/09/2023</w:t>
            </w:r>
          </w:p>
        </w:tc>
        <w:tc>
          <w:tcPr>
            <w:tcW w:w="140" w:type="dxa"/>
            <w:vAlign w:val="bottom"/>
          </w:tcPr>
          <w:p>
            <w:pPr>
              <w:spacing w:after="0"/>
              <w:rPr>
                <w:sz w:val="11"/>
                <w:szCs w:val="11"/>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86"/>
              </w:rPr>
              <w:t>Insurance</w:t>
            </w:r>
          </w:p>
        </w:tc>
        <w:tc>
          <w:tcPr>
            <w:tcW w:w="120" w:type="dxa"/>
            <w:vAlign w:val="bottom"/>
          </w:tcPr>
          <w:p>
            <w:pPr>
              <w:spacing w:after="0"/>
              <w:rPr>
                <w:sz w:val="11"/>
                <w:szCs w:val="11"/>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18,822</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47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K2 Pure Solutions NoCal, L.P. (Revolver) </w:t>
            </w:r>
            <w:r>
              <w:rPr>
                <w:rFonts w:ascii="Arial" w:cs="Arial" w:eastAsia="Arial" w:hAnsi="Arial"/>
                <w:sz w:val="14"/>
                <w:szCs w:val="14"/>
                <w:color w:val="auto"/>
                <w:vertAlign w:val="superscript"/>
              </w:rPr>
              <w:t>(7)</w:t>
            </w:r>
          </w:p>
        </w:tc>
        <w:tc>
          <w:tcPr>
            <w:tcW w:w="76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12/20/2023</w:t>
            </w:r>
          </w:p>
        </w:tc>
        <w:tc>
          <w:tcPr>
            <w:tcW w:w="140" w:type="dxa"/>
            <w:vAlign w:val="bottom"/>
          </w:tcPr>
          <w:p>
            <w:pPr>
              <w:spacing w:after="0"/>
              <w:rPr>
                <w:sz w:val="11"/>
                <w:szCs w:val="11"/>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88"/>
              </w:rPr>
              <w:t>Chemicals, Plastics and Rubber</w:t>
            </w:r>
          </w:p>
        </w:tc>
        <w:tc>
          <w:tcPr>
            <w:tcW w:w="1080" w:type="dxa"/>
            <w:vAlign w:val="bottom"/>
            <w:gridSpan w:val="3"/>
          </w:tcPr>
          <w:p>
            <w:pPr>
              <w:jc w:val="right"/>
              <w:ind w:right="86"/>
              <w:spacing w:after="0"/>
              <w:rPr>
                <w:sz w:val="20"/>
                <w:szCs w:val="20"/>
                <w:color w:val="auto"/>
              </w:rPr>
            </w:pPr>
            <w:r>
              <w:rPr>
                <w:rFonts w:ascii="Arial" w:cs="Arial" w:eastAsia="Arial" w:hAnsi="Arial"/>
                <w:sz w:val="11"/>
                <w:szCs w:val="11"/>
                <w:color w:val="auto"/>
              </w:rPr>
              <w:t>8.00 %</w:t>
            </w:r>
          </w:p>
        </w:tc>
        <w:tc>
          <w:tcPr>
            <w:tcW w:w="940" w:type="dxa"/>
            <w:vAlign w:val="bottom"/>
          </w:tcPr>
          <w:p>
            <w:pPr>
              <w:jc w:val="right"/>
              <w:spacing w:after="0"/>
              <w:rPr>
                <w:sz w:val="20"/>
                <w:szCs w:val="20"/>
                <w:color w:val="auto"/>
              </w:rPr>
            </w:pPr>
            <w:r>
              <w:rPr>
                <w:rFonts w:ascii="Arial" w:cs="Arial" w:eastAsia="Arial" w:hAnsi="Arial"/>
                <w:sz w:val="11"/>
                <w:szCs w:val="11"/>
                <w:color w:val="auto"/>
              </w:rPr>
              <w:t>1M L+700</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643</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643</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626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18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K2 Pure Solutions NoCal, L.P. (Revolver) </w:t>
            </w:r>
            <w:r>
              <w:rPr>
                <w:rFonts w:ascii="Arial" w:cs="Arial" w:eastAsia="Arial" w:hAnsi="Arial"/>
                <w:sz w:val="14"/>
                <w:szCs w:val="14"/>
                <w:color w:val="auto"/>
                <w:vertAlign w:val="superscript"/>
              </w:rPr>
              <w:t>(7), (9)</w:t>
            </w:r>
          </w:p>
        </w:tc>
        <w:tc>
          <w:tcPr>
            <w:tcW w:w="76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12/20/2023</w:t>
            </w:r>
          </w:p>
        </w:tc>
        <w:tc>
          <w:tcPr>
            <w:tcW w:w="140" w:type="dxa"/>
            <w:vAlign w:val="bottom"/>
          </w:tcPr>
          <w:p>
            <w:pPr>
              <w:spacing w:after="0"/>
              <w:rPr>
                <w:sz w:val="13"/>
                <w:szCs w:val="13"/>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88"/>
              </w:rPr>
              <w:t>Chemicals, Plastics and Rubber</w:t>
            </w:r>
          </w:p>
        </w:tc>
        <w:tc>
          <w:tcPr>
            <w:tcW w:w="120" w:type="dxa"/>
            <w:vAlign w:val="bottom"/>
          </w:tcPr>
          <w:p>
            <w:pPr>
              <w:spacing w:after="0"/>
              <w:rPr>
                <w:sz w:val="13"/>
                <w:szCs w:val="13"/>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786</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auto"/>
              </w:rPr>
              <w:t>(21 )</w:t>
            </w:r>
          </w:p>
        </w:tc>
        <w:tc>
          <w:tcPr>
            <w:tcW w:w="0" w:type="dxa"/>
            <w:vAlign w:val="bottom"/>
          </w:tcPr>
          <w:p>
            <w:pPr>
              <w:spacing w:after="0"/>
              <w:rPr>
                <w:sz w:val="1"/>
                <w:szCs w:val="1"/>
                <w:color w:val="auto"/>
              </w:rPr>
            </w:pPr>
          </w:p>
        </w:tc>
      </w:tr>
      <w:tr>
        <w:trPr>
          <w:trHeight w:val="115"/>
        </w:trPr>
        <w:tc>
          <w:tcPr>
            <w:tcW w:w="3180" w:type="dxa"/>
            <w:vAlign w:val="bottom"/>
          </w:tcPr>
          <w:p>
            <w:pPr>
              <w:ind w:left="20"/>
              <w:spacing w:after="0" w:line="115" w:lineRule="exact"/>
              <w:rPr>
                <w:sz w:val="20"/>
                <w:szCs w:val="20"/>
                <w:color w:val="auto"/>
              </w:rPr>
            </w:pPr>
            <w:r>
              <w:rPr>
                <w:rFonts w:ascii="Arial" w:cs="Arial" w:eastAsia="Arial" w:hAnsi="Arial"/>
                <w:sz w:val="11"/>
                <w:szCs w:val="11"/>
                <w:color w:val="auto"/>
              </w:rPr>
              <w:t>Lash OpCo, LLC</w:t>
            </w:r>
          </w:p>
        </w:tc>
        <w:tc>
          <w:tcPr>
            <w:tcW w:w="760" w:type="dxa"/>
            <w:vAlign w:val="bottom"/>
            <w:gridSpan w:val="2"/>
          </w:tcPr>
          <w:p>
            <w:pPr>
              <w:jc w:val="center"/>
              <w:ind w:left="86"/>
              <w:spacing w:after="0" w:line="115" w:lineRule="exact"/>
              <w:rPr>
                <w:sz w:val="20"/>
                <w:szCs w:val="20"/>
                <w:color w:val="auto"/>
              </w:rPr>
            </w:pPr>
            <w:r>
              <w:rPr>
                <w:rFonts w:ascii="Arial" w:cs="Arial" w:eastAsia="Arial" w:hAnsi="Arial"/>
                <w:sz w:val="11"/>
                <w:szCs w:val="11"/>
                <w:color w:val="auto"/>
                <w:w w:val="90"/>
              </w:rPr>
              <w:t>02/18/2027</w:t>
            </w:r>
          </w:p>
        </w:tc>
        <w:tc>
          <w:tcPr>
            <w:tcW w:w="140" w:type="dxa"/>
            <w:vAlign w:val="bottom"/>
          </w:tcPr>
          <w:p>
            <w:pPr>
              <w:spacing w:after="0"/>
              <w:rPr>
                <w:sz w:val="9"/>
                <w:szCs w:val="9"/>
                <w:color w:val="auto"/>
              </w:rPr>
            </w:pPr>
          </w:p>
        </w:tc>
        <w:tc>
          <w:tcPr>
            <w:tcW w:w="2240" w:type="dxa"/>
            <w:vAlign w:val="bottom"/>
          </w:tcPr>
          <w:p>
            <w:pPr>
              <w:jc w:val="center"/>
              <w:spacing w:after="0" w:line="115" w:lineRule="exact"/>
              <w:rPr>
                <w:sz w:val="20"/>
                <w:szCs w:val="20"/>
                <w:color w:val="auto"/>
              </w:rPr>
            </w:pPr>
            <w:r>
              <w:rPr>
                <w:rFonts w:ascii="Arial" w:cs="Arial" w:eastAsia="Arial" w:hAnsi="Arial"/>
                <w:sz w:val="11"/>
                <w:szCs w:val="11"/>
                <w:color w:val="auto"/>
                <w:w w:val="86"/>
              </w:rPr>
              <w:t>Personal Products</w:t>
            </w:r>
          </w:p>
        </w:tc>
        <w:tc>
          <w:tcPr>
            <w:tcW w:w="1080" w:type="dxa"/>
            <w:vAlign w:val="bottom"/>
            <w:gridSpan w:val="3"/>
          </w:tcPr>
          <w:p>
            <w:pPr>
              <w:jc w:val="right"/>
              <w:ind w:right="86"/>
              <w:spacing w:after="0" w:line="115" w:lineRule="exact"/>
              <w:rPr>
                <w:sz w:val="20"/>
                <w:szCs w:val="20"/>
                <w:color w:val="auto"/>
              </w:rPr>
            </w:pPr>
            <w:r>
              <w:rPr>
                <w:rFonts w:ascii="Arial" w:cs="Arial" w:eastAsia="Arial" w:hAnsi="Arial"/>
                <w:sz w:val="11"/>
                <w:szCs w:val="11"/>
                <w:color w:val="auto"/>
              </w:rPr>
              <w:t>8.00 %</w:t>
            </w:r>
          </w:p>
        </w:tc>
        <w:tc>
          <w:tcPr>
            <w:tcW w:w="940" w:type="dxa"/>
            <w:vAlign w:val="bottom"/>
          </w:tcPr>
          <w:p>
            <w:pPr>
              <w:jc w:val="right"/>
              <w:spacing w:after="0" w:line="115" w:lineRule="exact"/>
              <w:rPr>
                <w:sz w:val="20"/>
                <w:szCs w:val="20"/>
                <w:color w:val="auto"/>
              </w:rPr>
            </w:pPr>
            <w:r>
              <w:rPr>
                <w:rFonts w:ascii="Arial" w:cs="Arial" w:eastAsia="Arial" w:hAnsi="Arial"/>
                <w:sz w:val="11"/>
                <w:szCs w:val="11"/>
                <w:color w:val="auto"/>
              </w:rPr>
              <w:t>1M L+700</w:t>
            </w:r>
          </w:p>
        </w:tc>
        <w:tc>
          <w:tcPr>
            <w:tcW w:w="94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31,662</w:t>
            </w: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jc w:val="right"/>
              <w:spacing w:after="0" w:line="115" w:lineRule="exact"/>
              <w:rPr>
                <w:sz w:val="20"/>
                <w:szCs w:val="20"/>
                <w:color w:val="auto"/>
              </w:rPr>
            </w:pPr>
            <w:r>
              <w:rPr>
                <w:rFonts w:ascii="Arial" w:cs="Arial" w:eastAsia="Arial" w:hAnsi="Arial"/>
                <w:sz w:val="11"/>
                <w:szCs w:val="11"/>
                <w:color w:val="auto"/>
              </w:rPr>
              <w:t>30,960</w:t>
            </w: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jc w:val="right"/>
              <w:spacing w:after="0" w:line="115" w:lineRule="exact"/>
              <w:rPr>
                <w:sz w:val="20"/>
                <w:szCs w:val="20"/>
                <w:color w:val="auto"/>
              </w:rPr>
            </w:pPr>
            <w:r>
              <w:rPr>
                <w:rFonts w:ascii="Arial" w:cs="Arial" w:eastAsia="Arial" w:hAnsi="Arial"/>
                <w:sz w:val="11"/>
                <w:szCs w:val="11"/>
                <w:color w:val="auto"/>
              </w:rPr>
              <w:t>31,029</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18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Lash OpCo, LLC (Revolver) </w:t>
            </w:r>
            <w:r>
              <w:rPr>
                <w:rFonts w:ascii="Arial" w:cs="Arial" w:eastAsia="Arial" w:hAnsi="Arial"/>
                <w:sz w:val="14"/>
                <w:szCs w:val="14"/>
                <w:color w:val="auto"/>
                <w:vertAlign w:val="superscript"/>
              </w:rPr>
              <w:t>(7)</w:t>
            </w:r>
          </w:p>
        </w:tc>
        <w:tc>
          <w:tcPr>
            <w:tcW w:w="76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08/16/2026</w:t>
            </w:r>
          </w:p>
        </w:tc>
        <w:tc>
          <w:tcPr>
            <w:tcW w:w="140" w:type="dxa"/>
            <w:vAlign w:val="bottom"/>
          </w:tcPr>
          <w:p>
            <w:pPr>
              <w:spacing w:after="0"/>
              <w:rPr>
                <w:sz w:val="11"/>
                <w:szCs w:val="11"/>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86"/>
              </w:rPr>
              <w:t>Personal Products</w:t>
            </w:r>
          </w:p>
        </w:tc>
        <w:tc>
          <w:tcPr>
            <w:tcW w:w="1080" w:type="dxa"/>
            <w:vAlign w:val="bottom"/>
            <w:gridSpan w:val="3"/>
          </w:tcPr>
          <w:p>
            <w:pPr>
              <w:jc w:val="right"/>
              <w:ind w:right="86"/>
              <w:spacing w:after="0"/>
              <w:rPr>
                <w:sz w:val="20"/>
                <w:szCs w:val="20"/>
                <w:color w:val="auto"/>
              </w:rPr>
            </w:pPr>
            <w:r>
              <w:rPr>
                <w:rFonts w:ascii="Arial" w:cs="Arial" w:eastAsia="Arial" w:hAnsi="Arial"/>
                <w:sz w:val="11"/>
                <w:szCs w:val="11"/>
                <w:color w:val="auto"/>
              </w:rPr>
              <w:t>8.00 %</w:t>
            </w:r>
          </w:p>
        </w:tc>
        <w:tc>
          <w:tcPr>
            <w:tcW w:w="940" w:type="dxa"/>
            <w:vAlign w:val="bottom"/>
          </w:tcPr>
          <w:p>
            <w:pPr>
              <w:jc w:val="right"/>
              <w:spacing w:after="0"/>
              <w:rPr>
                <w:sz w:val="20"/>
                <w:szCs w:val="20"/>
                <w:color w:val="auto"/>
              </w:rPr>
            </w:pPr>
            <w:r>
              <w:rPr>
                <w:rFonts w:ascii="Arial" w:cs="Arial" w:eastAsia="Arial" w:hAnsi="Arial"/>
                <w:sz w:val="11"/>
                <w:szCs w:val="11"/>
                <w:color w:val="auto"/>
              </w:rPr>
              <w:t>1M L+700</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307</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307</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301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3180" w:type="dxa"/>
            <w:vAlign w:val="bottom"/>
          </w:tcPr>
          <w:p>
            <w:pPr>
              <w:ind w:left="20"/>
              <w:spacing w:after="0"/>
              <w:rPr>
                <w:sz w:val="20"/>
                <w:szCs w:val="20"/>
                <w:color w:val="auto"/>
              </w:rPr>
            </w:pPr>
            <w:r>
              <w:rPr>
                <w:rFonts w:ascii="Arial" w:cs="Arial" w:eastAsia="Arial" w:hAnsi="Arial"/>
                <w:sz w:val="11"/>
                <w:szCs w:val="11"/>
                <w:color w:val="auto"/>
              </w:rPr>
              <w:t xml:space="preserve">Lash OpCo, LLC (Revolver) </w:t>
            </w:r>
            <w:r>
              <w:rPr>
                <w:rFonts w:ascii="Arial" w:cs="Arial" w:eastAsia="Arial" w:hAnsi="Arial"/>
                <w:sz w:val="14"/>
                <w:szCs w:val="14"/>
                <w:color w:val="auto"/>
                <w:vertAlign w:val="superscript"/>
              </w:rPr>
              <w:t>(7), (9)</w:t>
            </w:r>
          </w:p>
        </w:tc>
        <w:tc>
          <w:tcPr>
            <w:tcW w:w="76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08/16/2026</w:t>
            </w:r>
          </w:p>
        </w:tc>
        <w:tc>
          <w:tcPr>
            <w:tcW w:w="140" w:type="dxa"/>
            <w:vAlign w:val="bottom"/>
          </w:tcPr>
          <w:p>
            <w:pPr>
              <w:spacing w:after="0"/>
              <w:rPr>
                <w:sz w:val="14"/>
                <w:szCs w:val="14"/>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86"/>
              </w:rPr>
              <w:t>Personal Products</w:t>
            </w:r>
          </w:p>
        </w:tc>
        <w:tc>
          <w:tcPr>
            <w:tcW w:w="120" w:type="dxa"/>
            <w:vAlign w:val="bottom"/>
          </w:tcPr>
          <w:p>
            <w:pPr>
              <w:spacing w:after="0"/>
              <w:rPr>
                <w:sz w:val="14"/>
                <w:szCs w:val="14"/>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1,613</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auto"/>
              </w:rPr>
              <w:t>(32 )</w:t>
            </w:r>
          </w:p>
        </w:tc>
        <w:tc>
          <w:tcPr>
            <w:tcW w:w="0" w:type="dxa"/>
            <w:vAlign w:val="bottom"/>
          </w:tcPr>
          <w:p>
            <w:pPr>
              <w:spacing w:after="0"/>
              <w:rPr>
                <w:sz w:val="1"/>
                <w:szCs w:val="1"/>
                <w:color w:val="auto"/>
              </w:rPr>
            </w:pPr>
          </w:p>
        </w:tc>
      </w:tr>
      <w:tr>
        <w:trPr>
          <w:trHeight w:val="135"/>
        </w:trPr>
        <w:tc>
          <w:tcPr>
            <w:tcW w:w="3180" w:type="dxa"/>
            <w:vAlign w:val="bottom"/>
            <w:shd w:val="clear" w:color="auto" w:fill="CCECFF"/>
          </w:tcPr>
          <w:p>
            <w:pPr>
              <w:ind w:left="20"/>
              <w:spacing w:after="0" w:line="125" w:lineRule="exact"/>
              <w:rPr>
                <w:sz w:val="20"/>
                <w:szCs w:val="20"/>
                <w:color w:val="auto"/>
              </w:rPr>
            </w:pPr>
            <w:r>
              <w:rPr>
                <w:rFonts w:ascii="Arial" w:cs="Arial" w:eastAsia="Arial" w:hAnsi="Arial"/>
                <w:sz w:val="11"/>
                <w:szCs w:val="11"/>
                <w:color w:val="auto"/>
              </w:rPr>
              <w:t>LAV Gear Holdings, Inc.</w:t>
            </w:r>
          </w:p>
        </w:tc>
        <w:tc>
          <w:tcPr>
            <w:tcW w:w="760" w:type="dxa"/>
            <w:vAlign w:val="bottom"/>
            <w:gridSpan w:val="2"/>
            <w:shd w:val="clear" w:color="auto" w:fill="CCECFF"/>
          </w:tcPr>
          <w:p>
            <w:pPr>
              <w:jc w:val="center"/>
              <w:ind w:left="86"/>
              <w:spacing w:after="0" w:line="125" w:lineRule="exact"/>
              <w:rPr>
                <w:sz w:val="20"/>
                <w:szCs w:val="20"/>
                <w:color w:val="auto"/>
              </w:rPr>
            </w:pPr>
            <w:r>
              <w:rPr>
                <w:rFonts w:ascii="Arial" w:cs="Arial" w:eastAsia="Arial" w:hAnsi="Arial"/>
                <w:sz w:val="11"/>
                <w:szCs w:val="11"/>
                <w:color w:val="auto"/>
                <w:w w:val="90"/>
              </w:rPr>
              <w:t>10/31/2024</w:t>
            </w:r>
          </w:p>
        </w:tc>
        <w:tc>
          <w:tcPr>
            <w:tcW w:w="140" w:type="dxa"/>
            <w:vAlign w:val="bottom"/>
            <w:shd w:val="clear" w:color="auto" w:fill="CCECFF"/>
          </w:tcPr>
          <w:p>
            <w:pPr>
              <w:spacing w:after="0"/>
              <w:rPr>
                <w:sz w:val="11"/>
                <w:szCs w:val="11"/>
                <w:color w:val="auto"/>
              </w:rPr>
            </w:pPr>
          </w:p>
        </w:tc>
        <w:tc>
          <w:tcPr>
            <w:tcW w:w="2240" w:type="dxa"/>
            <w:vAlign w:val="bottom"/>
            <w:shd w:val="clear" w:color="auto" w:fill="CCECFF"/>
          </w:tcPr>
          <w:p>
            <w:pPr>
              <w:jc w:val="center"/>
              <w:spacing w:after="0" w:line="125" w:lineRule="exact"/>
              <w:rPr>
                <w:sz w:val="20"/>
                <w:szCs w:val="20"/>
                <w:color w:val="auto"/>
              </w:rPr>
            </w:pPr>
            <w:r>
              <w:rPr>
                <w:rFonts w:ascii="Arial" w:cs="Arial" w:eastAsia="Arial" w:hAnsi="Arial"/>
                <w:sz w:val="11"/>
                <w:szCs w:val="11"/>
                <w:color w:val="auto"/>
                <w:w w:val="91"/>
              </w:rPr>
              <w:t>Capital Equipment</w:t>
            </w:r>
          </w:p>
        </w:tc>
        <w:tc>
          <w:tcPr>
            <w:tcW w:w="1080" w:type="dxa"/>
            <w:vAlign w:val="bottom"/>
            <w:gridSpan w:val="3"/>
            <w:shd w:val="clear" w:color="auto" w:fill="CCECFF"/>
          </w:tcPr>
          <w:p>
            <w:pPr>
              <w:jc w:val="right"/>
              <w:ind w:right="86"/>
              <w:spacing w:after="0" w:line="125" w:lineRule="exact"/>
              <w:rPr>
                <w:sz w:val="20"/>
                <w:szCs w:val="20"/>
                <w:color w:val="auto"/>
              </w:rPr>
            </w:pPr>
            <w:r>
              <w:rPr>
                <w:rFonts w:ascii="Arial" w:cs="Arial" w:eastAsia="Arial" w:hAnsi="Arial"/>
                <w:sz w:val="11"/>
                <w:szCs w:val="11"/>
                <w:color w:val="auto"/>
              </w:rPr>
              <w:t>8.50 %</w:t>
            </w:r>
          </w:p>
        </w:tc>
        <w:tc>
          <w:tcPr>
            <w:tcW w:w="940" w:type="dxa"/>
            <w:vAlign w:val="bottom"/>
            <w:shd w:val="clear" w:color="auto" w:fill="CCECFF"/>
          </w:tcPr>
          <w:p>
            <w:pPr>
              <w:jc w:val="right"/>
              <w:spacing w:after="0" w:line="125" w:lineRule="exact"/>
              <w:rPr>
                <w:sz w:val="20"/>
                <w:szCs w:val="20"/>
                <w:color w:val="auto"/>
              </w:rPr>
            </w:pPr>
            <w:r>
              <w:rPr>
                <w:rFonts w:ascii="Arial" w:cs="Arial" w:eastAsia="Arial" w:hAnsi="Arial"/>
                <w:sz w:val="11"/>
                <w:szCs w:val="11"/>
                <w:color w:val="auto"/>
              </w:rPr>
              <w:t>1M L+750</w:t>
            </w:r>
          </w:p>
        </w:tc>
        <w:tc>
          <w:tcPr>
            <w:tcW w:w="940" w:type="dxa"/>
            <w:vAlign w:val="bottom"/>
            <w:gridSpan w:val="2"/>
            <w:shd w:val="clear" w:color="auto" w:fill="CCECFF"/>
          </w:tcPr>
          <w:p>
            <w:pPr>
              <w:jc w:val="right"/>
              <w:spacing w:after="0" w:line="125" w:lineRule="exact"/>
              <w:rPr>
                <w:sz w:val="20"/>
                <w:szCs w:val="20"/>
                <w:color w:val="auto"/>
              </w:rPr>
            </w:pPr>
            <w:r>
              <w:rPr>
                <w:rFonts w:ascii="Arial" w:cs="Arial" w:eastAsia="Arial" w:hAnsi="Arial"/>
                <w:sz w:val="11"/>
                <w:szCs w:val="11"/>
                <w:color w:val="auto"/>
              </w:rPr>
              <w:t>9,487</w:t>
            </w:r>
          </w:p>
        </w:tc>
        <w:tc>
          <w:tcPr>
            <w:tcW w:w="24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line="125" w:lineRule="exact"/>
              <w:rPr>
                <w:sz w:val="20"/>
                <w:szCs w:val="20"/>
                <w:color w:val="auto"/>
              </w:rPr>
            </w:pPr>
            <w:r>
              <w:rPr>
                <w:rFonts w:ascii="Arial" w:cs="Arial" w:eastAsia="Arial" w:hAnsi="Arial"/>
                <w:sz w:val="11"/>
                <w:szCs w:val="11"/>
                <w:color w:val="auto"/>
              </w:rPr>
              <w:t>9,453</w:t>
            </w:r>
          </w:p>
        </w:tc>
        <w:tc>
          <w:tcPr>
            <w:tcW w:w="2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line="125" w:lineRule="exact"/>
              <w:rPr>
                <w:sz w:val="20"/>
                <w:szCs w:val="20"/>
                <w:color w:val="auto"/>
              </w:rPr>
            </w:pPr>
            <w:r>
              <w:rPr>
                <w:rFonts w:ascii="Arial" w:cs="Arial" w:eastAsia="Arial" w:hAnsi="Arial"/>
                <w:sz w:val="11"/>
                <w:szCs w:val="11"/>
                <w:color w:val="auto"/>
              </w:rPr>
              <w:t>8,892</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vMerge w:val="restart"/>
          </w:tcPr>
          <w:p>
            <w:pPr>
              <w:ind w:left="20"/>
              <w:spacing w:after="0"/>
              <w:rPr>
                <w:sz w:val="20"/>
                <w:szCs w:val="20"/>
                <w:color w:val="auto"/>
              </w:rPr>
            </w:pPr>
            <w:r>
              <w:rPr>
                <w:rFonts w:ascii="Arial" w:cs="Arial" w:eastAsia="Arial" w:hAnsi="Arial"/>
                <w:sz w:val="11"/>
                <w:szCs w:val="11"/>
                <w:color w:val="auto"/>
              </w:rPr>
              <w:t xml:space="preserve">LAV Gear Holdings, Inc. (Revolver) </w:t>
            </w:r>
            <w:r>
              <w:rPr>
                <w:rFonts w:ascii="Arial" w:cs="Arial" w:eastAsia="Arial" w:hAnsi="Arial"/>
                <w:sz w:val="14"/>
                <w:szCs w:val="14"/>
                <w:color w:val="auto"/>
                <w:vertAlign w:val="superscript"/>
              </w:rPr>
              <w:t>(7)</w:t>
            </w:r>
          </w:p>
        </w:tc>
        <w:tc>
          <w:tcPr>
            <w:tcW w:w="140" w:type="dxa"/>
            <w:vAlign w:val="bottom"/>
            <w:shd w:val="clear" w:color="auto" w:fill="CCECFF"/>
          </w:tcPr>
          <w:p>
            <w:pPr>
              <w:spacing w:after="0"/>
              <w:rPr>
                <w:sz w:val="11"/>
                <w:szCs w:val="11"/>
                <w:color w:val="auto"/>
              </w:rPr>
            </w:pPr>
          </w:p>
        </w:tc>
        <w:tc>
          <w:tcPr>
            <w:tcW w:w="6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2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206"/>
              <w:spacing w:after="0"/>
              <w:rPr>
                <w:sz w:val="20"/>
                <w:szCs w:val="20"/>
                <w:color w:val="auto"/>
              </w:rPr>
            </w:pPr>
            <w:r>
              <w:rPr>
                <w:rFonts w:ascii="Arial" w:cs="Arial" w:eastAsia="Arial" w:hAnsi="Arial"/>
                <w:sz w:val="11"/>
                <w:szCs w:val="11"/>
                <w:color w:val="auto"/>
              </w:rPr>
              <w:t>(PIK 5.00%)</w:t>
            </w:r>
          </w:p>
        </w:tc>
        <w:tc>
          <w:tcPr>
            <w:tcW w:w="9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48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3180" w:type="dxa"/>
            <w:vAlign w:val="bottom"/>
            <w:vMerge w:val="continue"/>
          </w:tcPr>
          <w:p>
            <w:pPr>
              <w:spacing w:after="0"/>
              <w:rPr>
                <w:sz w:val="10"/>
                <w:szCs w:val="10"/>
                <w:color w:val="auto"/>
              </w:rPr>
            </w:pPr>
          </w:p>
        </w:tc>
        <w:tc>
          <w:tcPr>
            <w:tcW w:w="760" w:type="dxa"/>
            <w:vAlign w:val="bottom"/>
            <w:gridSpan w:val="2"/>
          </w:tcPr>
          <w:p>
            <w:pPr>
              <w:jc w:val="center"/>
              <w:ind w:left="86"/>
              <w:spacing w:after="0" w:line="125" w:lineRule="exact"/>
              <w:rPr>
                <w:sz w:val="20"/>
                <w:szCs w:val="20"/>
                <w:color w:val="auto"/>
              </w:rPr>
            </w:pPr>
            <w:r>
              <w:rPr>
                <w:rFonts w:ascii="Arial" w:cs="Arial" w:eastAsia="Arial" w:hAnsi="Arial"/>
                <w:sz w:val="11"/>
                <w:szCs w:val="11"/>
                <w:color w:val="auto"/>
                <w:w w:val="90"/>
              </w:rPr>
              <w:t>10/31/2024</w:t>
            </w:r>
          </w:p>
        </w:tc>
        <w:tc>
          <w:tcPr>
            <w:tcW w:w="140" w:type="dxa"/>
            <w:vAlign w:val="bottom"/>
          </w:tcPr>
          <w:p>
            <w:pPr>
              <w:spacing w:after="0"/>
              <w:rPr>
                <w:sz w:val="10"/>
                <w:szCs w:val="10"/>
                <w:color w:val="auto"/>
              </w:rPr>
            </w:pPr>
          </w:p>
        </w:tc>
        <w:tc>
          <w:tcPr>
            <w:tcW w:w="2240" w:type="dxa"/>
            <w:vAlign w:val="bottom"/>
          </w:tcPr>
          <w:p>
            <w:pPr>
              <w:jc w:val="center"/>
              <w:spacing w:after="0" w:line="125" w:lineRule="exact"/>
              <w:rPr>
                <w:sz w:val="20"/>
                <w:szCs w:val="20"/>
                <w:color w:val="auto"/>
              </w:rPr>
            </w:pPr>
            <w:r>
              <w:rPr>
                <w:rFonts w:ascii="Arial" w:cs="Arial" w:eastAsia="Arial" w:hAnsi="Arial"/>
                <w:sz w:val="11"/>
                <w:szCs w:val="11"/>
                <w:color w:val="auto"/>
                <w:w w:val="91"/>
              </w:rPr>
              <w:t>Capital Equipment</w:t>
            </w:r>
          </w:p>
        </w:tc>
        <w:tc>
          <w:tcPr>
            <w:tcW w:w="1080" w:type="dxa"/>
            <w:vAlign w:val="bottom"/>
            <w:gridSpan w:val="3"/>
          </w:tcPr>
          <w:p>
            <w:pPr>
              <w:jc w:val="right"/>
              <w:ind w:right="86"/>
              <w:spacing w:after="0" w:line="125" w:lineRule="exact"/>
              <w:rPr>
                <w:sz w:val="20"/>
                <w:szCs w:val="20"/>
                <w:color w:val="auto"/>
              </w:rPr>
            </w:pPr>
            <w:r>
              <w:rPr>
                <w:rFonts w:ascii="Arial" w:cs="Arial" w:eastAsia="Arial" w:hAnsi="Arial"/>
                <w:sz w:val="11"/>
                <w:szCs w:val="11"/>
                <w:color w:val="auto"/>
              </w:rPr>
              <w:t>8.50 %</w:t>
            </w:r>
          </w:p>
        </w:tc>
        <w:tc>
          <w:tcPr>
            <w:tcW w:w="940" w:type="dxa"/>
            <w:vAlign w:val="bottom"/>
          </w:tcPr>
          <w:p>
            <w:pPr>
              <w:jc w:val="right"/>
              <w:spacing w:after="0" w:line="125" w:lineRule="exact"/>
              <w:rPr>
                <w:sz w:val="20"/>
                <w:szCs w:val="20"/>
                <w:color w:val="auto"/>
              </w:rPr>
            </w:pPr>
            <w:r>
              <w:rPr>
                <w:rFonts w:ascii="Arial" w:cs="Arial" w:eastAsia="Arial" w:hAnsi="Arial"/>
                <w:sz w:val="11"/>
                <w:szCs w:val="11"/>
                <w:color w:val="auto"/>
              </w:rPr>
              <w:t>1M L+750</w:t>
            </w:r>
          </w:p>
        </w:tc>
        <w:tc>
          <w:tcPr>
            <w:tcW w:w="940" w:type="dxa"/>
            <w:vAlign w:val="bottom"/>
            <w:gridSpan w:val="2"/>
          </w:tcPr>
          <w:p>
            <w:pPr>
              <w:jc w:val="right"/>
              <w:spacing w:after="0" w:line="125" w:lineRule="exact"/>
              <w:rPr>
                <w:sz w:val="20"/>
                <w:szCs w:val="20"/>
                <w:color w:val="auto"/>
              </w:rPr>
            </w:pPr>
            <w:r>
              <w:rPr>
                <w:rFonts w:ascii="Arial" w:cs="Arial" w:eastAsia="Arial" w:hAnsi="Arial"/>
                <w:sz w:val="11"/>
                <w:szCs w:val="11"/>
                <w:color w:val="auto"/>
              </w:rPr>
              <w:t>1,691</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jc w:val="right"/>
              <w:spacing w:after="0" w:line="125" w:lineRule="exact"/>
              <w:rPr>
                <w:sz w:val="20"/>
                <w:szCs w:val="20"/>
                <w:color w:val="auto"/>
              </w:rPr>
            </w:pPr>
            <w:r>
              <w:rPr>
                <w:rFonts w:ascii="Arial" w:cs="Arial" w:eastAsia="Arial" w:hAnsi="Arial"/>
                <w:sz w:val="11"/>
                <w:szCs w:val="11"/>
                <w:color w:val="auto"/>
              </w:rPr>
              <w:t>1,691</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jc w:val="right"/>
              <w:spacing w:after="0" w:line="125" w:lineRule="exact"/>
              <w:rPr>
                <w:sz w:val="20"/>
                <w:szCs w:val="20"/>
                <w:color w:val="auto"/>
              </w:rPr>
            </w:pPr>
            <w:r>
              <w:rPr>
                <w:rFonts w:ascii="Arial" w:cs="Arial" w:eastAsia="Arial" w:hAnsi="Arial"/>
                <w:sz w:val="11"/>
                <w:szCs w:val="11"/>
                <w:color w:val="auto"/>
              </w:rPr>
              <w:t>1,585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(PIK 5.00%)</w:t>
            </w: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3180" w:type="dxa"/>
            <w:vAlign w:val="bottom"/>
          </w:tcPr>
          <w:p>
            <w:pPr>
              <w:ind w:left="20"/>
              <w:spacing w:after="0" w:line="115" w:lineRule="exact"/>
              <w:rPr>
                <w:sz w:val="20"/>
                <w:szCs w:val="20"/>
                <w:color w:val="auto"/>
              </w:rPr>
            </w:pPr>
            <w:r>
              <w:rPr>
                <w:rFonts w:ascii="Arial" w:cs="Arial" w:eastAsia="Arial" w:hAnsi="Arial"/>
                <w:sz w:val="11"/>
                <w:szCs w:val="11"/>
                <w:color w:val="auto"/>
              </w:rPr>
              <w:t>Lightspeed Buyer Inc.</w:t>
            </w:r>
          </w:p>
        </w:tc>
        <w:tc>
          <w:tcPr>
            <w:tcW w:w="760" w:type="dxa"/>
            <w:vAlign w:val="bottom"/>
            <w:gridSpan w:val="2"/>
          </w:tcPr>
          <w:p>
            <w:pPr>
              <w:jc w:val="center"/>
              <w:ind w:left="86"/>
              <w:spacing w:after="0" w:line="115" w:lineRule="exact"/>
              <w:rPr>
                <w:sz w:val="20"/>
                <w:szCs w:val="20"/>
                <w:color w:val="auto"/>
              </w:rPr>
            </w:pPr>
            <w:r>
              <w:rPr>
                <w:rFonts w:ascii="Arial" w:cs="Arial" w:eastAsia="Arial" w:hAnsi="Arial"/>
                <w:sz w:val="11"/>
                <w:szCs w:val="11"/>
                <w:color w:val="auto"/>
                <w:w w:val="90"/>
              </w:rPr>
              <w:t>02/03/2026</w:t>
            </w:r>
          </w:p>
        </w:tc>
        <w:tc>
          <w:tcPr>
            <w:tcW w:w="140" w:type="dxa"/>
            <w:vAlign w:val="bottom"/>
          </w:tcPr>
          <w:p>
            <w:pPr>
              <w:spacing w:after="0"/>
              <w:rPr>
                <w:sz w:val="9"/>
                <w:szCs w:val="9"/>
                <w:color w:val="auto"/>
              </w:rPr>
            </w:pPr>
          </w:p>
        </w:tc>
        <w:tc>
          <w:tcPr>
            <w:tcW w:w="2240" w:type="dxa"/>
            <w:vAlign w:val="bottom"/>
          </w:tcPr>
          <w:p>
            <w:pPr>
              <w:jc w:val="center"/>
              <w:spacing w:after="0" w:line="115" w:lineRule="exact"/>
              <w:rPr>
                <w:sz w:val="20"/>
                <w:szCs w:val="20"/>
                <w:color w:val="auto"/>
              </w:rPr>
            </w:pPr>
            <w:r>
              <w:rPr>
                <w:rFonts w:ascii="Arial" w:cs="Arial" w:eastAsia="Arial" w:hAnsi="Arial"/>
                <w:sz w:val="11"/>
                <w:szCs w:val="11"/>
                <w:color w:val="auto"/>
                <w:w w:val="88"/>
              </w:rPr>
              <w:t>Healthcare Technology</w:t>
            </w:r>
          </w:p>
        </w:tc>
        <w:tc>
          <w:tcPr>
            <w:tcW w:w="1080" w:type="dxa"/>
            <w:vAlign w:val="bottom"/>
            <w:gridSpan w:val="3"/>
          </w:tcPr>
          <w:p>
            <w:pPr>
              <w:jc w:val="right"/>
              <w:ind w:right="86"/>
              <w:spacing w:after="0" w:line="115" w:lineRule="exact"/>
              <w:rPr>
                <w:sz w:val="20"/>
                <w:szCs w:val="20"/>
                <w:color w:val="auto"/>
              </w:rPr>
            </w:pPr>
            <w:r>
              <w:rPr>
                <w:rFonts w:ascii="Arial" w:cs="Arial" w:eastAsia="Arial" w:hAnsi="Arial"/>
                <w:sz w:val="11"/>
                <w:szCs w:val="11"/>
                <w:color w:val="auto"/>
              </w:rPr>
              <w:t>6.75 %</w:t>
            </w:r>
          </w:p>
        </w:tc>
        <w:tc>
          <w:tcPr>
            <w:tcW w:w="940" w:type="dxa"/>
            <w:vAlign w:val="bottom"/>
          </w:tcPr>
          <w:p>
            <w:pPr>
              <w:jc w:val="right"/>
              <w:spacing w:after="0" w:line="115" w:lineRule="exact"/>
              <w:rPr>
                <w:sz w:val="20"/>
                <w:szCs w:val="20"/>
                <w:color w:val="auto"/>
              </w:rPr>
            </w:pPr>
            <w:r>
              <w:rPr>
                <w:rFonts w:ascii="Arial" w:cs="Arial" w:eastAsia="Arial" w:hAnsi="Arial"/>
                <w:sz w:val="11"/>
                <w:szCs w:val="11"/>
                <w:color w:val="auto"/>
              </w:rPr>
              <w:t>1M L+575</w:t>
            </w:r>
          </w:p>
        </w:tc>
        <w:tc>
          <w:tcPr>
            <w:tcW w:w="94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29,607</w:t>
            </w: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jc w:val="right"/>
              <w:spacing w:after="0" w:line="115" w:lineRule="exact"/>
              <w:rPr>
                <w:sz w:val="20"/>
                <w:szCs w:val="20"/>
                <w:color w:val="auto"/>
              </w:rPr>
            </w:pPr>
            <w:r>
              <w:rPr>
                <w:rFonts w:ascii="Arial" w:cs="Arial" w:eastAsia="Arial" w:hAnsi="Arial"/>
                <w:sz w:val="11"/>
                <w:szCs w:val="11"/>
                <w:color w:val="auto"/>
              </w:rPr>
              <w:t>29,160</w:t>
            </w: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jc w:val="right"/>
              <w:spacing w:after="0" w:line="115" w:lineRule="exact"/>
              <w:rPr>
                <w:sz w:val="20"/>
                <w:szCs w:val="20"/>
                <w:color w:val="auto"/>
              </w:rPr>
            </w:pPr>
            <w:r>
              <w:rPr>
                <w:rFonts w:ascii="Arial" w:cs="Arial" w:eastAsia="Arial" w:hAnsi="Arial"/>
                <w:sz w:val="11"/>
                <w:szCs w:val="11"/>
                <w:color w:val="auto"/>
              </w:rPr>
              <w:t>29,607</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318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Lightspeed Buyer Inc. (Revolver) </w:t>
            </w:r>
            <w:r>
              <w:rPr>
                <w:rFonts w:ascii="Arial" w:cs="Arial" w:eastAsia="Arial" w:hAnsi="Arial"/>
                <w:sz w:val="14"/>
                <w:szCs w:val="14"/>
                <w:color w:val="auto"/>
                <w:vertAlign w:val="superscript"/>
              </w:rPr>
              <w:t>(7), (9)</w:t>
            </w:r>
          </w:p>
        </w:tc>
        <w:tc>
          <w:tcPr>
            <w:tcW w:w="76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02/03/2026</w:t>
            </w:r>
          </w:p>
        </w:tc>
        <w:tc>
          <w:tcPr>
            <w:tcW w:w="140" w:type="dxa"/>
            <w:vAlign w:val="bottom"/>
          </w:tcPr>
          <w:p>
            <w:pPr>
              <w:spacing w:after="0"/>
              <w:rPr>
                <w:sz w:val="13"/>
                <w:szCs w:val="13"/>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88"/>
              </w:rPr>
              <w:t>Healthcare Technology</w:t>
            </w:r>
          </w:p>
        </w:tc>
        <w:tc>
          <w:tcPr>
            <w:tcW w:w="120" w:type="dxa"/>
            <w:vAlign w:val="bottom"/>
          </w:tcPr>
          <w:p>
            <w:pPr>
              <w:spacing w:after="0"/>
              <w:rPr>
                <w:sz w:val="13"/>
                <w:szCs w:val="13"/>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2,499</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5"/>
        </w:trPr>
        <w:tc>
          <w:tcPr>
            <w:tcW w:w="3180" w:type="dxa"/>
            <w:vAlign w:val="bottom"/>
          </w:tcPr>
          <w:p>
            <w:pPr>
              <w:ind w:left="20"/>
              <w:spacing w:after="0" w:line="115" w:lineRule="exact"/>
              <w:rPr>
                <w:sz w:val="20"/>
                <w:szCs w:val="20"/>
                <w:color w:val="auto"/>
              </w:rPr>
            </w:pPr>
            <w:r>
              <w:rPr>
                <w:rFonts w:ascii="Arial" w:cs="Arial" w:eastAsia="Arial" w:hAnsi="Arial"/>
                <w:sz w:val="11"/>
                <w:szCs w:val="11"/>
                <w:color w:val="auto"/>
              </w:rPr>
              <w:t>Lombart Brothers, Inc.</w:t>
            </w:r>
          </w:p>
        </w:tc>
        <w:tc>
          <w:tcPr>
            <w:tcW w:w="760" w:type="dxa"/>
            <w:vAlign w:val="bottom"/>
            <w:gridSpan w:val="2"/>
          </w:tcPr>
          <w:p>
            <w:pPr>
              <w:jc w:val="center"/>
              <w:ind w:left="86"/>
              <w:spacing w:after="0" w:line="115" w:lineRule="exact"/>
              <w:rPr>
                <w:sz w:val="20"/>
                <w:szCs w:val="20"/>
                <w:color w:val="auto"/>
              </w:rPr>
            </w:pPr>
            <w:r>
              <w:rPr>
                <w:rFonts w:ascii="Arial" w:cs="Arial" w:eastAsia="Arial" w:hAnsi="Arial"/>
                <w:sz w:val="11"/>
                <w:szCs w:val="11"/>
                <w:color w:val="auto"/>
                <w:w w:val="90"/>
              </w:rPr>
              <w:t>04/13/2023</w:t>
            </w:r>
          </w:p>
        </w:tc>
        <w:tc>
          <w:tcPr>
            <w:tcW w:w="140" w:type="dxa"/>
            <w:vAlign w:val="bottom"/>
          </w:tcPr>
          <w:p>
            <w:pPr>
              <w:spacing w:after="0"/>
              <w:rPr>
                <w:sz w:val="9"/>
                <w:szCs w:val="9"/>
                <w:color w:val="auto"/>
              </w:rPr>
            </w:pPr>
          </w:p>
        </w:tc>
        <w:tc>
          <w:tcPr>
            <w:tcW w:w="2240" w:type="dxa"/>
            <w:vAlign w:val="bottom"/>
          </w:tcPr>
          <w:p>
            <w:pPr>
              <w:jc w:val="center"/>
              <w:spacing w:after="0" w:line="115" w:lineRule="exact"/>
              <w:rPr>
                <w:sz w:val="20"/>
                <w:szCs w:val="20"/>
                <w:color w:val="auto"/>
              </w:rPr>
            </w:pPr>
            <w:r>
              <w:rPr>
                <w:rFonts w:ascii="Arial" w:cs="Arial" w:eastAsia="Arial" w:hAnsi="Arial"/>
                <w:sz w:val="11"/>
                <w:szCs w:val="11"/>
                <w:color w:val="auto"/>
                <w:w w:val="91"/>
              </w:rPr>
              <w:t>Capital Equipment</w:t>
            </w:r>
          </w:p>
        </w:tc>
        <w:tc>
          <w:tcPr>
            <w:tcW w:w="1080" w:type="dxa"/>
            <w:vAlign w:val="bottom"/>
            <w:gridSpan w:val="3"/>
          </w:tcPr>
          <w:p>
            <w:pPr>
              <w:jc w:val="right"/>
              <w:ind w:right="86"/>
              <w:spacing w:after="0" w:line="115" w:lineRule="exact"/>
              <w:rPr>
                <w:sz w:val="20"/>
                <w:szCs w:val="20"/>
                <w:color w:val="auto"/>
              </w:rPr>
            </w:pPr>
            <w:r>
              <w:rPr>
                <w:rFonts w:ascii="Arial" w:cs="Arial" w:eastAsia="Arial" w:hAnsi="Arial"/>
                <w:sz w:val="11"/>
                <w:szCs w:val="11"/>
                <w:color w:val="auto"/>
              </w:rPr>
              <w:t>7.25 %</w:t>
            </w:r>
          </w:p>
        </w:tc>
        <w:tc>
          <w:tcPr>
            <w:tcW w:w="940" w:type="dxa"/>
            <w:vAlign w:val="bottom"/>
          </w:tcPr>
          <w:p>
            <w:pPr>
              <w:jc w:val="right"/>
              <w:spacing w:after="0" w:line="115" w:lineRule="exact"/>
              <w:rPr>
                <w:sz w:val="20"/>
                <w:szCs w:val="20"/>
                <w:color w:val="auto"/>
              </w:rPr>
            </w:pPr>
            <w:r>
              <w:rPr>
                <w:rFonts w:ascii="Arial" w:cs="Arial" w:eastAsia="Arial" w:hAnsi="Arial"/>
                <w:sz w:val="11"/>
                <w:szCs w:val="11"/>
                <w:color w:val="auto"/>
              </w:rPr>
              <w:t>3M L+625</w:t>
            </w:r>
          </w:p>
        </w:tc>
        <w:tc>
          <w:tcPr>
            <w:tcW w:w="94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14,285</w:t>
            </w: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jc w:val="right"/>
              <w:spacing w:after="0" w:line="115" w:lineRule="exact"/>
              <w:rPr>
                <w:sz w:val="20"/>
                <w:szCs w:val="20"/>
                <w:color w:val="auto"/>
              </w:rPr>
            </w:pPr>
            <w:r>
              <w:rPr>
                <w:rFonts w:ascii="Arial" w:cs="Arial" w:eastAsia="Arial" w:hAnsi="Arial"/>
                <w:sz w:val="11"/>
                <w:szCs w:val="11"/>
                <w:color w:val="auto"/>
              </w:rPr>
              <w:t>14,208</w:t>
            </w: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jc w:val="right"/>
              <w:spacing w:after="0" w:line="115" w:lineRule="exact"/>
              <w:rPr>
                <w:sz w:val="20"/>
                <w:szCs w:val="20"/>
                <w:color w:val="auto"/>
              </w:rPr>
            </w:pPr>
            <w:r>
              <w:rPr>
                <w:rFonts w:ascii="Arial" w:cs="Arial" w:eastAsia="Arial" w:hAnsi="Arial"/>
                <w:sz w:val="11"/>
                <w:szCs w:val="11"/>
                <w:color w:val="auto"/>
              </w:rPr>
              <w:t>14,285</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3180" w:type="dxa"/>
            <w:vAlign w:val="bottom"/>
          </w:tcPr>
          <w:p>
            <w:pPr>
              <w:ind w:left="20"/>
              <w:spacing w:after="0"/>
              <w:rPr>
                <w:sz w:val="20"/>
                <w:szCs w:val="20"/>
                <w:color w:val="auto"/>
              </w:rPr>
            </w:pPr>
            <w:r>
              <w:rPr>
                <w:rFonts w:ascii="Arial" w:cs="Arial" w:eastAsia="Arial" w:hAnsi="Arial"/>
                <w:sz w:val="11"/>
                <w:szCs w:val="11"/>
                <w:color w:val="auto"/>
              </w:rPr>
              <w:t xml:space="preserve">Lombart Brothers, Inc. (Revolver) </w:t>
            </w:r>
            <w:r>
              <w:rPr>
                <w:rFonts w:ascii="Arial" w:cs="Arial" w:eastAsia="Arial" w:hAnsi="Arial"/>
                <w:sz w:val="14"/>
                <w:szCs w:val="14"/>
                <w:color w:val="auto"/>
                <w:vertAlign w:val="superscript"/>
              </w:rPr>
              <w:t>(7)</w:t>
            </w:r>
          </w:p>
        </w:tc>
        <w:tc>
          <w:tcPr>
            <w:tcW w:w="76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04/13/2023</w:t>
            </w:r>
          </w:p>
        </w:tc>
        <w:tc>
          <w:tcPr>
            <w:tcW w:w="140" w:type="dxa"/>
            <w:vAlign w:val="bottom"/>
          </w:tcPr>
          <w:p>
            <w:pPr>
              <w:spacing w:after="0"/>
              <w:rPr>
                <w:sz w:val="14"/>
                <w:szCs w:val="14"/>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91"/>
              </w:rPr>
              <w:t>Capital Equipment</w:t>
            </w:r>
          </w:p>
        </w:tc>
        <w:tc>
          <w:tcPr>
            <w:tcW w:w="1080" w:type="dxa"/>
            <w:vAlign w:val="bottom"/>
            <w:gridSpan w:val="3"/>
          </w:tcPr>
          <w:p>
            <w:pPr>
              <w:jc w:val="right"/>
              <w:ind w:right="86"/>
              <w:spacing w:after="0"/>
              <w:rPr>
                <w:sz w:val="20"/>
                <w:szCs w:val="20"/>
                <w:color w:val="auto"/>
              </w:rPr>
            </w:pPr>
            <w:r>
              <w:rPr>
                <w:rFonts w:ascii="Arial" w:cs="Arial" w:eastAsia="Arial" w:hAnsi="Arial"/>
                <w:sz w:val="11"/>
                <w:szCs w:val="11"/>
                <w:color w:val="auto"/>
              </w:rPr>
              <w:t>7.25 %</w:t>
            </w:r>
          </w:p>
        </w:tc>
        <w:tc>
          <w:tcPr>
            <w:tcW w:w="940" w:type="dxa"/>
            <w:vAlign w:val="bottom"/>
          </w:tcPr>
          <w:p>
            <w:pPr>
              <w:jc w:val="right"/>
              <w:spacing w:after="0"/>
              <w:rPr>
                <w:sz w:val="20"/>
                <w:szCs w:val="20"/>
                <w:color w:val="auto"/>
              </w:rPr>
            </w:pPr>
            <w:r>
              <w:rPr>
                <w:rFonts w:ascii="Arial" w:cs="Arial" w:eastAsia="Arial" w:hAnsi="Arial"/>
                <w:sz w:val="11"/>
                <w:szCs w:val="11"/>
                <w:color w:val="auto"/>
              </w:rPr>
              <w:t>3M L+625</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516</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516</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516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180" w:type="dxa"/>
            <w:vAlign w:val="bottom"/>
            <w:shd w:val="clear" w:color="auto" w:fill="CCECFF"/>
          </w:tcPr>
          <w:p>
            <w:pPr>
              <w:ind w:left="20"/>
              <w:spacing w:after="0"/>
              <w:rPr>
                <w:sz w:val="20"/>
                <w:szCs w:val="20"/>
                <w:color w:val="auto"/>
              </w:rPr>
            </w:pPr>
            <w:r>
              <w:rPr>
                <w:rFonts w:ascii="Arial" w:cs="Arial" w:eastAsia="Arial" w:hAnsi="Arial"/>
                <w:sz w:val="11"/>
                <w:szCs w:val="11"/>
                <w:color w:val="auto"/>
              </w:rPr>
              <w:t>Lucky Bucks, LLC</w:t>
            </w:r>
          </w:p>
        </w:tc>
        <w:tc>
          <w:tcPr>
            <w:tcW w:w="76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07/20/2027</w:t>
            </w:r>
          </w:p>
        </w:tc>
        <w:tc>
          <w:tcPr>
            <w:tcW w:w="140" w:type="dxa"/>
            <w:vAlign w:val="bottom"/>
            <w:shd w:val="clear" w:color="auto" w:fill="CCECFF"/>
          </w:tcPr>
          <w:p>
            <w:pPr>
              <w:spacing w:after="0"/>
              <w:rPr>
                <w:sz w:val="11"/>
                <w:szCs w:val="11"/>
                <w:color w:val="auto"/>
              </w:rPr>
            </w:pPr>
          </w:p>
        </w:tc>
        <w:tc>
          <w:tcPr>
            <w:tcW w:w="22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Hotels, Restaurants and Leisure</w:t>
            </w:r>
          </w:p>
        </w:tc>
        <w:tc>
          <w:tcPr>
            <w:tcW w:w="1080" w:type="dxa"/>
            <w:vAlign w:val="bottom"/>
            <w:gridSpan w:val="3"/>
            <w:shd w:val="clear" w:color="auto" w:fill="CCECFF"/>
          </w:tcPr>
          <w:p>
            <w:pPr>
              <w:jc w:val="right"/>
              <w:ind w:right="86"/>
              <w:spacing w:after="0"/>
              <w:rPr>
                <w:sz w:val="20"/>
                <w:szCs w:val="20"/>
                <w:color w:val="auto"/>
              </w:rPr>
            </w:pPr>
            <w:r>
              <w:rPr>
                <w:rFonts w:ascii="Arial" w:cs="Arial" w:eastAsia="Arial" w:hAnsi="Arial"/>
                <w:sz w:val="11"/>
                <w:szCs w:val="11"/>
                <w:color w:val="auto"/>
              </w:rPr>
              <w:t>6.25 %</w:t>
            </w:r>
          </w:p>
        </w:tc>
        <w:tc>
          <w:tcPr>
            <w:tcW w:w="9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L+550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4,500</w:t>
            </w:r>
          </w:p>
        </w:tc>
        <w:tc>
          <w:tcPr>
            <w:tcW w:w="24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4,411</w:t>
            </w:r>
          </w:p>
        </w:tc>
        <w:tc>
          <w:tcPr>
            <w:tcW w:w="2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4,424</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tcPr>
          <w:p>
            <w:pPr>
              <w:ind w:left="20"/>
              <w:spacing w:after="0"/>
              <w:rPr>
                <w:sz w:val="20"/>
                <w:szCs w:val="20"/>
                <w:color w:val="auto"/>
              </w:rPr>
            </w:pPr>
            <w:r>
              <w:rPr>
                <w:rFonts w:ascii="Arial" w:cs="Arial" w:eastAsia="Arial" w:hAnsi="Arial"/>
                <w:sz w:val="11"/>
                <w:szCs w:val="11"/>
                <w:color w:val="auto"/>
              </w:rPr>
              <w:t>MAG DS Corp.</w:t>
            </w:r>
          </w:p>
        </w:tc>
        <w:tc>
          <w:tcPr>
            <w:tcW w:w="76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04/01/2027</w:t>
            </w:r>
          </w:p>
        </w:tc>
        <w:tc>
          <w:tcPr>
            <w:tcW w:w="140" w:type="dxa"/>
            <w:vAlign w:val="bottom"/>
          </w:tcPr>
          <w:p>
            <w:pPr>
              <w:spacing w:after="0"/>
              <w:rPr>
                <w:sz w:val="11"/>
                <w:szCs w:val="11"/>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86"/>
              </w:rPr>
              <w:t>Aerospace and Defense</w:t>
            </w:r>
          </w:p>
        </w:tc>
        <w:tc>
          <w:tcPr>
            <w:tcW w:w="1080" w:type="dxa"/>
            <w:vAlign w:val="bottom"/>
            <w:gridSpan w:val="3"/>
          </w:tcPr>
          <w:p>
            <w:pPr>
              <w:jc w:val="right"/>
              <w:ind w:right="86"/>
              <w:spacing w:after="0"/>
              <w:rPr>
                <w:sz w:val="20"/>
                <w:szCs w:val="20"/>
                <w:color w:val="auto"/>
              </w:rPr>
            </w:pPr>
            <w:r>
              <w:rPr>
                <w:rFonts w:ascii="Arial" w:cs="Arial" w:eastAsia="Arial" w:hAnsi="Arial"/>
                <w:sz w:val="11"/>
                <w:szCs w:val="11"/>
                <w:color w:val="auto"/>
              </w:rPr>
              <w:t>6.50 %</w:t>
            </w:r>
          </w:p>
        </w:tc>
        <w:tc>
          <w:tcPr>
            <w:tcW w:w="940" w:type="dxa"/>
            <w:vAlign w:val="bottom"/>
          </w:tcPr>
          <w:p>
            <w:pPr>
              <w:jc w:val="right"/>
              <w:spacing w:after="0"/>
              <w:rPr>
                <w:sz w:val="20"/>
                <w:szCs w:val="20"/>
                <w:color w:val="auto"/>
              </w:rPr>
            </w:pPr>
            <w:r>
              <w:rPr>
                <w:rFonts w:ascii="Arial" w:cs="Arial" w:eastAsia="Arial" w:hAnsi="Arial"/>
                <w:sz w:val="11"/>
                <w:szCs w:val="11"/>
                <w:color w:val="auto"/>
              </w:rPr>
              <w:t>1M L+550</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3,891</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3,721</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3,502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shd w:val="clear" w:color="auto" w:fill="CCECFF"/>
          </w:tcPr>
          <w:p>
            <w:pPr>
              <w:ind w:left="20"/>
              <w:spacing w:after="0"/>
              <w:rPr>
                <w:sz w:val="20"/>
                <w:szCs w:val="20"/>
                <w:color w:val="auto"/>
              </w:rPr>
            </w:pPr>
            <w:r>
              <w:rPr>
                <w:rFonts w:ascii="Arial" w:cs="Arial" w:eastAsia="Arial" w:hAnsi="Arial"/>
                <w:sz w:val="11"/>
                <w:szCs w:val="11"/>
                <w:color w:val="auto"/>
              </w:rPr>
              <w:t>Magenta Buyer, LLC</w:t>
            </w:r>
          </w:p>
        </w:tc>
        <w:tc>
          <w:tcPr>
            <w:tcW w:w="76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07/31/2028</w:t>
            </w:r>
          </w:p>
        </w:tc>
        <w:tc>
          <w:tcPr>
            <w:tcW w:w="140" w:type="dxa"/>
            <w:vAlign w:val="bottom"/>
            <w:shd w:val="clear" w:color="auto" w:fill="CCECFF"/>
          </w:tcPr>
          <w:p>
            <w:pPr>
              <w:spacing w:after="0"/>
              <w:rPr>
                <w:sz w:val="11"/>
                <w:szCs w:val="11"/>
                <w:color w:val="auto"/>
              </w:rPr>
            </w:pPr>
          </w:p>
        </w:tc>
        <w:tc>
          <w:tcPr>
            <w:tcW w:w="22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Software</w:t>
            </w:r>
          </w:p>
        </w:tc>
        <w:tc>
          <w:tcPr>
            <w:tcW w:w="1080" w:type="dxa"/>
            <w:vAlign w:val="bottom"/>
            <w:gridSpan w:val="3"/>
            <w:shd w:val="clear" w:color="auto" w:fill="CCECFF"/>
          </w:tcPr>
          <w:p>
            <w:pPr>
              <w:jc w:val="right"/>
              <w:ind w:right="86"/>
              <w:spacing w:after="0"/>
              <w:rPr>
                <w:sz w:val="20"/>
                <w:szCs w:val="20"/>
                <w:color w:val="auto"/>
              </w:rPr>
            </w:pPr>
            <w:r>
              <w:rPr>
                <w:rFonts w:ascii="Arial" w:cs="Arial" w:eastAsia="Arial" w:hAnsi="Arial"/>
                <w:sz w:val="11"/>
                <w:szCs w:val="11"/>
                <w:color w:val="auto"/>
              </w:rPr>
              <w:t>5.75 %</w:t>
            </w:r>
          </w:p>
        </w:tc>
        <w:tc>
          <w:tcPr>
            <w:tcW w:w="9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10,000</w:t>
            </w:r>
          </w:p>
        </w:tc>
        <w:tc>
          <w:tcPr>
            <w:tcW w:w="24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9,901</w:t>
            </w:r>
          </w:p>
        </w:tc>
        <w:tc>
          <w:tcPr>
            <w:tcW w:w="2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9,997</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3180" w:type="dxa"/>
            <w:vAlign w:val="bottom"/>
          </w:tcPr>
          <w:p>
            <w:pPr>
              <w:ind w:left="20"/>
              <w:spacing w:after="0" w:line="105" w:lineRule="exact"/>
              <w:rPr>
                <w:sz w:val="20"/>
                <w:szCs w:val="20"/>
                <w:color w:val="auto"/>
              </w:rPr>
            </w:pPr>
            <w:r>
              <w:rPr>
                <w:rFonts w:ascii="Arial" w:cs="Arial" w:eastAsia="Arial" w:hAnsi="Arial"/>
                <w:sz w:val="11"/>
                <w:szCs w:val="11"/>
                <w:color w:val="auto"/>
              </w:rPr>
              <w:t>Mars Acquisition Holdings Corp.</w:t>
            </w:r>
          </w:p>
        </w:tc>
        <w:tc>
          <w:tcPr>
            <w:tcW w:w="760" w:type="dxa"/>
            <w:vAlign w:val="bottom"/>
            <w:gridSpan w:val="2"/>
          </w:tcPr>
          <w:p>
            <w:pPr>
              <w:jc w:val="center"/>
              <w:ind w:left="86"/>
              <w:spacing w:after="0" w:line="105" w:lineRule="exact"/>
              <w:rPr>
                <w:sz w:val="20"/>
                <w:szCs w:val="20"/>
                <w:color w:val="auto"/>
              </w:rPr>
            </w:pPr>
            <w:r>
              <w:rPr>
                <w:rFonts w:ascii="Arial" w:cs="Arial" w:eastAsia="Arial" w:hAnsi="Arial"/>
                <w:sz w:val="11"/>
                <w:szCs w:val="11"/>
                <w:color w:val="auto"/>
                <w:w w:val="90"/>
              </w:rPr>
              <w:t>05/14/2026</w:t>
            </w:r>
          </w:p>
        </w:tc>
        <w:tc>
          <w:tcPr>
            <w:tcW w:w="140" w:type="dxa"/>
            <w:vAlign w:val="bottom"/>
          </w:tcPr>
          <w:p>
            <w:pPr>
              <w:spacing w:after="0"/>
              <w:rPr>
                <w:sz w:val="9"/>
                <w:szCs w:val="9"/>
                <w:color w:val="auto"/>
              </w:rPr>
            </w:pPr>
          </w:p>
        </w:tc>
        <w:tc>
          <w:tcPr>
            <w:tcW w:w="2240" w:type="dxa"/>
            <w:vAlign w:val="bottom"/>
          </w:tcPr>
          <w:p>
            <w:pPr>
              <w:jc w:val="center"/>
              <w:spacing w:after="0" w:line="105" w:lineRule="exact"/>
              <w:rPr>
                <w:sz w:val="20"/>
                <w:szCs w:val="20"/>
                <w:color w:val="auto"/>
              </w:rPr>
            </w:pPr>
            <w:r>
              <w:rPr>
                <w:rFonts w:ascii="Arial" w:cs="Arial" w:eastAsia="Arial" w:hAnsi="Arial"/>
                <w:sz w:val="11"/>
                <w:szCs w:val="11"/>
                <w:color w:val="auto"/>
                <w:w w:val="93"/>
              </w:rPr>
              <w:t>Media</w:t>
            </w:r>
          </w:p>
        </w:tc>
        <w:tc>
          <w:tcPr>
            <w:tcW w:w="1080" w:type="dxa"/>
            <w:vAlign w:val="bottom"/>
            <w:gridSpan w:val="3"/>
          </w:tcPr>
          <w:p>
            <w:pPr>
              <w:jc w:val="right"/>
              <w:ind w:right="86"/>
              <w:spacing w:after="0" w:line="105" w:lineRule="exact"/>
              <w:rPr>
                <w:sz w:val="20"/>
                <w:szCs w:val="20"/>
                <w:color w:val="auto"/>
              </w:rPr>
            </w:pPr>
            <w:r>
              <w:rPr>
                <w:rFonts w:ascii="Arial" w:cs="Arial" w:eastAsia="Arial" w:hAnsi="Arial"/>
                <w:sz w:val="11"/>
                <w:szCs w:val="11"/>
                <w:color w:val="auto"/>
              </w:rPr>
              <w:t>6.50 %</w:t>
            </w:r>
          </w:p>
        </w:tc>
        <w:tc>
          <w:tcPr>
            <w:tcW w:w="940" w:type="dxa"/>
            <w:vAlign w:val="bottom"/>
          </w:tcPr>
          <w:p>
            <w:pPr>
              <w:jc w:val="right"/>
              <w:spacing w:after="0" w:line="105" w:lineRule="exact"/>
              <w:rPr>
                <w:sz w:val="20"/>
                <w:szCs w:val="20"/>
                <w:color w:val="auto"/>
              </w:rPr>
            </w:pPr>
            <w:r>
              <w:rPr>
                <w:rFonts w:ascii="Arial" w:cs="Arial" w:eastAsia="Arial" w:hAnsi="Arial"/>
                <w:sz w:val="11"/>
                <w:szCs w:val="11"/>
                <w:color w:val="auto"/>
              </w:rPr>
              <w:t>3M L+550</w:t>
            </w:r>
          </w:p>
        </w:tc>
        <w:tc>
          <w:tcPr>
            <w:tcW w:w="940" w:type="dxa"/>
            <w:vAlign w:val="bottom"/>
            <w:gridSpan w:val="2"/>
          </w:tcPr>
          <w:p>
            <w:pPr>
              <w:jc w:val="right"/>
              <w:spacing w:after="0" w:line="105" w:lineRule="exact"/>
              <w:rPr>
                <w:sz w:val="20"/>
                <w:szCs w:val="20"/>
                <w:color w:val="auto"/>
              </w:rPr>
            </w:pPr>
            <w:r>
              <w:rPr>
                <w:rFonts w:ascii="Arial" w:cs="Arial" w:eastAsia="Arial" w:hAnsi="Arial"/>
                <w:sz w:val="11"/>
                <w:szCs w:val="11"/>
                <w:color w:val="auto"/>
              </w:rPr>
              <w:t>6,113</w:t>
            </w: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jc w:val="right"/>
              <w:spacing w:after="0" w:line="105" w:lineRule="exact"/>
              <w:rPr>
                <w:sz w:val="20"/>
                <w:szCs w:val="20"/>
                <w:color w:val="auto"/>
              </w:rPr>
            </w:pPr>
            <w:r>
              <w:rPr>
                <w:rFonts w:ascii="Arial" w:cs="Arial" w:eastAsia="Arial" w:hAnsi="Arial"/>
                <w:sz w:val="11"/>
                <w:szCs w:val="11"/>
                <w:color w:val="auto"/>
              </w:rPr>
              <w:t>5,998</w:t>
            </w: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jc w:val="right"/>
              <w:spacing w:after="0" w:line="105" w:lineRule="exact"/>
              <w:rPr>
                <w:sz w:val="20"/>
                <w:szCs w:val="20"/>
                <w:color w:val="auto"/>
              </w:rPr>
            </w:pPr>
            <w:r>
              <w:rPr>
                <w:rFonts w:ascii="Arial" w:cs="Arial" w:eastAsia="Arial" w:hAnsi="Arial"/>
                <w:sz w:val="11"/>
                <w:szCs w:val="11"/>
                <w:color w:val="auto"/>
              </w:rPr>
              <w:t>6,052</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180" w:type="dxa"/>
            <w:vAlign w:val="bottom"/>
          </w:tcPr>
          <w:p>
            <w:pPr>
              <w:ind w:left="20"/>
              <w:spacing w:after="0" w:line="135" w:lineRule="exact"/>
              <w:rPr>
                <w:sz w:val="20"/>
                <w:szCs w:val="20"/>
                <w:color w:val="auto"/>
              </w:rPr>
            </w:pPr>
            <w:r>
              <w:rPr>
                <w:rFonts w:ascii="Arial" w:cs="Arial" w:eastAsia="Arial" w:hAnsi="Arial"/>
                <w:sz w:val="11"/>
                <w:szCs w:val="11"/>
                <w:color w:val="auto"/>
              </w:rPr>
              <w:t>Mars Acquisition Holdings Corp. (Revolver)</w:t>
            </w:r>
            <w:r>
              <w:rPr>
                <w:rFonts w:ascii="Arial" w:cs="Arial" w:eastAsia="Arial" w:hAnsi="Arial"/>
                <w:sz w:val="14"/>
                <w:szCs w:val="14"/>
                <w:color w:val="auto"/>
                <w:vertAlign w:val="superscript"/>
              </w:rPr>
              <w:t>(7)(9)</w:t>
            </w:r>
          </w:p>
        </w:tc>
        <w:tc>
          <w:tcPr>
            <w:tcW w:w="76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05/14/2026</w:t>
            </w:r>
          </w:p>
        </w:tc>
        <w:tc>
          <w:tcPr>
            <w:tcW w:w="140" w:type="dxa"/>
            <w:vAlign w:val="bottom"/>
          </w:tcPr>
          <w:p>
            <w:pPr>
              <w:spacing w:after="0"/>
              <w:rPr>
                <w:sz w:val="11"/>
                <w:szCs w:val="11"/>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120" w:type="dxa"/>
            <w:vAlign w:val="bottom"/>
          </w:tcPr>
          <w:p>
            <w:pPr>
              <w:spacing w:after="0"/>
              <w:rPr>
                <w:sz w:val="11"/>
                <w:szCs w:val="11"/>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1,624</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auto"/>
              </w:rPr>
              <w:t>(16 )</w:t>
            </w:r>
          </w:p>
        </w:tc>
        <w:tc>
          <w:tcPr>
            <w:tcW w:w="0" w:type="dxa"/>
            <w:vAlign w:val="bottom"/>
          </w:tcPr>
          <w:p>
            <w:pPr>
              <w:spacing w:after="0"/>
              <w:rPr>
                <w:sz w:val="1"/>
                <w:szCs w:val="1"/>
                <w:color w:val="auto"/>
              </w:rPr>
            </w:pPr>
          </w:p>
        </w:tc>
      </w:tr>
      <w:tr>
        <w:trPr>
          <w:trHeight w:val="155"/>
        </w:trPr>
        <w:tc>
          <w:tcPr>
            <w:tcW w:w="3180" w:type="dxa"/>
            <w:vAlign w:val="bottom"/>
          </w:tcPr>
          <w:p>
            <w:pPr>
              <w:ind w:left="20"/>
              <w:spacing w:after="0" w:line="155" w:lineRule="exact"/>
              <w:rPr>
                <w:sz w:val="20"/>
                <w:szCs w:val="20"/>
                <w:color w:val="auto"/>
              </w:rPr>
            </w:pPr>
            <w:r>
              <w:rPr>
                <w:rFonts w:ascii="Arial" w:cs="Arial" w:eastAsia="Arial" w:hAnsi="Arial"/>
                <w:sz w:val="11"/>
                <w:szCs w:val="11"/>
                <w:color w:val="auto"/>
              </w:rPr>
              <w:t>MBS Holdings, Inc. (Revolver)</w:t>
            </w:r>
            <w:r>
              <w:rPr>
                <w:rFonts w:ascii="Arial" w:cs="Arial" w:eastAsia="Arial" w:hAnsi="Arial"/>
                <w:sz w:val="14"/>
                <w:szCs w:val="14"/>
                <w:color w:val="auto"/>
                <w:vertAlign w:val="superscript"/>
              </w:rPr>
              <w:t>(7)(9)</w:t>
            </w:r>
          </w:p>
        </w:tc>
        <w:tc>
          <w:tcPr>
            <w:tcW w:w="76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04/16/2027</w:t>
            </w:r>
          </w:p>
        </w:tc>
        <w:tc>
          <w:tcPr>
            <w:tcW w:w="140" w:type="dxa"/>
            <w:vAlign w:val="bottom"/>
          </w:tcPr>
          <w:p>
            <w:pPr>
              <w:spacing w:after="0"/>
              <w:rPr>
                <w:sz w:val="13"/>
                <w:szCs w:val="13"/>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89"/>
              </w:rPr>
              <w:t>Internet Software and Services</w:t>
            </w:r>
          </w:p>
        </w:tc>
        <w:tc>
          <w:tcPr>
            <w:tcW w:w="120" w:type="dxa"/>
            <w:vAlign w:val="bottom"/>
          </w:tcPr>
          <w:p>
            <w:pPr>
              <w:spacing w:after="0"/>
              <w:rPr>
                <w:sz w:val="13"/>
                <w:szCs w:val="13"/>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1,157</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auto"/>
              </w:rPr>
              <w:t>(23 )</w:t>
            </w:r>
          </w:p>
        </w:tc>
        <w:tc>
          <w:tcPr>
            <w:tcW w:w="0" w:type="dxa"/>
            <w:vAlign w:val="bottom"/>
          </w:tcPr>
          <w:p>
            <w:pPr>
              <w:spacing w:after="0"/>
              <w:rPr>
                <w:sz w:val="1"/>
                <w:szCs w:val="1"/>
                <w:color w:val="auto"/>
              </w:rPr>
            </w:pPr>
          </w:p>
        </w:tc>
      </w:tr>
      <w:tr>
        <w:trPr>
          <w:trHeight w:val="115"/>
        </w:trPr>
        <w:tc>
          <w:tcPr>
            <w:tcW w:w="3180" w:type="dxa"/>
            <w:vAlign w:val="bottom"/>
          </w:tcPr>
          <w:p>
            <w:pPr>
              <w:ind w:left="20"/>
              <w:spacing w:after="0" w:line="115" w:lineRule="exact"/>
              <w:rPr>
                <w:sz w:val="20"/>
                <w:szCs w:val="20"/>
                <w:color w:val="auto"/>
              </w:rPr>
            </w:pPr>
            <w:r>
              <w:rPr>
                <w:rFonts w:ascii="Arial" w:cs="Arial" w:eastAsia="Arial" w:hAnsi="Arial"/>
                <w:sz w:val="11"/>
                <w:szCs w:val="11"/>
                <w:color w:val="auto"/>
              </w:rPr>
              <w:t>MeritDirect, LLC</w:t>
            </w:r>
          </w:p>
        </w:tc>
        <w:tc>
          <w:tcPr>
            <w:tcW w:w="760" w:type="dxa"/>
            <w:vAlign w:val="bottom"/>
            <w:gridSpan w:val="2"/>
          </w:tcPr>
          <w:p>
            <w:pPr>
              <w:jc w:val="center"/>
              <w:ind w:left="86"/>
              <w:spacing w:after="0" w:line="115" w:lineRule="exact"/>
              <w:rPr>
                <w:sz w:val="20"/>
                <w:szCs w:val="20"/>
                <w:color w:val="auto"/>
              </w:rPr>
            </w:pPr>
            <w:r>
              <w:rPr>
                <w:rFonts w:ascii="Arial" w:cs="Arial" w:eastAsia="Arial" w:hAnsi="Arial"/>
                <w:sz w:val="11"/>
                <w:szCs w:val="11"/>
                <w:color w:val="auto"/>
                <w:w w:val="90"/>
              </w:rPr>
              <w:t>05/23/2024</w:t>
            </w:r>
          </w:p>
        </w:tc>
        <w:tc>
          <w:tcPr>
            <w:tcW w:w="140" w:type="dxa"/>
            <w:vAlign w:val="bottom"/>
          </w:tcPr>
          <w:p>
            <w:pPr>
              <w:spacing w:after="0"/>
              <w:rPr>
                <w:sz w:val="9"/>
                <w:szCs w:val="9"/>
                <w:color w:val="auto"/>
              </w:rPr>
            </w:pPr>
          </w:p>
        </w:tc>
        <w:tc>
          <w:tcPr>
            <w:tcW w:w="2240" w:type="dxa"/>
            <w:vAlign w:val="bottom"/>
          </w:tcPr>
          <w:p>
            <w:pPr>
              <w:jc w:val="center"/>
              <w:spacing w:after="0" w:line="115" w:lineRule="exact"/>
              <w:rPr>
                <w:sz w:val="20"/>
                <w:szCs w:val="20"/>
                <w:color w:val="auto"/>
              </w:rPr>
            </w:pPr>
            <w:r>
              <w:rPr>
                <w:rFonts w:ascii="Arial" w:cs="Arial" w:eastAsia="Arial" w:hAnsi="Arial"/>
                <w:sz w:val="11"/>
                <w:szCs w:val="11"/>
                <w:color w:val="auto"/>
                <w:w w:val="93"/>
              </w:rPr>
              <w:t>Media</w:t>
            </w:r>
          </w:p>
        </w:tc>
        <w:tc>
          <w:tcPr>
            <w:tcW w:w="1080" w:type="dxa"/>
            <w:vAlign w:val="bottom"/>
            <w:gridSpan w:val="3"/>
          </w:tcPr>
          <w:p>
            <w:pPr>
              <w:jc w:val="right"/>
              <w:ind w:right="86"/>
              <w:spacing w:after="0" w:line="115" w:lineRule="exact"/>
              <w:rPr>
                <w:sz w:val="20"/>
                <w:szCs w:val="20"/>
                <w:color w:val="auto"/>
              </w:rPr>
            </w:pPr>
            <w:r>
              <w:rPr>
                <w:rFonts w:ascii="Arial" w:cs="Arial" w:eastAsia="Arial" w:hAnsi="Arial"/>
                <w:sz w:val="11"/>
                <w:szCs w:val="11"/>
                <w:color w:val="auto"/>
              </w:rPr>
              <w:t>6.50 %</w:t>
            </w:r>
          </w:p>
        </w:tc>
        <w:tc>
          <w:tcPr>
            <w:tcW w:w="940" w:type="dxa"/>
            <w:vAlign w:val="bottom"/>
          </w:tcPr>
          <w:p>
            <w:pPr>
              <w:jc w:val="right"/>
              <w:spacing w:after="0" w:line="115" w:lineRule="exact"/>
              <w:rPr>
                <w:sz w:val="20"/>
                <w:szCs w:val="20"/>
                <w:color w:val="auto"/>
              </w:rPr>
            </w:pPr>
            <w:r>
              <w:rPr>
                <w:rFonts w:ascii="Arial" w:cs="Arial" w:eastAsia="Arial" w:hAnsi="Arial"/>
                <w:sz w:val="11"/>
                <w:szCs w:val="11"/>
                <w:color w:val="auto"/>
              </w:rPr>
              <w:t>3M L+550</w:t>
            </w:r>
          </w:p>
        </w:tc>
        <w:tc>
          <w:tcPr>
            <w:tcW w:w="94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25,250</w:t>
            </w: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jc w:val="right"/>
              <w:spacing w:after="0" w:line="115" w:lineRule="exact"/>
              <w:rPr>
                <w:sz w:val="20"/>
                <w:szCs w:val="20"/>
                <w:color w:val="auto"/>
              </w:rPr>
            </w:pPr>
            <w:r>
              <w:rPr>
                <w:rFonts w:ascii="Arial" w:cs="Arial" w:eastAsia="Arial" w:hAnsi="Arial"/>
                <w:sz w:val="11"/>
                <w:szCs w:val="11"/>
                <w:color w:val="auto"/>
              </w:rPr>
              <w:t>25,029</w:t>
            </w: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jc w:val="right"/>
              <w:spacing w:after="0" w:line="115" w:lineRule="exact"/>
              <w:rPr>
                <w:sz w:val="20"/>
                <w:szCs w:val="20"/>
                <w:color w:val="auto"/>
              </w:rPr>
            </w:pPr>
            <w:r>
              <w:rPr>
                <w:rFonts w:ascii="Arial" w:cs="Arial" w:eastAsia="Arial" w:hAnsi="Arial"/>
                <w:sz w:val="11"/>
                <w:szCs w:val="11"/>
                <w:color w:val="auto"/>
              </w:rPr>
              <w:t>24,997</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318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MeritDirect, LLC (Revolver) </w:t>
            </w:r>
            <w:r>
              <w:rPr>
                <w:rFonts w:ascii="Arial" w:cs="Arial" w:eastAsia="Arial" w:hAnsi="Arial"/>
                <w:sz w:val="14"/>
                <w:szCs w:val="14"/>
                <w:color w:val="auto"/>
                <w:vertAlign w:val="superscript"/>
              </w:rPr>
              <w:t>(7), (9)</w:t>
            </w:r>
          </w:p>
        </w:tc>
        <w:tc>
          <w:tcPr>
            <w:tcW w:w="76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05/23/2024</w:t>
            </w:r>
          </w:p>
        </w:tc>
        <w:tc>
          <w:tcPr>
            <w:tcW w:w="140" w:type="dxa"/>
            <w:vAlign w:val="bottom"/>
          </w:tcPr>
          <w:p>
            <w:pPr>
              <w:spacing w:after="0"/>
              <w:rPr>
                <w:sz w:val="13"/>
                <w:szCs w:val="13"/>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120" w:type="dxa"/>
            <w:vAlign w:val="bottom"/>
          </w:tcPr>
          <w:p>
            <w:pPr>
              <w:spacing w:after="0"/>
              <w:rPr>
                <w:sz w:val="13"/>
                <w:szCs w:val="13"/>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4,482</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auto"/>
              </w:rPr>
              <w:t>(45 )</w:t>
            </w:r>
          </w:p>
        </w:tc>
        <w:tc>
          <w:tcPr>
            <w:tcW w:w="0" w:type="dxa"/>
            <w:vAlign w:val="bottom"/>
          </w:tcPr>
          <w:p>
            <w:pPr>
              <w:spacing w:after="0"/>
              <w:rPr>
                <w:sz w:val="1"/>
                <w:szCs w:val="1"/>
                <w:color w:val="auto"/>
              </w:rPr>
            </w:pPr>
          </w:p>
        </w:tc>
      </w:tr>
      <w:tr>
        <w:trPr>
          <w:trHeight w:val="115"/>
        </w:trPr>
        <w:tc>
          <w:tcPr>
            <w:tcW w:w="3180" w:type="dxa"/>
            <w:vAlign w:val="bottom"/>
          </w:tcPr>
          <w:p>
            <w:pPr>
              <w:ind w:left="20"/>
              <w:spacing w:after="0" w:line="115" w:lineRule="exact"/>
              <w:rPr>
                <w:sz w:val="20"/>
                <w:szCs w:val="20"/>
                <w:color w:val="auto"/>
              </w:rPr>
            </w:pPr>
            <w:r>
              <w:rPr>
                <w:rFonts w:ascii="Arial" w:cs="Arial" w:eastAsia="Arial" w:hAnsi="Arial"/>
                <w:sz w:val="11"/>
                <w:szCs w:val="11"/>
                <w:color w:val="auto"/>
              </w:rPr>
              <w:t>Mission Critical Electronics, Inc.</w:t>
            </w:r>
          </w:p>
        </w:tc>
        <w:tc>
          <w:tcPr>
            <w:tcW w:w="760" w:type="dxa"/>
            <w:vAlign w:val="bottom"/>
            <w:gridSpan w:val="2"/>
          </w:tcPr>
          <w:p>
            <w:pPr>
              <w:jc w:val="center"/>
              <w:ind w:left="86"/>
              <w:spacing w:after="0" w:line="115" w:lineRule="exact"/>
              <w:rPr>
                <w:sz w:val="20"/>
                <w:szCs w:val="20"/>
                <w:color w:val="auto"/>
              </w:rPr>
            </w:pPr>
            <w:r>
              <w:rPr>
                <w:rFonts w:ascii="Arial" w:cs="Arial" w:eastAsia="Arial" w:hAnsi="Arial"/>
                <w:sz w:val="11"/>
                <w:szCs w:val="11"/>
                <w:color w:val="auto"/>
                <w:w w:val="90"/>
              </w:rPr>
              <w:t>09/28/2022</w:t>
            </w:r>
          </w:p>
        </w:tc>
        <w:tc>
          <w:tcPr>
            <w:tcW w:w="140" w:type="dxa"/>
            <w:vAlign w:val="bottom"/>
          </w:tcPr>
          <w:p>
            <w:pPr>
              <w:spacing w:after="0"/>
              <w:rPr>
                <w:sz w:val="9"/>
                <w:szCs w:val="9"/>
                <w:color w:val="auto"/>
              </w:rPr>
            </w:pPr>
          </w:p>
        </w:tc>
        <w:tc>
          <w:tcPr>
            <w:tcW w:w="2240" w:type="dxa"/>
            <w:vAlign w:val="bottom"/>
          </w:tcPr>
          <w:p>
            <w:pPr>
              <w:jc w:val="center"/>
              <w:spacing w:after="0" w:line="115" w:lineRule="exact"/>
              <w:rPr>
                <w:sz w:val="20"/>
                <w:szCs w:val="20"/>
                <w:color w:val="auto"/>
              </w:rPr>
            </w:pPr>
            <w:r>
              <w:rPr>
                <w:rFonts w:ascii="Arial" w:cs="Arial" w:eastAsia="Arial" w:hAnsi="Arial"/>
                <w:sz w:val="11"/>
                <w:szCs w:val="11"/>
                <w:color w:val="auto"/>
                <w:w w:val="91"/>
              </w:rPr>
              <w:t>Capital Equipment</w:t>
            </w:r>
          </w:p>
        </w:tc>
        <w:tc>
          <w:tcPr>
            <w:tcW w:w="1080" w:type="dxa"/>
            <w:vAlign w:val="bottom"/>
            <w:gridSpan w:val="3"/>
          </w:tcPr>
          <w:p>
            <w:pPr>
              <w:jc w:val="right"/>
              <w:ind w:right="86"/>
              <w:spacing w:after="0" w:line="115" w:lineRule="exact"/>
              <w:rPr>
                <w:sz w:val="20"/>
                <w:szCs w:val="20"/>
                <w:color w:val="auto"/>
              </w:rPr>
            </w:pPr>
            <w:r>
              <w:rPr>
                <w:rFonts w:ascii="Arial" w:cs="Arial" w:eastAsia="Arial" w:hAnsi="Arial"/>
                <w:sz w:val="11"/>
                <w:szCs w:val="11"/>
                <w:color w:val="auto"/>
              </w:rPr>
              <w:t>6.00 %</w:t>
            </w:r>
          </w:p>
        </w:tc>
        <w:tc>
          <w:tcPr>
            <w:tcW w:w="940" w:type="dxa"/>
            <w:vAlign w:val="bottom"/>
          </w:tcPr>
          <w:p>
            <w:pPr>
              <w:jc w:val="right"/>
              <w:spacing w:after="0" w:line="115" w:lineRule="exact"/>
              <w:rPr>
                <w:sz w:val="20"/>
                <w:szCs w:val="20"/>
                <w:color w:val="auto"/>
              </w:rPr>
            </w:pPr>
            <w:r>
              <w:rPr>
                <w:rFonts w:ascii="Arial" w:cs="Arial" w:eastAsia="Arial" w:hAnsi="Arial"/>
                <w:sz w:val="11"/>
                <w:szCs w:val="11"/>
                <w:color w:val="auto"/>
              </w:rPr>
              <w:t>1M L+500</w:t>
            </w:r>
          </w:p>
        </w:tc>
        <w:tc>
          <w:tcPr>
            <w:tcW w:w="94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606</w:t>
            </w: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jc w:val="right"/>
              <w:spacing w:after="0" w:line="115" w:lineRule="exact"/>
              <w:rPr>
                <w:sz w:val="20"/>
                <w:szCs w:val="20"/>
                <w:color w:val="auto"/>
              </w:rPr>
            </w:pPr>
            <w:r>
              <w:rPr>
                <w:rFonts w:ascii="Arial" w:cs="Arial" w:eastAsia="Arial" w:hAnsi="Arial"/>
                <w:sz w:val="11"/>
                <w:szCs w:val="11"/>
                <w:color w:val="auto"/>
              </w:rPr>
              <w:t>604</w:t>
            </w: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jc w:val="right"/>
              <w:spacing w:after="0" w:line="115" w:lineRule="exact"/>
              <w:rPr>
                <w:sz w:val="20"/>
                <w:szCs w:val="20"/>
                <w:color w:val="auto"/>
              </w:rPr>
            </w:pPr>
            <w:r>
              <w:rPr>
                <w:rFonts w:ascii="Arial" w:cs="Arial" w:eastAsia="Arial" w:hAnsi="Arial"/>
                <w:sz w:val="11"/>
                <w:szCs w:val="11"/>
                <w:color w:val="auto"/>
              </w:rPr>
              <w:t>606</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18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Mission Critical Electronics, Inc. (Revolver) </w:t>
            </w:r>
            <w:r>
              <w:rPr>
                <w:rFonts w:ascii="Arial" w:cs="Arial" w:eastAsia="Arial" w:hAnsi="Arial"/>
                <w:sz w:val="14"/>
                <w:szCs w:val="14"/>
                <w:color w:val="auto"/>
                <w:vertAlign w:val="superscript"/>
              </w:rPr>
              <w:t>(7)</w:t>
            </w:r>
          </w:p>
        </w:tc>
        <w:tc>
          <w:tcPr>
            <w:tcW w:w="76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09/28/2022</w:t>
            </w:r>
          </w:p>
        </w:tc>
        <w:tc>
          <w:tcPr>
            <w:tcW w:w="140" w:type="dxa"/>
            <w:vAlign w:val="bottom"/>
          </w:tcPr>
          <w:p>
            <w:pPr>
              <w:spacing w:after="0"/>
              <w:rPr>
                <w:sz w:val="11"/>
                <w:szCs w:val="11"/>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91"/>
              </w:rPr>
              <w:t>Capital Equipment</w:t>
            </w:r>
          </w:p>
        </w:tc>
        <w:tc>
          <w:tcPr>
            <w:tcW w:w="1080" w:type="dxa"/>
            <w:vAlign w:val="bottom"/>
            <w:gridSpan w:val="3"/>
          </w:tcPr>
          <w:p>
            <w:pPr>
              <w:jc w:val="right"/>
              <w:ind w:right="86"/>
              <w:spacing w:after="0"/>
              <w:rPr>
                <w:sz w:val="20"/>
                <w:szCs w:val="20"/>
                <w:color w:val="auto"/>
              </w:rPr>
            </w:pPr>
            <w:r>
              <w:rPr>
                <w:rFonts w:ascii="Arial" w:cs="Arial" w:eastAsia="Arial" w:hAnsi="Arial"/>
                <w:sz w:val="11"/>
                <w:szCs w:val="11"/>
                <w:color w:val="auto"/>
              </w:rPr>
              <w:t>6.00 %</w:t>
            </w:r>
          </w:p>
        </w:tc>
        <w:tc>
          <w:tcPr>
            <w:tcW w:w="940" w:type="dxa"/>
            <w:vAlign w:val="bottom"/>
          </w:tcPr>
          <w:p>
            <w:pPr>
              <w:jc w:val="right"/>
              <w:spacing w:after="0"/>
              <w:rPr>
                <w:sz w:val="20"/>
                <w:szCs w:val="20"/>
                <w:color w:val="auto"/>
              </w:rPr>
            </w:pPr>
            <w:r>
              <w:rPr>
                <w:rFonts w:ascii="Arial" w:cs="Arial" w:eastAsia="Arial" w:hAnsi="Arial"/>
                <w:sz w:val="11"/>
                <w:szCs w:val="11"/>
                <w:color w:val="auto"/>
              </w:rPr>
              <w:t>1M L+500</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468</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468</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468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Mission Critical Electronics, Inc. (Revolver) </w:t>
            </w:r>
            <w:r>
              <w:rPr>
                <w:rFonts w:ascii="Arial" w:cs="Arial" w:eastAsia="Arial" w:hAnsi="Arial"/>
                <w:sz w:val="14"/>
                <w:szCs w:val="14"/>
                <w:color w:val="auto"/>
                <w:vertAlign w:val="superscript"/>
              </w:rPr>
              <w:t>(7), (9)</w:t>
            </w:r>
          </w:p>
        </w:tc>
        <w:tc>
          <w:tcPr>
            <w:tcW w:w="76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09/28/2022</w:t>
            </w:r>
          </w:p>
        </w:tc>
        <w:tc>
          <w:tcPr>
            <w:tcW w:w="140" w:type="dxa"/>
            <w:vAlign w:val="bottom"/>
          </w:tcPr>
          <w:p>
            <w:pPr>
              <w:spacing w:after="0"/>
              <w:rPr>
                <w:sz w:val="11"/>
                <w:szCs w:val="11"/>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91"/>
              </w:rPr>
              <w:t>Capital Equipment</w:t>
            </w:r>
          </w:p>
        </w:tc>
        <w:tc>
          <w:tcPr>
            <w:tcW w:w="120" w:type="dxa"/>
            <w:vAlign w:val="bottom"/>
          </w:tcPr>
          <w:p>
            <w:pPr>
              <w:spacing w:after="0"/>
              <w:rPr>
                <w:sz w:val="11"/>
                <w:szCs w:val="11"/>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857</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318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Municipal Emergency Services, Inc. </w:t>
            </w:r>
            <w:r>
              <w:rPr>
                <w:rFonts w:ascii="Arial" w:cs="Arial" w:eastAsia="Arial" w:hAnsi="Arial"/>
                <w:sz w:val="14"/>
                <w:szCs w:val="14"/>
                <w:color w:val="auto"/>
                <w:vertAlign w:val="superscript"/>
              </w:rPr>
              <w:t>(7)</w:t>
            </w:r>
          </w:p>
        </w:tc>
        <w:tc>
          <w:tcPr>
            <w:tcW w:w="76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09/28/2027</w:t>
            </w:r>
          </w:p>
        </w:tc>
        <w:tc>
          <w:tcPr>
            <w:tcW w:w="140" w:type="dxa"/>
            <w:vAlign w:val="bottom"/>
          </w:tcPr>
          <w:p>
            <w:pPr>
              <w:spacing w:after="0"/>
              <w:rPr>
                <w:sz w:val="11"/>
                <w:szCs w:val="11"/>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93"/>
              </w:rPr>
              <w:t>Distributors</w:t>
            </w:r>
          </w:p>
        </w:tc>
        <w:tc>
          <w:tcPr>
            <w:tcW w:w="1080" w:type="dxa"/>
            <w:vAlign w:val="bottom"/>
            <w:gridSpan w:val="3"/>
          </w:tcPr>
          <w:p>
            <w:pPr>
              <w:jc w:val="right"/>
              <w:ind w:right="86"/>
              <w:spacing w:after="0"/>
              <w:rPr>
                <w:sz w:val="20"/>
                <w:szCs w:val="20"/>
                <w:color w:val="auto"/>
              </w:rPr>
            </w:pPr>
            <w:r>
              <w:rPr>
                <w:rFonts w:ascii="Arial" w:cs="Arial" w:eastAsia="Arial" w:hAnsi="Arial"/>
                <w:sz w:val="11"/>
                <w:szCs w:val="11"/>
                <w:color w:val="auto"/>
              </w:rPr>
              <w:t>6.00 %</w:t>
            </w:r>
          </w:p>
        </w:tc>
        <w:tc>
          <w:tcPr>
            <w:tcW w:w="940" w:type="dxa"/>
            <w:vAlign w:val="bottom"/>
          </w:tcPr>
          <w:p>
            <w:pPr>
              <w:jc w:val="right"/>
              <w:spacing w:after="0"/>
              <w:rPr>
                <w:sz w:val="20"/>
                <w:szCs w:val="20"/>
                <w:color w:val="auto"/>
              </w:rPr>
            </w:pPr>
            <w:r>
              <w:rPr>
                <w:rFonts w:ascii="Arial" w:cs="Arial" w:eastAsia="Arial" w:hAnsi="Arial"/>
                <w:sz w:val="11"/>
                <w:szCs w:val="11"/>
                <w:color w:val="auto"/>
              </w:rPr>
              <w:t>3M L+500</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3,500</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3,430</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3,430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Municipal Emergency Services, Inc. </w:t>
            </w:r>
            <w:r>
              <w:rPr>
                <w:rFonts w:ascii="Arial" w:cs="Arial" w:eastAsia="Arial" w:hAnsi="Arial"/>
                <w:sz w:val="14"/>
                <w:szCs w:val="14"/>
                <w:color w:val="auto"/>
                <w:vertAlign w:val="superscript"/>
              </w:rPr>
              <w:t>(7), (9)</w:t>
            </w:r>
          </w:p>
        </w:tc>
        <w:tc>
          <w:tcPr>
            <w:tcW w:w="76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09/28/2027</w:t>
            </w:r>
          </w:p>
        </w:tc>
        <w:tc>
          <w:tcPr>
            <w:tcW w:w="140" w:type="dxa"/>
            <w:vAlign w:val="bottom"/>
          </w:tcPr>
          <w:p>
            <w:pPr>
              <w:spacing w:after="0"/>
              <w:rPr>
                <w:sz w:val="11"/>
                <w:szCs w:val="11"/>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93"/>
              </w:rPr>
              <w:t>Distributors</w:t>
            </w:r>
          </w:p>
        </w:tc>
        <w:tc>
          <w:tcPr>
            <w:tcW w:w="120" w:type="dxa"/>
            <w:vAlign w:val="bottom"/>
          </w:tcPr>
          <w:p>
            <w:pPr>
              <w:spacing w:after="0"/>
              <w:rPr>
                <w:sz w:val="11"/>
                <w:szCs w:val="11"/>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947</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318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Municipal Emergency Services, Inc. (Revolver) </w:t>
            </w:r>
            <w:r>
              <w:rPr>
                <w:rFonts w:ascii="Arial" w:cs="Arial" w:eastAsia="Arial" w:hAnsi="Arial"/>
                <w:sz w:val="14"/>
                <w:szCs w:val="14"/>
                <w:color w:val="auto"/>
                <w:vertAlign w:val="superscript"/>
              </w:rPr>
              <w:t>(7), (9)</w:t>
            </w:r>
          </w:p>
        </w:tc>
        <w:tc>
          <w:tcPr>
            <w:tcW w:w="76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09/28/2027</w:t>
            </w:r>
          </w:p>
        </w:tc>
        <w:tc>
          <w:tcPr>
            <w:tcW w:w="140" w:type="dxa"/>
            <w:vAlign w:val="bottom"/>
          </w:tcPr>
          <w:p>
            <w:pPr>
              <w:spacing w:after="0"/>
              <w:rPr>
                <w:sz w:val="11"/>
                <w:szCs w:val="11"/>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93"/>
              </w:rPr>
              <w:t>Distributors</w:t>
            </w:r>
          </w:p>
        </w:tc>
        <w:tc>
          <w:tcPr>
            <w:tcW w:w="120" w:type="dxa"/>
            <w:vAlign w:val="bottom"/>
          </w:tcPr>
          <w:p>
            <w:pPr>
              <w:spacing w:after="0"/>
              <w:rPr>
                <w:sz w:val="11"/>
                <w:szCs w:val="11"/>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947</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5"/>
        </w:trPr>
        <w:tc>
          <w:tcPr>
            <w:tcW w:w="318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NBH Group LLC (Revolver) </w:t>
            </w:r>
            <w:r>
              <w:rPr>
                <w:rFonts w:ascii="Arial" w:cs="Arial" w:eastAsia="Arial" w:hAnsi="Arial"/>
                <w:sz w:val="14"/>
                <w:szCs w:val="14"/>
                <w:color w:val="auto"/>
                <w:vertAlign w:val="superscript"/>
              </w:rPr>
              <w:t>(7), (9)</w:t>
            </w:r>
          </w:p>
        </w:tc>
        <w:tc>
          <w:tcPr>
            <w:tcW w:w="76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08/19/2026</w:t>
            </w:r>
          </w:p>
        </w:tc>
        <w:tc>
          <w:tcPr>
            <w:tcW w:w="140" w:type="dxa"/>
            <w:vAlign w:val="bottom"/>
          </w:tcPr>
          <w:p>
            <w:pPr>
              <w:spacing w:after="0"/>
              <w:rPr>
                <w:sz w:val="13"/>
                <w:szCs w:val="13"/>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87"/>
              </w:rPr>
              <w:t>Healthcare Equipment and Supplies</w:t>
            </w:r>
          </w:p>
        </w:tc>
        <w:tc>
          <w:tcPr>
            <w:tcW w:w="120" w:type="dxa"/>
            <w:vAlign w:val="bottom"/>
          </w:tcPr>
          <w:p>
            <w:pPr>
              <w:spacing w:after="0"/>
              <w:rPr>
                <w:sz w:val="13"/>
                <w:szCs w:val="13"/>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1,677</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auto"/>
              </w:rPr>
              <w:t>(34 )</w:t>
            </w:r>
          </w:p>
        </w:tc>
        <w:tc>
          <w:tcPr>
            <w:tcW w:w="0" w:type="dxa"/>
            <w:vAlign w:val="bottom"/>
          </w:tcPr>
          <w:p>
            <w:pPr>
              <w:spacing w:after="0"/>
              <w:rPr>
                <w:sz w:val="1"/>
                <w:szCs w:val="1"/>
                <w:color w:val="auto"/>
              </w:rPr>
            </w:pPr>
          </w:p>
        </w:tc>
      </w:tr>
      <w:tr>
        <w:trPr>
          <w:trHeight w:val="115"/>
        </w:trPr>
        <w:tc>
          <w:tcPr>
            <w:tcW w:w="3180" w:type="dxa"/>
            <w:vAlign w:val="bottom"/>
          </w:tcPr>
          <w:p>
            <w:pPr>
              <w:ind w:left="20"/>
              <w:spacing w:after="0" w:line="115" w:lineRule="exact"/>
              <w:rPr>
                <w:sz w:val="20"/>
                <w:szCs w:val="20"/>
                <w:color w:val="auto"/>
              </w:rPr>
            </w:pPr>
            <w:r>
              <w:rPr>
                <w:rFonts w:ascii="Arial" w:cs="Arial" w:eastAsia="Arial" w:hAnsi="Arial"/>
                <w:sz w:val="11"/>
                <w:szCs w:val="11"/>
                <w:color w:val="auto"/>
              </w:rPr>
              <w:t>OIS Management Services, LLC</w:t>
            </w:r>
          </w:p>
        </w:tc>
        <w:tc>
          <w:tcPr>
            <w:tcW w:w="760" w:type="dxa"/>
            <w:vAlign w:val="bottom"/>
            <w:gridSpan w:val="2"/>
          </w:tcPr>
          <w:p>
            <w:pPr>
              <w:jc w:val="center"/>
              <w:ind w:left="86"/>
              <w:spacing w:after="0" w:line="115" w:lineRule="exact"/>
              <w:rPr>
                <w:sz w:val="20"/>
                <w:szCs w:val="20"/>
                <w:color w:val="auto"/>
              </w:rPr>
            </w:pPr>
            <w:r>
              <w:rPr>
                <w:rFonts w:ascii="Arial" w:cs="Arial" w:eastAsia="Arial" w:hAnsi="Arial"/>
                <w:sz w:val="11"/>
                <w:szCs w:val="11"/>
                <w:color w:val="auto"/>
                <w:w w:val="90"/>
              </w:rPr>
              <w:t>07/09/2026</w:t>
            </w:r>
          </w:p>
        </w:tc>
        <w:tc>
          <w:tcPr>
            <w:tcW w:w="140" w:type="dxa"/>
            <w:vAlign w:val="bottom"/>
          </w:tcPr>
          <w:p>
            <w:pPr>
              <w:spacing w:after="0"/>
              <w:rPr>
                <w:sz w:val="9"/>
                <w:szCs w:val="9"/>
                <w:color w:val="auto"/>
              </w:rPr>
            </w:pPr>
          </w:p>
        </w:tc>
        <w:tc>
          <w:tcPr>
            <w:tcW w:w="2240" w:type="dxa"/>
            <w:vAlign w:val="bottom"/>
          </w:tcPr>
          <w:p>
            <w:pPr>
              <w:jc w:val="center"/>
              <w:spacing w:after="0" w:line="115" w:lineRule="exact"/>
              <w:rPr>
                <w:sz w:val="20"/>
                <w:szCs w:val="20"/>
                <w:color w:val="auto"/>
              </w:rPr>
            </w:pPr>
            <w:r>
              <w:rPr>
                <w:rFonts w:ascii="Arial" w:cs="Arial" w:eastAsia="Arial" w:hAnsi="Arial"/>
                <w:sz w:val="11"/>
                <w:szCs w:val="11"/>
                <w:color w:val="auto"/>
                <w:w w:val="87"/>
              </w:rPr>
              <w:t>Healthcare Equipment and Supplies</w:t>
            </w:r>
          </w:p>
        </w:tc>
        <w:tc>
          <w:tcPr>
            <w:tcW w:w="1080" w:type="dxa"/>
            <w:vAlign w:val="bottom"/>
            <w:gridSpan w:val="3"/>
          </w:tcPr>
          <w:p>
            <w:pPr>
              <w:jc w:val="right"/>
              <w:ind w:right="86"/>
              <w:spacing w:after="0" w:line="115" w:lineRule="exact"/>
              <w:rPr>
                <w:sz w:val="20"/>
                <w:szCs w:val="20"/>
                <w:color w:val="auto"/>
              </w:rPr>
            </w:pPr>
            <w:r>
              <w:rPr>
                <w:rFonts w:ascii="Arial" w:cs="Arial" w:eastAsia="Arial" w:hAnsi="Arial"/>
                <w:sz w:val="11"/>
                <w:szCs w:val="11"/>
                <w:color w:val="auto"/>
              </w:rPr>
              <w:t>5.75 %</w:t>
            </w:r>
          </w:p>
        </w:tc>
        <w:tc>
          <w:tcPr>
            <w:tcW w:w="940" w:type="dxa"/>
            <w:vAlign w:val="bottom"/>
          </w:tcPr>
          <w:p>
            <w:pPr>
              <w:jc w:val="right"/>
              <w:spacing w:after="0" w:line="115" w:lineRule="exact"/>
              <w:rPr>
                <w:sz w:val="20"/>
                <w:szCs w:val="20"/>
                <w:color w:val="auto"/>
              </w:rPr>
            </w:pPr>
            <w:r>
              <w:rPr>
                <w:rFonts w:ascii="Arial" w:cs="Arial" w:eastAsia="Arial" w:hAnsi="Arial"/>
                <w:sz w:val="11"/>
                <w:szCs w:val="11"/>
                <w:color w:val="auto"/>
              </w:rPr>
              <w:t>3M L+475</w:t>
            </w:r>
          </w:p>
        </w:tc>
        <w:tc>
          <w:tcPr>
            <w:tcW w:w="94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3,195</w:t>
            </w: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jc w:val="right"/>
              <w:spacing w:after="0" w:line="115" w:lineRule="exact"/>
              <w:rPr>
                <w:sz w:val="20"/>
                <w:szCs w:val="20"/>
                <w:color w:val="auto"/>
              </w:rPr>
            </w:pPr>
            <w:r>
              <w:rPr>
                <w:rFonts w:ascii="Arial" w:cs="Arial" w:eastAsia="Arial" w:hAnsi="Arial"/>
                <w:sz w:val="11"/>
                <w:szCs w:val="11"/>
                <w:color w:val="auto"/>
              </w:rPr>
              <w:t>3,156</w:t>
            </w: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jc w:val="right"/>
              <w:spacing w:after="0" w:line="115" w:lineRule="exact"/>
              <w:rPr>
                <w:sz w:val="20"/>
                <w:szCs w:val="20"/>
                <w:color w:val="auto"/>
              </w:rPr>
            </w:pPr>
            <w:r>
              <w:rPr>
                <w:rFonts w:ascii="Arial" w:cs="Arial" w:eastAsia="Arial" w:hAnsi="Arial"/>
                <w:sz w:val="11"/>
                <w:szCs w:val="11"/>
                <w:color w:val="auto"/>
              </w:rPr>
              <w:t>3,147</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18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OIS Management Services, LLC </w:t>
            </w:r>
            <w:r>
              <w:rPr>
                <w:rFonts w:ascii="Arial" w:cs="Arial" w:eastAsia="Arial" w:hAnsi="Arial"/>
                <w:sz w:val="14"/>
                <w:szCs w:val="14"/>
                <w:color w:val="auto"/>
                <w:vertAlign w:val="superscript"/>
              </w:rPr>
              <w:t>(7), (9)</w:t>
            </w:r>
          </w:p>
        </w:tc>
        <w:tc>
          <w:tcPr>
            <w:tcW w:w="76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07/09/2023</w:t>
            </w:r>
          </w:p>
        </w:tc>
        <w:tc>
          <w:tcPr>
            <w:tcW w:w="140" w:type="dxa"/>
            <w:vAlign w:val="bottom"/>
          </w:tcPr>
          <w:p>
            <w:pPr>
              <w:spacing w:after="0"/>
              <w:rPr>
                <w:sz w:val="11"/>
                <w:szCs w:val="11"/>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87"/>
              </w:rPr>
              <w:t>Healthcare Equipment and Supplies</w:t>
            </w:r>
          </w:p>
        </w:tc>
        <w:tc>
          <w:tcPr>
            <w:tcW w:w="120" w:type="dxa"/>
            <w:vAlign w:val="bottom"/>
          </w:tcPr>
          <w:p>
            <w:pPr>
              <w:spacing w:after="0"/>
              <w:rPr>
                <w:sz w:val="11"/>
                <w:szCs w:val="11"/>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1,911</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auto"/>
              </w:rPr>
              <w:t>(14 )</w:t>
            </w:r>
          </w:p>
        </w:tc>
        <w:tc>
          <w:tcPr>
            <w:tcW w:w="0" w:type="dxa"/>
            <w:vAlign w:val="bottom"/>
          </w:tcPr>
          <w:p>
            <w:pPr>
              <w:spacing w:after="0"/>
              <w:rPr>
                <w:sz w:val="1"/>
                <w:szCs w:val="1"/>
                <w:color w:val="auto"/>
              </w:rPr>
            </w:pPr>
          </w:p>
        </w:tc>
      </w:tr>
      <w:tr>
        <w:trPr>
          <w:trHeight w:val="155"/>
        </w:trPr>
        <w:tc>
          <w:tcPr>
            <w:tcW w:w="318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OIS Management Services, LLC (Revolver) </w:t>
            </w:r>
            <w:r>
              <w:rPr>
                <w:rFonts w:ascii="Arial" w:cs="Arial" w:eastAsia="Arial" w:hAnsi="Arial"/>
                <w:sz w:val="14"/>
                <w:szCs w:val="14"/>
                <w:color w:val="auto"/>
                <w:vertAlign w:val="superscript"/>
              </w:rPr>
              <w:t>(7), (9)</w:t>
            </w:r>
          </w:p>
        </w:tc>
        <w:tc>
          <w:tcPr>
            <w:tcW w:w="76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07/09/2026</w:t>
            </w:r>
          </w:p>
        </w:tc>
        <w:tc>
          <w:tcPr>
            <w:tcW w:w="140" w:type="dxa"/>
            <w:vAlign w:val="bottom"/>
          </w:tcPr>
          <w:p>
            <w:pPr>
              <w:spacing w:after="0"/>
              <w:rPr>
                <w:sz w:val="13"/>
                <w:szCs w:val="13"/>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87"/>
              </w:rPr>
              <w:t>Healthcare Equipment and Supplies</w:t>
            </w:r>
          </w:p>
        </w:tc>
        <w:tc>
          <w:tcPr>
            <w:tcW w:w="120" w:type="dxa"/>
            <w:vAlign w:val="bottom"/>
          </w:tcPr>
          <w:p>
            <w:pPr>
              <w:spacing w:after="0"/>
              <w:rPr>
                <w:sz w:val="13"/>
                <w:szCs w:val="13"/>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444</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auto"/>
              </w:rPr>
              <w:t>(7 )</w:t>
            </w:r>
          </w:p>
        </w:tc>
        <w:tc>
          <w:tcPr>
            <w:tcW w:w="0" w:type="dxa"/>
            <w:vAlign w:val="bottom"/>
          </w:tcPr>
          <w:p>
            <w:pPr>
              <w:spacing w:after="0"/>
              <w:rPr>
                <w:sz w:val="1"/>
                <w:szCs w:val="1"/>
                <w:color w:val="auto"/>
              </w:rPr>
            </w:pPr>
          </w:p>
        </w:tc>
      </w:tr>
      <w:tr>
        <w:trPr>
          <w:trHeight w:val="115"/>
        </w:trPr>
        <w:tc>
          <w:tcPr>
            <w:tcW w:w="3180" w:type="dxa"/>
            <w:vAlign w:val="bottom"/>
          </w:tcPr>
          <w:p>
            <w:pPr>
              <w:ind w:left="20"/>
              <w:spacing w:after="0" w:line="115" w:lineRule="exact"/>
              <w:rPr>
                <w:sz w:val="20"/>
                <w:szCs w:val="20"/>
                <w:color w:val="auto"/>
              </w:rPr>
            </w:pPr>
            <w:r>
              <w:rPr>
                <w:rFonts w:ascii="Arial" w:cs="Arial" w:eastAsia="Arial" w:hAnsi="Arial"/>
                <w:sz w:val="11"/>
                <w:szCs w:val="11"/>
                <w:color w:val="auto"/>
              </w:rPr>
              <w:t>One Stop Mailing, LLC</w:t>
            </w:r>
          </w:p>
        </w:tc>
        <w:tc>
          <w:tcPr>
            <w:tcW w:w="760" w:type="dxa"/>
            <w:vAlign w:val="bottom"/>
            <w:gridSpan w:val="2"/>
          </w:tcPr>
          <w:p>
            <w:pPr>
              <w:jc w:val="center"/>
              <w:ind w:left="86"/>
              <w:spacing w:after="0" w:line="115" w:lineRule="exact"/>
              <w:rPr>
                <w:sz w:val="20"/>
                <w:szCs w:val="20"/>
                <w:color w:val="auto"/>
              </w:rPr>
            </w:pPr>
            <w:r>
              <w:rPr>
                <w:rFonts w:ascii="Arial" w:cs="Arial" w:eastAsia="Arial" w:hAnsi="Arial"/>
                <w:sz w:val="11"/>
                <w:szCs w:val="11"/>
                <w:color w:val="auto"/>
                <w:w w:val="90"/>
              </w:rPr>
              <w:t>05/07/2027</w:t>
            </w:r>
          </w:p>
        </w:tc>
        <w:tc>
          <w:tcPr>
            <w:tcW w:w="140" w:type="dxa"/>
            <w:vAlign w:val="bottom"/>
          </w:tcPr>
          <w:p>
            <w:pPr>
              <w:spacing w:after="0"/>
              <w:rPr>
                <w:sz w:val="9"/>
                <w:szCs w:val="9"/>
                <w:color w:val="auto"/>
              </w:rPr>
            </w:pPr>
          </w:p>
        </w:tc>
        <w:tc>
          <w:tcPr>
            <w:tcW w:w="2240" w:type="dxa"/>
            <w:vAlign w:val="bottom"/>
          </w:tcPr>
          <w:p>
            <w:pPr>
              <w:jc w:val="center"/>
              <w:spacing w:after="0" w:line="115" w:lineRule="exact"/>
              <w:rPr>
                <w:sz w:val="20"/>
                <w:szCs w:val="20"/>
                <w:color w:val="auto"/>
              </w:rPr>
            </w:pPr>
            <w:r>
              <w:rPr>
                <w:rFonts w:ascii="Arial" w:cs="Arial" w:eastAsia="Arial" w:hAnsi="Arial"/>
                <w:sz w:val="11"/>
                <w:szCs w:val="11"/>
                <w:color w:val="auto"/>
                <w:w w:val="93"/>
              </w:rPr>
              <w:t>Air Freight and Logistics</w:t>
            </w:r>
          </w:p>
        </w:tc>
        <w:tc>
          <w:tcPr>
            <w:tcW w:w="1080" w:type="dxa"/>
            <w:vAlign w:val="bottom"/>
            <w:gridSpan w:val="3"/>
          </w:tcPr>
          <w:p>
            <w:pPr>
              <w:jc w:val="right"/>
              <w:ind w:right="86"/>
              <w:spacing w:after="0" w:line="115" w:lineRule="exact"/>
              <w:rPr>
                <w:sz w:val="20"/>
                <w:szCs w:val="20"/>
                <w:color w:val="auto"/>
              </w:rPr>
            </w:pPr>
            <w:r>
              <w:rPr>
                <w:rFonts w:ascii="Arial" w:cs="Arial" w:eastAsia="Arial" w:hAnsi="Arial"/>
                <w:sz w:val="11"/>
                <w:szCs w:val="11"/>
                <w:color w:val="auto"/>
              </w:rPr>
              <w:t>7.25 %</w:t>
            </w:r>
          </w:p>
        </w:tc>
        <w:tc>
          <w:tcPr>
            <w:tcW w:w="940" w:type="dxa"/>
            <w:vAlign w:val="bottom"/>
          </w:tcPr>
          <w:p>
            <w:pPr>
              <w:jc w:val="right"/>
              <w:spacing w:after="0" w:line="115" w:lineRule="exact"/>
              <w:rPr>
                <w:sz w:val="20"/>
                <w:szCs w:val="20"/>
                <w:color w:val="auto"/>
              </w:rPr>
            </w:pPr>
            <w:r>
              <w:rPr>
                <w:rFonts w:ascii="Arial" w:cs="Arial" w:eastAsia="Arial" w:hAnsi="Arial"/>
                <w:sz w:val="11"/>
                <w:szCs w:val="11"/>
                <w:color w:val="auto"/>
              </w:rPr>
              <w:t>3M L+625</w:t>
            </w:r>
          </w:p>
        </w:tc>
        <w:tc>
          <w:tcPr>
            <w:tcW w:w="94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8,952</w:t>
            </w: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jc w:val="right"/>
              <w:spacing w:after="0" w:line="115" w:lineRule="exact"/>
              <w:rPr>
                <w:sz w:val="20"/>
                <w:szCs w:val="20"/>
                <w:color w:val="auto"/>
              </w:rPr>
            </w:pPr>
            <w:r>
              <w:rPr>
                <w:rFonts w:ascii="Arial" w:cs="Arial" w:eastAsia="Arial" w:hAnsi="Arial"/>
                <w:sz w:val="11"/>
                <w:szCs w:val="11"/>
                <w:color w:val="auto"/>
              </w:rPr>
              <w:t>8,779</w:t>
            </w: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jc w:val="right"/>
              <w:spacing w:after="0" w:line="115" w:lineRule="exact"/>
              <w:rPr>
                <w:sz w:val="20"/>
                <w:szCs w:val="20"/>
                <w:color w:val="auto"/>
              </w:rPr>
            </w:pPr>
            <w:r>
              <w:rPr>
                <w:rFonts w:ascii="Arial" w:cs="Arial" w:eastAsia="Arial" w:hAnsi="Arial"/>
                <w:sz w:val="11"/>
                <w:szCs w:val="11"/>
                <w:color w:val="auto"/>
              </w:rPr>
              <w:t>8,795</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18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ORL Acquisition, Inc. </w:t>
            </w:r>
            <w:r>
              <w:rPr>
                <w:rFonts w:ascii="Arial" w:cs="Arial" w:eastAsia="Arial" w:hAnsi="Arial"/>
                <w:sz w:val="14"/>
                <w:szCs w:val="14"/>
                <w:color w:val="auto"/>
                <w:vertAlign w:val="superscript"/>
              </w:rPr>
              <w:t>(7)</w:t>
            </w:r>
          </w:p>
        </w:tc>
        <w:tc>
          <w:tcPr>
            <w:tcW w:w="76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09/03/2027</w:t>
            </w:r>
          </w:p>
        </w:tc>
        <w:tc>
          <w:tcPr>
            <w:tcW w:w="140" w:type="dxa"/>
            <w:vAlign w:val="bottom"/>
          </w:tcPr>
          <w:p>
            <w:pPr>
              <w:spacing w:after="0"/>
              <w:rPr>
                <w:sz w:val="11"/>
                <w:szCs w:val="11"/>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88"/>
              </w:rPr>
              <w:t>Consumer Finance</w:t>
            </w:r>
          </w:p>
        </w:tc>
        <w:tc>
          <w:tcPr>
            <w:tcW w:w="1080" w:type="dxa"/>
            <w:vAlign w:val="bottom"/>
            <w:gridSpan w:val="3"/>
          </w:tcPr>
          <w:p>
            <w:pPr>
              <w:jc w:val="right"/>
              <w:ind w:right="86"/>
              <w:spacing w:after="0"/>
              <w:rPr>
                <w:sz w:val="20"/>
                <w:szCs w:val="20"/>
                <w:color w:val="auto"/>
              </w:rPr>
            </w:pPr>
            <w:r>
              <w:rPr>
                <w:rFonts w:ascii="Arial" w:cs="Arial" w:eastAsia="Arial" w:hAnsi="Arial"/>
                <w:sz w:val="11"/>
                <w:szCs w:val="11"/>
                <w:color w:val="auto"/>
              </w:rPr>
              <w:t>6.25 %</w:t>
            </w:r>
          </w:p>
        </w:tc>
        <w:tc>
          <w:tcPr>
            <w:tcW w:w="940" w:type="dxa"/>
            <w:vAlign w:val="bottom"/>
          </w:tcPr>
          <w:p>
            <w:pPr>
              <w:jc w:val="right"/>
              <w:spacing w:after="0"/>
              <w:rPr>
                <w:sz w:val="20"/>
                <w:szCs w:val="20"/>
                <w:color w:val="auto"/>
              </w:rPr>
            </w:pPr>
            <w:r>
              <w:rPr>
                <w:rFonts w:ascii="Arial" w:cs="Arial" w:eastAsia="Arial" w:hAnsi="Arial"/>
                <w:sz w:val="11"/>
                <w:szCs w:val="11"/>
                <w:color w:val="auto"/>
              </w:rPr>
              <w:t>3M L+525</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7,268</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7,124</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7,123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18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ORL Acquisition, Inc. (Revolver) </w:t>
            </w:r>
            <w:r>
              <w:rPr>
                <w:rFonts w:ascii="Arial" w:cs="Arial" w:eastAsia="Arial" w:hAnsi="Arial"/>
                <w:sz w:val="14"/>
                <w:szCs w:val="14"/>
                <w:color w:val="auto"/>
                <w:vertAlign w:val="superscript"/>
              </w:rPr>
              <w:t>(7), (9)</w:t>
            </w:r>
          </w:p>
        </w:tc>
        <w:tc>
          <w:tcPr>
            <w:tcW w:w="76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09/03/2027</w:t>
            </w:r>
          </w:p>
        </w:tc>
        <w:tc>
          <w:tcPr>
            <w:tcW w:w="140" w:type="dxa"/>
            <w:vAlign w:val="bottom"/>
          </w:tcPr>
          <w:p>
            <w:pPr>
              <w:spacing w:after="0"/>
              <w:rPr>
                <w:sz w:val="13"/>
                <w:szCs w:val="13"/>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88"/>
              </w:rPr>
              <w:t>Consumer Finance</w:t>
            </w:r>
          </w:p>
        </w:tc>
        <w:tc>
          <w:tcPr>
            <w:tcW w:w="120" w:type="dxa"/>
            <w:vAlign w:val="bottom"/>
          </w:tcPr>
          <w:p>
            <w:pPr>
              <w:spacing w:after="0"/>
              <w:rPr>
                <w:sz w:val="13"/>
                <w:szCs w:val="13"/>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861</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3180" w:type="dxa"/>
            <w:vAlign w:val="bottom"/>
          </w:tcPr>
          <w:p>
            <w:pPr>
              <w:ind w:left="20"/>
              <w:spacing w:after="0"/>
              <w:rPr>
                <w:sz w:val="20"/>
                <w:szCs w:val="20"/>
                <w:color w:val="auto"/>
              </w:rPr>
            </w:pPr>
            <w:r>
              <w:rPr>
                <w:rFonts w:ascii="Arial" w:cs="Arial" w:eastAsia="Arial" w:hAnsi="Arial"/>
                <w:sz w:val="11"/>
                <w:szCs w:val="11"/>
                <w:color w:val="auto"/>
              </w:rPr>
              <w:t>Output Services Group, Inc.</w:t>
            </w:r>
          </w:p>
        </w:tc>
        <w:tc>
          <w:tcPr>
            <w:tcW w:w="76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03/27/2024</w:t>
            </w:r>
          </w:p>
        </w:tc>
        <w:tc>
          <w:tcPr>
            <w:tcW w:w="140" w:type="dxa"/>
            <w:vAlign w:val="bottom"/>
          </w:tcPr>
          <w:p>
            <w:pPr>
              <w:spacing w:after="0"/>
              <w:rPr>
                <w:sz w:val="11"/>
                <w:szCs w:val="11"/>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86"/>
              </w:rPr>
              <w:t>Business Services</w:t>
            </w:r>
          </w:p>
        </w:tc>
        <w:tc>
          <w:tcPr>
            <w:tcW w:w="1080" w:type="dxa"/>
            <w:vAlign w:val="bottom"/>
            <w:gridSpan w:val="3"/>
          </w:tcPr>
          <w:p>
            <w:pPr>
              <w:jc w:val="right"/>
              <w:ind w:right="86"/>
              <w:spacing w:after="0"/>
              <w:rPr>
                <w:sz w:val="20"/>
                <w:szCs w:val="20"/>
                <w:color w:val="auto"/>
              </w:rPr>
            </w:pPr>
            <w:r>
              <w:rPr>
                <w:rFonts w:ascii="Arial" w:cs="Arial" w:eastAsia="Arial" w:hAnsi="Arial"/>
                <w:sz w:val="11"/>
                <w:szCs w:val="11"/>
                <w:color w:val="auto"/>
              </w:rPr>
              <w:t>5.50 %</w:t>
            </w:r>
          </w:p>
        </w:tc>
        <w:tc>
          <w:tcPr>
            <w:tcW w:w="940" w:type="dxa"/>
            <w:vAlign w:val="bottom"/>
          </w:tcPr>
          <w:p>
            <w:pPr>
              <w:jc w:val="right"/>
              <w:spacing w:after="0"/>
              <w:rPr>
                <w:sz w:val="20"/>
                <w:szCs w:val="20"/>
                <w:color w:val="auto"/>
              </w:rPr>
            </w:pPr>
            <w:r>
              <w:rPr>
                <w:rFonts w:ascii="Arial" w:cs="Arial" w:eastAsia="Arial" w:hAnsi="Arial"/>
                <w:sz w:val="11"/>
                <w:szCs w:val="11"/>
                <w:color w:val="auto"/>
              </w:rPr>
              <w:t>1M L+450</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4,900</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4,448</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4,459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3180" w:type="dxa"/>
            <w:vAlign w:val="bottom"/>
          </w:tcPr>
          <w:p>
            <w:pPr>
              <w:ind w:left="20"/>
              <w:spacing w:after="0" w:line="115" w:lineRule="exact"/>
              <w:rPr>
                <w:sz w:val="20"/>
                <w:szCs w:val="20"/>
                <w:color w:val="auto"/>
              </w:rPr>
            </w:pPr>
            <w:r>
              <w:rPr>
                <w:rFonts w:ascii="Arial" w:cs="Arial" w:eastAsia="Arial" w:hAnsi="Arial"/>
                <w:sz w:val="11"/>
                <w:szCs w:val="11"/>
                <w:color w:val="auto"/>
              </w:rPr>
              <w:t>Ox Two, LLC</w:t>
            </w:r>
          </w:p>
        </w:tc>
        <w:tc>
          <w:tcPr>
            <w:tcW w:w="760" w:type="dxa"/>
            <w:vAlign w:val="bottom"/>
            <w:gridSpan w:val="2"/>
          </w:tcPr>
          <w:p>
            <w:pPr>
              <w:jc w:val="center"/>
              <w:ind w:left="86"/>
              <w:spacing w:after="0" w:line="115" w:lineRule="exact"/>
              <w:rPr>
                <w:sz w:val="20"/>
                <w:szCs w:val="20"/>
                <w:color w:val="auto"/>
              </w:rPr>
            </w:pPr>
            <w:r>
              <w:rPr>
                <w:rFonts w:ascii="Arial" w:cs="Arial" w:eastAsia="Arial" w:hAnsi="Arial"/>
                <w:sz w:val="11"/>
                <w:szCs w:val="11"/>
                <w:color w:val="auto"/>
                <w:w w:val="90"/>
              </w:rPr>
              <w:t>05/18/2026</w:t>
            </w:r>
          </w:p>
        </w:tc>
        <w:tc>
          <w:tcPr>
            <w:tcW w:w="140" w:type="dxa"/>
            <w:vAlign w:val="bottom"/>
          </w:tcPr>
          <w:p>
            <w:pPr>
              <w:spacing w:after="0"/>
              <w:rPr>
                <w:sz w:val="9"/>
                <w:szCs w:val="9"/>
                <w:color w:val="auto"/>
              </w:rPr>
            </w:pPr>
          </w:p>
        </w:tc>
        <w:tc>
          <w:tcPr>
            <w:tcW w:w="2240" w:type="dxa"/>
            <w:vAlign w:val="bottom"/>
          </w:tcPr>
          <w:p>
            <w:pPr>
              <w:jc w:val="center"/>
              <w:spacing w:after="0" w:line="115" w:lineRule="exact"/>
              <w:rPr>
                <w:sz w:val="20"/>
                <w:szCs w:val="20"/>
                <w:color w:val="auto"/>
              </w:rPr>
            </w:pPr>
            <w:r>
              <w:rPr>
                <w:rFonts w:ascii="Arial" w:cs="Arial" w:eastAsia="Arial" w:hAnsi="Arial"/>
                <w:sz w:val="11"/>
                <w:szCs w:val="11"/>
                <w:color w:val="auto"/>
                <w:w w:val="90"/>
              </w:rPr>
              <w:t>Construction and Building</w:t>
            </w:r>
          </w:p>
        </w:tc>
        <w:tc>
          <w:tcPr>
            <w:tcW w:w="1080" w:type="dxa"/>
            <w:vAlign w:val="bottom"/>
            <w:gridSpan w:val="3"/>
          </w:tcPr>
          <w:p>
            <w:pPr>
              <w:jc w:val="right"/>
              <w:ind w:right="86"/>
              <w:spacing w:after="0" w:line="115" w:lineRule="exact"/>
              <w:rPr>
                <w:sz w:val="20"/>
                <w:szCs w:val="20"/>
                <w:color w:val="auto"/>
              </w:rPr>
            </w:pPr>
            <w:r>
              <w:rPr>
                <w:rFonts w:ascii="Arial" w:cs="Arial" w:eastAsia="Arial" w:hAnsi="Arial"/>
                <w:sz w:val="11"/>
                <w:szCs w:val="11"/>
                <w:color w:val="auto"/>
              </w:rPr>
              <w:t>7.00 %</w:t>
            </w:r>
          </w:p>
        </w:tc>
        <w:tc>
          <w:tcPr>
            <w:tcW w:w="940" w:type="dxa"/>
            <w:vAlign w:val="bottom"/>
          </w:tcPr>
          <w:p>
            <w:pPr>
              <w:jc w:val="right"/>
              <w:spacing w:after="0" w:line="115" w:lineRule="exact"/>
              <w:rPr>
                <w:sz w:val="20"/>
                <w:szCs w:val="20"/>
                <w:color w:val="auto"/>
              </w:rPr>
            </w:pPr>
            <w:r>
              <w:rPr>
                <w:rFonts w:ascii="Arial" w:cs="Arial" w:eastAsia="Arial" w:hAnsi="Arial"/>
                <w:sz w:val="11"/>
                <w:szCs w:val="11"/>
                <w:color w:val="auto"/>
              </w:rPr>
              <w:t>1M L+600</w:t>
            </w:r>
          </w:p>
        </w:tc>
        <w:tc>
          <w:tcPr>
            <w:tcW w:w="94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22,636</w:t>
            </w: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jc w:val="right"/>
              <w:spacing w:after="0" w:line="115" w:lineRule="exact"/>
              <w:rPr>
                <w:sz w:val="20"/>
                <w:szCs w:val="20"/>
                <w:color w:val="auto"/>
              </w:rPr>
            </w:pPr>
            <w:r>
              <w:rPr>
                <w:rFonts w:ascii="Arial" w:cs="Arial" w:eastAsia="Arial" w:hAnsi="Arial"/>
                <w:sz w:val="11"/>
                <w:szCs w:val="11"/>
                <w:color w:val="auto"/>
              </w:rPr>
              <w:t>22,296</w:t>
            </w: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jc w:val="right"/>
              <w:spacing w:after="0" w:line="115" w:lineRule="exact"/>
              <w:rPr>
                <w:sz w:val="20"/>
                <w:szCs w:val="20"/>
                <w:color w:val="auto"/>
              </w:rPr>
            </w:pPr>
            <w:r>
              <w:rPr>
                <w:rFonts w:ascii="Arial" w:cs="Arial" w:eastAsia="Arial" w:hAnsi="Arial"/>
                <w:sz w:val="11"/>
                <w:szCs w:val="11"/>
                <w:color w:val="auto"/>
              </w:rPr>
              <w:t>22,184</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18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Ox Two, LLC (Revolver) </w:t>
            </w:r>
            <w:r>
              <w:rPr>
                <w:rFonts w:ascii="Arial" w:cs="Arial" w:eastAsia="Arial" w:hAnsi="Arial"/>
                <w:sz w:val="14"/>
                <w:szCs w:val="14"/>
                <w:color w:val="auto"/>
                <w:vertAlign w:val="superscript"/>
              </w:rPr>
              <w:t>(7)</w:t>
            </w:r>
          </w:p>
        </w:tc>
        <w:tc>
          <w:tcPr>
            <w:tcW w:w="76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05/18/2026</w:t>
            </w:r>
          </w:p>
        </w:tc>
        <w:tc>
          <w:tcPr>
            <w:tcW w:w="140" w:type="dxa"/>
            <w:vAlign w:val="bottom"/>
          </w:tcPr>
          <w:p>
            <w:pPr>
              <w:spacing w:after="0"/>
              <w:rPr>
                <w:sz w:val="11"/>
                <w:szCs w:val="11"/>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90"/>
              </w:rPr>
              <w:t>Construction and Building</w:t>
            </w:r>
          </w:p>
        </w:tc>
        <w:tc>
          <w:tcPr>
            <w:tcW w:w="1080" w:type="dxa"/>
            <w:vAlign w:val="bottom"/>
            <w:gridSpan w:val="3"/>
          </w:tcPr>
          <w:p>
            <w:pPr>
              <w:jc w:val="right"/>
              <w:ind w:right="86"/>
              <w:spacing w:after="0"/>
              <w:rPr>
                <w:sz w:val="20"/>
                <w:szCs w:val="20"/>
                <w:color w:val="auto"/>
              </w:rPr>
            </w:pPr>
            <w:r>
              <w:rPr>
                <w:rFonts w:ascii="Arial" w:cs="Arial" w:eastAsia="Arial" w:hAnsi="Arial"/>
                <w:sz w:val="11"/>
                <w:szCs w:val="11"/>
                <w:color w:val="auto"/>
              </w:rPr>
              <w:t>7.00 %</w:t>
            </w:r>
          </w:p>
        </w:tc>
        <w:tc>
          <w:tcPr>
            <w:tcW w:w="940" w:type="dxa"/>
            <w:vAlign w:val="bottom"/>
          </w:tcPr>
          <w:p>
            <w:pPr>
              <w:jc w:val="right"/>
              <w:spacing w:after="0"/>
              <w:rPr>
                <w:sz w:val="20"/>
                <w:szCs w:val="20"/>
                <w:color w:val="auto"/>
              </w:rPr>
            </w:pPr>
            <w:r>
              <w:rPr>
                <w:rFonts w:ascii="Arial" w:cs="Arial" w:eastAsia="Arial" w:hAnsi="Arial"/>
                <w:sz w:val="11"/>
                <w:szCs w:val="11"/>
                <w:color w:val="auto"/>
              </w:rPr>
              <w:t>1M L+600</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903</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903</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885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18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Ox Two, LLC (Revolver) </w:t>
            </w:r>
            <w:r>
              <w:rPr>
                <w:rFonts w:ascii="Arial" w:cs="Arial" w:eastAsia="Arial" w:hAnsi="Arial"/>
                <w:sz w:val="14"/>
                <w:szCs w:val="14"/>
                <w:color w:val="auto"/>
                <w:vertAlign w:val="superscript"/>
              </w:rPr>
              <w:t>(7), (9)</w:t>
            </w:r>
          </w:p>
        </w:tc>
        <w:tc>
          <w:tcPr>
            <w:tcW w:w="76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05/18/2026</w:t>
            </w:r>
          </w:p>
        </w:tc>
        <w:tc>
          <w:tcPr>
            <w:tcW w:w="140" w:type="dxa"/>
            <w:vAlign w:val="bottom"/>
          </w:tcPr>
          <w:p>
            <w:pPr>
              <w:spacing w:after="0"/>
              <w:rPr>
                <w:sz w:val="13"/>
                <w:szCs w:val="13"/>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90"/>
              </w:rPr>
              <w:t>Construction and Building</w:t>
            </w:r>
          </w:p>
        </w:tc>
        <w:tc>
          <w:tcPr>
            <w:tcW w:w="120" w:type="dxa"/>
            <w:vAlign w:val="bottom"/>
          </w:tcPr>
          <w:p>
            <w:pPr>
              <w:spacing w:after="0"/>
              <w:rPr>
                <w:sz w:val="13"/>
                <w:szCs w:val="13"/>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2,484</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auto"/>
              </w:rPr>
              <w:t>(50 )</w:t>
            </w:r>
          </w:p>
        </w:tc>
        <w:tc>
          <w:tcPr>
            <w:tcW w:w="0" w:type="dxa"/>
            <w:vAlign w:val="bottom"/>
          </w:tcPr>
          <w:p>
            <w:pPr>
              <w:spacing w:after="0"/>
              <w:rPr>
                <w:sz w:val="1"/>
                <w:szCs w:val="1"/>
                <w:color w:val="auto"/>
              </w:rPr>
            </w:pPr>
          </w:p>
        </w:tc>
      </w:tr>
      <w:tr>
        <w:trPr>
          <w:trHeight w:val="140"/>
        </w:trPr>
        <w:tc>
          <w:tcPr>
            <w:tcW w:w="3180" w:type="dxa"/>
            <w:vAlign w:val="bottom"/>
          </w:tcPr>
          <w:p>
            <w:pPr>
              <w:ind w:left="20"/>
              <w:spacing w:after="0"/>
              <w:rPr>
                <w:sz w:val="20"/>
                <w:szCs w:val="20"/>
                <w:color w:val="auto"/>
              </w:rPr>
            </w:pPr>
            <w:r>
              <w:rPr>
                <w:rFonts w:ascii="Arial" w:cs="Arial" w:eastAsia="Arial" w:hAnsi="Arial"/>
                <w:sz w:val="11"/>
                <w:szCs w:val="11"/>
                <w:color w:val="auto"/>
              </w:rPr>
              <w:t>Plant Health Intermediate, Inc.</w:t>
            </w:r>
          </w:p>
        </w:tc>
        <w:tc>
          <w:tcPr>
            <w:tcW w:w="76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10/19/2022</w:t>
            </w:r>
          </w:p>
        </w:tc>
        <w:tc>
          <w:tcPr>
            <w:tcW w:w="140" w:type="dxa"/>
            <w:vAlign w:val="bottom"/>
          </w:tcPr>
          <w:p>
            <w:pPr>
              <w:spacing w:after="0"/>
              <w:rPr>
                <w:sz w:val="12"/>
                <w:szCs w:val="12"/>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88"/>
              </w:rPr>
              <w:t>Chemicals, Plastics and Rubber</w:t>
            </w:r>
          </w:p>
        </w:tc>
        <w:tc>
          <w:tcPr>
            <w:tcW w:w="1080" w:type="dxa"/>
            <w:vAlign w:val="bottom"/>
            <w:gridSpan w:val="3"/>
          </w:tcPr>
          <w:p>
            <w:pPr>
              <w:jc w:val="right"/>
              <w:ind w:right="86"/>
              <w:spacing w:after="0"/>
              <w:rPr>
                <w:sz w:val="20"/>
                <w:szCs w:val="20"/>
                <w:color w:val="auto"/>
              </w:rPr>
            </w:pPr>
            <w:r>
              <w:rPr>
                <w:rFonts w:ascii="Arial" w:cs="Arial" w:eastAsia="Arial" w:hAnsi="Arial"/>
                <w:sz w:val="11"/>
                <w:szCs w:val="11"/>
                <w:color w:val="auto"/>
              </w:rPr>
              <w:t>6.75 %</w:t>
            </w:r>
          </w:p>
        </w:tc>
        <w:tc>
          <w:tcPr>
            <w:tcW w:w="940" w:type="dxa"/>
            <w:vAlign w:val="bottom"/>
          </w:tcPr>
          <w:p>
            <w:pPr>
              <w:jc w:val="right"/>
              <w:spacing w:after="0"/>
              <w:rPr>
                <w:sz w:val="20"/>
                <w:szCs w:val="20"/>
                <w:color w:val="auto"/>
              </w:rPr>
            </w:pPr>
            <w:r>
              <w:rPr>
                <w:rFonts w:ascii="Arial" w:cs="Arial" w:eastAsia="Arial" w:hAnsi="Arial"/>
                <w:sz w:val="11"/>
                <w:szCs w:val="11"/>
                <w:color w:val="auto"/>
              </w:rPr>
              <w:t>3M L+575</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644</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642</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644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180" w:type="dxa"/>
            <w:vAlign w:val="bottom"/>
            <w:shd w:val="clear" w:color="auto" w:fill="CCECFF"/>
          </w:tcPr>
          <w:p>
            <w:pPr>
              <w:ind w:left="20"/>
              <w:spacing w:after="0"/>
              <w:rPr>
                <w:sz w:val="20"/>
                <w:szCs w:val="20"/>
                <w:color w:val="auto"/>
              </w:rPr>
            </w:pPr>
            <w:r>
              <w:rPr>
                <w:rFonts w:ascii="Arial" w:cs="Arial" w:eastAsia="Arial" w:hAnsi="Arial"/>
                <w:sz w:val="11"/>
                <w:szCs w:val="11"/>
                <w:color w:val="auto"/>
              </w:rPr>
              <w:t>PlayPower, Inc.</w:t>
            </w:r>
          </w:p>
        </w:tc>
        <w:tc>
          <w:tcPr>
            <w:tcW w:w="76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05/08/2026</w:t>
            </w:r>
          </w:p>
        </w:tc>
        <w:tc>
          <w:tcPr>
            <w:tcW w:w="140" w:type="dxa"/>
            <w:vAlign w:val="bottom"/>
            <w:shd w:val="clear" w:color="auto" w:fill="CCECFF"/>
          </w:tcPr>
          <w:p>
            <w:pPr>
              <w:spacing w:after="0"/>
              <w:rPr>
                <w:sz w:val="12"/>
                <w:szCs w:val="12"/>
                <w:color w:val="auto"/>
              </w:rPr>
            </w:pPr>
          </w:p>
        </w:tc>
        <w:tc>
          <w:tcPr>
            <w:tcW w:w="22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Leisure Products</w:t>
            </w:r>
          </w:p>
        </w:tc>
        <w:tc>
          <w:tcPr>
            <w:tcW w:w="1080" w:type="dxa"/>
            <w:vAlign w:val="bottom"/>
            <w:gridSpan w:val="3"/>
            <w:shd w:val="clear" w:color="auto" w:fill="CCECFF"/>
          </w:tcPr>
          <w:p>
            <w:pPr>
              <w:jc w:val="right"/>
              <w:ind w:right="86"/>
              <w:spacing w:after="0"/>
              <w:rPr>
                <w:sz w:val="20"/>
                <w:szCs w:val="20"/>
                <w:color w:val="auto"/>
              </w:rPr>
            </w:pPr>
            <w:r>
              <w:rPr>
                <w:rFonts w:ascii="Arial" w:cs="Arial" w:eastAsia="Arial" w:hAnsi="Arial"/>
                <w:sz w:val="11"/>
                <w:szCs w:val="11"/>
                <w:color w:val="auto"/>
              </w:rPr>
              <w:t>5.70 %</w:t>
            </w:r>
          </w:p>
        </w:tc>
        <w:tc>
          <w:tcPr>
            <w:tcW w:w="9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L+550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5,074</w:t>
            </w:r>
          </w:p>
        </w:tc>
        <w:tc>
          <w:tcPr>
            <w:tcW w:w="24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5,037</w:t>
            </w:r>
          </w:p>
        </w:tc>
        <w:tc>
          <w:tcPr>
            <w:tcW w:w="2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4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4,981</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3180" w:type="dxa"/>
            <w:vAlign w:val="bottom"/>
          </w:tcPr>
          <w:p>
            <w:pPr>
              <w:ind w:left="20"/>
              <w:spacing w:after="0" w:line="125" w:lineRule="exact"/>
              <w:rPr>
                <w:sz w:val="20"/>
                <w:szCs w:val="20"/>
                <w:color w:val="auto"/>
              </w:rPr>
            </w:pPr>
            <w:r>
              <w:rPr>
                <w:rFonts w:ascii="Arial" w:cs="Arial" w:eastAsia="Arial" w:hAnsi="Arial"/>
                <w:sz w:val="11"/>
                <w:szCs w:val="11"/>
                <w:color w:val="auto"/>
              </w:rPr>
              <w:t>PRA Events, Inc.</w:t>
            </w:r>
          </w:p>
        </w:tc>
        <w:tc>
          <w:tcPr>
            <w:tcW w:w="760" w:type="dxa"/>
            <w:vAlign w:val="bottom"/>
            <w:gridSpan w:val="2"/>
          </w:tcPr>
          <w:p>
            <w:pPr>
              <w:jc w:val="center"/>
              <w:ind w:left="86"/>
              <w:spacing w:after="0" w:line="125" w:lineRule="exact"/>
              <w:rPr>
                <w:sz w:val="20"/>
                <w:szCs w:val="20"/>
                <w:color w:val="auto"/>
              </w:rPr>
            </w:pPr>
            <w:r>
              <w:rPr>
                <w:rFonts w:ascii="Arial" w:cs="Arial" w:eastAsia="Arial" w:hAnsi="Arial"/>
                <w:sz w:val="11"/>
                <w:szCs w:val="11"/>
                <w:color w:val="auto"/>
                <w:w w:val="90"/>
              </w:rPr>
              <w:t>08/07/2025</w:t>
            </w:r>
          </w:p>
        </w:tc>
        <w:tc>
          <w:tcPr>
            <w:tcW w:w="140" w:type="dxa"/>
            <w:vAlign w:val="bottom"/>
          </w:tcPr>
          <w:p>
            <w:pPr>
              <w:spacing w:after="0"/>
              <w:rPr>
                <w:sz w:val="10"/>
                <w:szCs w:val="10"/>
                <w:color w:val="auto"/>
              </w:rPr>
            </w:pPr>
          </w:p>
        </w:tc>
        <w:tc>
          <w:tcPr>
            <w:tcW w:w="2240" w:type="dxa"/>
            <w:vAlign w:val="bottom"/>
          </w:tcPr>
          <w:p>
            <w:pPr>
              <w:jc w:val="center"/>
              <w:spacing w:after="0" w:line="125" w:lineRule="exact"/>
              <w:rPr>
                <w:sz w:val="20"/>
                <w:szCs w:val="20"/>
                <w:color w:val="auto"/>
              </w:rPr>
            </w:pPr>
            <w:r>
              <w:rPr>
                <w:rFonts w:ascii="Arial" w:cs="Arial" w:eastAsia="Arial" w:hAnsi="Arial"/>
                <w:sz w:val="11"/>
                <w:szCs w:val="11"/>
                <w:color w:val="auto"/>
                <w:w w:val="86"/>
              </w:rPr>
              <w:t>Business Services</w:t>
            </w:r>
          </w:p>
        </w:tc>
        <w:tc>
          <w:tcPr>
            <w:tcW w:w="1080" w:type="dxa"/>
            <w:vAlign w:val="bottom"/>
            <w:gridSpan w:val="3"/>
          </w:tcPr>
          <w:p>
            <w:pPr>
              <w:jc w:val="right"/>
              <w:ind w:right="86"/>
              <w:spacing w:after="0" w:line="125" w:lineRule="exact"/>
              <w:rPr>
                <w:sz w:val="20"/>
                <w:szCs w:val="20"/>
                <w:color w:val="auto"/>
              </w:rPr>
            </w:pPr>
            <w:r>
              <w:rPr>
                <w:rFonts w:ascii="Arial" w:cs="Arial" w:eastAsia="Arial" w:hAnsi="Arial"/>
                <w:sz w:val="11"/>
                <w:szCs w:val="11"/>
                <w:color w:val="auto"/>
              </w:rPr>
              <w:t>11.50 %</w:t>
            </w:r>
          </w:p>
        </w:tc>
        <w:tc>
          <w:tcPr>
            <w:tcW w:w="940" w:type="dxa"/>
            <w:vAlign w:val="bottom"/>
          </w:tcPr>
          <w:p>
            <w:pPr>
              <w:jc w:val="right"/>
              <w:spacing w:after="0" w:line="125" w:lineRule="exact"/>
              <w:rPr>
                <w:sz w:val="20"/>
                <w:szCs w:val="20"/>
                <w:color w:val="auto"/>
              </w:rPr>
            </w:pPr>
            <w:r>
              <w:rPr>
                <w:rFonts w:ascii="Arial" w:cs="Arial" w:eastAsia="Arial" w:hAnsi="Arial"/>
                <w:sz w:val="11"/>
                <w:szCs w:val="11"/>
                <w:color w:val="auto"/>
              </w:rPr>
              <w:t>1M L+1,050</w:t>
            </w:r>
          </w:p>
        </w:tc>
        <w:tc>
          <w:tcPr>
            <w:tcW w:w="940" w:type="dxa"/>
            <w:vAlign w:val="bottom"/>
            <w:gridSpan w:val="2"/>
          </w:tcPr>
          <w:p>
            <w:pPr>
              <w:jc w:val="right"/>
              <w:spacing w:after="0" w:line="125" w:lineRule="exact"/>
              <w:rPr>
                <w:sz w:val="20"/>
                <w:szCs w:val="20"/>
                <w:color w:val="auto"/>
              </w:rPr>
            </w:pPr>
            <w:r>
              <w:rPr>
                <w:rFonts w:ascii="Arial" w:cs="Arial" w:eastAsia="Arial" w:hAnsi="Arial"/>
                <w:sz w:val="11"/>
                <w:szCs w:val="11"/>
                <w:color w:val="auto"/>
              </w:rPr>
              <w:t>3,158</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jc w:val="right"/>
              <w:spacing w:after="0" w:line="125" w:lineRule="exact"/>
              <w:rPr>
                <w:sz w:val="20"/>
                <w:szCs w:val="20"/>
                <w:color w:val="auto"/>
              </w:rPr>
            </w:pPr>
            <w:r>
              <w:rPr>
                <w:rFonts w:ascii="Arial" w:cs="Arial" w:eastAsia="Arial" w:hAnsi="Arial"/>
                <w:sz w:val="11"/>
                <w:szCs w:val="11"/>
                <w:color w:val="auto"/>
              </w:rPr>
              <w:t>2,724</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jc w:val="right"/>
              <w:spacing w:after="0" w:line="125" w:lineRule="exact"/>
              <w:rPr>
                <w:sz w:val="20"/>
                <w:szCs w:val="20"/>
                <w:color w:val="auto"/>
              </w:rPr>
            </w:pPr>
            <w:r>
              <w:rPr>
                <w:rFonts w:ascii="Arial" w:cs="Arial" w:eastAsia="Arial" w:hAnsi="Arial"/>
                <w:sz w:val="11"/>
                <w:szCs w:val="11"/>
                <w:color w:val="auto"/>
              </w:rPr>
              <w:t>2,985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(PIK 11.50%)</w:t>
            </w: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180" w:type="dxa"/>
            <w:vAlign w:val="bottom"/>
          </w:tcPr>
          <w:p>
            <w:pPr>
              <w:ind w:left="20"/>
              <w:spacing w:after="0" w:line="108" w:lineRule="exact"/>
              <w:rPr>
                <w:sz w:val="20"/>
                <w:szCs w:val="20"/>
                <w:color w:val="auto"/>
              </w:rPr>
            </w:pPr>
            <w:r>
              <w:rPr>
                <w:rFonts w:ascii="Arial" w:cs="Arial" w:eastAsia="Arial" w:hAnsi="Arial"/>
                <w:sz w:val="11"/>
                <w:szCs w:val="11"/>
                <w:color w:val="auto"/>
              </w:rPr>
              <w:t>Quantic Electronics, LLC</w:t>
            </w:r>
          </w:p>
        </w:tc>
        <w:tc>
          <w:tcPr>
            <w:tcW w:w="760" w:type="dxa"/>
            <w:vAlign w:val="bottom"/>
            <w:gridSpan w:val="2"/>
          </w:tcPr>
          <w:p>
            <w:pPr>
              <w:jc w:val="center"/>
              <w:ind w:left="86"/>
              <w:spacing w:after="0" w:line="108" w:lineRule="exact"/>
              <w:rPr>
                <w:sz w:val="20"/>
                <w:szCs w:val="20"/>
                <w:color w:val="auto"/>
              </w:rPr>
            </w:pPr>
            <w:r>
              <w:rPr>
                <w:rFonts w:ascii="Arial" w:cs="Arial" w:eastAsia="Arial" w:hAnsi="Arial"/>
                <w:sz w:val="11"/>
                <w:szCs w:val="11"/>
                <w:color w:val="auto"/>
                <w:w w:val="90"/>
              </w:rPr>
              <w:t>11/19/2026</w:t>
            </w:r>
          </w:p>
        </w:tc>
        <w:tc>
          <w:tcPr>
            <w:tcW w:w="140" w:type="dxa"/>
            <w:vAlign w:val="bottom"/>
          </w:tcPr>
          <w:p>
            <w:pPr>
              <w:spacing w:after="0"/>
              <w:rPr>
                <w:sz w:val="9"/>
                <w:szCs w:val="9"/>
                <w:color w:val="auto"/>
              </w:rPr>
            </w:pPr>
          </w:p>
        </w:tc>
        <w:tc>
          <w:tcPr>
            <w:tcW w:w="2240" w:type="dxa"/>
            <w:vAlign w:val="bottom"/>
          </w:tcPr>
          <w:p>
            <w:pPr>
              <w:jc w:val="center"/>
              <w:spacing w:after="0" w:line="108" w:lineRule="exact"/>
              <w:rPr>
                <w:sz w:val="20"/>
                <w:szCs w:val="20"/>
                <w:color w:val="auto"/>
              </w:rPr>
            </w:pPr>
            <w:r>
              <w:rPr>
                <w:rFonts w:ascii="Arial" w:cs="Arial" w:eastAsia="Arial" w:hAnsi="Arial"/>
                <w:sz w:val="11"/>
                <w:szCs w:val="11"/>
                <w:color w:val="auto"/>
                <w:w w:val="89"/>
              </w:rPr>
              <w:t>Electronic Equipment, Instruments, and</w:t>
            </w:r>
          </w:p>
        </w:tc>
        <w:tc>
          <w:tcPr>
            <w:tcW w:w="1080" w:type="dxa"/>
            <w:vAlign w:val="bottom"/>
            <w:gridSpan w:val="3"/>
          </w:tcPr>
          <w:p>
            <w:pPr>
              <w:jc w:val="right"/>
              <w:ind w:right="86"/>
              <w:spacing w:after="0" w:line="108" w:lineRule="exact"/>
              <w:rPr>
                <w:sz w:val="20"/>
                <w:szCs w:val="20"/>
                <w:color w:val="auto"/>
              </w:rPr>
            </w:pPr>
            <w:r>
              <w:rPr>
                <w:rFonts w:ascii="Arial" w:cs="Arial" w:eastAsia="Arial" w:hAnsi="Arial"/>
                <w:sz w:val="11"/>
                <w:szCs w:val="11"/>
                <w:color w:val="auto"/>
              </w:rPr>
              <w:t>7.25 %</w:t>
            </w:r>
          </w:p>
        </w:tc>
        <w:tc>
          <w:tcPr>
            <w:tcW w:w="940" w:type="dxa"/>
            <w:vAlign w:val="bottom"/>
          </w:tcPr>
          <w:p>
            <w:pPr>
              <w:jc w:val="right"/>
              <w:spacing w:after="0" w:line="108" w:lineRule="exact"/>
              <w:rPr>
                <w:sz w:val="20"/>
                <w:szCs w:val="20"/>
                <w:color w:val="auto"/>
              </w:rPr>
            </w:pPr>
            <w:r>
              <w:rPr>
                <w:rFonts w:ascii="Arial" w:cs="Arial" w:eastAsia="Arial" w:hAnsi="Arial"/>
                <w:sz w:val="11"/>
                <w:szCs w:val="11"/>
                <w:color w:val="auto"/>
              </w:rPr>
              <w:t>1M L+625</w:t>
            </w:r>
          </w:p>
        </w:tc>
        <w:tc>
          <w:tcPr>
            <w:tcW w:w="940" w:type="dxa"/>
            <w:vAlign w:val="bottom"/>
            <w:gridSpan w:val="2"/>
          </w:tcPr>
          <w:p>
            <w:pPr>
              <w:jc w:val="right"/>
              <w:spacing w:after="0" w:line="108" w:lineRule="exact"/>
              <w:rPr>
                <w:sz w:val="20"/>
                <w:szCs w:val="20"/>
                <w:color w:val="auto"/>
              </w:rPr>
            </w:pPr>
            <w:r>
              <w:rPr>
                <w:rFonts w:ascii="Arial" w:cs="Arial" w:eastAsia="Arial" w:hAnsi="Arial"/>
                <w:sz w:val="11"/>
                <w:szCs w:val="11"/>
                <w:color w:val="auto"/>
              </w:rPr>
              <w:t>8,716</w:t>
            </w: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jc w:val="right"/>
              <w:spacing w:after="0" w:line="108" w:lineRule="exact"/>
              <w:rPr>
                <w:sz w:val="20"/>
                <w:szCs w:val="20"/>
                <w:color w:val="auto"/>
              </w:rPr>
            </w:pPr>
            <w:r>
              <w:rPr>
                <w:rFonts w:ascii="Arial" w:cs="Arial" w:eastAsia="Arial" w:hAnsi="Arial"/>
                <w:sz w:val="11"/>
                <w:szCs w:val="11"/>
                <w:color w:val="auto"/>
              </w:rPr>
              <w:t>8,583</w:t>
            </w: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jc w:val="right"/>
              <w:spacing w:after="0" w:line="108" w:lineRule="exact"/>
              <w:rPr>
                <w:sz w:val="20"/>
                <w:szCs w:val="20"/>
                <w:color w:val="auto"/>
              </w:rPr>
            </w:pPr>
            <w:r>
              <w:rPr>
                <w:rFonts w:ascii="Arial" w:cs="Arial" w:eastAsia="Arial" w:hAnsi="Arial"/>
                <w:sz w:val="11"/>
                <w:szCs w:val="11"/>
                <w:color w:val="auto"/>
              </w:rPr>
              <w:t>8,542</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180" w:type="dxa"/>
            <w:vAlign w:val="bottom"/>
            <w:vMerge w:val="restart"/>
          </w:tcPr>
          <w:p>
            <w:pPr>
              <w:ind w:left="20"/>
              <w:spacing w:after="0"/>
              <w:rPr>
                <w:sz w:val="20"/>
                <w:szCs w:val="20"/>
                <w:color w:val="auto"/>
              </w:rPr>
            </w:pPr>
            <w:r>
              <w:rPr>
                <w:rFonts w:ascii="Arial" w:cs="Arial" w:eastAsia="Arial" w:hAnsi="Arial"/>
                <w:sz w:val="11"/>
                <w:szCs w:val="11"/>
                <w:color w:val="auto"/>
              </w:rPr>
              <w:t xml:space="preserve">Quantic Electronics, LLC </w:t>
            </w:r>
            <w:r>
              <w:rPr>
                <w:rFonts w:ascii="Arial" w:cs="Arial" w:eastAsia="Arial" w:hAnsi="Arial"/>
                <w:sz w:val="14"/>
                <w:szCs w:val="14"/>
                <w:color w:val="auto"/>
                <w:vertAlign w:val="superscript"/>
              </w:rPr>
              <w:t>(7), (9)</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86"/>
              </w:rPr>
              <w:t>Components</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180" w:type="dxa"/>
            <w:vAlign w:val="bottom"/>
            <w:vMerge w:val="continue"/>
          </w:tcPr>
          <w:p>
            <w:pPr>
              <w:spacing w:after="0"/>
              <w:rPr>
                <w:sz w:val="9"/>
                <w:szCs w:val="9"/>
                <w:color w:val="auto"/>
              </w:rPr>
            </w:pPr>
          </w:p>
        </w:tc>
        <w:tc>
          <w:tcPr>
            <w:tcW w:w="760" w:type="dxa"/>
            <w:vAlign w:val="bottom"/>
            <w:gridSpan w:val="2"/>
          </w:tcPr>
          <w:p>
            <w:pPr>
              <w:jc w:val="center"/>
              <w:ind w:left="86"/>
              <w:spacing w:after="0" w:line="108" w:lineRule="exact"/>
              <w:rPr>
                <w:sz w:val="20"/>
                <w:szCs w:val="20"/>
                <w:color w:val="auto"/>
              </w:rPr>
            </w:pPr>
            <w:r>
              <w:rPr>
                <w:rFonts w:ascii="Arial" w:cs="Arial" w:eastAsia="Arial" w:hAnsi="Arial"/>
                <w:sz w:val="11"/>
                <w:szCs w:val="11"/>
                <w:color w:val="auto"/>
                <w:w w:val="90"/>
              </w:rPr>
              <w:t>11/19/2026</w:t>
            </w:r>
          </w:p>
        </w:tc>
        <w:tc>
          <w:tcPr>
            <w:tcW w:w="140" w:type="dxa"/>
            <w:vAlign w:val="bottom"/>
          </w:tcPr>
          <w:p>
            <w:pPr>
              <w:spacing w:after="0"/>
              <w:rPr>
                <w:sz w:val="9"/>
                <w:szCs w:val="9"/>
                <w:color w:val="auto"/>
              </w:rPr>
            </w:pPr>
          </w:p>
        </w:tc>
        <w:tc>
          <w:tcPr>
            <w:tcW w:w="2240" w:type="dxa"/>
            <w:vAlign w:val="bottom"/>
          </w:tcPr>
          <w:p>
            <w:pPr>
              <w:jc w:val="center"/>
              <w:spacing w:after="0" w:line="108" w:lineRule="exact"/>
              <w:rPr>
                <w:sz w:val="20"/>
                <w:szCs w:val="20"/>
                <w:color w:val="auto"/>
              </w:rPr>
            </w:pPr>
            <w:r>
              <w:rPr>
                <w:rFonts w:ascii="Arial" w:cs="Arial" w:eastAsia="Arial" w:hAnsi="Arial"/>
                <w:sz w:val="11"/>
                <w:szCs w:val="11"/>
                <w:color w:val="auto"/>
                <w:w w:val="89"/>
              </w:rPr>
              <w:t>Electronic Equipment, Instruments, and</w:t>
            </w:r>
          </w:p>
        </w:tc>
        <w:tc>
          <w:tcPr>
            <w:tcW w:w="120" w:type="dxa"/>
            <w:vAlign w:val="bottom"/>
          </w:tcPr>
          <w:p>
            <w:pPr>
              <w:spacing w:after="0"/>
              <w:rPr>
                <w:sz w:val="9"/>
                <w:szCs w:val="9"/>
                <w:color w:val="auto"/>
              </w:rPr>
            </w:pPr>
          </w:p>
        </w:tc>
        <w:tc>
          <w:tcPr>
            <w:tcW w:w="960" w:type="dxa"/>
            <w:vAlign w:val="bottom"/>
            <w:gridSpan w:val="2"/>
          </w:tcPr>
          <w:p>
            <w:pPr>
              <w:jc w:val="right"/>
              <w:ind w:right="206"/>
              <w:spacing w:after="0" w:line="108" w:lineRule="exact"/>
              <w:rPr>
                <w:sz w:val="20"/>
                <w:szCs w:val="20"/>
                <w:color w:val="auto"/>
              </w:rPr>
            </w:pPr>
            <w:r>
              <w:rPr>
                <w:rFonts w:ascii="Arial" w:cs="Arial" w:eastAsia="Arial" w:hAnsi="Arial"/>
                <w:sz w:val="11"/>
                <w:szCs w:val="11"/>
                <w:color w:val="auto"/>
              </w:rPr>
              <w:t>—</w:t>
            </w:r>
          </w:p>
        </w:tc>
        <w:tc>
          <w:tcPr>
            <w:tcW w:w="940" w:type="dxa"/>
            <w:vAlign w:val="bottom"/>
          </w:tcPr>
          <w:p>
            <w:pPr>
              <w:jc w:val="right"/>
              <w:spacing w:after="0" w:line="108" w:lineRule="exact"/>
              <w:rPr>
                <w:sz w:val="20"/>
                <w:szCs w:val="20"/>
                <w:color w:val="auto"/>
              </w:rPr>
            </w:pPr>
            <w:r>
              <w:rPr>
                <w:rFonts w:ascii="Arial" w:cs="Arial" w:eastAsia="Arial" w:hAnsi="Arial"/>
                <w:sz w:val="11"/>
                <w:szCs w:val="11"/>
                <w:color w:val="auto"/>
              </w:rPr>
              <w:t>—</w:t>
            </w:r>
          </w:p>
        </w:tc>
        <w:tc>
          <w:tcPr>
            <w:tcW w:w="940" w:type="dxa"/>
            <w:vAlign w:val="bottom"/>
            <w:gridSpan w:val="2"/>
          </w:tcPr>
          <w:p>
            <w:pPr>
              <w:jc w:val="right"/>
              <w:spacing w:after="0" w:line="108" w:lineRule="exact"/>
              <w:rPr>
                <w:sz w:val="20"/>
                <w:szCs w:val="20"/>
                <w:color w:val="auto"/>
              </w:rPr>
            </w:pPr>
            <w:r>
              <w:rPr>
                <w:rFonts w:ascii="Arial" w:cs="Arial" w:eastAsia="Arial" w:hAnsi="Arial"/>
                <w:sz w:val="11"/>
                <w:szCs w:val="11"/>
                <w:color w:val="auto"/>
              </w:rPr>
              <w:t>2,810</w:t>
            </w: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jc w:val="right"/>
              <w:spacing w:after="0" w:line="108" w:lineRule="exact"/>
              <w:rPr>
                <w:sz w:val="20"/>
                <w:szCs w:val="20"/>
                <w:color w:val="auto"/>
              </w:rPr>
            </w:pPr>
            <w:r>
              <w:rPr>
                <w:rFonts w:ascii="Arial" w:cs="Arial" w:eastAsia="Arial" w:hAnsi="Arial"/>
                <w:sz w:val="11"/>
                <w:szCs w:val="11"/>
                <w:color w:val="auto"/>
              </w:rPr>
              <w:t>—</w:t>
            </w: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gridSpan w:val="2"/>
          </w:tcPr>
          <w:p>
            <w:pPr>
              <w:jc w:val="right"/>
              <w:ind w:right="60"/>
              <w:spacing w:after="0" w:line="108" w:lineRule="exact"/>
              <w:rPr>
                <w:sz w:val="20"/>
                <w:szCs w:val="20"/>
                <w:color w:val="auto"/>
              </w:rPr>
            </w:pPr>
            <w:r>
              <w:rPr>
                <w:rFonts w:ascii="Arial" w:cs="Arial" w:eastAsia="Arial" w:hAnsi="Arial"/>
                <w:sz w:val="11"/>
                <w:szCs w:val="11"/>
                <w:color w:val="auto"/>
              </w:rPr>
              <w:t>(28 )</w:t>
            </w:r>
          </w:p>
        </w:tc>
        <w:tc>
          <w:tcPr>
            <w:tcW w:w="0" w:type="dxa"/>
            <w:vAlign w:val="bottom"/>
          </w:tcPr>
          <w:p>
            <w:pPr>
              <w:spacing w:after="0"/>
              <w:rPr>
                <w:sz w:val="1"/>
                <w:szCs w:val="1"/>
                <w:color w:val="auto"/>
              </w:rPr>
            </w:pPr>
          </w:p>
        </w:tc>
      </w:tr>
      <w:tr>
        <w:trPr>
          <w:trHeight w:val="135"/>
        </w:trPr>
        <w:tc>
          <w:tcPr>
            <w:tcW w:w="3180" w:type="dxa"/>
            <w:vAlign w:val="bottom"/>
            <w:vMerge w:val="restart"/>
          </w:tcPr>
          <w:p>
            <w:pPr>
              <w:ind w:left="20"/>
              <w:spacing w:after="0"/>
              <w:rPr>
                <w:sz w:val="20"/>
                <w:szCs w:val="20"/>
                <w:color w:val="auto"/>
              </w:rPr>
            </w:pPr>
            <w:r>
              <w:rPr>
                <w:rFonts w:ascii="Arial" w:cs="Arial" w:eastAsia="Arial" w:hAnsi="Arial"/>
                <w:sz w:val="11"/>
                <w:szCs w:val="11"/>
                <w:color w:val="auto"/>
              </w:rPr>
              <w:t xml:space="preserve">Quantic Electronics, LLC (Revolver) </w:t>
            </w:r>
            <w:r>
              <w:rPr>
                <w:rFonts w:ascii="Arial" w:cs="Arial" w:eastAsia="Arial" w:hAnsi="Arial"/>
                <w:sz w:val="14"/>
                <w:szCs w:val="14"/>
                <w:color w:val="auto"/>
                <w:vertAlign w:val="superscript"/>
              </w:rPr>
              <w:t>(7), (9)</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86"/>
              </w:rPr>
              <w:t>Components</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180" w:type="dxa"/>
            <w:vAlign w:val="bottom"/>
            <w:vMerge w:val="continue"/>
          </w:tcPr>
          <w:p>
            <w:pPr>
              <w:spacing w:after="0"/>
              <w:rPr>
                <w:sz w:val="9"/>
                <w:szCs w:val="9"/>
                <w:color w:val="auto"/>
              </w:rPr>
            </w:pPr>
          </w:p>
        </w:tc>
        <w:tc>
          <w:tcPr>
            <w:tcW w:w="760" w:type="dxa"/>
            <w:vAlign w:val="bottom"/>
            <w:gridSpan w:val="2"/>
          </w:tcPr>
          <w:p>
            <w:pPr>
              <w:jc w:val="center"/>
              <w:ind w:left="86"/>
              <w:spacing w:after="0" w:line="108" w:lineRule="exact"/>
              <w:rPr>
                <w:sz w:val="20"/>
                <w:szCs w:val="20"/>
                <w:color w:val="auto"/>
              </w:rPr>
            </w:pPr>
            <w:r>
              <w:rPr>
                <w:rFonts w:ascii="Arial" w:cs="Arial" w:eastAsia="Arial" w:hAnsi="Arial"/>
                <w:sz w:val="11"/>
                <w:szCs w:val="11"/>
                <w:color w:val="auto"/>
                <w:w w:val="90"/>
              </w:rPr>
              <w:t>11/19/2026</w:t>
            </w:r>
          </w:p>
        </w:tc>
        <w:tc>
          <w:tcPr>
            <w:tcW w:w="140" w:type="dxa"/>
            <w:vAlign w:val="bottom"/>
          </w:tcPr>
          <w:p>
            <w:pPr>
              <w:spacing w:after="0"/>
              <w:rPr>
                <w:sz w:val="9"/>
                <w:szCs w:val="9"/>
                <w:color w:val="auto"/>
              </w:rPr>
            </w:pPr>
          </w:p>
        </w:tc>
        <w:tc>
          <w:tcPr>
            <w:tcW w:w="2240" w:type="dxa"/>
            <w:vAlign w:val="bottom"/>
          </w:tcPr>
          <w:p>
            <w:pPr>
              <w:jc w:val="center"/>
              <w:spacing w:after="0" w:line="108" w:lineRule="exact"/>
              <w:rPr>
                <w:sz w:val="20"/>
                <w:szCs w:val="20"/>
                <w:color w:val="auto"/>
              </w:rPr>
            </w:pPr>
            <w:r>
              <w:rPr>
                <w:rFonts w:ascii="Arial" w:cs="Arial" w:eastAsia="Arial" w:hAnsi="Arial"/>
                <w:sz w:val="11"/>
                <w:szCs w:val="11"/>
                <w:color w:val="auto"/>
                <w:w w:val="89"/>
              </w:rPr>
              <w:t>Electronic Equipment, Instruments, and</w:t>
            </w:r>
          </w:p>
        </w:tc>
        <w:tc>
          <w:tcPr>
            <w:tcW w:w="120" w:type="dxa"/>
            <w:vAlign w:val="bottom"/>
          </w:tcPr>
          <w:p>
            <w:pPr>
              <w:spacing w:after="0"/>
              <w:rPr>
                <w:sz w:val="9"/>
                <w:szCs w:val="9"/>
                <w:color w:val="auto"/>
              </w:rPr>
            </w:pPr>
          </w:p>
        </w:tc>
        <w:tc>
          <w:tcPr>
            <w:tcW w:w="960" w:type="dxa"/>
            <w:vAlign w:val="bottom"/>
            <w:gridSpan w:val="2"/>
          </w:tcPr>
          <w:p>
            <w:pPr>
              <w:jc w:val="right"/>
              <w:ind w:right="206"/>
              <w:spacing w:after="0" w:line="108" w:lineRule="exact"/>
              <w:rPr>
                <w:sz w:val="20"/>
                <w:szCs w:val="20"/>
                <w:color w:val="auto"/>
              </w:rPr>
            </w:pPr>
            <w:r>
              <w:rPr>
                <w:rFonts w:ascii="Arial" w:cs="Arial" w:eastAsia="Arial" w:hAnsi="Arial"/>
                <w:sz w:val="11"/>
                <w:szCs w:val="11"/>
                <w:color w:val="auto"/>
              </w:rPr>
              <w:t>—</w:t>
            </w:r>
          </w:p>
        </w:tc>
        <w:tc>
          <w:tcPr>
            <w:tcW w:w="940" w:type="dxa"/>
            <w:vAlign w:val="bottom"/>
          </w:tcPr>
          <w:p>
            <w:pPr>
              <w:jc w:val="right"/>
              <w:spacing w:after="0" w:line="108" w:lineRule="exact"/>
              <w:rPr>
                <w:sz w:val="20"/>
                <w:szCs w:val="20"/>
                <w:color w:val="auto"/>
              </w:rPr>
            </w:pPr>
            <w:r>
              <w:rPr>
                <w:rFonts w:ascii="Arial" w:cs="Arial" w:eastAsia="Arial" w:hAnsi="Arial"/>
                <w:sz w:val="11"/>
                <w:szCs w:val="11"/>
                <w:color w:val="auto"/>
              </w:rPr>
              <w:t>—</w:t>
            </w:r>
          </w:p>
        </w:tc>
        <w:tc>
          <w:tcPr>
            <w:tcW w:w="940" w:type="dxa"/>
            <w:vAlign w:val="bottom"/>
            <w:gridSpan w:val="2"/>
          </w:tcPr>
          <w:p>
            <w:pPr>
              <w:jc w:val="right"/>
              <w:spacing w:after="0" w:line="108" w:lineRule="exact"/>
              <w:rPr>
                <w:sz w:val="20"/>
                <w:szCs w:val="20"/>
                <w:color w:val="auto"/>
              </w:rPr>
            </w:pPr>
            <w:r>
              <w:rPr>
                <w:rFonts w:ascii="Arial" w:cs="Arial" w:eastAsia="Arial" w:hAnsi="Arial"/>
                <w:sz w:val="11"/>
                <w:szCs w:val="11"/>
                <w:color w:val="auto"/>
              </w:rPr>
              <w:t>670</w:t>
            </w: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jc w:val="right"/>
              <w:spacing w:after="0" w:line="108" w:lineRule="exact"/>
              <w:rPr>
                <w:sz w:val="20"/>
                <w:szCs w:val="20"/>
                <w:color w:val="auto"/>
              </w:rPr>
            </w:pPr>
            <w:r>
              <w:rPr>
                <w:rFonts w:ascii="Arial" w:cs="Arial" w:eastAsia="Arial" w:hAnsi="Arial"/>
                <w:sz w:val="11"/>
                <w:szCs w:val="11"/>
                <w:color w:val="auto"/>
              </w:rPr>
              <w:t>—</w:t>
            </w: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gridSpan w:val="2"/>
          </w:tcPr>
          <w:p>
            <w:pPr>
              <w:jc w:val="right"/>
              <w:ind w:right="60"/>
              <w:spacing w:after="0" w:line="108" w:lineRule="exact"/>
              <w:rPr>
                <w:sz w:val="20"/>
                <w:szCs w:val="20"/>
                <w:color w:val="auto"/>
              </w:rPr>
            </w:pPr>
            <w:r>
              <w:rPr>
                <w:rFonts w:ascii="Arial" w:cs="Arial" w:eastAsia="Arial" w:hAnsi="Arial"/>
                <w:sz w:val="11"/>
                <w:szCs w:val="11"/>
                <w:color w:val="auto"/>
              </w:rPr>
              <w:t>(13 )</w:t>
            </w:r>
          </w:p>
        </w:tc>
        <w:tc>
          <w:tcPr>
            <w:tcW w:w="0" w:type="dxa"/>
            <w:vAlign w:val="bottom"/>
          </w:tcPr>
          <w:p>
            <w:pPr>
              <w:spacing w:after="0"/>
              <w:rPr>
                <w:sz w:val="1"/>
                <w:szCs w:val="1"/>
                <w:color w:val="auto"/>
              </w:rPr>
            </w:pPr>
          </w:p>
        </w:tc>
      </w:tr>
      <w:tr>
        <w:trPr>
          <w:trHeight w:val="135"/>
        </w:trPr>
        <w:tc>
          <w:tcPr>
            <w:tcW w:w="3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86"/>
              </w:rPr>
              <w:t>Components</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tcPr>
          <w:p>
            <w:pPr>
              <w:ind w:left="20"/>
              <w:spacing w:after="0"/>
              <w:rPr>
                <w:sz w:val="20"/>
                <w:szCs w:val="20"/>
                <w:color w:val="auto"/>
              </w:rPr>
            </w:pPr>
            <w:r>
              <w:rPr>
                <w:rFonts w:ascii="Arial" w:cs="Arial" w:eastAsia="Arial" w:hAnsi="Arial"/>
                <w:sz w:val="11"/>
                <w:szCs w:val="11"/>
                <w:color w:val="auto"/>
              </w:rPr>
              <w:t>Questex, LLC</w:t>
            </w:r>
          </w:p>
        </w:tc>
        <w:tc>
          <w:tcPr>
            <w:tcW w:w="76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09/09/2024</w:t>
            </w:r>
          </w:p>
        </w:tc>
        <w:tc>
          <w:tcPr>
            <w:tcW w:w="140" w:type="dxa"/>
            <w:vAlign w:val="bottom"/>
          </w:tcPr>
          <w:p>
            <w:pPr>
              <w:spacing w:after="0"/>
              <w:rPr>
                <w:sz w:val="11"/>
                <w:szCs w:val="11"/>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91"/>
              </w:rPr>
              <w:t>Media: Diversified and Production</w:t>
            </w:r>
          </w:p>
        </w:tc>
        <w:tc>
          <w:tcPr>
            <w:tcW w:w="1080" w:type="dxa"/>
            <w:vAlign w:val="bottom"/>
            <w:gridSpan w:val="3"/>
          </w:tcPr>
          <w:p>
            <w:pPr>
              <w:jc w:val="right"/>
              <w:ind w:right="86"/>
              <w:spacing w:after="0"/>
              <w:rPr>
                <w:sz w:val="20"/>
                <w:szCs w:val="20"/>
                <w:color w:val="auto"/>
              </w:rPr>
            </w:pPr>
            <w:r>
              <w:rPr>
                <w:rFonts w:ascii="Arial" w:cs="Arial" w:eastAsia="Arial" w:hAnsi="Arial"/>
                <w:sz w:val="11"/>
                <w:szCs w:val="11"/>
                <w:color w:val="auto"/>
              </w:rPr>
              <w:t>6.00 %</w:t>
            </w:r>
          </w:p>
        </w:tc>
        <w:tc>
          <w:tcPr>
            <w:tcW w:w="940" w:type="dxa"/>
            <w:vAlign w:val="bottom"/>
          </w:tcPr>
          <w:p>
            <w:pPr>
              <w:jc w:val="right"/>
              <w:spacing w:after="0"/>
              <w:rPr>
                <w:sz w:val="20"/>
                <w:szCs w:val="20"/>
                <w:color w:val="auto"/>
              </w:rPr>
            </w:pPr>
            <w:r>
              <w:rPr>
                <w:rFonts w:ascii="Arial" w:cs="Arial" w:eastAsia="Arial" w:hAnsi="Arial"/>
                <w:sz w:val="11"/>
                <w:szCs w:val="11"/>
                <w:color w:val="auto"/>
              </w:rPr>
              <w:t>3M L+500</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7,275</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7,195</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6,839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3180" w:type="dxa"/>
            <w:vAlign w:val="bottom"/>
          </w:tcPr>
          <w:p>
            <w:pPr>
              <w:ind w:left="20"/>
              <w:spacing w:after="0" w:line="115" w:lineRule="exact"/>
              <w:rPr>
                <w:sz w:val="20"/>
                <w:szCs w:val="20"/>
                <w:color w:val="auto"/>
              </w:rPr>
            </w:pPr>
            <w:r>
              <w:rPr>
                <w:rFonts w:ascii="Arial" w:cs="Arial" w:eastAsia="Arial" w:hAnsi="Arial"/>
                <w:sz w:val="11"/>
                <w:szCs w:val="11"/>
                <w:color w:val="auto"/>
              </w:rPr>
              <w:t>Questex, LLC (Revolver)</w:t>
            </w:r>
          </w:p>
        </w:tc>
        <w:tc>
          <w:tcPr>
            <w:tcW w:w="760" w:type="dxa"/>
            <w:vAlign w:val="bottom"/>
            <w:gridSpan w:val="2"/>
          </w:tcPr>
          <w:p>
            <w:pPr>
              <w:jc w:val="center"/>
              <w:ind w:left="86"/>
              <w:spacing w:after="0" w:line="115" w:lineRule="exact"/>
              <w:rPr>
                <w:sz w:val="20"/>
                <w:szCs w:val="20"/>
                <w:color w:val="auto"/>
              </w:rPr>
            </w:pPr>
            <w:r>
              <w:rPr>
                <w:rFonts w:ascii="Arial" w:cs="Arial" w:eastAsia="Arial" w:hAnsi="Arial"/>
                <w:sz w:val="11"/>
                <w:szCs w:val="11"/>
                <w:color w:val="auto"/>
                <w:w w:val="90"/>
              </w:rPr>
              <w:t>09/09/2024</w:t>
            </w:r>
          </w:p>
        </w:tc>
        <w:tc>
          <w:tcPr>
            <w:tcW w:w="140" w:type="dxa"/>
            <w:vAlign w:val="bottom"/>
          </w:tcPr>
          <w:p>
            <w:pPr>
              <w:spacing w:after="0"/>
              <w:rPr>
                <w:sz w:val="9"/>
                <w:szCs w:val="9"/>
                <w:color w:val="auto"/>
              </w:rPr>
            </w:pPr>
          </w:p>
        </w:tc>
        <w:tc>
          <w:tcPr>
            <w:tcW w:w="2240" w:type="dxa"/>
            <w:vAlign w:val="bottom"/>
          </w:tcPr>
          <w:p>
            <w:pPr>
              <w:jc w:val="center"/>
              <w:spacing w:after="0" w:line="115" w:lineRule="exact"/>
              <w:rPr>
                <w:sz w:val="20"/>
                <w:szCs w:val="20"/>
                <w:color w:val="auto"/>
              </w:rPr>
            </w:pPr>
            <w:r>
              <w:rPr>
                <w:rFonts w:ascii="Arial" w:cs="Arial" w:eastAsia="Arial" w:hAnsi="Arial"/>
                <w:sz w:val="11"/>
                <w:szCs w:val="11"/>
                <w:color w:val="auto"/>
                <w:w w:val="91"/>
              </w:rPr>
              <w:t>Media: Diversified and Production</w:t>
            </w:r>
          </w:p>
        </w:tc>
        <w:tc>
          <w:tcPr>
            <w:tcW w:w="1080" w:type="dxa"/>
            <w:vAlign w:val="bottom"/>
            <w:gridSpan w:val="3"/>
          </w:tcPr>
          <w:p>
            <w:pPr>
              <w:jc w:val="right"/>
              <w:ind w:right="86"/>
              <w:spacing w:after="0" w:line="115" w:lineRule="exact"/>
              <w:rPr>
                <w:sz w:val="20"/>
                <w:szCs w:val="20"/>
                <w:color w:val="auto"/>
              </w:rPr>
            </w:pPr>
            <w:r>
              <w:rPr>
                <w:rFonts w:ascii="Arial" w:cs="Arial" w:eastAsia="Arial" w:hAnsi="Arial"/>
                <w:sz w:val="11"/>
                <w:szCs w:val="11"/>
                <w:color w:val="auto"/>
              </w:rPr>
              <w:t>6.00 %</w:t>
            </w:r>
          </w:p>
        </w:tc>
        <w:tc>
          <w:tcPr>
            <w:tcW w:w="940" w:type="dxa"/>
            <w:vAlign w:val="bottom"/>
          </w:tcPr>
          <w:p>
            <w:pPr>
              <w:jc w:val="right"/>
              <w:spacing w:after="0" w:line="115" w:lineRule="exact"/>
              <w:rPr>
                <w:sz w:val="20"/>
                <w:szCs w:val="20"/>
                <w:color w:val="auto"/>
              </w:rPr>
            </w:pPr>
            <w:r>
              <w:rPr>
                <w:rFonts w:ascii="Arial" w:cs="Arial" w:eastAsia="Arial" w:hAnsi="Arial"/>
                <w:sz w:val="11"/>
                <w:szCs w:val="11"/>
                <w:color w:val="auto"/>
              </w:rPr>
              <w:t>3M L+500</w:t>
            </w:r>
          </w:p>
        </w:tc>
        <w:tc>
          <w:tcPr>
            <w:tcW w:w="94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718</w:t>
            </w: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jc w:val="right"/>
              <w:spacing w:after="0" w:line="115" w:lineRule="exact"/>
              <w:rPr>
                <w:sz w:val="20"/>
                <w:szCs w:val="20"/>
                <w:color w:val="auto"/>
              </w:rPr>
            </w:pPr>
            <w:r>
              <w:rPr>
                <w:rFonts w:ascii="Arial" w:cs="Arial" w:eastAsia="Arial" w:hAnsi="Arial"/>
                <w:sz w:val="11"/>
                <w:szCs w:val="11"/>
                <w:color w:val="auto"/>
              </w:rPr>
              <w:t>718</w:t>
            </w: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jc w:val="right"/>
              <w:spacing w:after="0" w:line="115" w:lineRule="exact"/>
              <w:rPr>
                <w:sz w:val="20"/>
                <w:szCs w:val="20"/>
                <w:color w:val="auto"/>
              </w:rPr>
            </w:pPr>
            <w:r>
              <w:rPr>
                <w:rFonts w:ascii="Arial" w:cs="Arial" w:eastAsia="Arial" w:hAnsi="Arial"/>
                <w:sz w:val="11"/>
                <w:szCs w:val="11"/>
                <w:color w:val="auto"/>
              </w:rPr>
              <w:t>675</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18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Questex, LLC (Revolver) </w:t>
            </w:r>
            <w:r>
              <w:rPr>
                <w:rFonts w:ascii="Arial" w:cs="Arial" w:eastAsia="Arial" w:hAnsi="Arial"/>
                <w:sz w:val="14"/>
                <w:szCs w:val="14"/>
                <w:color w:val="auto"/>
                <w:vertAlign w:val="superscript"/>
              </w:rPr>
              <w:t>(7), (9)</w:t>
            </w:r>
          </w:p>
        </w:tc>
        <w:tc>
          <w:tcPr>
            <w:tcW w:w="76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09/09/2024</w:t>
            </w:r>
          </w:p>
        </w:tc>
        <w:tc>
          <w:tcPr>
            <w:tcW w:w="140" w:type="dxa"/>
            <w:vAlign w:val="bottom"/>
          </w:tcPr>
          <w:p>
            <w:pPr>
              <w:spacing w:after="0"/>
              <w:rPr>
                <w:sz w:val="11"/>
                <w:szCs w:val="11"/>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91"/>
              </w:rPr>
              <w:t>Media: Diversified and Production</w:t>
            </w:r>
          </w:p>
        </w:tc>
        <w:tc>
          <w:tcPr>
            <w:tcW w:w="120" w:type="dxa"/>
            <w:vAlign w:val="bottom"/>
          </w:tcPr>
          <w:p>
            <w:pPr>
              <w:spacing w:after="0"/>
              <w:rPr>
                <w:sz w:val="11"/>
                <w:szCs w:val="11"/>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479</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auto"/>
              </w:rPr>
              <w:t>(29 )</w:t>
            </w:r>
          </w:p>
        </w:tc>
        <w:tc>
          <w:tcPr>
            <w:tcW w:w="0" w:type="dxa"/>
            <w:vAlign w:val="bottom"/>
          </w:tcPr>
          <w:p>
            <w:pPr>
              <w:spacing w:after="0"/>
              <w:rPr>
                <w:sz w:val="1"/>
                <w:szCs w:val="1"/>
                <w:color w:val="auto"/>
              </w:rPr>
            </w:pPr>
          </w:p>
        </w:tc>
      </w:tr>
      <w:tr>
        <w:trPr>
          <w:trHeight w:val="135"/>
        </w:trPr>
        <w:tc>
          <w:tcPr>
            <w:tcW w:w="318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Rancho Health MSO, Inc. </w:t>
            </w:r>
            <w:r>
              <w:rPr>
                <w:rFonts w:ascii="Arial" w:cs="Arial" w:eastAsia="Arial" w:hAnsi="Arial"/>
                <w:sz w:val="14"/>
                <w:szCs w:val="14"/>
                <w:color w:val="auto"/>
                <w:vertAlign w:val="superscript"/>
              </w:rPr>
              <w:t>(7)</w:t>
            </w:r>
          </w:p>
        </w:tc>
        <w:tc>
          <w:tcPr>
            <w:tcW w:w="76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12/18/2025</w:t>
            </w:r>
          </w:p>
        </w:tc>
        <w:tc>
          <w:tcPr>
            <w:tcW w:w="140" w:type="dxa"/>
            <w:vAlign w:val="bottom"/>
          </w:tcPr>
          <w:p>
            <w:pPr>
              <w:spacing w:after="0"/>
              <w:rPr>
                <w:sz w:val="11"/>
                <w:szCs w:val="11"/>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87"/>
              </w:rPr>
              <w:t>Healthcare Equipment and Supplies</w:t>
            </w:r>
          </w:p>
        </w:tc>
        <w:tc>
          <w:tcPr>
            <w:tcW w:w="1080" w:type="dxa"/>
            <w:vAlign w:val="bottom"/>
            <w:gridSpan w:val="3"/>
          </w:tcPr>
          <w:p>
            <w:pPr>
              <w:jc w:val="right"/>
              <w:ind w:right="86"/>
              <w:spacing w:after="0"/>
              <w:rPr>
                <w:sz w:val="20"/>
                <w:szCs w:val="20"/>
                <w:color w:val="auto"/>
              </w:rPr>
            </w:pPr>
            <w:r>
              <w:rPr>
                <w:rFonts w:ascii="Arial" w:cs="Arial" w:eastAsia="Arial" w:hAnsi="Arial"/>
                <w:sz w:val="11"/>
                <w:szCs w:val="11"/>
                <w:color w:val="auto"/>
              </w:rPr>
              <w:t>6.75 %</w:t>
            </w:r>
          </w:p>
        </w:tc>
        <w:tc>
          <w:tcPr>
            <w:tcW w:w="940" w:type="dxa"/>
            <w:vAlign w:val="bottom"/>
          </w:tcPr>
          <w:p>
            <w:pPr>
              <w:jc w:val="right"/>
              <w:spacing w:after="0"/>
              <w:rPr>
                <w:sz w:val="20"/>
                <w:szCs w:val="20"/>
                <w:color w:val="auto"/>
              </w:rPr>
            </w:pPr>
            <w:r>
              <w:rPr>
                <w:rFonts w:ascii="Arial" w:cs="Arial" w:eastAsia="Arial" w:hAnsi="Arial"/>
                <w:sz w:val="11"/>
                <w:szCs w:val="11"/>
                <w:color w:val="auto"/>
              </w:rPr>
              <w:t>3M L+575</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1,050</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1,050</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1,050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18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Rancho Health MSO, Inc. (Revolver) </w:t>
            </w:r>
            <w:r>
              <w:rPr>
                <w:rFonts w:ascii="Arial" w:cs="Arial" w:eastAsia="Arial" w:hAnsi="Arial"/>
                <w:sz w:val="14"/>
                <w:szCs w:val="14"/>
                <w:color w:val="auto"/>
                <w:vertAlign w:val="superscript"/>
              </w:rPr>
              <w:t>(7), (9)</w:t>
            </w:r>
          </w:p>
        </w:tc>
        <w:tc>
          <w:tcPr>
            <w:tcW w:w="76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12/18/2025</w:t>
            </w:r>
          </w:p>
        </w:tc>
        <w:tc>
          <w:tcPr>
            <w:tcW w:w="140" w:type="dxa"/>
            <w:vAlign w:val="bottom"/>
          </w:tcPr>
          <w:p>
            <w:pPr>
              <w:spacing w:after="0"/>
              <w:rPr>
                <w:sz w:val="13"/>
                <w:szCs w:val="13"/>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87"/>
              </w:rPr>
              <w:t>Healthcare Equipment and Supplies</w:t>
            </w:r>
          </w:p>
        </w:tc>
        <w:tc>
          <w:tcPr>
            <w:tcW w:w="120" w:type="dxa"/>
            <w:vAlign w:val="bottom"/>
          </w:tcPr>
          <w:p>
            <w:pPr>
              <w:spacing w:after="0"/>
              <w:rPr>
                <w:sz w:val="13"/>
                <w:szCs w:val="13"/>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525</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5"/>
        </w:trPr>
        <w:tc>
          <w:tcPr>
            <w:tcW w:w="3180" w:type="dxa"/>
            <w:vAlign w:val="bottom"/>
          </w:tcPr>
          <w:p>
            <w:pPr>
              <w:ind w:left="20"/>
              <w:spacing w:after="0" w:line="115" w:lineRule="exact"/>
              <w:rPr>
                <w:sz w:val="20"/>
                <w:szCs w:val="20"/>
                <w:color w:val="auto"/>
              </w:rPr>
            </w:pPr>
            <w:r>
              <w:rPr>
                <w:rFonts w:ascii="Arial" w:cs="Arial" w:eastAsia="Arial" w:hAnsi="Arial"/>
                <w:sz w:val="11"/>
                <w:szCs w:val="11"/>
                <w:color w:val="auto"/>
              </w:rPr>
              <w:t>Recteq, LLC</w:t>
            </w:r>
          </w:p>
        </w:tc>
        <w:tc>
          <w:tcPr>
            <w:tcW w:w="760" w:type="dxa"/>
            <w:vAlign w:val="bottom"/>
            <w:gridSpan w:val="2"/>
          </w:tcPr>
          <w:p>
            <w:pPr>
              <w:jc w:val="center"/>
              <w:ind w:left="86"/>
              <w:spacing w:after="0" w:line="115" w:lineRule="exact"/>
              <w:rPr>
                <w:sz w:val="20"/>
                <w:szCs w:val="20"/>
                <w:color w:val="auto"/>
              </w:rPr>
            </w:pPr>
            <w:r>
              <w:rPr>
                <w:rFonts w:ascii="Arial" w:cs="Arial" w:eastAsia="Arial" w:hAnsi="Arial"/>
                <w:sz w:val="11"/>
                <w:szCs w:val="11"/>
                <w:color w:val="auto"/>
                <w:w w:val="90"/>
              </w:rPr>
              <w:t>01/29/2026</w:t>
            </w:r>
          </w:p>
        </w:tc>
        <w:tc>
          <w:tcPr>
            <w:tcW w:w="140" w:type="dxa"/>
            <w:vAlign w:val="bottom"/>
          </w:tcPr>
          <w:p>
            <w:pPr>
              <w:spacing w:after="0"/>
              <w:rPr>
                <w:sz w:val="9"/>
                <w:szCs w:val="9"/>
                <w:color w:val="auto"/>
              </w:rPr>
            </w:pPr>
          </w:p>
        </w:tc>
        <w:tc>
          <w:tcPr>
            <w:tcW w:w="2240" w:type="dxa"/>
            <w:vAlign w:val="bottom"/>
          </w:tcPr>
          <w:p>
            <w:pPr>
              <w:jc w:val="center"/>
              <w:spacing w:after="0" w:line="115" w:lineRule="exact"/>
              <w:rPr>
                <w:sz w:val="20"/>
                <w:szCs w:val="20"/>
                <w:color w:val="auto"/>
              </w:rPr>
            </w:pPr>
            <w:r>
              <w:rPr>
                <w:rFonts w:ascii="Arial" w:cs="Arial" w:eastAsia="Arial" w:hAnsi="Arial"/>
                <w:sz w:val="11"/>
                <w:szCs w:val="11"/>
                <w:color w:val="auto"/>
                <w:w w:val="89"/>
              </w:rPr>
              <w:t>Leisure Products</w:t>
            </w:r>
          </w:p>
        </w:tc>
        <w:tc>
          <w:tcPr>
            <w:tcW w:w="1080" w:type="dxa"/>
            <w:vAlign w:val="bottom"/>
            <w:gridSpan w:val="3"/>
          </w:tcPr>
          <w:p>
            <w:pPr>
              <w:jc w:val="right"/>
              <w:ind w:right="86"/>
              <w:spacing w:after="0" w:line="115" w:lineRule="exact"/>
              <w:rPr>
                <w:sz w:val="20"/>
                <w:szCs w:val="20"/>
                <w:color w:val="auto"/>
              </w:rPr>
            </w:pPr>
            <w:r>
              <w:rPr>
                <w:rFonts w:ascii="Arial" w:cs="Arial" w:eastAsia="Arial" w:hAnsi="Arial"/>
                <w:sz w:val="11"/>
                <w:szCs w:val="11"/>
                <w:color w:val="auto"/>
              </w:rPr>
              <w:t>7.00 %</w:t>
            </w:r>
          </w:p>
        </w:tc>
        <w:tc>
          <w:tcPr>
            <w:tcW w:w="940" w:type="dxa"/>
            <w:vAlign w:val="bottom"/>
          </w:tcPr>
          <w:p>
            <w:pPr>
              <w:jc w:val="right"/>
              <w:spacing w:after="0" w:line="115" w:lineRule="exact"/>
              <w:rPr>
                <w:sz w:val="20"/>
                <w:szCs w:val="20"/>
                <w:color w:val="auto"/>
              </w:rPr>
            </w:pPr>
            <w:r>
              <w:rPr>
                <w:rFonts w:ascii="Arial" w:cs="Arial" w:eastAsia="Arial" w:hAnsi="Arial"/>
                <w:sz w:val="11"/>
                <w:szCs w:val="11"/>
                <w:color w:val="auto"/>
              </w:rPr>
              <w:t>3M L+600</w:t>
            </w:r>
          </w:p>
        </w:tc>
        <w:tc>
          <w:tcPr>
            <w:tcW w:w="94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1,493</w:t>
            </w: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jc w:val="right"/>
              <w:spacing w:after="0" w:line="115" w:lineRule="exact"/>
              <w:rPr>
                <w:sz w:val="20"/>
                <w:szCs w:val="20"/>
                <w:color w:val="auto"/>
              </w:rPr>
            </w:pPr>
            <w:r>
              <w:rPr>
                <w:rFonts w:ascii="Arial" w:cs="Arial" w:eastAsia="Arial" w:hAnsi="Arial"/>
                <w:sz w:val="11"/>
                <w:szCs w:val="11"/>
                <w:color w:val="auto"/>
              </w:rPr>
              <w:t>1,466</w:t>
            </w: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jc w:val="right"/>
              <w:spacing w:after="0" w:line="115" w:lineRule="exact"/>
              <w:rPr>
                <w:sz w:val="20"/>
                <w:szCs w:val="20"/>
                <w:color w:val="auto"/>
              </w:rPr>
            </w:pPr>
            <w:r>
              <w:rPr>
                <w:rFonts w:ascii="Arial" w:cs="Arial" w:eastAsia="Arial" w:hAnsi="Arial"/>
                <w:sz w:val="11"/>
                <w:szCs w:val="11"/>
                <w:color w:val="auto"/>
              </w:rPr>
              <w:t>1,478</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3180" w:type="dxa"/>
            <w:vAlign w:val="bottom"/>
          </w:tcPr>
          <w:p>
            <w:pPr>
              <w:ind w:left="20"/>
              <w:spacing w:after="0"/>
              <w:rPr>
                <w:sz w:val="20"/>
                <w:szCs w:val="20"/>
                <w:color w:val="auto"/>
              </w:rPr>
            </w:pPr>
            <w:r>
              <w:rPr>
                <w:rFonts w:ascii="Arial" w:cs="Arial" w:eastAsia="Arial" w:hAnsi="Arial"/>
                <w:sz w:val="11"/>
                <w:szCs w:val="11"/>
                <w:color w:val="auto"/>
              </w:rPr>
              <w:t xml:space="preserve">Recteq, LLC (Revolver) </w:t>
            </w:r>
            <w:r>
              <w:rPr>
                <w:rFonts w:ascii="Arial" w:cs="Arial" w:eastAsia="Arial" w:hAnsi="Arial"/>
                <w:sz w:val="14"/>
                <w:szCs w:val="14"/>
                <w:color w:val="auto"/>
                <w:vertAlign w:val="superscript"/>
              </w:rPr>
              <w:t>(7), (9)</w:t>
            </w:r>
          </w:p>
        </w:tc>
        <w:tc>
          <w:tcPr>
            <w:tcW w:w="76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01/29/2026</w:t>
            </w:r>
          </w:p>
        </w:tc>
        <w:tc>
          <w:tcPr>
            <w:tcW w:w="140" w:type="dxa"/>
            <w:vAlign w:val="bottom"/>
          </w:tcPr>
          <w:p>
            <w:pPr>
              <w:spacing w:after="0"/>
              <w:rPr>
                <w:sz w:val="14"/>
                <w:szCs w:val="14"/>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89"/>
              </w:rPr>
              <w:t>Leisure Products</w:t>
            </w:r>
          </w:p>
        </w:tc>
        <w:tc>
          <w:tcPr>
            <w:tcW w:w="120" w:type="dxa"/>
            <w:vAlign w:val="bottom"/>
          </w:tcPr>
          <w:p>
            <w:pPr>
              <w:spacing w:after="0"/>
              <w:rPr>
                <w:sz w:val="14"/>
                <w:szCs w:val="14"/>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1,296</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auto"/>
              </w:rPr>
              <w:t>(13 )</w:t>
            </w:r>
          </w:p>
        </w:tc>
        <w:tc>
          <w:tcPr>
            <w:tcW w:w="0" w:type="dxa"/>
            <w:vAlign w:val="bottom"/>
          </w:tcPr>
          <w:p>
            <w:pPr>
              <w:spacing w:after="0"/>
              <w:rPr>
                <w:sz w:val="1"/>
                <w:szCs w:val="1"/>
                <w:color w:val="auto"/>
              </w:rPr>
            </w:pPr>
          </w:p>
        </w:tc>
      </w:tr>
      <w:tr>
        <w:trPr>
          <w:trHeight w:val="135"/>
        </w:trPr>
        <w:tc>
          <w:tcPr>
            <w:tcW w:w="3180" w:type="dxa"/>
            <w:vAlign w:val="bottom"/>
            <w:shd w:val="clear" w:color="auto" w:fill="CCECFF"/>
          </w:tcPr>
          <w:p>
            <w:pPr>
              <w:ind w:left="20"/>
              <w:spacing w:after="0"/>
              <w:rPr>
                <w:sz w:val="20"/>
                <w:szCs w:val="20"/>
                <w:color w:val="auto"/>
              </w:rPr>
            </w:pPr>
            <w:r>
              <w:rPr>
                <w:rFonts w:ascii="Arial" w:cs="Arial" w:eastAsia="Arial" w:hAnsi="Arial"/>
                <w:sz w:val="11"/>
                <w:szCs w:val="11"/>
                <w:color w:val="auto"/>
              </w:rPr>
              <w:t>Research Horizons, LLC</w:t>
            </w:r>
          </w:p>
        </w:tc>
        <w:tc>
          <w:tcPr>
            <w:tcW w:w="76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06/28/2022</w:t>
            </w:r>
          </w:p>
        </w:tc>
        <w:tc>
          <w:tcPr>
            <w:tcW w:w="140" w:type="dxa"/>
            <w:vAlign w:val="bottom"/>
            <w:shd w:val="clear" w:color="auto" w:fill="CCECFF"/>
          </w:tcPr>
          <w:p>
            <w:pPr>
              <w:spacing w:after="0"/>
              <w:rPr>
                <w:sz w:val="11"/>
                <w:szCs w:val="11"/>
                <w:color w:val="auto"/>
              </w:rPr>
            </w:pPr>
          </w:p>
        </w:tc>
        <w:tc>
          <w:tcPr>
            <w:tcW w:w="22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1"/>
              </w:rPr>
              <w:t>Media: Advertising, Printing and Publishing</w:t>
            </w:r>
          </w:p>
        </w:tc>
        <w:tc>
          <w:tcPr>
            <w:tcW w:w="1080" w:type="dxa"/>
            <w:vAlign w:val="bottom"/>
            <w:gridSpan w:val="3"/>
            <w:shd w:val="clear" w:color="auto" w:fill="CCECFF"/>
          </w:tcPr>
          <w:p>
            <w:pPr>
              <w:jc w:val="right"/>
              <w:ind w:right="86"/>
              <w:spacing w:after="0"/>
              <w:rPr>
                <w:sz w:val="20"/>
                <w:szCs w:val="20"/>
                <w:color w:val="auto"/>
              </w:rPr>
            </w:pPr>
            <w:r>
              <w:rPr>
                <w:rFonts w:ascii="Arial" w:cs="Arial" w:eastAsia="Arial" w:hAnsi="Arial"/>
                <w:sz w:val="11"/>
                <w:szCs w:val="11"/>
                <w:color w:val="auto"/>
              </w:rPr>
              <w:t>7.25 %</w:t>
            </w:r>
          </w:p>
        </w:tc>
        <w:tc>
          <w:tcPr>
            <w:tcW w:w="9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L+625</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6,719</w:t>
            </w:r>
          </w:p>
        </w:tc>
        <w:tc>
          <w:tcPr>
            <w:tcW w:w="24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6,694</w:t>
            </w:r>
          </w:p>
        </w:tc>
        <w:tc>
          <w:tcPr>
            <w:tcW w:w="2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6,652</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3180" w:type="dxa"/>
            <w:vAlign w:val="bottom"/>
          </w:tcPr>
          <w:p>
            <w:pPr>
              <w:ind w:left="20"/>
              <w:spacing w:after="0" w:line="125" w:lineRule="exact"/>
              <w:rPr>
                <w:sz w:val="20"/>
                <w:szCs w:val="20"/>
                <w:color w:val="auto"/>
              </w:rPr>
            </w:pPr>
            <w:r>
              <w:rPr>
                <w:rFonts w:ascii="Arial" w:cs="Arial" w:eastAsia="Arial" w:hAnsi="Arial"/>
                <w:sz w:val="11"/>
                <w:szCs w:val="11"/>
                <w:color w:val="auto"/>
              </w:rPr>
              <w:t>Research Now Group, Inc. and Dynata, LLC</w:t>
            </w:r>
          </w:p>
        </w:tc>
        <w:tc>
          <w:tcPr>
            <w:tcW w:w="760" w:type="dxa"/>
            <w:vAlign w:val="bottom"/>
            <w:gridSpan w:val="2"/>
          </w:tcPr>
          <w:p>
            <w:pPr>
              <w:jc w:val="center"/>
              <w:ind w:left="86"/>
              <w:spacing w:after="0" w:line="125" w:lineRule="exact"/>
              <w:rPr>
                <w:sz w:val="20"/>
                <w:szCs w:val="20"/>
                <w:color w:val="auto"/>
              </w:rPr>
            </w:pPr>
            <w:r>
              <w:rPr>
                <w:rFonts w:ascii="Arial" w:cs="Arial" w:eastAsia="Arial" w:hAnsi="Arial"/>
                <w:sz w:val="11"/>
                <w:szCs w:val="11"/>
                <w:color w:val="auto"/>
                <w:w w:val="90"/>
              </w:rPr>
              <w:t>12/20/2024</w:t>
            </w:r>
          </w:p>
        </w:tc>
        <w:tc>
          <w:tcPr>
            <w:tcW w:w="140" w:type="dxa"/>
            <w:vAlign w:val="bottom"/>
          </w:tcPr>
          <w:p>
            <w:pPr>
              <w:spacing w:after="0"/>
              <w:rPr>
                <w:sz w:val="10"/>
                <w:szCs w:val="10"/>
                <w:color w:val="auto"/>
              </w:rPr>
            </w:pPr>
          </w:p>
        </w:tc>
        <w:tc>
          <w:tcPr>
            <w:tcW w:w="2240" w:type="dxa"/>
            <w:vAlign w:val="bottom"/>
          </w:tcPr>
          <w:p>
            <w:pPr>
              <w:jc w:val="center"/>
              <w:spacing w:after="0" w:line="125" w:lineRule="exact"/>
              <w:rPr>
                <w:sz w:val="20"/>
                <w:szCs w:val="20"/>
                <w:color w:val="auto"/>
              </w:rPr>
            </w:pPr>
            <w:r>
              <w:rPr>
                <w:rFonts w:ascii="Arial" w:cs="Arial" w:eastAsia="Arial" w:hAnsi="Arial"/>
                <w:sz w:val="11"/>
                <w:szCs w:val="11"/>
                <w:color w:val="auto"/>
                <w:w w:val="86"/>
              </w:rPr>
              <w:t>Business Services</w:t>
            </w:r>
          </w:p>
        </w:tc>
        <w:tc>
          <w:tcPr>
            <w:tcW w:w="1080" w:type="dxa"/>
            <w:vAlign w:val="bottom"/>
            <w:gridSpan w:val="3"/>
          </w:tcPr>
          <w:p>
            <w:pPr>
              <w:jc w:val="right"/>
              <w:ind w:right="86"/>
              <w:spacing w:after="0" w:line="125" w:lineRule="exact"/>
              <w:rPr>
                <w:sz w:val="20"/>
                <w:szCs w:val="20"/>
                <w:color w:val="auto"/>
              </w:rPr>
            </w:pPr>
            <w:r>
              <w:rPr>
                <w:rFonts w:ascii="Arial" w:cs="Arial" w:eastAsia="Arial" w:hAnsi="Arial"/>
                <w:sz w:val="11"/>
                <w:szCs w:val="11"/>
                <w:color w:val="auto"/>
              </w:rPr>
              <w:t>6.50 %</w:t>
            </w:r>
          </w:p>
        </w:tc>
        <w:tc>
          <w:tcPr>
            <w:tcW w:w="940" w:type="dxa"/>
            <w:vAlign w:val="bottom"/>
          </w:tcPr>
          <w:p>
            <w:pPr>
              <w:jc w:val="right"/>
              <w:spacing w:after="0" w:line="125" w:lineRule="exact"/>
              <w:rPr>
                <w:sz w:val="20"/>
                <w:szCs w:val="20"/>
                <w:color w:val="auto"/>
              </w:rPr>
            </w:pPr>
            <w:r>
              <w:rPr>
                <w:rFonts w:ascii="Arial" w:cs="Arial" w:eastAsia="Arial" w:hAnsi="Arial"/>
                <w:sz w:val="11"/>
                <w:szCs w:val="11"/>
                <w:color w:val="auto"/>
              </w:rPr>
              <w:t>3M L+550</w:t>
            </w:r>
          </w:p>
        </w:tc>
        <w:tc>
          <w:tcPr>
            <w:tcW w:w="940" w:type="dxa"/>
            <w:vAlign w:val="bottom"/>
            <w:gridSpan w:val="2"/>
          </w:tcPr>
          <w:p>
            <w:pPr>
              <w:jc w:val="right"/>
              <w:spacing w:after="0" w:line="125" w:lineRule="exact"/>
              <w:rPr>
                <w:sz w:val="20"/>
                <w:szCs w:val="20"/>
                <w:color w:val="auto"/>
              </w:rPr>
            </w:pPr>
            <w:r>
              <w:rPr>
                <w:rFonts w:ascii="Arial" w:cs="Arial" w:eastAsia="Arial" w:hAnsi="Arial"/>
                <w:sz w:val="11"/>
                <w:szCs w:val="11"/>
                <w:color w:val="auto"/>
              </w:rPr>
              <w:t>17,322</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jc w:val="right"/>
              <w:spacing w:after="0" w:line="125" w:lineRule="exact"/>
              <w:rPr>
                <w:sz w:val="20"/>
                <w:szCs w:val="20"/>
                <w:color w:val="auto"/>
              </w:rPr>
            </w:pPr>
            <w:r>
              <w:rPr>
                <w:rFonts w:ascii="Arial" w:cs="Arial" w:eastAsia="Arial" w:hAnsi="Arial"/>
                <w:sz w:val="11"/>
                <w:szCs w:val="11"/>
                <w:color w:val="auto"/>
              </w:rPr>
              <w:t>17,099</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jc w:val="right"/>
              <w:spacing w:after="0" w:line="125" w:lineRule="exact"/>
              <w:rPr>
                <w:sz w:val="20"/>
                <w:szCs w:val="20"/>
                <w:color w:val="auto"/>
              </w:rPr>
            </w:pPr>
            <w:r>
              <w:rPr>
                <w:rFonts w:ascii="Arial" w:cs="Arial" w:eastAsia="Arial" w:hAnsi="Arial"/>
                <w:sz w:val="11"/>
                <w:szCs w:val="11"/>
                <w:color w:val="auto"/>
              </w:rPr>
              <w:t>17,102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3180" w:type="dxa"/>
            <w:vAlign w:val="bottom"/>
          </w:tcPr>
          <w:p>
            <w:pPr>
              <w:ind w:left="20"/>
              <w:spacing w:after="0" w:line="115" w:lineRule="exact"/>
              <w:rPr>
                <w:sz w:val="20"/>
                <w:szCs w:val="20"/>
                <w:color w:val="auto"/>
              </w:rPr>
            </w:pPr>
            <w:r>
              <w:rPr>
                <w:rFonts w:ascii="Arial" w:cs="Arial" w:eastAsia="Arial" w:hAnsi="Arial"/>
                <w:sz w:val="11"/>
                <w:szCs w:val="11"/>
                <w:color w:val="auto"/>
              </w:rPr>
              <w:t>Riverpoint Medical, LLC</w:t>
            </w:r>
          </w:p>
        </w:tc>
        <w:tc>
          <w:tcPr>
            <w:tcW w:w="760" w:type="dxa"/>
            <w:vAlign w:val="bottom"/>
            <w:gridSpan w:val="2"/>
          </w:tcPr>
          <w:p>
            <w:pPr>
              <w:jc w:val="center"/>
              <w:ind w:left="86"/>
              <w:spacing w:after="0" w:line="115" w:lineRule="exact"/>
              <w:rPr>
                <w:sz w:val="20"/>
                <w:szCs w:val="20"/>
                <w:color w:val="auto"/>
              </w:rPr>
            </w:pPr>
            <w:r>
              <w:rPr>
                <w:rFonts w:ascii="Arial" w:cs="Arial" w:eastAsia="Arial" w:hAnsi="Arial"/>
                <w:sz w:val="11"/>
                <w:szCs w:val="11"/>
                <w:color w:val="auto"/>
                <w:w w:val="90"/>
              </w:rPr>
              <w:t>06/20/2025</w:t>
            </w:r>
          </w:p>
        </w:tc>
        <w:tc>
          <w:tcPr>
            <w:tcW w:w="140" w:type="dxa"/>
            <w:vAlign w:val="bottom"/>
          </w:tcPr>
          <w:p>
            <w:pPr>
              <w:spacing w:after="0"/>
              <w:rPr>
                <w:sz w:val="9"/>
                <w:szCs w:val="9"/>
                <w:color w:val="auto"/>
              </w:rPr>
            </w:pPr>
          </w:p>
        </w:tc>
        <w:tc>
          <w:tcPr>
            <w:tcW w:w="2240" w:type="dxa"/>
            <w:vAlign w:val="bottom"/>
          </w:tcPr>
          <w:p>
            <w:pPr>
              <w:jc w:val="center"/>
              <w:spacing w:after="0" w:line="115" w:lineRule="exact"/>
              <w:rPr>
                <w:sz w:val="20"/>
                <w:szCs w:val="20"/>
                <w:color w:val="auto"/>
              </w:rPr>
            </w:pPr>
            <w:r>
              <w:rPr>
                <w:rFonts w:ascii="Arial" w:cs="Arial" w:eastAsia="Arial" w:hAnsi="Arial"/>
                <w:sz w:val="11"/>
                <w:szCs w:val="11"/>
                <w:color w:val="auto"/>
                <w:w w:val="87"/>
              </w:rPr>
              <w:t>Healthcare Equipment and Supplies</w:t>
            </w:r>
          </w:p>
        </w:tc>
        <w:tc>
          <w:tcPr>
            <w:tcW w:w="1080" w:type="dxa"/>
            <w:vAlign w:val="bottom"/>
            <w:gridSpan w:val="3"/>
          </w:tcPr>
          <w:p>
            <w:pPr>
              <w:jc w:val="right"/>
              <w:ind w:right="86"/>
              <w:spacing w:after="0" w:line="115" w:lineRule="exact"/>
              <w:rPr>
                <w:sz w:val="20"/>
                <w:szCs w:val="20"/>
                <w:color w:val="auto"/>
              </w:rPr>
            </w:pPr>
            <w:r>
              <w:rPr>
                <w:rFonts w:ascii="Arial" w:cs="Arial" w:eastAsia="Arial" w:hAnsi="Arial"/>
                <w:sz w:val="11"/>
                <w:szCs w:val="11"/>
                <w:color w:val="auto"/>
              </w:rPr>
              <w:t>6.00 %</w:t>
            </w:r>
          </w:p>
        </w:tc>
        <w:tc>
          <w:tcPr>
            <w:tcW w:w="940" w:type="dxa"/>
            <w:vAlign w:val="bottom"/>
          </w:tcPr>
          <w:p>
            <w:pPr>
              <w:jc w:val="right"/>
              <w:spacing w:after="0" w:line="115" w:lineRule="exact"/>
              <w:rPr>
                <w:sz w:val="20"/>
                <w:szCs w:val="20"/>
                <w:color w:val="auto"/>
              </w:rPr>
            </w:pPr>
            <w:r>
              <w:rPr>
                <w:rFonts w:ascii="Arial" w:cs="Arial" w:eastAsia="Arial" w:hAnsi="Arial"/>
                <w:sz w:val="11"/>
                <w:szCs w:val="11"/>
                <w:color w:val="auto"/>
              </w:rPr>
              <w:t>3M L+450</w:t>
            </w:r>
          </w:p>
        </w:tc>
        <w:tc>
          <w:tcPr>
            <w:tcW w:w="94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8,115</w:t>
            </w: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jc w:val="right"/>
              <w:spacing w:after="0" w:line="115" w:lineRule="exact"/>
              <w:rPr>
                <w:sz w:val="20"/>
                <w:szCs w:val="20"/>
                <w:color w:val="auto"/>
              </w:rPr>
            </w:pPr>
            <w:r>
              <w:rPr>
                <w:rFonts w:ascii="Arial" w:cs="Arial" w:eastAsia="Arial" w:hAnsi="Arial"/>
                <w:sz w:val="11"/>
                <w:szCs w:val="11"/>
                <w:color w:val="auto"/>
              </w:rPr>
              <w:t>8,039</w:t>
            </w: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jc w:val="right"/>
              <w:spacing w:after="0" w:line="115" w:lineRule="exact"/>
              <w:rPr>
                <w:sz w:val="20"/>
                <w:szCs w:val="20"/>
                <w:color w:val="auto"/>
              </w:rPr>
            </w:pPr>
            <w:r>
              <w:rPr>
                <w:rFonts w:ascii="Arial" w:cs="Arial" w:eastAsia="Arial" w:hAnsi="Arial"/>
                <w:sz w:val="11"/>
                <w:szCs w:val="11"/>
                <w:color w:val="auto"/>
              </w:rPr>
              <w:t>8,015</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3180" w:type="dxa"/>
            <w:vAlign w:val="bottom"/>
          </w:tcPr>
          <w:p>
            <w:pPr>
              <w:ind w:left="20"/>
              <w:spacing w:after="0"/>
              <w:rPr>
                <w:sz w:val="20"/>
                <w:szCs w:val="20"/>
                <w:color w:val="auto"/>
              </w:rPr>
            </w:pPr>
            <w:r>
              <w:rPr>
                <w:rFonts w:ascii="Arial" w:cs="Arial" w:eastAsia="Arial" w:hAnsi="Arial"/>
                <w:sz w:val="11"/>
                <w:szCs w:val="11"/>
                <w:color w:val="auto"/>
              </w:rPr>
              <w:t xml:space="preserve">Riverpoint Medical, LLC (Revolver) </w:t>
            </w:r>
            <w:r>
              <w:rPr>
                <w:rFonts w:ascii="Arial" w:cs="Arial" w:eastAsia="Arial" w:hAnsi="Arial"/>
                <w:sz w:val="14"/>
                <w:szCs w:val="14"/>
                <w:color w:val="auto"/>
                <w:vertAlign w:val="superscript"/>
              </w:rPr>
              <w:t>(7), (9)</w:t>
            </w:r>
          </w:p>
        </w:tc>
        <w:tc>
          <w:tcPr>
            <w:tcW w:w="76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06/20/2025</w:t>
            </w:r>
          </w:p>
        </w:tc>
        <w:tc>
          <w:tcPr>
            <w:tcW w:w="140" w:type="dxa"/>
            <w:vAlign w:val="bottom"/>
          </w:tcPr>
          <w:p>
            <w:pPr>
              <w:spacing w:after="0"/>
              <w:rPr>
                <w:sz w:val="14"/>
                <w:szCs w:val="14"/>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87"/>
              </w:rPr>
              <w:t>Healthcare Equipment and Supplies</w:t>
            </w:r>
          </w:p>
        </w:tc>
        <w:tc>
          <w:tcPr>
            <w:tcW w:w="120" w:type="dxa"/>
            <w:vAlign w:val="bottom"/>
          </w:tcPr>
          <w:p>
            <w:pPr>
              <w:spacing w:after="0"/>
              <w:rPr>
                <w:sz w:val="14"/>
                <w:szCs w:val="14"/>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909</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auto"/>
              </w:rPr>
              <w:t>(11 )</w:t>
            </w:r>
          </w:p>
        </w:tc>
        <w:tc>
          <w:tcPr>
            <w:tcW w:w="0" w:type="dxa"/>
            <w:vAlign w:val="bottom"/>
          </w:tcPr>
          <w:p>
            <w:pPr>
              <w:spacing w:after="0"/>
              <w:rPr>
                <w:sz w:val="1"/>
                <w:szCs w:val="1"/>
                <w:color w:val="auto"/>
              </w:rPr>
            </w:pPr>
          </w:p>
        </w:tc>
      </w:tr>
      <w:tr>
        <w:trPr>
          <w:trHeight w:val="135"/>
        </w:trPr>
        <w:tc>
          <w:tcPr>
            <w:tcW w:w="3180" w:type="dxa"/>
            <w:vAlign w:val="bottom"/>
            <w:shd w:val="clear" w:color="auto" w:fill="CCECFF"/>
          </w:tcPr>
          <w:p>
            <w:pPr>
              <w:ind w:left="20"/>
              <w:spacing w:after="0"/>
              <w:rPr>
                <w:sz w:val="20"/>
                <w:szCs w:val="20"/>
                <w:color w:val="auto"/>
              </w:rPr>
            </w:pPr>
            <w:r>
              <w:rPr>
                <w:rFonts w:ascii="Arial" w:cs="Arial" w:eastAsia="Arial" w:hAnsi="Arial"/>
                <w:sz w:val="11"/>
                <w:szCs w:val="11"/>
                <w:color w:val="auto"/>
              </w:rPr>
              <w:t>Riverside Assessments, LLC</w:t>
            </w:r>
          </w:p>
        </w:tc>
        <w:tc>
          <w:tcPr>
            <w:tcW w:w="76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03/10/2025</w:t>
            </w:r>
          </w:p>
        </w:tc>
        <w:tc>
          <w:tcPr>
            <w:tcW w:w="140" w:type="dxa"/>
            <w:vAlign w:val="bottom"/>
            <w:shd w:val="clear" w:color="auto" w:fill="CCECFF"/>
          </w:tcPr>
          <w:p>
            <w:pPr>
              <w:spacing w:after="0"/>
              <w:rPr>
                <w:sz w:val="11"/>
                <w:szCs w:val="11"/>
                <w:color w:val="auto"/>
              </w:rPr>
            </w:pPr>
          </w:p>
        </w:tc>
        <w:tc>
          <w:tcPr>
            <w:tcW w:w="22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Professional Services</w:t>
            </w:r>
          </w:p>
        </w:tc>
        <w:tc>
          <w:tcPr>
            <w:tcW w:w="1080" w:type="dxa"/>
            <w:vAlign w:val="bottom"/>
            <w:gridSpan w:val="3"/>
            <w:shd w:val="clear" w:color="auto" w:fill="CCECFF"/>
          </w:tcPr>
          <w:p>
            <w:pPr>
              <w:jc w:val="right"/>
              <w:ind w:right="86"/>
              <w:spacing w:after="0"/>
              <w:rPr>
                <w:sz w:val="20"/>
                <w:szCs w:val="20"/>
                <w:color w:val="auto"/>
              </w:rPr>
            </w:pPr>
            <w:r>
              <w:rPr>
                <w:rFonts w:ascii="Arial" w:cs="Arial" w:eastAsia="Arial" w:hAnsi="Arial"/>
                <w:sz w:val="11"/>
                <w:szCs w:val="11"/>
                <w:color w:val="auto"/>
              </w:rPr>
              <w:t>6.75 %</w:t>
            </w:r>
          </w:p>
        </w:tc>
        <w:tc>
          <w:tcPr>
            <w:tcW w:w="9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L+575</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16,174</w:t>
            </w:r>
          </w:p>
        </w:tc>
        <w:tc>
          <w:tcPr>
            <w:tcW w:w="24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15,950</w:t>
            </w:r>
          </w:p>
        </w:tc>
        <w:tc>
          <w:tcPr>
            <w:tcW w:w="2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15,769</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3180" w:type="dxa"/>
            <w:vAlign w:val="bottom"/>
          </w:tcPr>
          <w:p>
            <w:pPr>
              <w:ind w:left="20"/>
              <w:spacing w:after="0" w:line="105" w:lineRule="exact"/>
              <w:rPr>
                <w:sz w:val="20"/>
                <w:szCs w:val="20"/>
                <w:color w:val="auto"/>
              </w:rPr>
            </w:pPr>
            <w:r>
              <w:rPr>
                <w:rFonts w:ascii="Arial" w:cs="Arial" w:eastAsia="Arial" w:hAnsi="Arial"/>
                <w:sz w:val="11"/>
                <w:szCs w:val="11"/>
                <w:color w:val="auto"/>
              </w:rPr>
              <w:t>Sales Benchmark Index LLC</w:t>
            </w:r>
          </w:p>
        </w:tc>
        <w:tc>
          <w:tcPr>
            <w:tcW w:w="760" w:type="dxa"/>
            <w:vAlign w:val="bottom"/>
            <w:gridSpan w:val="2"/>
          </w:tcPr>
          <w:p>
            <w:pPr>
              <w:jc w:val="center"/>
              <w:ind w:left="86"/>
              <w:spacing w:after="0" w:line="105" w:lineRule="exact"/>
              <w:rPr>
                <w:sz w:val="20"/>
                <w:szCs w:val="20"/>
                <w:color w:val="auto"/>
              </w:rPr>
            </w:pPr>
            <w:r>
              <w:rPr>
                <w:rFonts w:ascii="Arial" w:cs="Arial" w:eastAsia="Arial" w:hAnsi="Arial"/>
                <w:sz w:val="11"/>
                <w:szCs w:val="11"/>
                <w:color w:val="auto"/>
                <w:w w:val="90"/>
              </w:rPr>
              <w:t>01/03/2025</w:t>
            </w:r>
          </w:p>
        </w:tc>
        <w:tc>
          <w:tcPr>
            <w:tcW w:w="140" w:type="dxa"/>
            <w:vAlign w:val="bottom"/>
          </w:tcPr>
          <w:p>
            <w:pPr>
              <w:spacing w:after="0"/>
              <w:rPr>
                <w:sz w:val="9"/>
                <w:szCs w:val="9"/>
                <w:color w:val="auto"/>
              </w:rPr>
            </w:pPr>
          </w:p>
        </w:tc>
        <w:tc>
          <w:tcPr>
            <w:tcW w:w="2240" w:type="dxa"/>
            <w:vAlign w:val="bottom"/>
          </w:tcPr>
          <w:p>
            <w:pPr>
              <w:jc w:val="center"/>
              <w:spacing w:after="0" w:line="105" w:lineRule="exact"/>
              <w:rPr>
                <w:sz w:val="20"/>
                <w:szCs w:val="20"/>
                <w:color w:val="auto"/>
              </w:rPr>
            </w:pPr>
            <w:r>
              <w:rPr>
                <w:rFonts w:ascii="Arial" w:cs="Arial" w:eastAsia="Arial" w:hAnsi="Arial"/>
                <w:sz w:val="11"/>
                <w:szCs w:val="11"/>
                <w:color w:val="auto"/>
                <w:w w:val="88"/>
              </w:rPr>
              <w:t>Professional Services</w:t>
            </w:r>
          </w:p>
        </w:tc>
        <w:tc>
          <w:tcPr>
            <w:tcW w:w="1080" w:type="dxa"/>
            <w:vAlign w:val="bottom"/>
            <w:gridSpan w:val="3"/>
          </w:tcPr>
          <w:p>
            <w:pPr>
              <w:jc w:val="right"/>
              <w:ind w:right="86"/>
              <w:spacing w:after="0" w:line="105" w:lineRule="exact"/>
              <w:rPr>
                <w:sz w:val="20"/>
                <w:szCs w:val="20"/>
                <w:color w:val="auto"/>
              </w:rPr>
            </w:pPr>
            <w:r>
              <w:rPr>
                <w:rFonts w:ascii="Arial" w:cs="Arial" w:eastAsia="Arial" w:hAnsi="Arial"/>
                <w:sz w:val="11"/>
                <w:szCs w:val="11"/>
                <w:color w:val="auto"/>
              </w:rPr>
              <w:t>7.75 %</w:t>
            </w:r>
          </w:p>
        </w:tc>
        <w:tc>
          <w:tcPr>
            <w:tcW w:w="940" w:type="dxa"/>
            <w:vAlign w:val="bottom"/>
          </w:tcPr>
          <w:p>
            <w:pPr>
              <w:jc w:val="right"/>
              <w:spacing w:after="0" w:line="105" w:lineRule="exact"/>
              <w:rPr>
                <w:sz w:val="20"/>
                <w:szCs w:val="20"/>
                <w:color w:val="auto"/>
              </w:rPr>
            </w:pPr>
            <w:r>
              <w:rPr>
                <w:rFonts w:ascii="Arial" w:cs="Arial" w:eastAsia="Arial" w:hAnsi="Arial"/>
                <w:sz w:val="11"/>
                <w:szCs w:val="11"/>
                <w:color w:val="auto"/>
              </w:rPr>
              <w:t>3M L+600</w:t>
            </w:r>
          </w:p>
        </w:tc>
        <w:tc>
          <w:tcPr>
            <w:tcW w:w="940" w:type="dxa"/>
            <w:vAlign w:val="bottom"/>
            <w:gridSpan w:val="2"/>
          </w:tcPr>
          <w:p>
            <w:pPr>
              <w:jc w:val="right"/>
              <w:spacing w:after="0" w:line="105" w:lineRule="exact"/>
              <w:rPr>
                <w:sz w:val="20"/>
                <w:szCs w:val="20"/>
                <w:color w:val="auto"/>
              </w:rPr>
            </w:pPr>
            <w:r>
              <w:rPr>
                <w:rFonts w:ascii="Arial" w:cs="Arial" w:eastAsia="Arial" w:hAnsi="Arial"/>
                <w:sz w:val="11"/>
                <w:szCs w:val="11"/>
                <w:color w:val="auto"/>
              </w:rPr>
              <w:t>7,906</w:t>
            </w: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jc w:val="right"/>
              <w:spacing w:after="0" w:line="105" w:lineRule="exact"/>
              <w:rPr>
                <w:sz w:val="20"/>
                <w:szCs w:val="20"/>
                <w:color w:val="auto"/>
              </w:rPr>
            </w:pPr>
            <w:r>
              <w:rPr>
                <w:rFonts w:ascii="Arial" w:cs="Arial" w:eastAsia="Arial" w:hAnsi="Arial"/>
                <w:sz w:val="11"/>
                <w:szCs w:val="11"/>
                <w:color w:val="auto"/>
              </w:rPr>
              <w:t>7,796</w:t>
            </w: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jc w:val="right"/>
              <w:spacing w:after="0" w:line="105" w:lineRule="exact"/>
              <w:rPr>
                <w:sz w:val="20"/>
                <w:szCs w:val="20"/>
                <w:color w:val="auto"/>
              </w:rPr>
            </w:pPr>
            <w:r>
              <w:rPr>
                <w:rFonts w:ascii="Arial" w:cs="Arial" w:eastAsia="Arial" w:hAnsi="Arial"/>
                <w:sz w:val="11"/>
                <w:szCs w:val="11"/>
                <w:color w:val="auto"/>
              </w:rPr>
              <w:t>7,708</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318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Sales Benchmark Index LLC (Revolver) </w:t>
            </w:r>
            <w:r>
              <w:rPr>
                <w:rFonts w:ascii="Arial" w:cs="Arial" w:eastAsia="Arial" w:hAnsi="Arial"/>
                <w:sz w:val="14"/>
                <w:szCs w:val="14"/>
                <w:color w:val="auto"/>
                <w:vertAlign w:val="superscript"/>
              </w:rPr>
              <w:t>(7), (9)</w:t>
            </w:r>
          </w:p>
        </w:tc>
        <w:tc>
          <w:tcPr>
            <w:tcW w:w="76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01/03/2025</w:t>
            </w:r>
          </w:p>
        </w:tc>
        <w:tc>
          <w:tcPr>
            <w:tcW w:w="140" w:type="dxa"/>
            <w:vAlign w:val="bottom"/>
          </w:tcPr>
          <w:p>
            <w:pPr>
              <w:spacing w:after="0"/>
              <w:rPr>
                <w:sz w:val="13"/>
                <w:szCs w:val="13"/>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88"/>
              </w:rPr>
              <w:t>Professional Services</w:t>
            </w:r>
          </w:p>
        </w:tc>
        <w:tc>
          <w:tcPr>
            <w:tcW w:w="120" w:type="dxa"/>
            <w:vAlign w:val="bottom"/>
          </w:tcPr>
          <w:p>
            <w:pPr>
              <w:spacing w:after="0"/>
              <w:rPr>
                <w:sz w:val="13"/>
                <w:szCs w:val="13"/>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1,293</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auto"/>
              </w:rPr>
              <w:t>(32 )</w:t>
            </w:r>
          </w:p>
        </w:tc>
        <w:tc>
          <w:tcPr>
            <w:tcW w:w="0" w:type="dxa"/>
            <w:vAlign w:val="bottom"/>
          </w:tcPr>
          <w:p>
            <w:pPr>
              <w:spacing w:after="0"/>
              <w:rPr>
                <w:sz w:val="1"/>
                <w:szCs w:val="1"/>
                <w:color w:val="auto"/>
              </w:rPr>
            </w:pPr>
          </w:p>
        </w:tc>
      </w:tr>
      <w:tr>
        <w:trPr>
          <w:trHeight w:val="108"/>
        </w:trPr>
        <w:tc>
          <w:tcPr>
            <w:tcW w:w="3180" w:type="dxa"/>
            <w:vAlign w:val="bottom"/>
          </w:tcPr>
          <w:p>
            <w:pPr>
              <w:ind w:left="20"/>
              <w:spacing w:after="0" w:line="108" w:lineRule="exact"/>
              <w:rPr>
                <w:sz w:val="20"/>
                <w:szCs w:val="20"/>
                <w:color w:val="auto"/>
              </w:rPr>
            </w:pPr>
            <w:r>
              <w:rPr>
                <w:rFonts w:ascii="Arial" w:cs="Arial" w:eastAsia="Arial" w:hAnsi="Arial"/>
                <w:sz w:val="11"/>
                <w:szCs w:val="11"/>
                <w:color w:val="auto"/>
              </w:rPr>
              <w:t>Sargent &amp; Greenleaf Inc.</w:t>
            </w:r>
          </w:p>
        </w:tc>
        <w:tc>
          <w:tcPr>
            <w:tcW w:w="760" w:type="dxa"/>
            <w:vAlign w:val="bottom"/>
            <w:gridSpan w:val="2"/>
          </w:tcPr>
          <w:p>
            <w:pPr>
              <w:jc w:val="center"/>
              <w:ind w:left="86"/>
              <w:spacing w:after="0" w:line="108" w:lineRule="exact"/>
              <w:rPr>
                <w:sz w:val="20"/>
                <w:szCs w:val="20"/>
                <w:color w:val="auto"/>
              </w:rPr>
            </w:pPr>
            <w:r>
              <w:rPr>
                <w:rFonts w:ascii="Arial" w:cs="Arial" w:eastAsia="Arial" w:hAnsi="Arial"/>
                <w:sz w:val="11"/>
                <w:szCs w:val="11"/>
                <w:color w:val="auto"/>
                <w:w w:val="90"/>
              </w:rPr>
              <w:t>12/20/2024</w:t>
            </w:r>
          </w:p>
        </w:tc>
        <w:tc>
          <w:tcPr>
            <w:tcW w:w="140" w:type="dxa"/>
            <w:vAlign w:val="bottom"/>
          </w:tcPr>
          <w:p>
            <w:pPr>
              <w:spacing w:after="0"/>
              <w:rPr>
                <w:sz w:val="9"/>
                <w:szCs w:val="9"/>
                <w:color w:val="auto"/>
              </w:rPr>
            </w:pPr>
          </w:p>
        </w:tc>
        <w:tc>
          <w:tcPr>
            <w:tcW w:w="2240" w:type="dxa"/>
            <w:vAlign w:val="bottom"/>
          </w:tcPr>
          <w:p>
            <w:pPr>
              <w:jc w:val="center"/>
              <w:spacing w:after="0" w:line="108" w:lineRule="exact"/>
              <w:rPr>
                <w:sz w:val="20"/>
                <w:szCs w:val="20"/>
                <w:color w:val="auto"/>
              </w:rPr>
            </w:pPr>
            <w:r>
              <w:rPr>
                <w:rFonts w:ascii="Arial" w:cs="Arial" w:eastAsia="Arial" w:hAnsi="Arial"/>
                <w:sz w:val="11"/>
                <w:szCs w:val="11"/>
                <w:color w:val="auto"/>
                <w:w w:val="89"/>
              </w:rPr>
              <w:t>Electronic Equipment, Instruments, and</w:t>
            </w:r>
          </w:p>
        </w:tc>
        <w:tc>
          <w:tcPr>
            <w:tcW w:w="1080" w:type="dxa"/>
            <w:vAlign w:val="bottom"/>
            <w:gridSpan w:val="3"/>
          </w:tcPr>
          <w:p>
            <w:pPr>
              <w:jc w:val="right"/>
              <w:ind w:right="86"/>
              <w:spacing w:after="0" w:line="108" w:lineRule="exact"/>
              <w:rPr>
                <w:sz w:val="20"/>
                <w:szCs w:val="20"/>
                <w:color w:val="auto"/>
              </w:rPr>
            </w:pPr>
            <w:r>
              <w:rPr>
                <w:rFonts w:ascii="Arial" w:cs="Arial" w:eastAsia="Arial" w:hAnsi="Arial"/>
                <w:sz w:val="11"/>
                <w:szCs w:val="11"/>
                <w:color w:val="auto"/>
              </w:rPr>
              <w:t>7.00 %</w:t>
            </w:r>
          </w:p>
        </w:tc>
        <w:tc>
          <w:tcPr>
            <w:tcW w:w="940" w:type="dxa"/>
            <w:vAlign w:val="bottom"/>
          </w:tcPr>
          <w:p>
            <w:pPr>
              <w:jc w:val="right"/>
              <w:spacing w:after="0" w:line="108" w:lineRule="exact"/>
              <w:rPr>
                <w:sz w:val="20"/>
                <w:szCs w:val="20"/>
                <w:color w:val="auto"/>
              </w:rPr>
            </w:pPr>
            <w:r>
              <w:rPr>
                <w:rFonts w:ascii="Arial" w:cs="Arial" w:eastAsia="Arial" w:hAnsi="Arial"/>
                <w:sz w:val="11"/>
                <w:szCs w:val="11"/>
                <w:color w:val="auto"/>
              </w:rPr>
              <w:t>1M L+550</w:t>
            </w:r>
          </w:p>
        </w:tc>
        <w:tc>
          <w:tcPr>
            <w:tcW w:w="940" w:type="dxa"/>
            <w:vAlign w:val="bottom"/>
            <w:gridSpan w:val="2"/>
          </w:tcPr>
          <w:p>
            <w:pPr>
              <w:jc w:val="right"/>
              <w:spacing w:after="0" w:line="108" w:lineRule="exact"/>
              <w:rPr>
                <w:sz w:val="20"/>
                <w:szCs w:val="20"/>
                <w:color w:val="auto"/>
              </w:rPr>
            </w:pPr>
            <w:r>
              <w:rPr>
                <w:rFonts w:ascii="Arial" w:cs="Arial" w:eastAsia="Arial" w:hAnsi="Arial"/>
                <w:sz w:val="11"/>
                <w:szCs w:val="11"/>
                <w:color w:val="auto"/>
              </w:rPr>
              <w:t>3,694</w:t>
            </w: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jc w:val="right"/>
              <w:spacing w:after="0" w:line="108" w:lineRule="exact"/>
              <w:rPr>
                <w:sz w:val="20"/>
                <w:szCs w:val="20"/>
                <w:color w:val="auto"/>
              </w:rPr>
            </w:pPr>
            <w:r>
              <w:rPr>
                <w:rFonts w:ascii="Arial" w:cs="Arial" w:eastAsia="Arial" w:hAnsi="Arial"/>
                <w:sz w:val="11"/>
                <w:szCs w:val="11"/>
                <w:color w:val="auto"/>
              </w:rPr>
              <w:t>3,656</w:t>
            </w: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jc w:val="right"/>
              <w:spacing w:after="0" w:line="108" w:lineRule="exact"/>
              <w:rPr>
                <w:sz w:val="20"/>
                <w:szCs w:val="20"/>
                <w:color w:val="auto"/>
              </w:rPr>
            </w:pPr>
            <w:r>
              <w:rPr>
                <w:rFonts w:ascii="Arial" w:cs="Arial" w:eastAsia="Arial" w:hAnsi="Arial"/>
                <w:sz w:val="11"/>
                <w:szCs w:val="11"/>
                <w:color w:val="auto"/>
              </w:rPr>
              <w:t>3,694</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86"/>
              </w:rPr>
              <w:t>Components</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180" w:type="dxa"/>
            <w:vAlign w:val="bottom"/>
          </w:tcPr>
          <w:p>
            <w:pPr>
              <w:ind w:left="20"/>
              <w:spacing w:after="0" w:line="108" w:lineRule="exact"/>
              <w:rPr>
                <w:sz w:val="20"/>
                <w:szCs w:val="20"/>
                <w:color w:val="auto"/>
              </w:rPr>
            </w:pPr>
            <w:r>
              <w:rPr>
                <w:rFonts w:ascii="Arial" w:cs="Arial" w:eastAsia="Arial" w:hAnsi="Arial"/>
                <w:sz w:val="11"/>
                <w:szCs w:val="11"/>
                <w:color w:val="auto"/>
              </w:rPr>
              <w:t>Sargent &amp; Greenleaf Inc. (Revolver)</w:t>
            </w:r>
          </w:p>
        </w:tc>
        <w:tc>
          <w:tcPr>
            <w:tcW w:w="760" w:type="dxa"/>
            <w:vAlign w:val="bottom"/>
            <w:gridSpan w:val="2"/>
          </w:tcPr>
          <w:p>
            <w:pPr>
              <w:jc w:val="center"/>
              <w:ind w:left="86"/>
              <w:spacing w:after="0" w:line="108" w:lineRule="exact"/>
              <w:rPr>
                <w:sz w:val="20"/>
                <w:szCs w:val="20"/>
                <w:color w:val="auto"/>
              </w:rPr>
            </w:pPr>
            <w:r>
              <w:rPr>
                <w:rFonts w:ascii="Arial" w:cs="Arial" w:eastAsia="Arial" w:hAnsi="Arial"/>
                <w:sz w:val="11"/>
                <w:szCs w:val="11"/>
                <w:color w:val="auto"/>
                <w:w w:val="90"/>
              </w:rPr>
              <w:t>12/20/2024</w:t>
            </w:r>
          </w:p>
        </w:tc>
        <w:tc>
          <w:tcPr>
            <w:tcW w:w="140" w:type="dxa"/>
            <w:vAlign w:val="bottom"/>
          </w:tcPr>
          <w:p>
            <w:pPr>
              <w:spacing w:after="0"/>
              <w:rPr>
                <w:sz w:val="9"/>
                <w:szCs w:val="9"/>
                <w:color w:val="auto"/>
              </w:rPr>
            </w:pPr>
          </w:p>
        </w:tc>
        <w:tc>
          <w:tcPr>
            <w:tcW w:w="2240" w:type="dxa"/>
            <w:vAlign w:val="bottom"/>
          </w:tcPr>
          <w:p>
            <w:pPr>
              <w:jc w:val="center"/>
              <w:spacing w:after="0" w:line="108" w:lineRule="exact"/>
              <w:rPr>
                <w:sz w:val="20"/>
                <w:szCs w:val="20"/>
                <w:color w:val="auto"/>
              </w:rPr>
            </w:pPr>
            <w:r>
              <w:rPr>
                <w:rFonts w:ascii="Arial" w:cs="Arial" w:eastAsia="Arial" w:hAnsi="Arial"/>
                <w:sz w:val="11"/>
                <w:szCs w:val="11"/>
                <w:color w:val="auto"/>
                <w:w w:val="89"/>
              </w:rPr>
              <w:t>Electronic Equipment, Instruments, and</w:t>
            </w:r>
          </w:p>
        </w:tc>
        <w:tc>
          <w:tcPr>
            <w:tcW w:w="1080" w:type="dxa"/>
            <w:vAlign w:val="bottom"/>
            <w:gridSpan w:val="3"/>
          </w:tcPr>
          <w:p>
            <w:pPr>
              <w:jc w:val="right"/>
              <w:ind w:right="86"/>
              <w:spacing w:after="0" w:line="108" w:lineRule="exact"/>
              <w:rPr>
                <w:sz w:val="20"/>
                <w:szCs w:val="20"/>
                <w:color w:val="auto"/>
              </w:rPr>
            </w:pPr>
            <w:r>
              <w:rPr>
                <w:rFonts w:ascii="Arial" w:cs="Arial" w:eastAsia="Arial" w:hAnsi="Arial"/>
                <w:sz w:val="11"/>
                <w:szCs w:val="11"/>
                <w:color w:val="auto"/>
              </w:rPr>
              <w:t>7.00 %</w:t>
            </w:r>
          </w:p>
        </w:tc>
        <w:tc>
          <w:tcPr>
            <w:tcW w:w="940" w:type="dxa"/>
            <w:vAlign w:val="bottom"/>
          </w:tcPr>
          <w:p>
            <w:pPr>
              <w:jc w:val="right"/>
              <w:spacing w:after="0" w:line="108" w:lineRule="exact"/>
              <w:rPr>
                <w:sz w:val="20"/>
                <w:szCs w:val="20"/>
                <w:color w:val="auto"/>
              </w:rPr>
            </w:pPr>
            <w:r>
              <w:rPr>
                <w:rFonts w:ascii="Arial" w:cs="Arial" w:eastAsia="Arial" w:hAnsi="Arial"/>
                <w:sz w:val="11"/>
                <w:szCs w:val="11"/>
                <w:color w:val="auto"/>
              </w:rPr>
              <w:t>1M L+550</w:t>
            </w:r>
          </w:p>
        </w:tc>
        <w:tc>
          <w:tcPr>
            <w:tcW w:w="940" w:type="dxa"/>
            <w:vAlign w:val="bottom"/>
            <w:gridSpan w:val="2"/>
          </w:tcPr>
          <w:p>
            <w:pPr>
              <w:jc w:val="right"/>
              <w:spacing w:after="0" w:line="108" w:lineRule="exact"/>
              <w:rPr>
                <w:sz w:val="20"/>
                <w:szCs w:val="20"/>
                <w:color w:val="auto"/>
              </w:rPr>
            </w:pPr>
            <w:r>
              <w:rPr>
                <w:rFonts w:ascii="Arial" w:cs="Arial" w:eastAsia="Arial" w:hAnsi="Arial"/>
                <w:sz w:val="11"/>
                <w:szCs w:val="11"/>
                <w:color w:val="auto"/>
              </w:rPr>
              <w:t>528</w:t>
            </w: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jc w:val="right"/>
              <w:spacing w:after="0" w:line="108" w:lineRule="exact"/>
              <w:rPr>
                <w:sz w:val="20"/>
                <w:szCs w:val="20"/>
                <w:color w:val="auto"/>
              </w:rPr>
            </w:pPr>
            <w:r>
              <w:rPr>
                <w:rFonts w:ascii="Arial" w:cs="Arial" w:eastAsia="Arial" w:hAnsi="Arial"/>
                <w:sz w:val="11"/>
                <w:szCs w:val="11"/>
                <w:color w:val="auto"/>
              </w:rPr>
              <w:t>528</w:t>
            </w: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jc w:val="right"/>
              <w:spacing w:after="0" w:line="108" w:lineRule="exact"/>
              <w:rPr>
                <w:sz w:val="20"/>
                <w:szCs w:val="20"/>
                <w:color w:val="auto"/>
              </w:rPr>
            </w:pPr>
            <w:r>
              <w:rPr>
                <w:rFonts w:ascii="Arial" w:cs="Arial" w:eastAsia="Arial" w:hAnsi="Arial"/>
                <w:sz w:val="11"/>
                <w:szCs w:val="11"/>
                <w:color w:val="auto"/>
              </w:rPr>
              <w:t>528</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180" w:type="dxa"/>
            <w:vAlign w:val="bottom"/>
            <w:vMerge w:val="restart"/>
          </w:tcPr>
          <w:p>
            <w:pPr>
              <w:ind w:left="20"/>
              <w:spacing w:after="0"/>
              <w:rPr>
                <w:sz w:val="20"/>
                <w:szCs w:val="20"/>
                <w:color w:val="auto"/>
              </w:rPr>
            </w:pPr>
            <w:r>
              <w:rPr>
                <w:rFonts w:ascii="Arial" w:cs="Arial" w:eastAsia="Arial" w:hAnsi="Arial"/>
                <w:sz w:val="11"/>
                <w:szCs w:val="11"/>
                <w:color w:val="auto"/>
              </w:rPr>
              <w:t xml:space="preserve">Sargent &amp; Greenleaf Inc. (Revolver) </w:t>
            </w:r>
            <w:r>
              <w:rPr>
                <w:rFonts w:ascii="Arial" w:cs="Arial" w:eastAsia="Arial" w:hAnsi="Arial"/>
                <w:sz w:val="14"/>
                <w:szCs w:val="14"/>
                <w:color w:val="auto"/>
                <w:vertAlign w:val="superscript"/>
              </w:rPr>
              <w:t>(7),(9)</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86"/>
              </w:rPr>
              <w:t>Components</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180" w:type="dxa"/>
            <w:vAlign w:val="bottom"/>
            <w:vMerge w:val="continue"/>
          </w:tcPr>
          <w:p>
            <w:pPr>
              <w:spacing w:after="0"/>
              <w:rPr>
                <w:sz w:val="9"/>
                <w:szCs w:val="9"/>
                <w:color w:val="auto"/>
              </w:rPr>
            </w:pPr>
          </w:p>
        </w:tc>
        <w:tc>
          <w:tcPr>
            <w:tcW w:w="760" w:type="dxa"/>
            <w:vAlign w:val="bottom"/>
            <w:gridSpan w:val="2"/>
          </w:tcPr>
          <w:p>
            <w:pPr>
              <w:jc w:val="center"/>
              <w:ind w:left="86"/>
              <w:spacing w:after="0" w:line="108" w:lineRule="exact"/>
              <w:rPr>
                <w:sz w:val="20"/>
                <w:szCs w:val="20"/>
                <w:color w:val="auto"/>
              </w:rPr>
            </w:pPr>
            <w:r>
              <w:rPr>
                <w:rFonts w:ascii="Arial" w:cs="Arial" w:eastAsia="Arial" w:hAnsi="Arial"/>
                <w:sz w:val="11"/>
                <w:szCs w:val="11"/>
                <w:color w:val="auto"/>
                <w:w w:val="90"/>
              </w:rPr>
              <w:t>12/20/2024</w:t>
            </w:r>
          </w:p>
        </w:tc>
        <w:tc>
          <w:tcPr>
            <w:tcW w:w="140" w:type="dxa"/>
            <w:vAlign w:val="bottom"/>
          </w:tcPr>
          <w:p>
            <w:pPr>
              <w:spacing w:after="0"/>
              <w:rPr>
                <w:sz w:val="9"/>
                <w:szCs w:val="9"/>
                <w:color w:val="auto"/>
              </w:rPr>
            </w:pPr>
          </w:p>
        </w:tc>
        <w:tc>
          <w:tcPr>
            <w:tcW w:w="2240" w:type="dxa"/>
            <w:vAlign w:val="bottom"/>
          </w:tcPr>
          <w:p>
            <w:pPr>
              <w:jc w:val="center"/>
              <w:spacing w:after="0" w:line="108" w:lineRule="exact"/>
              <w:rPr>
                <w:sz w:val="20"/>
                <w:szCs w:val="20"/>
                <w:color w:val="auto"/>
              </w:rPr>
            </w:pPr>
            <w:r>
              <w:rPr>
                <w:rFonts w:ascii="Arial" w:cs="Arial" w:eastAsia="Arial" w:hAnsi="Arial"/>
                <w:sz w:val="11"/>
                <w:szCs w:val="11"/>
                <w:color w:val="auto"/>
                <w:w w:val="89"/>
              </w:rPr>
              <w:t>Electronic Equipment, Instruments, and</w:t>
            </w:r>
          </w:p>
        </w:tc>
        <w:tc>
          <w:tcPr>
            <w:tcW w:w="120" w:type="dxa"/>
            <w:vAlign w:val="bottom"/>
          </w:tcPr>
          <w:p>
            <w:pPr>
              <w:spacing w:after="0"/>
              <w:rPr>
                <w:sz w:val="9"/>
                <w:szCs w:val="9"/>
                <w:color w:val="auto"/>
              </w:rPr>
            </w:pPr>
          </w:p>
        </w:tc>
        <w:tc>
          <w:tcPr>
            <w:tcW w:w="960" w:type="dxa"/>
            <w:vAlign w:val="bottom"/>
            <w:gridSpan w:val="2"/>
          </w:tcPr>
          <w:p>
            <w:pPr>
              <w:jc w:val="right"/>
              <w:ind w:right="206"/>
              <w:spacing w:after="0" w:line="108" w:lineRule="exact"/>
              <w:rPr>
                <w:sz w:val="20"/>
                <w:szCs w:val="20"/>
                <w:color w:val="auto"/>
              </w:rPr>
            </w:pPr>
            <w:r>
              <w:rPr>
                <w:rFonts w:ascii="Arial" w:cs="Arial" w:eastAsia="Arial" w:hAnsi="Arial"/>
                <w:sz w:val="11"/>
                <w:szCs w:val="11"/>
                <w:color w:val="auto"/>
              </w:rPr>
              <w:t>—</w:t>
            </w:r>
          </w:p>
        </w:tc>
        <w:tc>
          <w:tcPr>
            <w:tcW w:w="940" w:type="dxa"/>
            <w:vAlign w:val="bottom"/>
          </w:tcPr>
          <w:p>
            <w:pPr>
              <w:jc w:val="right"/>
              <w:spacing w:after="0" w:line="108" w:lineRule="exact"/>
              <w:rPr>
                <w:sz w:val="20"/>
                <w:szCs w:val="20"/>
                <w:color w:val="auto"/>
              </w:rPr>
            </w:pPr>
            <w:r>
              <w:rPr>
                <w:rFonts w:ascii="Arial" w:cs="Arial" w:eastAsia="Arial" w:hAnsi="Arial"/>
                <w:sz w:val="11"/>
                <w:szCs w:val="11"/>
                <w:color w:val="auto"/>
              </w:rPr>
              <w:t>—</w:t>
            </w:r>
          </w:p>
        </w:tc>
        <w:tc>
          <w:tcPr>
            <w:tcW w:w="940" w:type="dxa"/>
            <w:vAlign w:val="bottom"/>
            <w:gridSpan w:val="2"/>
          </w:tcPr>
          <w:p>
            <w:pPr>
              <w:jc w:val="right"/>
              <w:spacing w:after="0" w:line="108" w:lineRule="exact"/>
              <w:rPr>
                <w:sz w:val="20"/>
                <w:szCs w:val="20"/>
                <w:color w:val="auto"/>
              </w:rPr>
            </w:pPr>
            <w:r>
              <w:rPr>
                <w:rFonts w:ascii="Arial" w:cs="Arial" w:eastAsia="Arial" w:hAnsi="Arial"/>
                <w:sz w:val="11"/>
                <w:szCs w:val="11"/>
                <w:color w:val="auto"/>
              </w:rPr>
              <w:t>528</w:t>
            </w: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jc w:val="right"/>
              <w:spacing w:after="0" w:line="108" w:lineRule="exact"/>
              <w:rPr>
                <w:sz w:val="20"/>
                <w:szCs w:val="20"/>
                <w:color w:val="auto"/>
              </w:rPr>
            </w:pPr>
            <w:r>
              <w:rPr>
                <w:rFonts w:ascii="Arial" w:cs="Arial" w:eastAsia="Arial" w:hAnsi="Arial"/>
                <w:sz w:val="11"/>
                <w:szCs w:val="11"/>
                <w:color w:val="auto"/>
              </w:rPr>
              <w:t>—</w:t>
            </w: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gridSpan w:val="2"/>
          </w:tcPr>
          <w:p>
            <w:pPr>
              <w:jc w:val="right"/>
              <w:ind w:right="120"/>
              <w:spacing w:after="0" w:line="108"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0"/>
        </w:trPr>
        <w:tc>
          <w:tcPr>
            <w:tcW w:w="3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86"/>
              </w:rPr>
              <w:t>Components</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180" w:type="dxa"/>
            <w:vAlign w:val="bottom"/>
            <w:shd w:val="clear" w:color="auto" w:fill="CCECFF"/>
          </w:tcPr>
          <w:p>
            <w:pPr>
              <w:ind w:left="20"/>
              <w:spacing w:after="0"/>
              <w:rPr>
                <w:sz w:val="20"/>
                <w:szCs w:val="20"/>
                <w:color w:val="auto"/>
              </w:rPr>
            </w:pPr>
            <w:r>
              <w:rPr>
                <w:rFonts w:ascii="Arial" w:cs="Arial" w:eastAsia="Arial" w:hAnsi="Arial"/>
                <w:sz w:val="11"/>
                <w:szCs w:val="11"/>
                <w:color w:val="auto"/>
              </w:rPr>
              <w:t>Schlesinger Global, Inc.</w:t>
            </w:r>
          </w:p>
        </w:tc>
        <w:tc>
          <w:tcPr>
            <w:tcW w:w="76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07/14/2025</w:t>
            </w:r>
          </w:p>
        </w:tc>
        <w:tc>
          <w:tcPr>
            <w:tcW w:w="140" w:type="dxa"/>
            <w:vAlign w:val="bottom"/>
            <w:shd w:val="clear" w:color="auto" w:fill="CCECFF"/>
          </w:tcPr>
          <w:p>
            <w:pPr>
              <w:spacing w:after="0"/>
              <w:rPr>
                <w:sz w:val="12"/>
                <w:szCs w:val="12"/>
                <w:color w:val="auto"/>
              </w:rPr>
            </w:pPr>
          </w:p>
        </w:tc>
        <w:tc>
          <w:tcPr>
            <w:tcW w:w="22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Professional Services</w:t>
            </w:r>
          </w:p>
        </w:tc>
        <w:tc>
          <w:tcPr>
            <w:tcW w:w="1080" w:type="dxa"/>
            <w:vAlign w:val="bottom"/>
            <w:gridSpan w:val="3"/>
            <w:shd w:val="clear" w:color="auto" w:fill="CCECFF"/>
          </w:tcPr>
          <w:p>
            <w:pPr>
              <w:jc w:val="right"/>
              <w:ind w:right="86"/>
              <w:spacing w:after="0"/>
              <w:rPr>
                <w:sz w:val="20"/>
                <w:szCs w:val="20"/>
                <w:color w:val="auto"/>
              </w:rPr>
            </w:pPr>
            <w:r>
              <w:rPr>
                <w:rFonts w:ascii="Arial" w:cs="Arial" w:eastAsia="Arial" w:hAnsi="Arial"/>
                <w:sz w:val="11"/>
                <w:szCs w:val="11"/>
                <w:color w:val="auto"/>
              </w:rPr>
              <w:t>8.00 %</w:t>
            </w:r>
          </w:p>
        </w:tc>
        <w:tc>
          <w:tcPr>
            <w:tcW w:w="9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L+700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13,377</w:t>
            </w:r>
          </w:p>
        </w:tc>
        <w:tc>
          <w:tcPr>
            <w:tcW w:w="24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13,275</w:t>
            </w:r>
          </w:p>
        </w:tc>
        <w:tc>
          <w:tcPr>
            <w:tcW w:w="2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4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12,775</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3180" w:type="dxa"/>
            <w:vAlign w:val="bottom"/>
          </w:tcPr>
          <w:p>
            <w:pPr>
              <w:ind w:left="20"/>
              <w:spacing w:after="0" w:line="105" w:lineRule="exact"/>
              <w:rPr>
                <w:sz w:val="20"/>
                <w:szCs w:val="20"/>
                <w:color w:val="auto"/>
              </w:rPr>
            </w:pPr>
            <w:r>
              <w:rPr>
                <w:rFonts w:ascii="Arial" w:cs="Arial" w:eastAsia="Arial" w:hAnsi="Arial"/>
                <w:sz w:val="11"/>
                <w:szCs w:val="11"/>
                <w:color w:val="auto"/>
              </w:rPr>
              <w:t>Schlesinger Global, Inc. (Revolver)</w:t>
            </w:r>
          </w:p>
        </w:tc>
        <w:tc>
          <w:tcPr>
            <w:tcW w:w="760" w:type="dxa"/>
            <w:vAlign w:val="bottom"/>
            <w:gridSpan w:val="2"/>
          </w:tcPr>
          <w:p>
            <w:pPr>
              <w:jc w:val="center"/>
              <w:ind w:left="86"/>
              <w:spacing w:after="0" w:line="105" w:lineRule="exact"/>
              <w:rPr>
                <w:sz w:val="20"/>
                <w:szCs w:val="20"/>
                <w:color w:val="auto"/>
              </w:rPr>
            </w:pPr>
            <w:r>
              <w:rPr>
                <w:rFonts w:ascii="Arial" w:cs="Arial" w:eastAsia="Arial" w:hAnsi="Arial"/>
                <w:sz w:val="11"/>
                <w:szCs w:val="11"/>
                <w:color w:val="auto"/>
                <w:w w:val="90"/>
              </w:rPr>
              <w:t>07/14/2025</w:t>
            </w:r>
          </w:p>
        </w:tc>
        <w:tc>
          <w:tcPr>
            <w:tcW w:w="140" w:type="dxa"/>
            <w:vAlign w:val="bottom"/>
          </w:tcPr>
          <w:p>
            <w:pPr>
              <w:spacing w:after="0"/>
              <w:rPr>
                <w:sz w:val="9"/>
                <w:szCs w:val="9"/>
                <w:color w:val="auto"/>
              </w:rPr>
            </w:pPr>
          </w:p>
        </w:tc>
        <w:tc>
          <w:tcPr>
            <w:tcW w:w="2240" w:type="dxa"/>
            <w:vAlign w:val="bottom"/>
          </w:tcPr>
          <w:p>
            <w:pPr>
              <w:jc w:val="center"/>
              <w:spacing w:after="0" w:line="105" w:lineRule="exact"/>
              <w:rPr>
                <w:sz w:val="20"/>
                <w:szCs w:val="20"/>
                <w:color w:val="auto"/>
              </w:rPr>
            </w:pPr>
            <w:r>
              <w:rPr>
                <w:rFonts w:ascii="Arial" w:cs="Arial" w:eastAsia="Arial" w:hAnsi="Arial"/>
                <w:sz w:val="11"/>
                <w:szCs w:val="11"/>
                <w:color w:val="auto"/>
                <w:w w:val="88"/>
              </w:rPr>
              <w:t>Professional Services</w:t>
            </w:r>
          </w:p>
        </w:tc>
        <w:tc>
          <w:tcPr>
            <w:tcW w:w="1080" w:type="dxa"/>
            <w:vAlign w:val="bottom"/>
            <w:gridSpan w:val="3"/>
          </w:tcPr>
          <w:p>
            <w:pPr>
              <w:jc w:val="right"/>
              <w:ind w:right="86"/>
              <w:spacing w:after="0" w:line="105" w:lineRule="exact"/>
              <w:rPr>
                <w:sz w:val="20"/>
                <w:szCs w:val="20"/>
                <w:color w:val="auto"/>
              </w:rPr>
            </w:pPr>
            <w:r>
              <w:rPr>
                <w:rFonts w:ascii="Arial" w:cs="Arial" w:eastAsia="Arial" w:hAnsi="Arial"/>
                <w:sz w:val="11"/>
                <w:szCs w:val="11"/>
                <w:color w:val="auto"/>
              </w:rPr>
              <w:t>8.00 %</w:t>
            </w:r>
          </w:p>
        </w:tc>
        <w:tc>
          <w:tcPr>
            <w:tcW w:w="940" w:type="dxa"/>
            <w:vAlign w:val="bottom"/>
          </w:tcPr>
          <w:p>
            <w:pPr>
              <w:jc w:val="right"/>
              <w:spacing w:after="0" w:line="105" w:lineRule="exact"/>
              <w:rPr>
                <w:sz w:val="20"/>
                <w:szCs w:val="20"/>
                <w:color w:val="auto"/>
              </w:rPr>
            </w:pPr>
            <w:r>
              <w:rPr>
                <w:rFonts w:ascii="Arial" w:cs="Arial" w:eastAsia="Arial" w:hAnsi="Arial"/>
                <w:sz w:val="11"/>
                <w:szCs w:val="11"/>
                <w:color w:val="auto"/>
              </w:rPr>
              <w:t>1M L+700</w:t>
            </w:r>
          </w:p>
        </w:tc>
        <w:tc>
          <w:tcPr>
            <w:tcW w:w="940" w:type="dxa"/>
            <w:vAlign w:val="bottom"/>
            <w:gridSpan w:val="2"/>
          </w:tcPr>
          <w:p>
            <w:pPr>
              <w:jc w:val="right"/>
              <w:spacing w:after="0" w:line="105" w:lineRule="exact"/>
              <w:rPr>
                <w:sz w:val="20"/>
                <w:szCs w:val="20"/>
                <w:color w:val="auto"/>
              </w:rPr>
            </w:pPr>
            <w:r>
              <w:rPr>
                <w:rFonts w:ascii="Arial" w:cs="Arial" w:eastAsia="Arial" w:hAnsi="Arial"/>
                <w:sz w:val="11"/>
                <w:szCs w:val="11"/>
                <w:color w:val="auto"/>
              </w:rPr>
              <w:t>1,181</w:t>
            </w: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jc w:val="right"/>
              <w:spacing w:after="0" w:line="105" w:lineRule="exact"/>
              <w:rPr>
                <w:sz w:val="20"/>
                <w:szCs w:val="20"/>
                <w:color w:val="auto"/>
              </w:rPr>
            </w:pPr>
            <w:r>
              <w:rPr>
                <w:rFonts w:ascii="Arial" w:cs="Arial" w:eastAsia="Arial" w:hAnsi="Arial"/>
                <w:sz w:val="11"/>
                <w:szCs w:val="11"/>
                <w:color w:val="auto"/>
              </w:rPr>
              <w:t>1,181</w:t>
            </w: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jc w:val="right"/>
              <w:spacing w:after="0" w:line="105" w:lineRule="exact"/>
              <w:rPr>
                <w:sz w:val="20"/>
                <w:szCs w:val="20"/>
                <w:color w:val="auto"/>
              </w:rPr>
            </w:pPr>
            <w:r>
              <w:rPr>
                <w:rFonts w:ascii="Arial" w:cs="Arial" w:eastAsia="Arial" w:hAnsi="Arial"/>
                <w:sz w:val="11"/>
                <w:szCs w:val="11"/>
                <w:color w:val="auto"/>
              </w:rPr>
              <w:t>1,128</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318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Schlesinger Global, Inc. (Revolver) </w:t>
            </w:r>
            <w:r>
              <w:rPr>
                <w:rFonts w:ascii="Arial" w:cs="Arial" w:eastAsia="Arial" w:hAnsi="Arial"/>
                <w:sz w:val="14"/>
                <w:szCs w:val="14"/>
                <w:color w:val="auto"/>
                <w:vertAlign w:val="superscript"/>
              </w:rPr>
              <w:t>(7), (9)</w:t>
            </w:r>
          </w:p>
        </w:tc>
        <w:tc>
          <w:tcPr>
            <w:tcW w:w="76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07/14/2025</w:t>
            </w:r>
          </w:p>
        </w:tc>
        <w:tc>
          <w:tcPr>
            <w:tcW w:w="140" w:type="dxa"/>
            <w:vAlign w:val="bottom"/>
          </w:tcPr>
          <w:p>
            <w:pPr>
              <w:spacing w:after="0"/>
              <w:rPr>
                <w:sz w:val="13"/>
                <w:szCs w:val="13"/>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88"/>
              </w:rPr>
              <w:t>Professional Services</w:t>
            </w:r>
          </w:p>
        </w:tc>
        <w:tc>
          <w:tcPr>
            <w:tcW w:w="120" w:type="dxa"/>
            <w:vAlign w:val="bottom"/>
          </w:tcPr>
          <w:p>
            <w:pPr>
              <w:spacing w:after="0"/>
              <w:rPr>
                <w:sz w:val="13"/>
                <w:szCs w:val="13"/>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691</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auto"/>
              </w:rPr>
              <w:t>(31 )</w:t>
            </w:r>
          </w:p>
        </w:tc>
        <w:tc>
          <w:tcPr>
            <w:tcW w:w="0" w:type="dxa"/>
            <w:vAlign w:val="bottom"/>
          </w:tcPr>
          <w:p>
            <w:pPr>
              <w:spacing w:after="0"/>
              <w:rPr>
                <w:sz w:val="1"/>
                <w:szCs w:val="1"/>
                <w:color w:val="auto"/>
              </w:rPr>
            </w:pPr>
          </w:p>
        </w:tc>
      </w:tr>
      <w:tr>
        <w:trPr>
          <w:trHeight w:val="115"/>
        </w:trPr>
        <w:tc>
          <w:tcPr>
            <w:tcW w:w="3180" w:type="dxa"/>
            <w:vAlign w:val="bottom"/>
          </w:tcPr>
          <w:p>
            <w:pPr>
              <w:ind w:left="20"/>
              <w:spacing w:after="0" w:line="115" w:lineRule="exact"/>
              <w:rPr>
                <w:sz w:val="20"/>
                <w:szCs w:val="20"/>
                <w:color w:val="auto"/>
              </w:rPr>
            </w:pPr>
            <w:r>
              <w:rPr>
                <w:rFonts w:ascii="Arial" w:cs="Arial" w:eastAsia="Arial" w:hAnsi="Arial"/>
                <w:sz w:val="11"/>
                <w:szCs w:val="11"/>
                <w:color w:val="auto"/>
              </w:rPr>
              <w:t>Sigma Defense Systems, LLC</w:t>
            </w:r>
          </w:p>
        </w:tc>
        <w:tc>
          <w:tcPr>
            <w:tcW w:w="760" w:type="dxa"/>
            <w:vAlign w:val="bottom"/>
            <w:gridSpan w:val="2"/>
          </w:tcPr>
          <w:p>
            <w:pPr>
              <w:jc w:val="center"/>
              <w:ind w:left="86"/>
              <w:spacing w:after="0" w:line="115" w:lineRule="exact"/>
              <w:rPr>
                <w:sz w:val="20"/>
                <w:szCs w:val="20"/>
                <w:color w:val="auto"/>
              </w:rPr>
            </w:pPr>
            <w:r>
              <w:rPr>
                <w:rFonts w:ascii="Arial" w:cs="Arial" w:eastAsia="Arial" w:hAnsi="Arial"/>
                <w:sz w:val="11"/>
                <w:szCs w:val="11"/>
                <w:color w:val="auto"/>
                <w:w w:val="90"/>
              </w:rPr>
              <w:t>12/18/2025</w:t>
            </w:r>
          </w:p>
        </w:tc>
        <w:tc>
          <w:tcPr>
            <w:tcW w:w="140" w:type="dxa"/>
            <w:vAlign w:val="bottom"/>
          </w:tcPr>
          <w:p>
            <w:pPr>
              <w:spacing w:after="0"/>
              <w:rPr>
                <w:sz w:val="9"/>
                <w:szCs w:val="9"/>
                <w:color w:val="auto"/>
              </w:rPr>
            </w:pPr>
          </w:p>
        </w:tc>
        <w:tc>
          <w:tcPr>
            <w:tcW w:w="2240" w:type="dxa"/>
            <w:vAlign w:val="bottom"/>
          </w:tcPr>
          <w:p>
            <w:pPr>
              <w:jc w:val="center"/>
              <w:spacing w:after="0" w:line="115" w:lineRule="exact"/>
              <w:rPr>
                <w:sz w:val="20"/>
                <w:szCs w:val="20"/>
                <w:color w:val="auto"/>
              </w:rPr>
            </w:pPr>
            <w:r>
              <w:rPr>
                <w:rFonts w:ascii="Arial" w:cs="Arial" w:eastAsia="Arial" w:hAnsi="Arial"/>
                <w:sz w:val="11"/>
                <w:szCs w:val="11"/>
                <w:color w:val="auto"/>
                <w:w w:val="90"/>
              </w:rPr>
              <w:t>IT Services</w:t>
            </w:r>
          </w:p>
        </w:tc>
        <w:tc>
          <w:tcPr>
            <w:tcW w:w="1080" w:type="dxa"/>
            <w:vAlign w:val="bottom"/>
            <w:gridSpan w:val="3"/>
          </w:tcPr>
          <w:p>
            <w:pPr>
              <w:jc w:val="right"/>
              <w:ind w:right="86"/>
              <w:spacing w:after="0" w:line="115" w:lineRule="exact"/>
              <w:rPr>
                <w:sz w:val="20"/>
                <w:szCs w:val="20"/>
                <w:color w:val="auto"/>
              </w:rPr>
            </w:pPr>
            <w:r>
              <w:rPr>
                <w:rFonts w:ascii="Arial" w:cs="Arial" w:eastAsia="Arial" w:hAnsi="Arial"/>
                <w:sz w:val="11"/>
                <w:szCs w:val="11"/>
                <w:color w:val="auto"/>
              </w:rPr>
              <w:t>9.75 %</w:t>
            </w:r>
          </w:p>
        </w:tc>
        <w:tc>
          <w:tcPr>
            <w:tcW w:w="940" w:type="dxa"/>
            <w:vAlign w:val="bottom"/>
          </w:tcPr>
          <w:p>
            <w:pPr>
              <w:jc w:val="right"/>
              <w:spacing w:after="0" w:line="115" w:lineRule="exact"/>
              <w:rPr>
                <w:sz w:val="20"/>
                <w:szCs w:val="20"/>
                <w:color w:val="auto"/>
              </w:rPr>
            </w:pPr>
            <w:r>
              <w:rPr>
                <w:rFonts w:ascii="Arial" w:cs="Arial" w:eastAsia="Arial" w:hAnsi="Arial"/>
                <w:sz w:val="11"/>
                <w:szCs w:val="11"/>
                <w:color w:val="auto"/>
              </w:rPr>
              <w:t>3M L+875</w:t>
            </w:r>
          </w:p>
        </w:tc>
        <w:tc>
          <w:tcPr>
            <w:tcW w:w="94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805</w:t>
            </w: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jc w:val="right"/>
              <w:spacing w:after="0" w:line="115" w:lineRule="exact"/>
              <w:rPr>
                <w:sz w:val="20"/>
                <w:szCs w:val="20"/>
                <w:color w:val="auto"/>
              </w:rPr>
            </w:pPr>
            <w:r>
              <w:rPr>
                <w:rFonts w:ascii="Arial" w:cs="Arial" w:eastAsia="Arial" w:hAnsi="Arial"/>
                <w:sz w:val="11"/>
                <w:szCs w:val="11"/>
                <w:color w:val="auto"/>
              </w:rPr>
              <w:t>787</w:t>
            </w: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jc w:val="right"/>
              <w:spacing w:after="0" w:line="115" w:lineRule="exact"/>
              <w:rPr>
                <w:sz w:val="20"/>
                <w:szCs w:val="20"/>
                <w:color w:val="auto"/>
              </w:rPr>
            </w:pPr>
            <w:r>
              <w:rPr>
                <w:rFonts w:ascii="Arial" w:cs="Arial" w:eastAsia="Arial" w:hAnsi="Arial"/>
                <w:sz w:val="11"/>
                <w:szCs w:val="11"/>
                <w:color w:val="auto"/>
              </w:rPr>
              <w:t>791</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318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Sigma Defense Systems, LLC (Revolver) </w:t>
            </w:r>
            <w:r>
              <w:rPr>
                <w:rFonts w:ascii="Arial" w:cs="Arial" w:eastAsia="Arial" w:hAnsi="Arial"/>
                <w:sz w:val="14"/>
                <w:szCs w:val="14"/>
                <w:color w:val="auto"/>
                <w:vertAlign w:val="superscript"/>
              </w:rPr>
              <w:t>(7), (9)</w:t>
            </w:r>
          </w:p>
        </w:tc>
        <w:tc>
          <w:tcPr>
            <w:tcW w:w="76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12/18/2025</w:t>
            </w:r>
          </w:p>
        </w:tc>
        <w:tc>
          <w:tcPr>
            <w:tcW w:w="140" w:type="dxa"/>
            <w:vAlign w:val="bottom"/>
          </w:tcPr>
          <w:p>
            <w:pPr>
              <w:spacing w:after="0"/>
              <w:rPr>
                <w:sz w:val="13"/>
                <w:szCs w:val="13"/>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90"/>
              </w:rPr>
              <w:t>IT Services</w:t>
            </w:r>
          </w:p>
        </w:tc>
        <w:tc>
          <w:tcPr>
            <w:tcW w:w="120" w:type="dxa"/>
            <w:vAlign w:val="bottom"/>
          </w:tcPr>
          <w:p>
            <w:pPr>
              <w:spacing w:after="0"/>
              <w:rPr>
                <w:sz w:val="13"/>
                <w:szCs w:val="13"/>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837</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auto"/>
              </w:rPr>
              <w:t>(15 )</w:t>
            </w:r>
          </w:p>
        </w:tc>
        <w:tc>
          <w:tcPr>
            <w:tcW w:w="0" w:type="dxa"/>
            <w:vAlign w:val="bottom"/>
          </w:tcPr>
          <w:p>
            <w:pPr>
              <w:spacing w:after="0"/>
              <w:rPr>
                <w:sz w:val="1"/>
                <w:szCs w:val="1"/>
                <w:color w:val="auto"/>
              </w:rPr>
            </w:pPr>
          </w:p>
        </w:tc>
      </w:tr>
      <w:tr>
        <w:trPr>
          <w:trHeight w:val="115"/>
        </w:trPr>
        <w:tc>
          <w:tcPr>
            <w:tcW w:w="3180" w:type="dxa"/>
            <w:vAlign w:val="bottom"/>
          </w:tcPr>
          <w:p>
            <w:pPr>
              <w:ind w:left="20"/>
              <w:spacing w:after="0" w:line="115" w:lineRule="exact"/>
              <w:rPr>
                <w:sz w:val="20"/>
                <w:szCs w:val="20"/>
                <w:color w:val="auto"/>
              </w:rPr>
            </w:pPr>
            <w:r>
              <w:rPr>
                <w:rFonts w:ascii="Arial" w:cs="Arial" w:eastAsia="Arial" w:hAnsi="Arial"/>
                <w:sz w:val="11"/>
                <w:szCs w:val="11"/>
                <w:color w:val="auto"/>
              </w:rPr>
              <w:t>Signature Systems Holding Company</w:t>
            </w:r>
          </w:p>
        </w:tc>
        <w:tc>
          <w:tcPr>
            <w:tcW w:w="760" w:type="dxa"/>
            <w:vAlign w:val="bottom"/>
            <w:gridSpan w:val="2"/>
          </w:tcPr>
          <w:p>
            <w:pPr>
              <w:jc w:val="center"/>
              <w:ind w:left="86"/>
              <w:spacing w:after="0" w:line="115" w:lineRule="exact"/>
              <w:rPr>
                <w:sz w:val="20"/>
                <w:szCs w:val="20"/>
                <w:color w:val="auto"/>
              </w:rPr>
            </w:pPr>
            <w:r>
              <w:rPr>
                <w:rFonts w:ascii="Arial" w:cs="Arial" w:eastAsia="Arial" w:hAnsi="Arial"/>
                <w:sz w:val="11"/>
                <w:szCs w:val="11"/>
                <w:color w:val="auto"/>
                <w:w w:val="90"/>
              </w:rPr>
              <w:t>05/03/2024</w:t>
            </w:r>
          </w:p>
        </w:tc>
        <w:tc>
          <w:tcPr>
            <w:tcW w:w="140" w:type="dxa"/>
            <w:vAlign w:val="bottom"/>
          </w:tcPr>
          <w:p>
            <w:pPr>
              <w:spacing w:after="0"/>
              <w:rPr>
                <w:sz w:val="9"/>
                <w:szCs w:val="9"/>
                <w:color w:val="auto"/>
              </w:rPr>
            </w:pPr>
          </w:p>
        </w:tc>
        <w:tc>
          <w:tcPr>
            <w:tcW w:w="2240" w:type="dxa"/>
            <w:vAlign w:val="bottom"/>
          </w:tcPr>
          <w:p>
            <w:pPr>
              <w:jc w:val="center"/>
              <w:spacing w:after="0" w:line="115" w:lineRule="exact"/>
              <w:rPr>
                <w:sz w:val="20"/>
                <w:szCs w:val="20"/>
                <w:color w:val="auto"/>
              </w:rPr>
            </w:pPr>
            <w:r>
              <w:rPr>
                <w:rFonts w:ascii="Arial" w:cs="Arial" w:eastAsia="Arial" w:hAnsi="Arial"/>
                <w:sz w:val="11"/>
                <w:szCs w:val="11"/>
                <w:color w:val="auto"/>
                <w:w w:val="90"/>
              </w:rPr>
              <w:t>Commercial Services &amp; Supplies</w:t>
            </w:r>
          </w:p>
        </w:tc>
        <w:tc>
          <w:tcPr>
            <w:tcW w:w="1080" w:type="dxa"/>
            <w:vAlign w:val="bottom"/>
            <w:gridSpan w:val="3"/>
          </w:tcPr>
          <w:p>
            <w:pPr>
              <w:jc w:val="right"/>
              <w:ind w:right="86"/>
              <w:spacing w:after="0" w:line="115" w:lineRule="exact"/>
              <w:rPr>
                <w:sz w:val="20"/>
                <w:szCs w:val="20"/>
                <w:color w:val="auto"/>
              </w:rPr>
            </w:pPr>
            <w:r>
              <w:rPr>
                <w:rFonts w:ascii="Arial" w:cs="Arial" w:eastAsia="Arial" w:hAnsi="Arial"/>
                <w:sz w:val="11"/>
                <w:szCs w:val="11"/>
                <w:color w:val="auto"/>
              </w:rPr>
              <w:t>8.50 %</w:t>
            </w:r>
          </w:p>
        </w:tc>
        <w:tc>
          <w:tcPr>
            <w:tcW w:w="940" w:type="dxa"/>
            <w:vAlign w:val="bottom"/>
          </w:tcPr>
          <w:p>
            <w:pPr>
              <w:jc w:val="right"/>
              <w:spacing w:after="0" w:line="115" w:lineRule="exact"/>
              <w:rPr>
                <w:sz w:val="20"/>
                <w:szCs w:val="20"/>
                <w:color w:val="auto"/>
              </w:rPr>
            </w:pPr>
            <w:r>
              <w:rPr>
                <w:rFonts w:ascii="Arial" w:cs="Arial" w:eastAsia="Arial" w:hAnsi="Arial"/>
                <w:sz w:val="11"/>
                <w:szCs w:val="11"/>
                <w:color w:val="auto"/>
              </w:rPr>
              <w:t>1M L+750</w:t>
            </w:r>
          </w:p>
        </w:tc>
        <w:tc>
          <w:tcPr>
            <w:tcW w:w="94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11,700</w:t>
            </w: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jc w:val="right"/>
              <w:spacing w:after="0" w:line="115" w:lineRule="exact"/>
              <w:rPr>
                <w:sz w:val="20"/>
                <w:szCs w:val="20"/>
                <w:color w:val="auto"/>
              </w:rPr>
            </w:pPr>
            <w:r>
              <w:rPr>
                <w:rFonts w:ascii="Arial" w:cs="Arial" w:eastAsia="Arial" w:hAnsi="Arial"/>
                <w:sz w:val="11"/>
                <w:szCs w:val="11"/>
                <w:color w:val="auto"/>
              </w:rPr>
              <w:t>11,598</w:t>
            </w: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jc w:val="right"/>
              <w:spacing w:after="0" w:line="115" w:lineRule="exact"/>
              <w:rPr>
                <w:sz w:val="20"/>
                <w:szCs w:val="20"/>
                <w:color w:val="auto"/>
              </w:rPr>
            </w:pPr>
            <w:r>
              <w:rPr>
                <w:rFonts w:ascii="Arial" w:cs="Arial" w:eastAsia="Arial" w:hAnsi="Arial"/>
                <w:sz w:val="11"/>
                <w:szCs w:val="11"/>
                <w:color w:val="auto"/>
              </w:rPr>
              <w:t>11,583</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18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Signature Systems Holding Company (Revolver) </w:t>
            </w:r>
            <w:r>
              <w:rPr>
                <w:rFonts w:ascii="Arial" w:cs="Arial" w:eastAsia="Arial" w:hAnsi="Arial"/>
                <w:sz w:val="14"/>
                <w:szCs w:val="14"/>
                <w:color w:val="auto"/>
                <w:vertAlign w:val="superscript"/>
              </w:rPr>
              <w:t>(7)</w:t>
            </w:r>
          </w:p>
        </w:tc>
        <w:tc>
          <w:tcPr>
            <w:tcW w:w="76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05/03/2024</w:t>
            </w:r>
          </w:p>
        </w:tc>
        <w:tc>
          <w:tcPr>
            <w:tcW w:w="140" w:type="dxa"/>
            <w:vAlign w:val="bottom"/>
          </w:tcPr>
          <w:p>
            <w:pPr>
              <w:spacing w:after="0"/>
              <w:rPr>
                <w:sz w:val="11"/>
                <w:szCs w:val="11"/>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90"/>
              </w:rPr>
              <w:t>Commercial Services &amp; Supplies</w:t>
            </w:r>
          </w:p>
        </w:tc>
        <w:tc>
          <w:tcPr>
            <w:tcW w:w="1080" w:type="dxa"/>
            <w:vAlign w:val="bottom"/>
            <w:gridSpan w:val="3"/>
          </w:tcPr>
          <w:p>
            <w:pPr>
              <w:jc w:val="right"/>
              <w:ind w:right="86"/>
              <w:spacing w:after="0"/>
              <w:rPr>
                <w:sz w:val="20"/>
                <w:szCs w:val="20"/>
                <w:color w:val="auto"/>
              </w:rPr>
            </w:pPr>
            <w:r>
              <w:rPr>
                <w:rFonts w:ascii="Arial" w:cs="Arial" w:eastAsia="Arial" w:hAnsi="Arial"/>
                <w:sz w:val="11"/>
                <w:szCs w:val="11"/>
                <w:color w:val="auto"/>
              </w:rPr>
              <w:t>8.50 %</w:t>
            </w:r>
          </w:p>
        </w:tc>
        <w:tc>
          <w:tcPr>
            <w:tcW w:w="940" w:type="dxa"/>
            <w:vAlign w:val="bottom"/>
          </w:tcPr>
          <w:p>
            <w:pPr>
              <w:jc w:val="right"/>
              <w:spacing w:after="0"/>
              <w:rPr>
                <w:sz w:val="20"/>
                <w:szCs w:val="20"/>
                <w:color w:val="auto"/>
              </w:rPr>
            </w:pPr>
            <w:r>
              <w:rPr>
                <w:rFonts w:ascii="Arial" w:cs="Arial" w:eastAsia="Arial" w:hAnsi="Arial"/>
                <w:sz w:val="11"/>
                <w:szCs w:val="11"/>
                <w:color w:val="auto"/>
              </w:rPr>
              <w:t>1M L+750</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419</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419</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415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3180" w:type="dxa"/>
            <w:vAlign w:val="bottom"/>
          </w:tcPr>
          <w:p>
            <w:pPr>
              <w:ind w:left="20"/>
              <w:spacing w:after="0"/>
              <w:rPr>
                <w:sz w:val="20"/>
                <w:szCs w:val="20"/>
                <w:color w:val="auto"/>
              </w:rPr>
            </w:pPr>
            <w:r>
              <w:rPr>
                <w:rFonts w:ascii="Arial" w:cs="Arial" w:eastAsia="Arial" w:hAnsi="Arial"/>
                <w:sz w:val="11"/>
                <w:szCs w:val="11"/>
                <w:color w:val="auto"/>
              </w:rPr>
              <w:t xml:space="preserve">Signature Systems Holding Company (Revolver) </w:t>
            </w:r>
            <w:r>
              <w:rPr>
                <w:rFonts w:ascii="Arial" w:cs="Arial" w:eastAsia="Arial" w:hAnsi="Arial"/>
                <w:sz w:val="14"/>
                <w:szCs w:val="14"/>
                <w:color w:val="auto"/>
                <w:vertAlign w:val="superscript"/>
              </w:rPr>
              <w:t>(9)</w:t>
            </w:r>
          </w:p>
        </w:tc>
        <w:tc>
          <w:tcPr>
            <w:tcW w:w="76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05/03/2024</w:t>
            </w:r>
          </w:p>
        </w:tc>
        <w:tc>
          <w:tcPr>
            <w:tcW w:w="140" w:type="dxa"/>
            <w:vAlign w:val="bottom"/>
          </w:tcPr>
          <w:p>
            <w:pPr>
              <w:spacing w:after="0"/>
              <w:rPr>
                <w:sz w:val="14"/>
                <w:szCs w:val="14"/>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90"/>
              </w:rPr>
              <w:t>Commercial Services &amp; Supplies</w:t>
            </w:r>
          </w:p>
        </w:tc>
        <w:tc>
          <w:tcPr>
            <w:tcW w:w="120" w:type="dxa"/>
            <w:vAlign w:val="bottom"/>
          </w:tcPr>
          <w:p>
            <w:pPr>
              <w:spacing w:after="0"/>
              <w:rPr>
                <w:sz w:val="14"/>
                <w:szCs w:val="14"/>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1,328</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auto"/>
              </w:rPr>
              <w:t>(13 )</w:t>
            </w:r>
          </w:p>
        </w:tc>
        <w:tc>
          <w:tcPr>
            <w:tcW w:w="0" w:type="dxa"/>
            <w:vAlign w:val="bottom"/>
          </w:tcPr>
          <w:p>
            <w:pPr>
              <w:spacing w:after="0"/>
              <w:rPr>
                <w:sz w:val="1"/>
                <w:szCs w:val="1"/>
                <w:color w:val="auto"/>
              </w:rPr>
            </w:pPr>
          </w:p>
        </w:tc>
      </w:tr>
      <w:tr>
        <w:trPr>
          <w:trHeight w:val="135"/>
        </w:trPr>
        <w:tc>
          <w:tcPr>
            <w:tcW w:w="3180" w:type="dxa"/>
            <w:vAlign w:val="bottom"/>
            <w:shd w:val="clear" w:color="auto" w:fill="CCECFF"/>
          </w:tcPr>
          <w:p>
            <w:pPr>
              <w:ind w:left="20"/>
              <w:spacing w:after="0"/>
              <w:rPr>
                <w:sz w:val="20"/>
                <w:szCs w:val="20"/>
                <w:color w:val="auto"/>
              </w:rPr>
            </w:pPr>
            <w:r>
              <w:rPr>
                <w:rFonts w:ascii="Arial" w:cs="Arial" w:eastAsia="Arial" w:hAnsi="Arial"/>
                <w:sz w:val="11"/>
                <w:szCs w:val="11"/>
                <w:color w:val="auto"/>
              </w:rPr>
              <w:t>Signature Systems Holding Company - Term Loan II</w:t>
            </w:r>
          </w:p>
        </w:tc>
        <w:tc>
          <w:tcPr>
            <w:tcW w:w="76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12/31/2021</w:t>
            </w:r>
          </w:p>
        </w:tc>
        <w:tc>
          <w:tcPr>
            <w:tcW w:w="140" w:type="dxa"/>
            <w:vAlign w:val="bottom"/>
            <w:shd w:val="clear" w:color="auto" w:fill="CCECFF"/>
          </w:tcPr>
          <w:p>
            <w:pPr>
              <w:spacing w:after="0"/>
              <w:rPr>
                <w:sz w:val="11"/>
                <w:szCs w:val="11"/>
                <w:color w:val="auto"/>
              </w:rPr>
            </w:pPr>
          </w:p>
        </w:tc>
        <w:tc>
          <w:tcPr>
            <w:tcW w:w="22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Commercial Services &amp; Supplies</w:t>
            </w:r>
          </w:p>
        </w:tc>
        <w:tc>
          <w:tcPr>
            <w:tcW w:w="1080" w:type="dxa"/>
            <w:vAlign w:val="bottom"/>
            <w:gridSpan w:val="3"/>
            <w:shd w:val="clear" w:color="auto" w:fill="CCECFF"/>
          </w:tcPr>
          <w:p>
            <w:pPr>
              <w:jc w:val="right"/>
              <w:ind w:right="86"/>
              <w:spacing w:after="0"/>
              <w:rPr>
                <w:sz w:val="20"/>
                <w:szCs w:val="20"/>
                <w:color w:val="auto"/>
              </w:rPr>
            </w:pPr>
            <w:r>
              <w:rPr>
                <w:rFonts w:ascii="Arial" w:cs="Arial" w:eastAsia="Arial" w:hAnsi="Arial"/>
                <w:sz w:val="11"/>
                <w:szCs w:val="11"/>
                <w:color w:val="auto"/>
              </w:rPr>
              <w:t>8.50 %</w:t>
            </w:r>
          </w:p>
        </w:tc>
        <w:tc>
          <w:tcPr>
            <w:tcW w:w="9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L+750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699</w:t>
            </w:r>
          </w:p>
        </w:tc>
        <w:tc>
          <w:tcPr>
            <w:tcW w:w="24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695</w:t>
            </w:r>
          </w:p>
        </w:tc>
        <w:tc>
          <w:tcPr>
            <w:tcW w:w="2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692</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-7097395</wp:posOffset>
            </wp:positionV>
            <wp:extent cx="7132320" cy="8572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-6925945</wp:posOffset>
            </wp:positionV>
            <wp:extent cx="7132320" cy="8572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-6754495</wp:posOffset>
            </wp:positionV>
            <wp:extent cx="7132320" cy="8572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-6583045</wp:posOffset>
            </wp:positionV>
            <wp:extent cx="7132320" cy="8572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-6411595</wp:posOffset>
            </wp:positionV>
            <wp:extent cx="7132320" cy="8572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-6240145</wp:posOffset>
            </wp:positionV>
            <wp:extent cx="7132320" cy="8572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-6068695</wp:posOffset>
            </wp:positionV>
            <wp:extent cx="2014220" cy="17145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20142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-5725795</wp:posOffset>
            </wp:positionV>
            <wp:extent cx="7132320" cy="8572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-5554345</wp:posOffset>
            </wp:positionV>
            <wp:extent cx="7132320" cy="8572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-5039995</wp:posOffset>
            </wp:positionV>
            <wp:extent cx="7132320" cy="8572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-4868545</wp:posOffset>
            </wp:positionV>
            <wp:extent cx="7132320" cy="8572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-4697095</wp:posOffset>
            </wp:positionV>
            <wp:extent cx="7132320" cy="8572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-4525645</wp:posOffset>
            </wp:positionV>
            <wp:extent cx="7132320" cy="8572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-4354195</wp:posOffset>
            </wp:positionV>
            <wp:extent cx="7132320" cy="8572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-4182745</wp:posOffset>
            </wp:positionV>
            <wp:extent cx="7132320" cy="8572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-4011295</wp:posOffset>
            </wp:positionV>
            <wp:extent cx="7132320" cy="8572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-3839845</wp:posOffset>
            </wp:positionV>
            <wp:extent cx="7132320" cy="8572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-3668395</wp:posOffset>
            </wp:positionV>
            <wp:extent cx="7132320" cy="8572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-3496945</wp:posOffset>
            </wp:positionV>
            <wp:extent cx="7132320" cy="8572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-3325495</wp:posOffset>
            </wp:positionV>
            <wp:extent cx="7132320" cy="8572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-2896870</wp:posOffset>
            </wp:positionV>
            <wp:extent cx="7132320" cy="15430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-2588260</wp:posOffset>
            </wp:positionV>
            <wp:extent cx="7132320" cy="15430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-2348230</wp:posOffset>
            </wp:positionV>
            <wp:extent cx="7132320" cy="8572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-2176780</wp:posOffset>
            </wp:positionV>
            <wp:extent cx="7132320" cy="8572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-2005330</wp:posOffset>
            </wp:positionV>
            <wp:extent cx="7132320" cy="8572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-1662430</wp:posOffset>
            </wp:positionV>
            <wp:extent cx="7132320" cy="8572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-1319530</wp:posOffset>
            </wp:positionV>
            <wp:extent cx="7132320" cy="8572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-1079500</wp:posOffset>
            </wp:positionV>
            <wp:extent cx="7132320" cy="15430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-599440</wp:posOffset>
            </wp:positionV>
            <wp:extent cx="7132320" cy="8572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-427990</wp:posOffset>
            </wp:positionV>
            <wp:extent cx="7132320" cy="8572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-256540</wp:posOffset>
            </wp:positionV>
            <wp:extent cx="7132320" cy="8572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32320" cy="85725"/>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SCHEDULE OF INVESTMENTS—(Continued)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SEPTEMBER 30, 2021</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data)</w:t>
      </w:r>
    </w:p>
    <w:tbl>
      <w:tblPr>
        <w:tblLayout w:type="fixed"/>
        <w:tblInd w:w="0" w:type="dxa"/>
        <w:tblCellMar>
          <w:top w:w="0" w:type="dxa"/>
          <w:left w:w="0" w:type="dxa"/>
          <w:bottom w:w="0" w:type="dxa"/>
          <w:right w:w="0" w:type="dxa"/>
        </w:tblCellMar>
      </w:tblPr>
      <w:tr>
        <w:trPr>
          <w:trHeight w:val="102"/>
        </w:trPr>
        <w:tc>
          <w:tcPr>
            <w:tcW w:w="3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w w:val="83"/>
              </w:rPr>
              <w:t>Basis Point</w:t>
            </w: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gridSpan w:val="2"/>
            <w:vMerge w:val="restart"/>
          </w:tcPr>
          <w:p>
            <w:pPr>
              <w:jc w:val="right"/>
              <w:ind w:right="366"/>
              <w:spacing w:after="0"/>
              <w:rPr>
                <w:sz w:val="20"/>
                <w:szCs w:val="20"/>
                <w:color w:val="auto"/>
              </w:rPr>
            </w:pPr>
            <w:r>
              <w:rPr>
                <w:rFonts w:ascii="Arial" w:cs="Arial" w:eastAsia="Arial" w:hAnsi="Arial"/>
                <w:sz w:val="11"/>
                <w:szCs w:val="11"/>
                <w:b w:val="1"/>
                <w:bCs w:val="1"/>
                <w:color w:val="auto"/>
              </w:rPr>
              <w:t>Current</w:t>
            </w:r>
          </w:p>
        </w:tc>
        <w:tc>
          <w:tcPr>
            <w:tcW w:w="92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91"/>
              </w:rPr>
              <w:t>Spread</w:t>
            </w:r>
          </w:p>
        </w:tc>
        <w:tc>
          <w:tcPr>
            <w:tcW w:w="200" w:type="dxa"/>
            <w:vAlign w:val="bottom"/>
          </w:tcPr>
          <w:p>
            <w:pPr>
              <w:spacing w:after="0"/>
              <w:rPr>
                <w:sz w:val="9"/>
                <w:szCs w:val="9"/>
                <w:color w:val="auto"/>
              </w:rPr>
            </w:pPr>
          </w:p>
        </w:tc>
        <w:tc>
          <w:tcPr>
            <w:tcW w:w="700" w:type="dxa"/>
            <w:vAlign w:val="bottom"/>
            <w:vMerge w:val="restart"/>
          </w:tcPr>
          <w:p>
            <w:pPr>
              <w:jc w:val="right"/>
              <w:ind w:right="166"/>
              <w:spacing w:after="0"/>
              <w:rPr>
                <w:sz w:val="20"/>
                <w:szCs w:val="20"/>
                <w:color w:val="auto"/>
              </w:rPr>
            </w:pPr>
            <w:r>
              <w:rPr>
                <w:rFonts w:ascii="Arial" w:cs="Arial" w:eastAsia="Arial" w:hAnsi="Arial"/>
                <w:sz w:val="11"/>
                <w:szCs w:val="11"/>
                <w:b w:val="1"/>
                <w:bCs w:val="1"/>
                <w:color w:val="auto"/>
              </w:rPr>
              <w:t>Par /</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1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Issuer Name</w:t>
            </w:r>
          </w:p>
        </w:tc>
        <w:tc>
          <w:tcPr>
            <w:tcW w:w="120" w:type="dxa"/>
            <w:vAlign w:val="bottom"/>
          </w:tcPr>
          <w:p>
            <w:pPr>
              <w:spacing w:after="0"/>
              <w:rPr>
                <w:sz w:val="9"/>
                <w:szCs w:val="9"/>
                <w:color w:val="auto"/>
              </w:rPr>
            </w:pPr>
          </w:p>
        </w:tc>
        <w:tc>
          <w:tcPr>
            <w:tcW w:w="68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8"/>
              </w:rPr>
              <w:t>Maturity</w:t>
            </w:r>
          </w:p>
        </w:tc>
        <w:tc>
          <w:tcPr>
            <w:tcW w:w="260" w:type="dxa"/>
            <w:vAlign w:val="bottom"/>
          </w:tcPr>
          <w:p>
            <w:pPr>
              <w:spacing w:after="0"/>
              <w:rPr>
                <w:sz w:val="9"/>
                <w:szCs w:val="9"/>
                <w:color w:val="auto"/>
              </w:rPr>
            </w:pPr>
          </w:p>
        </w:tc>
        <w:tc>
          <w:tcPr>
            <w:tcW w:w="220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2"/>
              </w:rPr>
              <w:t>Industry</w:t>
            </w:r>
          </w:p>
        </w:tc>
        <w:tc>
          <w:tcPr>
            <w:tcW w:w="12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92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89"/>
              </w:rPr>
              <w:t>Above</w:t>
            </w:r>
          </w:p>
        </w:tc>
        <w:tc>
          <w:tcPr>
            <w:tcW w:w="2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vMerge w:val="restart"/>
          </w:tcPr>
          <w:p>
            <w:pPr>
              <w:jc w:val="right"/>
              <w:ind w:right="186"/>
              <w:spacing w:after="0"/>
              <w:rPr>
                <w:sz w:val="20"/>
                <w:szCs w:val="20"/>
                <w:color w:val="auto"/>
              </w:rPr>
            </w:pPr>
            <w:r>
              <w:rPr>
                <w:rFonts w:ascii="Arial" w:cs="Arial" w:eastAsia="Arial" w:hAnsi="Arial"/>
                <w:sz w:val="11"/>
                <w:szCs w:val="11"/>
                <w:b w:val="1"/>
                <w:bCs w:val="1"/>
                <w:color w:val="auto"/>
              </w:rPr>
              <w:t>Cost</w:t>
            </w:r>
          </w:p>
        </w:tc>
        <w:tc>
          <w:tcPr>
            <w:tcW w:w="220" w:type="dxa"/>
            <w:vAlign w:val="bottom"/>
          </w:tcPr>
          <w:p>
            <w:pPr>
              <w:spacing w:after="0"/>
              <w:rPr>
                <w:sz w:val="9"/>
                <w:szCs w:val="9"/>
                <w:color w:val="auto"/>
              </w:rPr>
            </w:pPr>
          </w:p>
        </w:tc>
        <w:tc>
          <w:tcPr>
            <w:tcW w:w="800" w:type="dxa"/>
            <w:vAlign w:val="bottom"/>
            <w:gridSpan w:val="3"/>
            <w:vMerge w:val="restart"/>
          </w:tcPr>
          <w:p>
            <w:pPr>
              <w:jc w:val="right"/>
              <w:ind w:right="160"/>
              <w:spacing w:after="0"/>
              <w:rPr>
                <w:sz w:val="20"/>
                <w:szCs w:val="20"/>
                <w:color w:val="auto"/>
              </w:rPr>
            </w:pPr>
            <w:r>
              <w:rPr>
                <w:rFonts w:ascii="Arial" w:cs="Arial" w:eastAsia="Arial" w:hAnsi="Arial"/>
                <w:sz w:val="11"/>
                <w:szCs w:val="11"/>
                <w:b w:val="1"/>
                <w:bCs w:val="1"/>
                <w:color w:val="auto"/>
                <w:w w:val="92"/>
              </w:rPr>
              <w:t xml:space="preserve">Fair Value </w:t>
            </w:r>
            <w:r>
              <w:rPr>
                <w:rFonts w:ascii="Arial" w:cs="Arial" w:eastAsia="Arial" w:hAnsi="Arial"/>
                <w:sz w:val="14"/>
                <w:szCs w:val="14"/>
                <w:b w:val="1"/>
                <w:bCs w:val="1"/>
                <w:color w:val="auto"/>
                <w:w w:val="92"/>
                <w:vertAlign w:val="superscript"/>
              </w:rPr>
              <w:t>(2)</w:t>
            </w:r>
          </w:p>
        </w:tc>
        <w:tc>
          <w:tcPr>
            <w:tcW w:w="0" w:type="dxa"/>
            <w:vAlign w:val="bottom"/>
          </w:tcPr>
          <w:p>
            <w:pPr>
              <w:spacing w:after="0"/>
              <w:rPr>
                <w:sz w:val="1"/>
                <w:szCs w:val="1"/>
                <w:color w:val="auto"/>
              </w:rPr>
            </w:pPr>
          </w:p>
        </w:tc>
      </w:tr>
      <w:tr>
        <w:trPr>
          <w:trHeight w:val="148"/>
        </w:trPr>
        <w:tc>
          <w:tcPr>
            <w:tcW w:w="31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22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346"/>
              <w:spacing w:after="0"/>
              <w:rPr>
                <w:sz w:val="20"/>
                <w:szCs w:val="20"/>
                <w:color w:val="auto"/>
              </w:rPr>
            </w:pPr>
            <w:r>
              <w:rPr>
                <w:rFonts w:ascii="Arial" w:cs="Arial" w:eastAsia="Arial" w:hAnsi="Arial"/>
                <w:sz w:val="11"/>
                <w:szCs w:val="11"/>
                <w:b w:val="1"/>
                <w:bCs w:val="1"/>
                <w:color w:val="auto"/>
              </w:rPr>
              <w:t>Coupon</w:t>
            </w:r>
          </w:p>
        </w:tc>
        <w:tc>
          <w:tcPr>
            <w:tcW w:w="920" w:type="dxa"/>
            <w:vAlign w:val="bottom"/>
          </w:tcPr>
          <w:p>
            <w:pPr>
              <w:jc w:val="center"/>
              <w:spacing w:after="0" w:line="149" w:lineRule="exact"/>
              <w:rPr>
                <w:sz w:val="20"/>
                <w:szCs w:val="20"/>
                <w:color w:val="auto"/>
              </w:rPr>
            </w:pPr>
            <w:r>
              <w:rPr>
                <w:rFonts w:ascii="Arial" w:cs="Arial" w:eastAsia="Arial" w:hAnsi="Arial"/>
                <w:sz w:val="11"/>
                <w:szCs w:val="11"/>
                <w:b w:val="1"/>
                <w:bCs w:val="1"/>
                <w:color w:val="auto"/>
                <w:w w:val="87"/>
              </w:rPr>
              <w:t xml:space="preserve">Index </w:t>
            </w:r>
            <w:r>
              <w:rPr>
                <w:rFonts w:ascii="Arial" w:cs="Arial" w:eastAsia="Arial" w:hAnsi="Arial"/>
                <w:sz w:val="14"/>
                <w:szCs w:val="14"/>
                <w:b w:val="1"/>
                <w:bCs w:val="1"/>
                <w:color w:val="auto"/>
                <w:w w:val="87"/>
                <w:vertAlign w:val="superscript"/>
              </w:rPr>
              <w:t>(1)</w:t>
            </w:r>
          </w:p>
        </w:tc>
        <w:tc>
          <w:tcPr>
            <w:tcW w:w="200" w:type="dxa"/>
            <w:vAlign w:val="bottom"/>
          </w:tcPr>
          <w:p>
            <w:pPr>
              <w:spacing w:after="0"/>
              <w:rPr>
                <w:sz w:val="12"/>
                <w:szCs w:val="12"/>
                <w:color w:val="auto"/>
              </w:rPr>
            </w:pPr>
          </w:p>
        </w:tc>
        <w:tc>
          <w:tcPr>
            <w:tcW w:w="700" w:type="dxa"/>
            <w:vAlign w:val="bottom"/>
          </w:tcPr>
          <w:p>
            <w:pPr>
              <w:jc w:val="right"/>
              <w:ind w:right="126"/>
              <w:spacing w:after="0"/>
              <w:rPr>
                <w:sz w:val="20"/>
                <w:szCs w:val="20"/>
                <w:color w:val="auto"/>
              </w:rPr>
            </w:pPr>
            <w:r>
              <w:rPr>
                <w:rFonts w:ascii="Arial" w:cs="Arial" w:eastAsia="Arial" w:hAnsi="Arial"/>
                <w:sz w:val="11"/>
                <w:szCs w:val="11"/>
                <w:b w:val="1"/>
                <w:bCs w:val="1"/>
                <w:color w:val="auto"/>
              </w:rPr>
              <w:t>Shares</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3140" w:type="dxa"/>
            <w:vAlign w:val="bottom"/>
            <w:tcBorders>
              <w:top w:val="single" w:sz="8" w:color="auto"/>
            </w:tcBorders>
          </w:tcPr>
          <w:p>
            <w:pPr>
              <w:ind w:left="20"/>
              <w:spacing w:after="0" w:line="99" w:lineRule="exact"/>
              <w:rPr>
                <w:sz w:val="20"/>
                <w:szCs w:val="20"/>
                <w:color w:val="auto"/>
              </w:rPr>
            </w:pPr>
            <w:r>
              <w:rPr>
                <w:rFonts w:ascii="Arial" w:cs="Arial" w:eastAsia="Arial" w:hAnsi="Arial"/>
                <w:sz w:val="11"/>
                <w:szCs w:val="11"/>
                <w:color w:val="auto"/>
              </w:rPr>
              <w:t>Smile Brands Inc.</w:t>
            </w:r>
          </w:p>
        </w:tc>
        <w:tc>
          <w:tcPr>
            <w:tcW w:w="120" w:type="dxa"/>
            <w:vAlign w:val="bottom"/>
          </w:tcPr>
          <w:p>
            <w:pPr>
              <w:spacing w:after="0"/>
              <w:rPr>
                <w:sz w:val="8"/>
                <w:szCs w:val="8"/>
                <w:color w:val="auto"/>
              </w:rPr>
            </w:pPr>
          </w:p>
        </w:tc>
        <w:tc>
          <w:tcPr>
            <w:tcW w:w="680" w:type="dxa"/>
            <w:vAlign w:val="bottom"/>
            <w:tcBorders>
              <w:top w:val="single" w:sz="8" w:color="auto"/>
            </w:tcBorders>
          </w:tcPr>
          <w:p>
            <w:pPr>
              <w:jc w:val="center"/>
              <w:spacing w:after="0" w:line="99" w:lineRule="exact"/>
              <w:rPr>
                <w:sz w:val="20"/>
                <w:szCs w:val="20"/>
                <w:color w:val="auto"/>
              </w:rPr>
            </w:pPr>
            <w:r>
              <w:rPr>
                <w:rFonts w:ascii="Arial" w:cs="Arial" w:eastAsia="Arial" w:hAnsi="Arial"/>
                <w:sz w:val="11"/>
                <w:szCs w:val="11"/>
                <w:color w:val="auto"/>
                <w:w w:val="90"/>
              </w:rPr>
              <w:t>10/14/2024</w:t>
            </w:r>
          </w:p>
        </w:tc>
        <w:tc>
          <w:tcPr>
            <w:tcW w:w="260" w:type="dxa"/>
            <w:vAlign w:val="bottom"/>
          </w:tcPr>
          <w:p>
            <w:pPr>
              <w:spacing w:after="0"/>
              <w:rPr>
                <w:sz w:val="8"/>
                <w:szCs w:val="8"/>
                <w:color w:val="auto"/>
              </w:rPr>
            </w:pPr>
          </w:p>
        </w:tc>
        <w:tc>
          <w:tcPr>
            <w:tcW w:w="2200" w:type="dxa"/>
            <w:vAlign w:val="bottom"/>
            <w:tcBorders>
              <w:top w:val="single" w:sz="8" w:color="auto"/>
            </w:tcBorders>
          </w:tcPr>
          <w:p>
            <w:pPr>
              <w:jc w:val="center"/>
              <w:spacing w:after="0" w:line="99" w:lineRule="exact"/>
              <w:rPr>
                <w:sz w:val="20"/>
                <w:szCs w:val="20"/>
                <w:color w:val="auto"/>
              </w:rPr>
            </w:pPr>
            <w:r>
              <w:rPr>
                <w:rFonts w:ascii="Arial" w:cs="Arial" w:eastAsia="Arial" w:hAnsi="Arial"/>
                <w:sz w:val="11"/>
                <w:szCs w:val="11"/>
                <w:color w:val="auto"/>
                <w:w w:val="88"/>
              </w:rPr>
              <w:t>Healthcare and Pharmaceuticals</w:t>
            </w:r>
          </w:p>
        </w:tc>
        <w:tc>
          <w:tcPr>
            <w:tcW w:w="120" w:type="dxa"/>
            <w:vAlign w:val="bottom"/>
          </w:tcPr>
          <w:p>
            <w:pPr>
              <w:spacing w:after="0"/>
              <w:rPr>
                <w:sz w:val="8"/>
                <w:szCs w:val="8"/>
                <w:color w:val="auto"/>
              </w:rPr>
            </w:pPr>
          </w:p>
        </w:tc>
        <w:tc>
          <w:tcPr>
            <w:tcW w:w="720" w:type="dxa"/>
            <w:vAlign w:val="bottom"/>
            <w:tcBorders>
              <w:top w:val="single" w:sz="8" w:color="auto"/>
            </w:tcBorders>
          </w:tcPr>
          <w:p>
            <w:pPr>
              <w:jc w:val="right"/>
              <w:spacing w:after="0" w:line="99" w:lineRule="exact"/>
              <w:rPr>
                <w:sz w:val="20"/>
                <w:szCs w:val="20"/>
                <w:color w:val="auto"/>
              </w:rPr>
            </w:pPr>
            <w:r>
              <w:rPr>
                <w:rFonts w:ascii="Arial" w:cs="Arial" w:eastAsia="Arial" w:hAnsi="Arial"/>
                <w:sz w:val="11"/>
                <w:szCs w:val="11"/>
                <w:color w:val="auto"/>
              </w:rPr>
              <w:t>5.27</w:t>
            </w:r>
          </w:p>
        </w:tc>
        <w:tc>
          <w:tcPr>
            <w:tcW w:w="240" w:type="dxa"/>
            <w:vAlign w:val="bottom"/>
          </w:tcPr>
          <w:p>
            <w:pPr>
              <w:jc w:val="right"/>
              <w:ind w:right="86"/>
              <w:spacing w:after="0" w:line="99" w:lineRule="exact"/>
              <w:rPr>
                <w:sz w:val="20"/>
                <w:szCs w:val="20"/>
                <w:color w:val="auto"/>
              </w:rPr>
            </w:pPr>
            <w:r>
              <w:rPr>
                <w:rFonts w:ascii="Arial" w:cs="Arial" w:eastAsia="Arial" w:hAnsi="Arial"/>
                <w:sz w:val="11"/>
                <w:szCs w:val="11"/>
                <w:color w:val="auto"/>
                <w:w w:val="81"/>
              </w:rPr>
              <w:t>%</w:t>
            </w:r>
          </w:p>
        </w:tc>
        <w:tc>
          <w:tcPr>
            <w:tcW w:w="920" w:type="dxa"/>
            <w:vAlign w:val="bottom"/>
            <w:tcBorders>
              <w:top w:val="single" w:sz="8" w:color="auto"/>
            </w:tcBorders>
          </w:tcPr>
          <w:p>
            <w:pPr>
              <w:jc w:val="right"/>
              <w:spacing w:after="0" w:line="99" w:lineRule="exact"/>
              <w:rPr>
                <w:sz w:val="20"/>
                <w:szCs w:val="20"/>
                <w:color w:val="auto"/>
              </w:rPr>
            </w:pPr>
            <w:r>
              <w:rPr>
                <w:rFonts w:ascii="Arial" w:cs="Arial" w:eastAsia="Arial" w:hAnsi="Arial"/>
                <w:sz w:val="11"/>
                <w:szCs w:val="11"/>
                <w:color w:val="auto"/>
              </w:rPr>
              <w:t>1M L+450</w:t>
            </w:r>
          </w:p>
        </w:tc>
        <w:tc>
          <w:tcPr>
            <w:tcW w:w="200" w:type="dxa"/>
            <w:vAlign w:val="bottom"/>
          </w:tcPr>
          <w:p>
            <w:pPr>
              <w:spacing w:after="0"/>
              <w:rPr>
                <w:sz w:val="8"/>
                <w:szCs w:val="8"/>
                <w:color w:val="auto"/>
              </w:rPr>
            </w:pPr>
          </w:p>
        </w:tc>
        <w:tc>
          <w:tcPr>
            <w:tcW w:w="700" w:type="dxa"/>
            <w:vAlign w:val="bottom"/>
            <w:tcBorders>
              <w:top w:val="single" w:sz="8" w:color="auto"/>
            </w:tcBorders>
          </w:tcPr>
          <w:p>
            <w:pPr>
              <w:jc w:val="right"/>
              <w:spacing w:after="0" w:line="99" w:lineRule="exact"/>
              <w:rPr>
                <w:sz w:val="20"/>
                <w:szCs w:val="20"/>
                <w:color w:val="auto"/>
              </w:rPr>
            </w:pPr>
            <w:r>
              <w:rPr>
                <w:rFonts w:ascii="Arial" w:cs="Arial" w:eastAsia="Arial" w:hAnsi="Arial"/>
                <w:sz w:val="11"/>
                <w:szCs w:val="11"/>
                <w:color w:val="auto"/>
              </w:rPr>
              <w:t>1,962</w:t>
            </w:r>
          </w:p>
        </w:tc>
        <w:tc>
          <w:tcPr>
            <w:tcW w:w="220" w:type="dxa"/>
            <w:vAlign w:val="bottom"/>
          </w:tcPr>
          <w:p>
            <w:pPr>
              <w:spacing w:after="0"/>
              <w:rPr>
                <w:sz w:val="8"/>
                <w:szCs w:val="8"/>
                <w:color w:val="auto"/>
              </w:rPr>
            </w:pPr>
          </w:p>
        </w:tc>
        <w:tc>
          <w:tcPr>
            <w:tcW w:w="160" w:type="dxa"/>
            <w:vAlign w:val="bottom"/>
            <w:tcBorders>
              <w:top w:val="single" w:sz="8" w:color="auto"/>
            </w:tcBorders>
          </w:tcPr>
          <w:p>
            <w:pPr>
              <w:jc w:val="right"/>
              <w:ind w:right="26"/>
              <w:spacing w:after="0" w:line="99" w:lineRule="exact"/>
              <w:rPr>
                <w:sz w:val="20"/>
                <w:szCs w:val="20"/>
                <w:color w:val="auto"/>
              </w:rPr>
            </w:pPr>
            <w:r>
              <w:rPr>
                <w:rFonts w:ascii="Arial" w:cs="Arial" w:eastAsia="Arial" w:hAnsi="Arial"/>
                <w:sz w:val="11"/>
                <w:szCs w:val="11"/>
                <w:color w:val="auto"/>
                <w:w w:val="97"/>
              </w:rPr>
              <w:t>$</w:t>
            </w:r>
          </w:p>
        </w:tc>
        <w:tc>
          <w:tcPr>
            <w:tcW w:w="540" w:type="dxa"/>
            <w:vAlign w:val="bottom"/>
            <w:tcBorders>
              <w:top w:val="single" w:sz="8" w:color="auto"/>
            </w:tcBorders>
          </w:tcPr>
          <w:p>
            <w:pPr>
              <w:jc w:val="right"/>
              <w:spacing w:after="0" w:line="99" w:lineRule="exact"/>
              <w:rPr>
                <w:sz w:val="20"/>
                <w:szCs w:val="20"/>
                <w:color w:val="auto"/>
              </w:rPr>
            </w:pPr>
            <w:r>
              <w:rPr>
                <w:rFonts w:ascii="Arial" w:cs="Arial" w:eastAsia="Arial" w:hAnsi="Arial"/>
                <w:sz w:val="11"/>
                <w:szCs w:val="11"/>
                <w:color w:val="auto"/>
              </w:rPr>
              <w:t>1,962</w:t>
            </w:r>
          </w:p>
        </w:tc>
        <w:tc>
          <w:tcPr>
            <w:tcW w:w="220" w:type="dxa"/>
            <w:vAlign w:val="bottom"/>
          </w:tcPr>
          <w:p>
            <w:pPr>
              <w:spacing w:after="0"/>
              <w:rPr>
                <w:sz w:val="8"/>
                <w:szCs w:val="8"/>
                <w:color w:val="auto"/>
              </w:rPr>
            </w:pPr>
          </w:p>
        </w:tc>
        <w:tc>
          <w:tcPr>
            <w:tcW w:w="200" w:type="dxa"/>
            <w:vAlign w:val="bottom"/>
            <w:tcBorders>
              <w:top w:val="single" w:sz="8" w:color="auto"/>
            </w:tcBorders>
          </w:tcPr>
          <w:p>
            <w:pPr>
              <w:jc w:val="right"/>
              <w:ind w:right="66"/>
              <w:spacing w:after="0" w:line="99" w:lineRule="exact"/>
              <w:rPr>
                <w:sz w:val="20"/>
                <w:szCs w:val="20"/>
                <w:color w:val="auto"/>
              </w:rPr>
            </w:pPr>
            <w:r>
              <w:rPr>
                <w:rFonts w:ascii="Arial" w:cs="Arial" w:eastAsia="Arial" w:hAnsi="Arial"/>
                <w:sz w:val="11"/>
                <w:szCs w:val="11"/>
                <w:color w:val="auto"/>
                <w:w w:val="97"/>
              </w:rPr>
              <w:t>$</w:t>
            </w:r>
          </w:p>
        </w:tc>
        <w:tc>
          <w:tcPr>
            <w:tcW w:w="500" w:type="dxa"/>
            <w:vAlign w:val="bottom"/>
            <w:tcBorders>
              <w:top w:val="single" w:sz="8" w:color="auto"/>
            </w:tcBorders>
          </w:tcPr>
          <w:p>
            <w:pPr>
              <w:jc w:val="right"/>
              <w:spacing w:after="0" w:line="99" w:lineRule="exact"/>
              <w:rPr>
                <w:sz w:val="20"/>
                <w:szCs w:val="20"/>
                <w:color w:val="auto"/>
              </w:rPr>
            </w:pPr>
            <w:r>
              <w:rPr>
                <w:rFonts w:ascii="Arial" w:cs="Arial" w:eastAsia="Arial" w:hAnsi="Arial"/>
                <w:sz w:val="11"/>
                <w:szCs w:val="11"/>
                <w:color w:val="auto"/>
              </w:rPr>
              <w:t>1,942</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314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Smile Brands Inc. (Revolver) </w:t>
            </w:r>
            <w:r>
              <w:rPr>
                <w:rFonts w:ascii="Arial" w:cs="Arial" w:eastAsia="Arial" w:hAnsi="Arial"/>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10/14/2024</w:t>
            </w:r>
          </w:p>
        </w:tc>
        <w:tc>
          <w:tcPr>
            <w:tcW w:w="260" w:type="dxa"/>
            <w:vAlign w:val="bottom"/>
          </w:tcPr>
          <w:p>
            <w:pPr>
              <w:spacing w:after="0"/>
              <w:rPr>
                <w:sz w:val="11"/>
                <w:szCs w:val="11"/>
                <w:color w:val="auto"/>
              </w:rPr>
            </w:pPr>
          </w:p>
        </w:tc>
        <w:tc>
          <w:tcPr>
            <w:tcW w:w="2200" w:type="dxa"/>
            <w:vAlign w:val="bottom"/>
          </w:tcPr>
          <w:p>
            <w:pPr>
              <w:jc w:val="center"/>
              <w:spacing w:after="0"/>
              <w:rPr>
                <w:sz w:val="20"/>
                <w:szCs w:val="20"/>
                <w:color w:val="auto"/>
              </w:rPr>
            </w:pPr>
            <w:r>
              <w:rPr>
                <w:rFonts w:ascii="Arial" w:cs="Arial" w:eastAsia="Arial" w:hAnsi="Arial"/>
                <w:sz w:val="11"/>
                <w:szCs w:val="11"/>
                <w:color w:val="auto"/>
                <w:w w:val="88"/>
              </w:rPr>
              <w:t>Healthcare and Pharmaceuticals</w:t>
            </w:r>
          </w:p>
        </w:tc>
        <w:tc>
          <w:tcPr>
            <w:tcW w:w="120" w:type="dxa"/>
            <w:vAlign w:val="bottom"/>
          </w:tcPr>
          <w:p>
            <w:pPr>
              <w:spacing w:after="0"/>
              <w:rPr>
                <w:sz w:val="11"/>
                <w:szCs w:val="11"/>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1,616</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1"/>
                <w:szCs w:val="11"/>
                <w:color w:val="auto"/>
              </w:rPr>
              <w:t>(16 )</w:t>
            </w:r>
          </w:p>
        </w:tc>
        <w:tc>
          <w:tcPr>
            <w:tcW w:w="0" w:type="dxa"/>
            <w:vAlign w:val="bottom"/>
          </w:tcPr>
          <w:p>
            <w:pPr>
              <w:spacing w:after="0"/>
              <w:rPr>
                <w:sz w:val="1"/>
                <w:szCs w:val="1"/>
                <w:color w:val="auto"/>
              </w:rPr>
            </w:pPr>
          </w:p>
        </w:tc>
      </w:tr>
      <w:tr>
        <w:trPr>
          <w:trHeight w:val="135"/>
        </w:trPr>
        <w:tc>
          <w:tcPr>
            <w:tcW w:w="314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Snak Club, LLC (Revolver) </w:t>
            </w:r>
            <w:r>
              <w:rPr>
                <w:rFonts w:ascii="Arial" w:cs="Arial" w:eastAsia="Arial" w:hAnsi="Arial"/>
                <w:sz w:val="14"/>
                <w:szCs w:val="14"/>
                <w:color w:val="auto"/>
                <w:vertAlign w:val="superscript"/>
              </w:rPr>
              <w:t>(7)</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07/19/2021</w:t>
            </w:r>
          </w:p>
        </w:tc>
        <w:tc>
          <w:tcPr>
            <w:tcW w:w="260" w:type="dxa"/>
            <w:vAlign w:val="bottom"/>
          </w:tcPr>
          <w:p>
            <w:pPr>
              <w:spacing w:after="0"/>
              <w:rPr>
                <w:sz w:val="11"/>
                <w:szCs w:val="11"/>
                <w:color w:val="auto"/>
              </w:rPr>
            </w:pPr>
          </w:p>
        </w:tc>
        <w:tc>
          <w:tcPr>
            <w:tcW w:w="2200" w:type="dxa"/>
            <w:vAlign w:val="bottom"/>
          </w:tcPr>
          <w:p>
            <w:pPr>
              <w:jc w:val="center"/>
              <w:spacing w:after="0"/>
              <w:rPr>
                <w:sz w:val="20"/>
                <w:szCs w:val="20"/>
                <w:color w:val="auto"/>
              </w:rPr>
            </w:pPr>
            <w:r>
              <w:rPr>
                <w:rFonts w:ascii="Arial" w:cs="Arial" w:eastAsia="Arial" w:hAnsi="Arial"/>
                <w:sz w:val="11"/>
                <w:szCs w:val="11"/>
                <w:color w:val="auto"/>
                <w:w w:val="85"/>
              </w:rPr>
              <w:t>Beverage, Food and Tobacco</w:t>
            </w:r>
          </w:p>
        </w:tc>
        <w:tc>
          <w:tcPr>
            <w:tcW w:w="1080" w:type="dxa"/>
            <w:vAlign w:val="bottom"/>
            <w:gridSpan w:val="3"/>
          </w:tcPr>
          <w:p>
            <w:pPr>
              <w:jc w:val="right"/>
              <w:ind w:right="86"/>
              <w:spacing w:after="0"/>
              <w:rPr>
                <w:sz w:val="20"/>
                <w:szCs w:val="20"/>
                <w:color w:val="auto"/>
              </w:rPr>
            </w:pPr>
            <w:r>
              <w:rPr>
                <w:rFonts w:ascii="Arial" w:cs="Arial" w:eastAsia="Arial" w:hAnsi="Arial"/>
                <w:sz w:val="11"/>
                <w:szCs w:val="11"/>
                <w:color w:val="auto"/>
              </w:rPr>
              <w:t>7.00 %</w:t>
            </w:r>
          </w:p>
        </w:tc>
        <w:tc>
          <w:tcPr>
            <w:tcW w:w="920" w:type="dxa"/>
            <w:vAlign w:val="bottom"/>
          </w:tcPr>
          <w:p>
            <w:pPr>
              <w:jc w:val="right"/>
              <w:spacing w:after="0"/>
              <w:rPr>
                <w:sz w:val="20"/>
                <w:szCs w:val="20"/>
                <w:color w:val="auto"/>
              </w:rPr>
            </w:pPr>
            <w:r>
              <w:rPr>
                <w:rFonts w:ascii="Arial" w:cs="Arial" w:eastAsia="Arial" w:hAnsi="Arial"/>
                <w:sz w:val="11"/>
                <w:szCs w:val="11"/>
                <w:color w:val="auto"/>
              </w:rPr>
              <w:t>3M L+600</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67</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67</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67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14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Snak Club, LLC (Revolver) </w:t>
            </w:r>
            <w:r>
              <w:rPr>
                <w:rFonts w:ascii="Arial" w:cs="Arial" w:eastAsia="Arial" w:hAnsi="Arial"/>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07/19/2021</w:t>
            </w:r>
          </w:p>
        </w:tc>
        <w:tc>
          <w:tcPr>
            <w:tcW w:w="260" w:type="dxa"/>
            <w:vAlign w:val="bottom"/>
          </w:tcPr>
          <w:p>
            <w:pPr>
              <w:spacing w:after="0"/>
              <w:rPr>
                <w:sz w:val="13"/>
                <w:szCs w:val="13"/>
                <w:color w:val="auto"/>
              </w:rPr>
            </w:pPr>
          </w:p>
        </w:tc>
        <w:tc>
          <w:tcPr>
            <w:tcW w:w="2200" w:type="dxa"/>
            <w:vAlign w:val="bottom"/>
          </w:tcPr>
          <w:p>
            <w:pPr>
              <w:jc w:val="center"/>
              <w:spacing w:after="0"/>
              <w:rPr>
                <w:sz w:val="20"/>
                <w:szCs w:val="20"/>
                <w:color w:val="auto"/>
              </w:rPr>
            </w:pPr>
            <w:r>
              <w:rPr>
                <w:rFonts w:ascii="Arial" w:cs="Arial" w:eastAsia="Arial" w:hAnsi="Arial"/>
                <w:sz w:val="11"/>
                <w:szCs w:val="11"/>
                <w:color w:val="auto"/>
                <w:w w:val="85"/>
              </w:rPr>
              <w:t>Beverage, Food and Tobacco</w:t>
            </w:r>
          </w:p>
        </w:tc>
        <w:tc>
          <w:tcPr>
            <w:tcW w:w="120" w:type="dxa"/>
            <w:vAlign w:val="bottom"/>
          </w:tcPr>
          <w:p>
            <w:pPr>
              <w:spacing w:after="0"/>
              <w:rPr>
                <w:sz w:val="13"/>
                <w:szCs w:val="13"/>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428</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5"/>
        </w:trPr>
        <w:tc>
          <w:tcPr>
            <w:tcW w:w="3140" w:type="dxa"/>
            <w:vAlign w:val="bottom"/>
          </w:tcPr>
          <w:p>
            <w:pPr>
              <w:ind w:left="20"/>
              <w:spacing w:after="0" w:line="115" w:lineRule="exact"/>
              <w:rPr>
                <w:sz w:val="20"/>
                <w:szCs w:val="20"/>
                <w:color w:val="auto"/>
              </w:rPr>
            </w:pPr>
            <w:r>
              <w:rPr>
                <w:rFonts w:ascii="Arial" w:cs="Arial" w:eastAsia="Arial" w:hAnsi="Arial"/>
                <w:sz w:val="11"/>
                <w:szCs w:val="11"/>
                <w:color w:val="auto"/>
              </w:rPr>
              <w:t>Solutionreach, Inc.</w:t>
            </w:r>
          </w:p>
        </w:tc>
        <w:tc>
          <w:tcPr>
            <w:tcW w:w="800" w:type="dxa"/>
            <w:vAlign w:val="bottom"/>
            <w:gridSpan w:val="2"/>
          </w:tcPr>
          <w:p>
            <w:pPr>
              <w:jc w:val="center"/>
              <w:ind w:left="86"/>
              <w:spacing w:after="0" w:line="115" w:lineRule="exact"/>
              <w:rPr>
                <w:sz w:val="20"/>
                <w:szCs w:val="20"/>
                <w:color w:val="auto"/>
              </w:rPr>
            </w:pPr>
            <w:r>
              <w:rPr>
                <w:rFonts w:ascii="Arial" w:cs="Arial" w:eastAsia="Arial" w:hAnsi="Arial"/>
                <w:sz w:val="11"/>
                <w:szCs w:val="11"/>
                <w:color w:val="auto"/>
                <w:w w:val="90"/>
              </w:rPr>
              <w:t>01/17/2024</w:t>
            </w:r>
          </w:p>
        </w:tc>
        <w:tc>
          <w:tcPr>
            <w:tcW w:w="260" w:type="dxa"/>
            <w:vAlign w:val="bottom"/>
          </w:tcPr>
          <w:p>
            <w:pPr>
              <w:spacing w:after="0"/>
              <w:rPr>
                <w:sz w:val="9"/>
                <w:szCs w:val="9"/>
                <w:color w:val="auto"/>
              </w:rPr>
            </w:pPr>
          </w:p>
        </w:tc>
        <w:tc>
          <w:tcPr>
            <w:tcW w:w="2200" w:type="dxa"/>
            <w:vAlign w:val="bottom"/>
          </w:tcPr>
          <w:p>
            <w:pPr>
              <w:jc w:val="center"/>
              <w:spacing w:after="0" w:line="115" w:lineRule="exact"/>
              <w:rPr>
                <w:sz w:val="20"/>
                <w:szCs w:val="20"/>
                <w:color w:val="auto"/>
              </w:rPr>
            </w:pPr>
            <w:r>
              <w:rPr>
                <w:rFonts w:ascii="Arial" w:cs="Arial" w:eastAsia="Arial" w:hAnsi="Arial"/>
                <w:sz w:val="11"/>
                <w:szCs w:val="11"/>
                <w:color w:val="auto"/>
                <w:w w:val="88"/>
              </w:rPr>
              <w:t>Healthcare Technology</w:t>
            </w:r>
          </w:p>
        </w:tc>
        <w:tc>
          <w:tcPr>
            <w:tcW w:w="1080" w:type="dxa"/>
            <w:vAlign w:val="bottom"/>
            <w:gridSpan w:val="3"/>
          </w:tcPr>
          <w:p>
            <w:pPr>
              <w:jc w:val="right"/>
              <w:ind w:right="86"/>
              <w:spacing w:after="0" w:line="115" w:lineRule="exact"/>
              <w:rPr>
                <w:sz w:val="20"/>
                <w:szCs w:val="20"/>
                <w:color w:val="auto"/>
              </w:rPr>
            </w:pPr>
            <w:r>
              <w:rPr>
                <w:rFonts w:ascii="Arial" w:cs="Arial" w:eastAsia="Arial" w:hAnsi="Arial"/>
                <w:sz w:val="11"/>
                <w:szCs w:val="11"/>
                <w:color w:val="auto"/>
              </w:rPr>
              <w:t>6.75 %</w:t>
            </w:r>
          </w:p>
        </w:tc>
        <w:tc>
          <w:tcPr>
            <w:tcW w:w="920" w:type="dxa"/>
            <w:vAlign w:val="bottom"/>
          </w:tcPr>
          <w:p>
            <w:pPr>
              <w:jc w:val="right"/>
              <w:spacing w:after="0" w:line="115" w:lineRule="exact"/>
              <w:rPr>
                <w:sz w:val="20"/>
                <w:szCs w:val="20"/>
                <w:color w:val="auto"/>
              </w:rPr>
            </w:pPr>
            <w:r>
              <w:rPr>
                <w:rFonts w:ascii="Arial" w:cs="Arial" w:eastAsia="Arial" w:hAnsi="Arial"/>
                <w:sz w:val="11"/>
                <w:szCs w:val="11"/>
                <w:color w:val="auto"/>
              </w:rPr>
              <w:t>3M L+575</w:t>
            </w:r>
          </w:p>
        </w:tc>
        <w:tc>
          <w:tcPr>
            <w:tcW w:w="90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5,989</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jc w:val="right"/>
              <w:spacing w:after="0" w:line="115" w:lineRule="exact"/>
              <w:rPr>
                <w:sz w:val="20"/>
                <w:szCs w:val="20"/>
                <w:color w:val="auto"/>
              </w:rPr>
            </w:pPr>
            <w:r>
              <w:rPr>
                <w:rFonts w:ascii="Arial" w:cs="Arial" w:eastAsia="Arial" w:hAnsi="Arial"/>
                <w:sz w:val="11"/>
                <w:szCs w:val="11"/>
                <w:color w:val="auto"/>
              </w:rPr>
              <w:t>5,928</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jc w:val="right"/>
              <w:spacing w:after="0" w:line="115" w:lineRule="exact"/>
              <w:rPr>
                <w:sz w:val="20"/>
                <w:szCs w:val="20"/>
                <w:color w:val="auto"/>
              </w:rPr>
            </w:pPr>
            <w:r>
              <w:rPr>
                <w:rFonts w:ascii="Arial" w:cs="Arial" w:eastAsia="Arial" w:hAnsi="Arial"/>
                <w:sz w:val="11"/>
                <w:szCs w:val="11"/>
                <w:color w:val="auto"/>
              </w:rPr>
              <w:t>5,989</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314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Solutionreach, Inc. (Revolver) </w:t>
            </w:r>
            <w:r>
              <w:rPr>
                <w:rFonts w:ascii="Arial" w:cs="Arial" w:eastAsia="Arial" w:hAnsi="Arial"/>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01/17/2024</w:t>
            </w:r>
          </w:p>
        </w:tc>
        <w:tc>
          <w:tcPr>
            <w:tcW w:w="260" w:type="dxa"/>
            <w:vAlign w:val="bottom"/>
          </w:tcPr>
          <w:p>
            <w:pPr>
              <w:spacing w:after="0"/>
              <w:rPr>
                <w:sz w:val="13"/>
                <w:szCs w:val="13"/>
                <w:color w:val="auto"/>
              </w:rPr>
            </w:pPr>
          </w:p>
        </w:tc>
        <w:tc>
          <w:tcPr>
            <w:tcW w:w="2200" w:type="dxa"/>
            <w:vAlign w:val="bottom"/>
          </w:tcPr>
          <w:p>
            <w:pPr>
              <w:jc w:val="center"/>
              <w:spacing w:after="0"/>
              <w:rPr>
                <w:sz w:val="20"/>
                <w:szCs w:val="20"/>
                <w:color w:val="auto"/>
              </w:rPr>
            </w:pPr>
            <w:r>
              <w:rPr>
                <w:rFonts w:ascii="Arial" w:cs="Arial" w:eastAsia="Arial" w:hAnsi="Arial"/>
                <w:sz w:val="11"/>
                <w:szCs w:val="11"/>
                <w:color w:val="auto"/>
                <w:w w:val="88"/>
              </w:rPr>
              <w:t>Healthcare Technology</w:t>
            </w:r>
          </w:p>
        </w:tc>
        <w:tc>
          <w:tcPr>
            <w:tcW w:w="120" w:type="dxa"/>
            <w:vAlign w:val="bottom"/>
          </w:tcPr>
          <w:p>
            <w:pPr>
              <w:spacing w:after="0"/>
              <w:rPr>
                <w:sz w:val="13"/>
                <w:szCs w:val="13"/>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1,665</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5"/>
        </w:trPr>
        <w:tc>
          <w:tcPr>
            <w:tcW w:w="3140" w:type="dxa"/>
            <w:vAlign w:val="bottom"/>
          </w:tcPr>
          <w:p>
            <w:pPr>
              <w:ind w:left="20"/>
              <w:spacing w:after="0" w:line="115" w:lineRule="exact"/>
              <w:rPr>
                <w:sz w:val="20"/>
                <w:szCs w:val="20"/>
                <w:color w:val="auto"/>
              </w:rPr>
            </w:pPr>
            <w:r>
              <w:rPr>
                <w:rFonts w:ascii="Arial" w:cs="Arial" w:eastAsia="Arial" w:hAnsi="Arial"/>
                <w:sz w:val="11"/>
                <w:szCs w:val="11"/>
                <w:color w:val="auto"/>
              </w:rPr>
              <w:t>Spear Education, LLC</w:t>
            </w:r>
          </w:p>
        </w:tc>
        <w:tc>
          <w:tcPr>
            <w:tcW w:w="800" w:type="dxa"/>
            <w:vAlign w:val="bottom"/>
            <w:gridSpan w:val="2"/>
          </w:tcPr>
          <w:p>
            <w:pPr>
              <w:jc w:val="center"/>
              <w:ind w:left="86"/>
              <w:spacing w:after="0" w:line="115" w:lineRule="exact"/>
              <w:rPr>
                <w:sz w:val="20"/>
                <w:szCs w:val="20"/>
                <w:color w:val="auto"/>
              </w:rPr>
            </w:pPr>
            <w:r>
              <w:rPr>
                <w:rFonts w:ascii="Arial" w:cs="Arial" w:eastAsia="Arial" w:hAnsi="Arial"/>
                <w:sz w:val="11"/>
                <w:szCs w:val="11"/>
                <w:color w:val="auto"/>
                <w:w w:val="90"/>
              </w:rPr>
              <w:t>02/26/2025</w:t>
            </w:r>
          </w:p>
        </w:tc>
        <w:tc>
          <w:tcPr>
            <w:tcW w:w="260" w:type="dxa"/>
            <w:vAlign w:val="bottom"/>
          </w:tcPr>
          <w:p>
            <w:pPr>
              <w:spacing w:after="0"/>
              <w:rPr>
                <w:sz w:val="9"/>
                <w:szCs w:val="9"/>
                <w:color w:val="auto"/>
              </w:rPr>
            </w:pPr>
          </w:p>
        </w:tc>
        <w:tc>
          <w:tcPr>
            <w:tcW w:w="2200" w:type="dxa"/>
            <w:vAlign w:val="bottom"/>
          </w:tcPr>
          <w:p>
            <w:pPr>
              <w:jc w:val="center"/>
              <w:spacing w:after="0" w:line="115" w:lineRule="exact"/>
              <w:rPr>
                <w:sz w:val="20"/>
                <w:szCs w:val="20"/>
                <w:color w:val="auto"/>
              </w:rPr>
            </w:pPr>
            <w:r>
              <w:rPr>
                <w:rFonts w:ascii="Arial" w:cs="Arial" w:eastAsia="Arial" w:hAnsi="Arial"/>
                <w:sz w:val="11"/>
                <w:szCs w:val="11"/>
                <w:color w:val="auto"/>
                <w:w w:val="86"/>
              </w:rPr>
              <w:t>Professional Services</w:t>
            </w:r>
          </w:p>
        </w:tc>
        <w:tc>
          <w:tcPr>
            <w:tcW w:w="1080" w:type="dxa"/>
            <w:vAlign w:val="bottom"/>
            <w:gridSpan w:val="3"/>
          </w:tcPr>
          <w:p>
            <w:pPr>
              <w:jc w:val="right"/>
              <w:ind w:right="86"/>
              <w:spacing w:after="0" w:line="115" w:lineRule="exact"/>
              <w:rPr>
                <w:sz w:val="20"/>
                <w:szCs w:val="20"/>
                <w:color w:val="auto"/>
              </w:rPr>
            </w:pPr>
            <w:r>
              <w:rPr>
                <w:rFonts w:ascii="Arial" w:cs="Arial" w:eastAsia="Arial" w:hAnsi="Arial"/>
                <w:sz w:val="11"/>
                <w:szCs w:val="11"/>
                <w:color w:val="auto"/>
              </w:rPr>
              <w:t>6.00 %</w:t>
            </w:r>
          </w:p>
        </w:tc>
        <w:tc>
          <w:tcPr>
            <w:tcW w:w="920" w:type="dxa"/>
            <w:vAlign w:val="bottom"/>
          </w:tcPr>
          <w:p>
            <w:pPr>
              <w:jc w:val="right"/>
              <w:spacing w:after="0" w:line="115" w:lineRule="exact"/>
              <w:rPr>
                <w:sz w:val="20"/>
                <w:szCs w:val="20"/>
                <w:color w:val="auto"/>
              </w:rPr>
            </w:pPr>
            <w:r>
              <w:rPr>
                <w:rFonts w:ascii="Arial" w:cs="Arial" w:eastAsia="Arial" w:hAnsi="Arial"/>
                <w:sz w:val="11"/>
                <w:szCs w:val="11"/>
                <w:color w:val="auto"/>
              </w:rPr>
              <w:t>3M L+500</w:t>
            </w:r>
          </w:p>
        </w:tc>
        <w:tc>
          <w:tcPr>
            <w:tcW w:w="90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14,898</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jc w:val="right"/>
              <w:spacing w:after="0" w:line="115" w:lineRule="exact"/>
              <w:rPr>
                <w:sz w:val="20"/>
                <w:szCs w:val="20"/>
                <w:color w:val="auto"/>
              </w:rPr>
            </w:pPr>
            <w:r>
              <w:rPr>
                <w:rFonts w:ascii="Arial" w:cs="Arial" w:eastAsia="Arial" w:hAnsi="Arial"/>
                <w:sz w:val="11"/>
                <w:szCs w:val="11"/>
                <w:color w:val="auto"/>
              </w:rPr>
              <w:t>14,752</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jc w:val="right"/>
              <w:spacing w:after="0" w:line="115" w:lineRule="exact"/>
              <w:rPr>
                <w:sz w:val="20"/>
                <w:szCs w:val="20"/>
                <w:color w:val="auto"/>
              </w:rPr>
            </w:pPr>
            <w:r>
              <w:rPr>
                <w:rFonts w:ascii="Arial" w:cs="Arial" w:eastAsia="Arial" w:hAnsi="Arial"/>
                <w:sz w:val="11"/>
                <w:szCs w:val="11"/>
                <w:color w:val="auto"/>
              </w:rPr>
              <w:t>14,898</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3140" w:type="dxa"/>
            <w:vAlign w:val="bottom"/>
          </w:tcPr>
          <w:p>
            <w:pPr>
              <w:ind w:left="20"/>
              <w:spacing w:after="0"/>
              <w:rPr>
                <w:sz w:val="20"/>
                <w:szCs w:val="20"/>
                <w:color w:val="auto"/>
              </w:rPr>
            </w:pPr>
            <w:r>
              <w:rPr>
                <w:rFonts w:ascii="Arial" w:cs="Arial" w:eastAsia="Arial" w:hAnsi="Arial"/>
                <w:sz w:val="11"/>
                <w:szCs w:val="11"/>
                <w:color w:val="auto"/>
              </w:rPr>
              <w:t xml:space="preserve">Spear Education, LLC </w:t>
            </w:r>
            <w:r>
              <w:rPr>
                <w:rFonts w:ascii="Arial" w:cs="Arial" w:eastAsia="Arial" w:hAnsi="Arial"/>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02/26/2022</w:t>
            </w:r>
          </w:p>
        </w:tc>
        <w:tc>
          <w:tcPr>
            <w:tcW w:w="260" w:type="dxa"/>
            <w:vAlign w:val="bottom"/>
          </w:tcPr>
          <w:p>
            <w:pPr>
              <w:spacing w:after="0"/>
              <w:rPr>
                <w:sz w:val="14"/>
                <w:szCs w:val="14"/>
                <w:color w:val="auto"/>
              </w:rPr>
            </w:pPr>
          </w:p>
        </w:tc>
        <w:tc>
          <w:tcPr>
            <w:tcW w:w="2200" w:type="dxa"/>
            <w:vAlign w:val="bottom"/>
          </w:tcPr>
          <w:p>
            <w:pPr>
              <w:jc w:val="center"/>
              <w:spacing w:after="0"/>
              <w:rPr>
                <w:sz w:val="20"/>
                <w:szCs w:val="20"/>
                <w:color w:val="auto"/>
              </w:rPr>
            </w:pPr>
            <w:r>
              <w:rPr>
                <w:rFonts w:ascii="Arial" w:cs="Arial" w:eastAsia="Arial" w:hAnsi="Arial"/>
                <w:sz w:val="11"/>
                <w:szCs w:val="11"/>
                <w:color w:val="auto"/>
                <w:w w:val="86"/>
              </w:rPr>
              <w:t>Professional Services</w:t>
            </w:r>
          </w:p>
        </w:tc>
        <w:tc>
          <w:tcPr>
            <w:tcW w:w="120" w:type="dxa"/>
            <w:vAlign w:val="bottom"/>
          </w:tcPr>
          <w:p>
            <w:pPr>
              <w:spacing w:after="0"/>
              <w:rPr>
                <w:sz w:val="14"/>
                <w:szCs w:val="14"/>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6,875</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3140" w:type="dxa"/>
            <w:vAlign w:val="bottom"/>
            <w:shd w:val="clear" w:color="auto" w:fill="CCECFF"/>
          </w:tcPr>
          <w:p>
            <w:pPr>
              <w:ind w:left="20"/>
              <w:spacing w:after="0"/>
              <w:rPr>
                <w:sz w:val="20"/>
                <w:szCs w:val="20"/>
                <w:color w:val="auto"/>
              </w:rPr>
            </w:pPr>
            <w:r>
              <w:rPr>
                <w:rFonts w:ascii="Arial" w:cs="Arial" w:eastAsia="Arial" w:hAnsi="Arial"/>
                <w:sz w:val="11"/>
                <w:szCs w:val="11"/>
                <w:color w:val="auto"/>
              </w:rPr>
              <w:t>Spectacle Gary Holdings, LLC</w:t>
            </w:r>
          </w:p>
        </w:tc>
        <w:tc>
          <w:tcPr>
            <w:tcW w:w="80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12/23/2025</w:t>
            </w:r>
          </w:p>
        </w:tc>
        <w:tc>
          <w:tcPr>
            <w:tcW w:w="260" w:type="dxa"/>
            <w:vAlign w:val="bottom"/>
            <w:shd w:val="clear" w:color="auto" w:fill="CCECFF"/>
          </w:tcPr>
          <w:p>
            <w:pPr>
              <w:spacing w:after="0"/>
              <w:rPr>
                <w:sz w:val="11"/>
                <w:szCs w:val="11"/>
                <w:color w:val="auto"/>
              </w:rPr>
            </w:pPr>
          </w:p>
        </w:tc>
        <w:tc>
          <w:tcPr>
            <w:tcW w:w="22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Hotels, Restaurants and Leisure</w:t>
            </w:r>
          </w:p>
        </w:tc>
        <w:tc>
          <w:tcPr>
            <w:tcW w:w="1080" w:type="dxa"/>
            <w:vAlign w:val="bottom"/>
            <w:gridSpan w:val="3"/>
            <w:shd w:val="clear" w:color="auto" w:fill="CCECFF"/>
          </w:tcPr>
          <w:p>
            <w:pPr>
              <w:jc w:val="right"/>
              <w:ind w:right="86"/>
              <w:spacing w:after="0"/>
              <w:rPr>
                <w:sz w:val="20"/>
                <w:szCs w:val="20"/>
                <w:color w:val="auto"/>
              </w:rPr>
            </w:pPr>
            <w:r>
              <w:rPr>
                <w:rFonts w:ascii="Arial" w:cs="Arial" w:eastAsia="Arial" w:hAnsi="Arial"/>
                <w:sz w:val="11"/>
                <w:szCs w:val="11"/>
                <w:color w:val="auto"/>
              </w:rPr>
              <w:t>11.00 %</w:t>
            </w:r>
          </w:p>
        </w:tc>
        <w:tc>
          <w:tcPr>
            <w:tcW w:w="9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L+900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4,988</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4,871</w:t>
            </w:r>
          </w:p>
        </w:tc>
        <w:tc>
          <w:tcPr>
            <w:tcW w:w="2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5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5,415</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3140" w:type="dxa"/>
            <w:vAlign w:val="bottom"/>
          </w:tcPr>
          <w:p>
            <w:pPr>
              <w:ind w:left="20"/>
              <w:spacing w:after="0" w:line="125" w:lineRule="exact"/>
              <w:rPr>
                <w:sz w:val="20"/>
                <w:szCs w:val="20"/>
                <w:color w:val="auto"/>
              </w:rPr>
            </w:pPr>
            <w:r>
              <w:rPr>
                <w:rFonts w:ascii="Arial" w:cs="Arial" w:eastAsia="Arial" w:hAnsi="Arial"/>
                <w:sz w:val="11"/>
                <w:szCs w:val="11"/>
                <w:color w:val="auto"/>
              </w:rPr>
              <w:t>STV Group Incorporated</w:t>
            </w:r>
          </w:p>
        </w:tc>
        <w:tc>
          <w:tcPr>
            <w:tcW w:w="800" w:type="dxa"/>
            <w:vAlign w:val="bottom"/>
            <w:gridSpan w:val="2"/>
          </w:tcPr>
          <w:p>
            <w:pPr>
              <w:jc w:val="center"/>
              <w:ind w:left="66"/>
              <w:spacing w:after="0" w:line="125" w:lineRule="exact"/>
              <w:rPr>
                <w:sz w:val="20"/>
                <w:szCs w:val="20"/>
                <w:color w:val="auto"/>
              </w:rPr>
            </w:pPr>
            <w:r>
              <w:rPr>
                <w:rFonts w:ascii="Arial" w:cs="Arial" w:eastAsia="Arial" w:hAnsi="Arial"/>
                <w:sz w:val="11"/>
                <w:szCs w:val="11"/>
                <w:color w:val="auto"/>
                <w:w w:val="87"/>
              </w:rPr>
              <w:t>12/11/2026</w:t>
            </w:r>
          </w:p>
        </w:tc>
        <w:tc>
          <w:tcPr>
            <w:tcW w:w="260" w:type="dxa"/>
            <w:vAlign w:val="bottom"/>
          </w:tcPr>
          <w:p>
            <w:pPr>
              <w:spacing w:after="0"/>
              <w:rPr>
                <w:sz w:val="10"/>
                <w:szCs w:val="10"/>
                <w:color w:val="auto"/>
              </w:rPr>
            </w:pPr>
          </w:p>
        </w:tc>
        <w:tc>
          <w:tcPr>
            <w:tcW w:w="2200" w:type="dxa"/>
            <w:vAlign w:val="bottom"/>
          </w:tcPr>
          <w:p>
            <w:pPr>
              <w:jc w:val="center"/>
              <w:spacing w:after="0" w:line="125" w:lineRule="exact"/>
              <w:rPr>
                <w:sz w:val="20"/>
                <w:szCs w:val="20"/>
                <w:color w:val="auto"/>
              </w:rPr>
            </w:pPr>
            <w:r>
              <w:rPr>
                <w:rFonts w:ascii="Arial" w:cs="Arial" w:eastAsia="Arial" w:hAnsi="Arial"/>
                <w:sz w:val="11"/>
                <w:szCs w:val="11"/>
                <w:color w:val="auto"/>
                <w:w w:val="92"/>
              </w:rPr>
              <w:t>Construction &amp; Engineering</w:t>
            </w:r>
          </w:p>
        </w:tc>
        <w:tc>
          <w:tcPr>
            <w:tcW w:w="1080" w:type="dxa"/>
            <w:vAlign w:val="bottom"/>
            <w:gridSpan w:val="3"/>
          </w:tcPr>
          <w:p>
            <w:pPr>
              <w:jc w:val="right"/>
              <w:ind w:right="86"/>
              <w:spacing w:after="0" w:line="125" w:lineRule="exact"/>
              <w:rPr>
                <w:sz w:val="20"/>
                <w:szCs w:val="20"/>
                <w:color w:val="auto"/>
              </w:rPr>
            </w:pPr>
            <w:r>
              <w:rPr>
                <w:rFonts w:ascii="Arial" w:cs="Arial" w:eastAsia="Arial" w:hAnsi="Arial"/>
                <w:sz w:val="11"/>
                <w:szCs w:val="11"/>
                <w:color w:val="auto"/>
              </w:rPr>
              <w:t>5.33 %</w:t>
            </w:r>
          </w:p>
        </w:tc>
        <w:tc>
          <w:tcPr>
            <w:tcW w:w="920" w:type="dxa"/>
            <w:vAlign w:val="bottom"/>
          </w:tcPr>
          <w:p>
            <w:pPr>
              <w:jc w:val="right"/>
              <w:spacing w:after="0" w:line="125" w:lineRule="exact"/>
              <w:rPr>
                <w:sz w:val="20"/>
                <w:szCs w:val="20"/>
                <w:color w:val="auto"/>
              </w:rPr>
            </w:pPr>
            <w:r>
              <w:rPr>
                <w:rFonts w:ascii="Arial" w:cs="Arial" w:eastAsia="Arial" w:hAnsi="Arial"/>
                <w:sz w:val="11"/>
                <w:szCs w:val="11"/>
                <w:color w:val="auto"/>
              </w:rPr>
              <w:t>1M L+525</w:t>
            </w:r>
          </w:p>
        </w:tc>
        <w:tc>
          <w:tcPr>
            <w:tcW w:w="900" w:type="dxa"/>
            <w:vAlign w:val="bottom"/>
            <w:gridSpan w:val="2"/>
          </w:tcPr>
          <w:p>
            <w:pPr>
              <w:jc w:val="right"/>
              <w:spacing w:after="0" w:line="125" w:lineRule="exact"/>
              <w:rPr>
                <w:sz w:val="20"/>
                <w:szCs w:val="20"/>
                <w:color w:val="auto"/>
              </w:rPr>
            </w:pPr>
            <w:r>
              <w:rPr>
                <w:rFonts w:ascii="Arial" w:cs="Arial" w:eastAsia="Arial" w:hAnsi="Arial"/>
                <w:sz w:val="11"/>
                <w:szCs w:val="11"/>
                <w:color w:val="auto"/>
              </w:rPr>
              <w:t>4,752</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jc w:val="right"/>
              <w:spacing w:after="0" w:line="125" w:lineRule="exact"/>
              <w:rPr>
                <w:sz w:val="20"/>
                <w:szCs w:val="20"/>
                <w:color w:val="auto"/>
              </w:rPr>
            </w:pPr>
            <w:r>
              <w:rPr>
                <w:rFonts w:ascii="Arial" w:cs="Arial" w:eastAsia="Arial" w:hAnsi="Arial"/>
                <w:sz w:val="11"/>
                <w:szCs w:val="11"/>
                <w:color w:val="auto"/>
              </w:rPr>
              <w:t>4,712</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jc w:val="right"/>
              <w:spacing w:after="0" w:line="125" w:lineRule="exact"/>
              <w:rPr>
                <w:sz w:val="20"/>
                <w:szCs w:val="20"/>
                <w:color w:val="auto"/>
              </w:rPr>
            </w:pPr>
            <w:r>
              <w:rPr>
                <w:rFonts w:ascii="Arial" w:cs="Arial" w:eastAsia="Arial" w:hAnsi="Arial"/>
                <w:sz w:val="11"/>
                <w:szCs w:val="11"/>
                <w:color w:val="auto"/>
              </w:rPr>
              <w:t>4,728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3140" w:type="dxa"/>
            <w:vAlign w:val="bottom"/>
          </w:tcPr>
          <w:p>
            <w:pPr>
              <w:ind w:left="20"/>
              <w:spacing w:after="0" w:line="115" w:lineRule="exact"/>
              <w:rPr>
                <w:sz w:val="20"/>
                <w:szCs w:val="20"/>
                <w:color w:val="auto"/>
              </w:rPr>
            </w:pPr>
            <w:r>
              <w:rPr>
                <w:rFonts w:ascii="Arial" w:cs="Arial" w:eastAsia="Arial" w:hAnsi="Arial"/>
                <w:sz w:val="11"/>
                <w:szCs w:val="11"/>
                <w:color w:val="auto"/>
              </w:rPr>
              <w:t>TAC LifePort Purchaser, LLC</w:t>
            </w:r>
          </w:p>
        </w:tc>
        <w:tc>
          <w:tcPr>
            <w:tcW w:w="800" w:type="dxa"/>
            <w:vAlign w:val="bottom"/>
            <w:gridSpan w:val="2"/>
          </w:tcPr>
          <w:p>
            <w:pPr>
              <w:jc w:val="center"/>
              <w:ind w:left="86"/>
              <w:spacing w:after="0" w:line="115" w:lineRule="exact"/>
              <w:rPr>
                <w:sz w:val="20"/>
                <w:szCs w:val="20"/>
                <w:color w:val="auto"/>
              </w:rPr>
            </w:pPr>
            <w:r>
              <w:rPr>
                <w:rFonts w:ascii="Arial" w:cs="Arial" w:eastAsia="Arial" w:hAnsi="Arial"/>
                <w:sz w:val="11"/>
                <w:szCs w:val="11"/>
                <w:color w:val="auto"/>
                <w:w w:val="90"/>
              </w:rPr>
              <w:t>03/01/2026</w:t>
            </w:r>
          </w:p>
        </w:tc>
        <w:tc>
          <w:tcPr>
            <w:tcW w:w="260" w:type="dxa"/>
            <w:vAlign w:val="bottom"/>
          </w:tcPr>
          <w:p>
            <w:pPr>
              <w:spacing w:after="0"/>
              <w:rPr>
                <w:sz w:val="9"/>
                <w:szCs w:val="9"/>
                <w:color w:val="auto"/>
              </w:rPr>
            </w:pPr>
          </w:p>
        </w:tc>
        <w:tc>
          <w:tcPr>
            <w:tcW w:w="2200" w:type="dxa"/>
            <w:vAlign w:val="bottom"/>
          </w:tcPr>
          <w:p>
            <w:pPr>
              <w:jc w:val="center"/>
              <w:spacing w:after="0" w:line="115" w:lineRule="exact"/>
              <w:rPr>
                <w:sz w:val="20"/>
                <w:szCs w:val="20"/>
                <w:color w:val="auto"/>
              </w:rPr>
            </w:pPr>
            <w:r>
              <w:rPr>
                <w:rFonts w:ascii="Arial" w:cs="Arial" w:eastAsia="Arial" w:hAnsi="Arial"/>
                <w:sz w:val="11"/>
                <w:szCs w:val="11"/>
                <w:color w:val="auto"/>
                <w:w w:val="84"/>
              </w:rPr>
              <w:t>Aerospace and Defense</w:t>
            </w:r>
          </w:p>
        </w:tc>
        <w:tc>
          <w:tcPr>
            <w:tcW w:w="1080" w:type="dxa"/>
            <w:vAlign w:val="bottom"/>
            <w:gridSpan w:val="3"/>
          </w:tcPr>
          <w:p>
            <w:pPr>
              <w:jc w:val="right"/>
              <w:ind w:right="86"/>
              <w:spacing w:after="0" w:line="115" w:lineRule="exact"/>
              <w:rPr>
                <w:sz w:val="20"/>
                <w:szCs w:val="20"/>
                <w:color w:val="auto"/>
              </w:rPr>
            </w:pPr>
            <w:r>
              <w:rPr>
                <w:rFonts w:ascii="Arial" w:cs="Arial" w:eastAsia="Arial" w:hAnsi="Arial"/>
                <w:sz w:val="11"/>
                <w:szCs w:val="11"/>
                <w:color w:val="auto"/>
              </w:rPr>
              <w:t>7.00 %</w:t>
            </w:r>
          </w:p>
        </w:tc>
        <w:tc>
          <w:tcPr>
            <w:tcW w:w="920" w:type="dxa"/>
            <w:vAlign w:val="bottom"/>
          </w:tcPr>
          <w:p>
            <w:pPr>
              <w:jc w:val="right"/>
              <w:spacing w:after="0" w:line="115" w:lineRule="exact"/>
              <w:rPr>
                <w:sz w:val="20"/>
                <w:szCs w:val="20"/>
                <w:color w:val="auto"/>
              </w:rPr>
            </w:pPr>
            <w:r>
              <w:rPr>
                <w:rFonts w:ascii="Arial" w:cs="Arial" w:eastAsia="Arial" w:hAnsi="Arial"/>
                <w:sz w:val="11"/>
                <w:szCs w:val="11"/>
                <w:color w:val="auto"/>
              </w:rPr>
              <w:t>3M L+600</w:t>
            </w:r>
          </w:p>
        </w:tc>
        <w:tc>
          <w:tcPr>
            <w:tcW w:w="90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531</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jc w:val="right"/>
              <w:spacing w:after="0" w:line="115" w:lineRule="exact"/>
              <w:rPr>
                <w:sz w:val="20"/>
                <w:szCs w:val="20"/>
                <w:color w:val="auto"/>
              </w:rPr>
            </w:pPr>
            <w:r>
              <w:rPr>
                <w:rFonts w:ascii="Arial" w:cs="Arial" w:eastAsia="Arial" w:hAnsi="Arial"/>
                <w:sz w:val="11"/>
                <w:szCs w:val="11"/>
                <w:color w:val="auto"/>
              </w:rPr>
              <w:t>521</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jc w:val="right"/>
              <w:spacing w:after="0" w:line="115" w:lineRule="exact"/>
              <w:rPr>
                <w:sz w:val="20"/>
                <w:szCs w:val="20"/>
                <w:color w:val="auto"/>
              </w:rPr>
            </w:pPr>
            <w:r>
              <w:rPr>
                <w:rFonts w:ascii="Arial" w:cs="Arial" w:eastAsia="Arial" w:hAnsi="Arial"/>
                <w:sz w:val="11"/>
                <w:szCs w:val="11"/>
                <w:color w:val="auto"/>
              </w:rPr>
              <w:t>531</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3140" w:type="dxa"/>
            <w:vAlign w:val="bottom"/>
          </w:tcPr>
          <w:p>
            <w:pPr>
              <w:ind w:left="20"/>
              <w:spacing w:after="0"/>
              <w:rPr>
                <w:sz w:val="20"/>
                <w:szCs w:val="20"/>
                <w:color w:val="auto"/>
              </w:rPr>
            </w:pPr>
            <w:r>
              <w:rPr>
                <w:rFonts w:ascii="Arial" w:cs="Arial" w:eastAsia="Arial" w:hAnsi="Arial"/>
                <w:sz w:val="11"/>
                <w:szCs w:val="11"/>
                <w:color w:val="auto"/>
              </w:rPr>
              <w:t xml:space="preserve">TAC LifePort Purchaser, LLC (Revolver) </w:t>
            </w:r>
            <w:r>
              <w:rPr>
                <w:rFonts w:ascii="Arial" w:cs="Arial" w:eastAsia="Arial" w:hAnsi="Arial"/>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03/01/2026</w:t>
            </w:r>
          </w:p>
        </w:tc>
        <w:tc>
          <w:tcPr>
            <w:tcW w:w="260" w:type="dxa"/>
            <w:vAlign w:val="bottom"/>
          </w:tcPr>
          <w:p>
            <w:pPr>
              <w:spacing w:after="0"/>
              <w:rPr>
                <w:sz w:val="14"/>
                <w:szCs w:val="14"/>
                <w:color w:val="auto"/>
              </w:rPr>
            </w:pPr>
          </w:p>
        </w:tc>
        <w:tc>
          <w:tcPr>
            <w:tcW w:w="2200" w:type="dxa"/>
            <w:vAlign w:val="bottom"/>
          </w:tcPr>
          <w:p>
            <w:pPr>
              <w:jc w:val="center"/>
              <w:spacing w:after="0"/>
              <w:rPr>
                <w:sz w:val="20"/>
                <w:szCs w:val="20"/>
                <w:color w:val="auto"/>
              </w:rPr>
            </w:pPr>
            <w:r>
              <w:rPr>
                <w:rFonts w:ascii="Arial" w:cs="Arial" w:eastAsia="Arial" w:hAnsi="Arial"/>
                <w:sz w:val="11"/>
                <w:szCs w:val="11"/>
                <w:color w:val="auto"/>
                <w:w w:val="84"/>
              </w:rPr>
              <w:t>Aerospace and Defense</w:t>
            </w:r>
          </w:p>
        </w:tc>
        <w:tc>
          <w:tcPr>
            <w:tcW w:w="120" w:type="dxa"/>
            <w:vAlign w:val="bottom"/>
          </w:tcPr>
          <w:p>
            <w:pPr>
              <w:spacing w:after="0"/>
              <w:rPr>
                <w:sz w:val="14"/>
                <w:szCs w:val="14"/>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1,302</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1"/>
                <w:szCs w:val="11"/>
                <w:color w:val="auto"/>
              </w:rPr>
              <w:t>(0 )</w:t>
            </w:r>
          </w:p>
        </w:tc>
        <w:tc>
          <w:tcPr>
            <w:tcW w:w="0" w:type="dxa"/>
            <w:vAlign w:val="bottom"/>
          </w:tcPr>
          <w:p>
            <w:pPr>
              <w:spacing w:after="0"/>
              <w:rPr>
                <w:sz w:val="1"/>
                <w:szCs w:val="1"/>
                <w:color w:val="auto"/>
              </w:rPr>
            </w:pPr>
          </w:p>
        </w:tc>
      </w:tr>
      <w:tr>
        <w:trPr>
          <w:trHeight w:val="135"/>
        </w:trPr>
        <w:tc>
          <w:tcPr>
            <w:tcW w:w="3140" w:type="dxa"/>
            <w:vAlign w:val="bottom"/>
            <w:shd w:val="clear" w:color="auto" w:fill="CCECFF"/>
          </w:tcPr>
          <w:p>
            <w:pPr>
              <w:ind w:left="20"/>
              <w:spacing w:after="0"/>
              <w:rPr>
                <w:sz w:val="20"/>
                <w:szCs w:val="20"/>
                <w:color w:val="auto"/>
              </w:rPr>
            </w:pPr>
            <w:r>
              <w:rPr>
                <w:rFonts w:ascii="Arial" w:cs="Arial" w:eastAsia="Arial" w:hAnsi="Arial"/>
                <w:sz w:val="11"/>
                <w:szCs w:val="11"/>
                <w:color w:val="auto"/>
              </w:rPr>
              <w:t>TeleGuam Holdings, LLC</w:t>
            </w:r>
          </w:p>
        </w:tc>
        <w:tc>
          <w:tcPr>
            <w:tcW w:w="80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11/20/2025</w:t>
            </w:r>
          </w:p>
        </w:tc>
        <w:tc>
          <w:tcPr>
            <w:tcW w:w="260" w:type="dxa"/>
            <w:vAlign w:val="bottom"/>
            <w:shd w:val="clear" w:color="auto" w:fill="CCECFF"/>
          </w:tcPr>
          <w:p>
            <w:pPr>
              <w:spacing w:after="0"/>
              <w:rPr>
                <w:sz w:val="11"/>
                <w:szCs w:val="11"/>
                <w:color w:val="auto"/>
              </w:rPr>
            </w:pPr>
          </w:p>
        </w:tc>
        <w:tc>
          <w:tcPr>
            <w:tcW w:w="22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Wireless Telecommunication Services</w:t>
            </w:r>
          </w:p>
        </w:tc>
        <w:tc>
          <w:tcPr>
            <w:tcW w:w="1080" w:type="dxa"/>
            <w:vAlign w:val="bottom"/>
            <w:gridSpan w:val="3"/>
            <w:shd w:val="clear" w:color="auto" w:fill="CCECFF"/>
          </w:tcPr>
          <w:p>
            <w:pPr>
              <w:jc w:val="right"/>
              <w:ind w:right="86"/>
              <w:spacing w:after="0"/>
              <w:rPr>
                <w:sz w:val="20"/>
                <w:szCs w:val="20"/>
                <w:color w:val="auto"/>
              </w:rPr>
            </w:pPr>
            <w:r>
              <w:rPr>
                <w:rFonts w:ascii="Arial" w:cs="Arial" w:eastAsia="Arial" w:hAnsi="Arial"/>
                <w:sz w:val="11"/>
                <w:szCs w:val="11"/>
                <w:color w:val="auto"/>
              </w:rPr>
              <w:t>5.50 %</w:t>
            </w:r>
          </w:p>
        </w:tc>
        <w:tc>
          <w:tcPr>
            <w:tcW w:w="9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L+450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3,127</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3,103</w:t>
            </w:r>
          </w:p>
        </w:tc>
        <w:tc>
          <w:tcPr>
            <w:tcW w:w="2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5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3,096</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40" w:type="dxa"/>
            <w:vAlign w:val="bottom"/>
          </w:tcPr>
          <w:p>
            <w:pPr>
              <w:ind w:left="20"/>
              <w:spacing w:after="0"/>
              <w:rPr>
                <w:sz w:val="20"/>
                <w:szCs w:val="20"/>
                <w:color w:val="auto"/>
              </w:rPr>
            </w:pPr>
            <w:r>
              <w:rPr>
                <w:rFonts w:ascii="Arial" w:cs="Arial" w:eastAsia="Arial" w:hAnsi="Arial"/>
                <w:sz w:val="11"/>
                <w:szCs w:val="11"/>
                <w:color w:val="auto"/>
              </w:rPr>
              <w:t>Teneo Holdings LLC</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07/18/2025</w:t>
            </w:r>
          </w:p>
        </w:tc>
        <w:tc>
          <w:tcPr>
            <w:tcW w:w="260" w:type="dxa"/>
            <w:vAlign w:val="bottom"/>
          </w:tcPr>
          <w:p>
            <w:pPr>
              <w:spacing w:after="0"/>
              <w:rPr>
                <w:sz w:val="11"/>
                <w:szCs w:val="11"/>
                <w:color w:val="auto"/>
              </w:rPr>
            </w:pPr>
          </w:p>
        </w:tc>
        <w:tc>
          <w:tcPr>
            <w:tcW w:w="2200" w:type="dxa"/>
            <w:vAlign w:val="bottom"/>
          </w:tcPr>
          <w:p>
            <w:pPr>
              <w:jc w:val="center"/>
              <w:spacing w:after="0"/>
              <w:rPr>
                <w:sz w:val="20"/>
                <w:szCs w:val="20"/>
                <w:color w:val="auto"/>
              </w:rPr>
            </w:pPr>
            <w:r>
              <w:rPr>
                <w:rFonts w:ascii="Arial" w:cs="Arial" w:eastAsia="Arial" w:hAnsi="Arial"/>
                <w:sz w:val="11"/>
                <w:szCs w:val="11"/>
                <w:color w:val="auto"/>
                <w:w w:val="91"/>
              </w:rPr>
              <w:t>Diversified Financial Services</w:t>
            </w:r>
          </w:p>
        </w:tc>
        <w:tc>
          <w:tcPr>
            <w:tcW w:w="1080" w:type="dxa"/>
            <w:vAlign w:val="bottom"/>
            <w:gridSpan w:val="3"/>
          </w:tcPr>
          <w:p>
            <w:pPr>
              <w:jc w:val="right"/>
              <w:ind w:right="86"/>
              <w:spacing w:after="0"/>
              <w:rPr>
                <w:sz w:val="20"/>
                <w:szCs w:val="20"/>
                <w:color w:val="auto"/>
              </w:rPr>
            </w:pPr>
            <w:r>
              <w:rPr>
                <w:rFonts w:ascii="Arial" w:cs="Arial" w:eastAsia="Arial" w:hAnsi="Arial"/>
                <w:sz w:val="11"/>
                <w:szCs w:val="11"/>
                <w:color w:val="auto"/>
              </w:rPr>
              <w:t>6.25 %</w:t>
            </w:r>
          </w:p>
        </w:tc>
        <w:tc>
          <w:tcPr>
            <w:tcW w:w="920" w:type="dxa"/>
            <w:vAlign w:val="bottom"/>
          </w:tcPr>
          <w:p>
            <w:pPr>
              <w:jc w:val="right"/>
              <w:spacing w:after="0"/>
              <w:rPr>
                <w:sz w:val="20"/>
                <w:szCs w:val="20"/>
                <w:color w:val="auto"/>
              </w:rPr>
            </w:pPr>
            <w:r>
              <w:rPr>
                <w:rFonts w:ascii="Arial" w:cs="Arial" w:eastAsia="Arial" w:hAnsi="Arial"/>
                <w:sz w:val="11"/>
                <w:szCs w:val="11"/>
                <w:color w:val="auto"/>
              </w:rPr>
              <w:t>1M L+525</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5,853</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5,754</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5,821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40" w:type="dxa"/>
            <w:vAlign w:val="bottom"/>
            <w:shd w:val="clear" w:color="auto" w:fill="CCECFF"/>
          </w:tcPr>
          <w:p>
            <w:pPr>
              <w:ind w:left="20"/>
              <w:spacing w:after="0"/>
              <w:rPr>
                <w:sz w:val="20"/>
                <w:szCs w:val="20"/>
                <w:color w:val="auto"/>
              </w:rPr>
            </w:pPr>
            <w:r>
              <w:rPr>
                <w:rFonts w:ascii="Arial" w:cs="Arial" w:eastAsia="Arial" w:hAnsi="Arial"/>
                <w:sz w:val="11"/>
                <w:szCs w:val="11"/>
                <w:color w:val="auto"/>
              </w:rPr>
              <w:t>The Aegis Technologies Group, LLC</w:t>
            </w:r>
          </w:p>
        </w:tc>
        <w:tc>
          <w:tcPr>
            <w:tcW w:w="80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10/31/2025</w:t>
            </w:r>
          </w:p>
        </w:tc>
        <w:tc>
          <w:tcPr>
            <w:tcW w:w="260" w:type="dxa"/>
            <w:vAlign w:val="bottom"/>
            <w:shd w:val="clear" w:color="auto" w:fill="CCECFF"/>
          </w:tcPr>
          <w:p>
            <w:pPr>
              <w:spacing w:after="0"/>
              <w:rPr>
                <w:sz w:val="11"/>
                <w:szCs w:val="11"/>
                <w:color w:val="auto"/>
              </w:rPr>
            </w:pPr>
          </w:p>
        </w:tc>
        <w:tc>
          <w:tcPr>
            <w:tcW w:w="22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4"/>
              </w:rPr>
              <w:t>Aerospace and Defense</w:t>
            </w:r>
          </w:p>
        </w:tc>
        <w:tc>
          <w:tcPr>
            <w:tcW w:w="1080" w:type="dxa"/>
            <w:vAlign w:val="bottom"/>
            <w:gridSpan w:val="3"/>
            <w:shd w:val="clear" w:color="auto" w:fill="CCECFF"/>
          </w:tcPr>
          <w:p>
            <w:pPr>
              <w:jc w:val="right"/>
              <w:ind w:right="86"/>
              <w:spacing w:after="0"/>
              <w:rPr>
                <w:sz w:val="20"/>
                <w:szCs w:val="20"/>
                <w:color w:val="auto"/>
              </w:rPr>
            </w:pPr>
            <w:r>
              <w:rPr>
                <w:rFonts w:ascii="Arial" w:cs="Arial" w:eastAsia="Arial" w:hAnsi="Arial"/>
                <w:sz w:val="11"/>
                <w:szCs w:val="11"/>
                <w:color w:val="auto"/>
              </w:rPr>
              <w:t>7.00 %</w:t>
            </w:r>
          </w:p>
        </w:tc>
        <w:tc>
          <w:tcPr>
            <w:tcW w:w="9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L+600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4,968</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4,900</w:t>
            </w:r>
          </w:p>
        </w:tc>
        <w:tc>
          <w:tcPr>
            <w:tcW w:w="2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5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4,919</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3140" w:type="dxa"/>
            <w:vAlign w:val="bottom"/>
          </w:tcPr>
          <w:p>
            <w:pPr>
              <w:ind w:left="20"/>
              <w:spacing w:after="0" w:line="105" w:lineRule="exact"/>
              <w:rPr>
                <w:sz w:val="20"/>
                <w:szCs w:val="20"/>
                <w:color w:val="auto"/>
              </w:rPr>
            </w:pPr>
            <w:r>
              <w:rPr>
                <w:rFonts w:ascii="Arial" w:cs="Arial" w:eastAsia="Arial" w:hAnsi="Arial"/>
                <w:sz w:val="11"/>
                <w:szCs w:val="11"/>
                <w:color w:val="auto"/>
              </w:rPr>
              <w:t>The Bluebird Group LLC</w:t>
            </w:r>
          </w:p>
        </w:tc>
        <w:tc>
          <w:tcPr>
            <w:tcW w:w="800" w:type="dxa"/>
            <w:vAlign w:val="bottom"/>
            <w:gridSpan w:val="2"/>
          </w:tcPr>
          <w:p>
            <w:pPr>
              <w:jc w:val="center"/>
              <w:ind w:left="86"/>
              <w:spacing w:after="0" w:line="105" w:lineRule="exact"/>
              <w:rPr>
                <w:sz w:val="20"/>
                <w:szCs w:val="20"/>
                <w:color w:val="auto"/>
              </w:rPr>
            </w:pPr>
            <w:r>
              <w:rPr>
                <w:rFonts w:ascii="Arial" w:cs="Arial" w:eastAsia="Arial" w:hAnsi="Arial"/>
                <w:sz w:val="11"/>
                <w:szCs w:val="11"/>
                <w:color w:val="auto"/>
                <w:w w:val="90"/>
              </w:rPr>
              <w:t>07/27/2026</w:t>
            </w:r>
          </w:p>
        </w:tc>
        <w:tc>
          <w:tcPr>
            <w:tcW w:w="260" w:type="dxa"/>
            <w:vAlign w:val="bottom"/>
          </w:tcPr>
          <w:p>
            <w:pPr>
              <w:spacing w:after="0"/>
              <w:rPr>
                <w:sz w:val="9"/>
                <w:szCs w:val="9"/>
                <w:color w:val="auto"/>
              </w:rPr>
            </w:pPr>
          </w:p>
        </w:tc>
        <w:tc>
          <w:tcPr>
            <w:tcW w:w="2200" w:type="dxa"/>
            <w:vAlign w:val="bottom"/>
          </w:tcPr>
          <w:p>
            <w:pPr>
              <w:jc w:val="center"/>
              <w:spacing w:after="0" w:line="105" w:lineRule="exact"/>
              <w:rPr>
                <w:sz w:val="20"/>
                <w:szCs w:val="20"/>
                <w:color w:val="auto"/>
              </w:rPr>
            </w:pPr>
            <w:r>
              <w:rPr>
                <w:rFonts w:ascii="Arial" w:cs="Arial" w:eastAsia="Arial" w:hAnsi="Arial"/>
                <w:sz w:val="11"/>
                <w:szCs w:val="11"/>
                <w:color w:val="auto"/>
                <w:w w:val="86"/>
              </w:rPr>
              <w:t>Professional Services</w:t>
            </w:r>
          </w:p>
        </w:tc>
        <w:tc>
          <w:tcPr>
            <w:tcW w:w="1080" w:type="dxa"/>
            <w:vAlign w:val="bottom"/>
            <w:gridSpan w:val="3"/>
          </w:tcPr>
          <w:p>
            <w:pPr>
              <w:jc w:val="right"/>
              <w:ind w:right="86"/>
              <w:spacing w:after="0" w:line="105" w:lineRule="exact"/>
              <w:rPr>
                <w:sz w:val="20"/>
                <w:szCs w:val="20"/>
                <w:color w:val="auto"/>
              </w:rPr>
            </w:pPr>
            <w:r>
              <w:rPr>
                <w:rFonts w:ascii="Arial" w:cs="Arial" w:eastAsia="Arial" w:hAnsi="Arial"/>
                <w:sz w:val="11"/>
                <w:szCs w:val="11"/>
                <w:color w:val="auto"/>
              </w:rPr>
              <w:t>8.00 %</w:t>
            </w:r>
          </w:p>
        </w:tc>
        <w:tc>
          <w:tcPr>
            <w:tcW w:w="920" w:type="dxa"/>
            <w:vAlign w:val="bottom"/>
          </w:tcPr>
          <w:p>
            <w:pPr>
              <w:jc w:val="right"/>
              <w:spacing w:after="0" w:line="105" w:lineRule="exact"/>
              <w:rPr>
                <w:sz w:val="20"/>
                <w:szCs w:val="20"/>
                <w:color w:val="auto"/>
              </w:rPr>
            </w:pPr>
            <w:r>
              <w:rPr>
                <w:rFonts w:ascii="Arial" w:cs="Arial" w:eastAsia="Arial" w:hAnsi="Arial"/>
                <w:sz w:val="11"/>
                <w:szCs w:val="11"/>
                <w:color w:val="auto"/>
              </w:rPr>
              <w:t>3M L+700</w:t>
            </w:r>
          </w:p>
        </w:tc>
        <w:tc>
          <w:tcPr>
            <w:tcW w:w="900" w:type="dxa"/>
            <w:vAlign w:val="bottom"/>
            <w:gridSpan w:val="2"/>
          </w:tcPr>
          <w:p>
            <w:pPr>
              <w:jc w:val="right"/>
              <w:spacing w:after="0" w:line="105" w:lineRule="exact"/>
              <w:rPr>
                <w:sz w:val="20"/>
                <w:szCs w:val="20"/>
                <w:color w:val="auto"/>
              </w:rPr>
            </w:pPr>
            <w:r>
              <w:rPr>
                <w:rFonts w:ascii="Arial" w:cs="Arial" w:eastAsia="Arial" w:hAnsi="Arial"/>
                <w:sz w:val="11"/>
                <w:szCs w:val="11"/>
                <w:color w:val="auto"/>
              </w:rPr>
              <w:t>4,844</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jc w:val="right"/>
              <w:spacing w:after="0" w:line="105" w:lineRule="exact"/>
              <w:rPr>
                <w:sz w:val="20"/>
                <w:szCs w:val="20"/>
                <w:color w:val="auto"/>
              </w:rPr>
            </w:pPr>
            <w:r>
              <w:rPr>
                <w:rFonts w:ascii="Arial" w:cs="Arial" w:eastAsia="Arial" w:hAnsi="Arial"/>
                <w:sz w:val="11"/>
                <w:szCs w:val="11"/>
                <w:color w:val="auto"/>
              </w:rPr>
              <w:t>4,750</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jc w:val="right"/>
              <w:spacing w:after="0" w:line="105" w:lineRule="exact"/>
              <w:rPr>
                <w:sz w:val="20"/>
                <w:szCs w:val="20"/>
                <w:color w:val="auto"/>
              </w:rPr>
            </w:pPr>
            <w:r>
              <w:rPr>
                <w:rFonts w:ascii="Arial" w:cs="Arial" w:eastAsia="Arial" w:hAnsi="Arial"/>
                <w:sz w:val="11"/>
                <w:szCs w:val="11"/>
                <w:color w:val="auto"/>
              </w:rPr>
              <w:t>4,814</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314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The Bluebird Group LLC (Revolver) </w:t>
            </w:r>
            <w:r>
              <w:rPr>
                <w:rFonts w:ascii="Arial" w:cs="Arial" w:eastAsia="Arial" w:hAnsi="Arial"/>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07/27/2026</w:t>
            </w:r>
          </w:p>
        </w:tc>
        <w:tc>
          <w:tcPr>
            <w:tcW w:w="260" w:type="dxa"/>
            <w:vAlign w:val="bottom"/>
          </w:tcPr>
          <w:p>
            <w:pPr>
              <w:spacing w:after="0"/>
              <w:rPr>
                <w:sz w:val="13"/>
                <w:szCs w:val="13"/>
                <w:color w:val="auto"/>
              </w:rPr>
            </w:pPr>
          </w:p>
        </w:tc>
        <w:tc>
          <w:tcPr>
            <w:tcW w:w="2200" w:type="dxa"/>
            <w:vAlign w:val="bottom"/>
          </w:tcPr>
          <w:p>
            <w:pPr>
              <w:jc w:val="center"/>
              <w:spacing w:after="0"/>
              <w:rPr>
                <w:sz w:val="20"/>
                <w:szCs w:val="20"/>
                <w:color w:val="auto"/>
              </w:rPr>
            </w:pPr>
            <w:r>
              <w:rPr>
                <w:rFonts w:ascii="Arial" w:cs="Arial" w:eastAsia="Arial" w:hAnsi="Arial"/>
                <w:sz w:val="11"/>
                <w:szCs w:val="11"/>
                <w:color w:val="auto"/>
                <w:w w:val="86"/>
              </w:rPr>
              <w:t>Professional Services</w:t>
            </w:r>
          </w:p>
        </w:tc>
        <w:tc>
          <w:tcPr>
            <w:tcW w:w="120" w:type="dxa"/>
            <w:vAlign w:val="bottom"/>
          </w:tcPr>
          <w:p>
            <w:pPr>
              <w:spacing w:after="0"/>
              <w:rPr>
                <w:sz w:val="13"/>
                <w:szCs w:val="13"/>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862</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1"/>
                <w:szCs w:val="11"/>
                <w:color w:val="auto"/>
              </w:rPr>
              <w:t>(5 )</w:t>
            </w:r>
          </w:p>
        </w:tc>
        <w:tc>
          <w:tcPr>
            <w:tcW w:w="0" w:type="dxa"/>
            <w:vAlign w:val="bottom"/>
          </w:tcPr>
          <w:p>
            <w:pPr>
              <w:spacing w:after="0"/>
              <w:rPr>
                <w:sz w:val="1"/>
                <w:szCs w:val="1"/>
                <w:color w:val="auto"/>
              </w:rPr>
            </w:pPr>
          </w:p>
        </w:tc>
      </w:tr>
      <w:tr>
        <w:trPr>
          <w:trHeight w:val="115"/>
        </w:trPr>
        <w:tc>
          <w:tcPr>
            <w:tcW w:w="3140" w:type="dxa"/>
            <w:vAlign w:val="bottom"/>
          </w:tcPr>
          <w:p>
            <w:pPr>
              <w:ind w:left="20"/>
              <w:spacing w:after="0" w:line="115" w:lineRule="exact"/>
              <w:rPr>
                <w:sz w:val="20"/>
                <w:szCs w:val="20"/>
                <w:color w:val="auto"/>
              </w:rPr>
            </w:pPr>
            <w:r>
              <w:rPr>
                <w:rFonts w:ascii="Arial" w:cs="Arial" w:eastAsia="Arial" w:hAnsi="Arial"/>
                <w:sz w:val="11"/>
                <w:szCs w:val="11"/>
                <w:color w:val="auto"/>
              </w:rPr>
              <w:t>The Infosoft Group, LLC</w:t>
            </w:r>
          </w:p>
        </w:tc>
        <w:tc>
          <w:tcPr>
            <w:tcW w:w="800" w:type="dxa"/>
            <w:vAlign w:val="bottom"/>
            <w:gridSpan w:val="2"/>
          </w:tcPr>
          <w:p>
            <w:pPr>
              <w:jc w:val="center"/>
              <w:ind w:left="86"/>
              <w:spacing w:after="0" w:line="115" w:lineRule="exact"/>
              <w:rPr>
                <w:sz w:val="20"/>
                <w:szCs w:val="20"/>
                <w:color w:val="auto"/>
              </w:rPr>
            </w:pPr>
            <w:r>
              <w:rPr>
                <w:rFonts w:ascii="Arial" w:cs="Arial" w:eastAsia="Arial" w:hAnsi="Arial"/>
                <w:sz w:val="11"/>
                <w:szCs w:val="11"/>
                <w:color w:val="auto"/>
                <w:w w:val="90"/>
              </w:rPr>
              <w:t>09/16/2024</w:t>
            </w:r>
          </w:p>
        </w:tc>
        <w:tc>
          <w:tcPr>
            <w:tcW w:w="260" w:type="dxa"/>
            <w:vAlign w:val="bottom"/>
          </w:tcPr>
          <w:p>
            <w:pPr>
              <w:spacing w:after="0"/>
              <w:rPr>
                <w:sz w:val="9"/>
                <w:szCs w:val="9"/>
                <w:color w:val="auto"/>
              </w:rPr>
            </w:pPr>
          </w:p>
        </w:tc>
        <w:tc>
          <w:tcPr>
            <w:tcW w:w="2200" w:type="dxa"/>
            <w:vAlign w:val="bottom"/>
          </w:tcPr>
          <w:p>
            <w:pPr>
              <w:jc w:val="center"/>
              <w:spacing w:after="0" w:line="115" w:lineRule="exact"/>
              <w:rPr>
                <w:sz w:val="20"/>
                <w:szCs w:val="20"/>
                <w:color w:val="auto"/>
              </w:rPr>
            </w:pPr>
            <w:r>
              <w:rPr>
                <w:rFonts w:ascii="Arial" w:cs="Arial" w:eastAsia="Arial" w:hAnsi="Arial"/>
                <w:sz w:val="11"/>
                <w:szCs w:val="11"/>
                <w:color w:val="auto"/>
                <w:w w:val="88"/>
              </w:rPr>
              <w:t>Media: Broadcasting and Subscription</w:t>
            </w:r>
          </w:p>
        </w:tc>
        <w:tc>
          <w:tcPr>
            <w:tcW w:w="1080" w:type="dxa"/>
            <w:vAlign w:val="bottom"/>
            <w:gridSpan w:val="3"/>
          </w:tcPr>
          <w:p>
            <w:pPr>
              <w:jc w:val="right"/>
              <w:ind w:right="86"/>
              <w:spacing w:after="0" w:line="115" w:lineRule="exact"/>
              <w:rPr>
                <w:sz w:val="20"/>
                <w:szCs w:val="20"/>
                <w:color w:val="auto"/>
              </w:rPr>
            </w:pPr>
            <w:r>
              <w:rPr>
                <w:rFonts w:ascii="Arial" w:cs="Arial" w:eastAsia="Arial" w:hAnsi="Arial"/>
                <w:sz w:val="11"/>
                <w:szCs w:val="11"/>
                <w:color w:val="auto"/>
              </w:rPr>
              <w:t>6.75 %</w:t>
            </w:r>
          </w:p>
        </w:tc>
        <w:tc>
          <w:tcPr>
            <w:tcW w:w="920" w:type="dxa"/>
            <w:vAlign w:val="bottom"/>
          </w:tcPr>
          <w:p>
            <w:pPr>
              <w:jc w:val="right"/>
              <w:spacing w:after="0" w:line="115" w:lineRule="exact"/>
              <w:rPr>
                <w:sz w:val="20"/>
                <w:szCs w:val="20"/>
                <w:color w:val="auto"/>
              </w:rPr>
            </w:pPr>
            <w:r>
              <w:rPr>
                <w:rFonts w:ascii="Arial" w:cs="Arial" w:eastAsia="Arial" w:hAnsi="Arial"/>
                <w:sz w:val="11"/>
                <w:szCs w:val="11"/>
                <w:color w:val="auto"/>
              </w:rPr>
              <w:t>3M L+575</w:t>
            </w:r>
          </w:p>
        </w:tc>
        <w:tc>
          <w:tcPr>
            <w:tcW w:w="90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15,725</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jc w:val="right"/>
              <w:spacing w:after="0" w:line="115" w:lineRule="exact"/>
              <w:rPr>
                <w:sz w:val="20"/>
                <w:szCs w:val="20"/>
                <w:color w:val="auto"/>
              </w:rPr>
            </w:pPr>
            <w:r>
              <w:rPr>
                <w:rFonts w:ascii="Arial" w:cs="Arial" w:eastAsia="Arial" w:hAnsi="Arial"/>
                <w:sz w:val="11"/>
                <w:szCs w:val="11"/>
                <w:color w:val="auto"/>
              </w:rPr>
              <w:t>15,633</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jc w:val="right"/>
              <w:spacing w:after="0" w:line="115" w:lineRule="exact"/>
              <w:rPr>
                <w:sz w:val="20"/>
                <w:szCs w:val="20"/>
                <w:color w:val="auto"/>
              </w:rPr>
            </w:pPr>
            <w:r>
              <w:rPr>
                <w:rFonts w:ascii="Arial" w:cs="Arial" w:eastAsia="Arial" w:hAnsi="Arial"/>
                <w:sz w:val="11"/>
                <w:szCs w:val="11"/>
                <w:color w:val="auto"/>
              </w:rPr>
              <w:t>15,725</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14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The Vertex Companies, LLC </w:t>
            </w:r>
            <w:r>
              <w:rPr>
                <w:rFonts w:ascii="Arial" w:cs="Arial" w:eastAsia="Arial" w:hAnsi="Arial"/>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08/30/2027</w:t>
            </w:r>
          </w:p>
        </w:tc>
        <w:tc>
          <w:tcPr>
            <w:tcW w:w="260" w:type="dxa"/>
            <w:vAlign w:val="bottom"/>
          </w:tcPr>
          <w:p>
            <w:pPr>
              <w:spacing w:after="0"/>
              <w:rPr>
                <w:sz w:val="11"/>
                <w:szCs w:val="11"/>
                <w:color w:val="auto"/>
              </w:rPr>
            </w:pPr>
          </w:p>
        </w:tc>
        <w:tc>
          <w:tcPr>
            <w:tcW w:w="2200" w:type="dxa"/>
            <w:vAlign w:val="bottom"/>
          </w:tcPr>
          <w:p>
            <w:pPr>
              <w:jc w:val="center"/>
              <w:spacing w:after="0"/>
              <w:rPr>
                <w:sz w:val="20"/>
                <w:szCs w:val="20"/>
                <w:color w:val="auto"/>
              </w:rPr>
            </w:pPr>
            <w:r>
              <w:rPr>
                <w:rFonts w:ascii="Arial" w:cs="Arial" w:eastAsia="Arial" w:hAnsi="Arial"/>
                <w:sz w:val="11"/>
                <w:szCs w:val="11"/>
                <w:color w:val="auto"/>
                <w:w w:val="92"/>
              </w:rPr>
              <w:t>Construction &amp; Engineering</w:t>
            </w:r>
          </w:p>
        </w:tc>
        <w:tc>
          <w:tcPr>
            <w:tcW w:w="120" w:type="dxa"/>
            <w:vAlign w:val="bottom"/>
          </w:tcPr>
          <w:p>
            <w:pPr>
              <w:spacing w:after="0"/>
              <w:rPr>
                <w:sz w:val="11"/>
                <w:szCs w:val="11"/>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2,734</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1"/>
                <w:szCs w:val="11"/>
                <w:color w:val="auto"/>
              </w:rPr>
              <w:t>(24 )</w:t>
            </w:r>
          </w:p>
        </w:tc>
        <w:tc>
          <w:tcPr>
            <w:tcW w:w="0" w:type="dxa"/>
            <w:vAlign w:val="bottom"/>
          </w:tcPr>
          <w:p>
            <w:pPr>
              <w:spacing w:after="0"/>
              <w:rPr>
                <w:sz w:val="1"/>
                <w:szCs w:val="1"/>
                <w:color w:val="auto"/>
              </w:rPr>
            </w:pPr>
          </w:p>
        </w:tc>
      </w:tr>
      <w:tr>
        <w:trPr>
          <w:trHeight w:val="135"/>
        </w:trPr>
        <w:tc>
          <w:tcPr>
            <w:tcW w:w="314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The Vertex Companies, LLC (Revolver) </w:t>
            </w:r>
            <w:r>
              <w:rPr>
                <w:rFonts w:ascii="Arial" w:cs="Arial" w:eastAsia="Arial" w:hAnsi="Arial"/>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08/30/2027</w:t>
            </w:r>
          </w:p>
        </w:tc>
        <w:tc>
          <w:tcPr>
            <w:tcW w:w="260" w:type="dxa"/>
            <w:vAlign w:val="bottom"/>
          </w:tcPr>
          <w:p>
            <w:pPr>
              <w:spacing w:after="0"/>
              <w:rPr>
                <w:sz w:val="11"/>
                <w:szCs w:val="11"/>
                <w:color w:val="auto"/>
              </w:rPr>
            </w:pPr>
          </w:p>
        </w:tc>
        <w:tc>
          <w:tcPr>
            <w:tcW w:w="2200" w:type="dxa"/>
            <w:vAlign w:val="bottom"/>
          </w:tcPr>
          <w:p>
            <w:pPr>
              <w:jc w:val="center"/>
              <w:spacing w:after="0"/>
              <w:rPr>
                <w:sz w:val="20"/>
                <w:szCs w:val="20"/>
                <w:color w:val="auto"/>
              </w:rPr>
            </w:pPr>
            <w:r>
              <w:rPr>
                <w:rFonts w:ascii="Arial" w:cs="Arial" w:eastAsia="Arial" w:hAnsi="Arial"/>
                <w:sz w:val="11"/>
                <w:szCs w:val="11"/>
                <w:color w:val="auto"/>
                <w:w w:val="92"/>
              </w:rPr>
              <w:t>Construction &amp; Engineering</w:t>
            </w:r>
          </w:p>
        </w:tc>
        <w:tc>
          <w:tcPr>
            <w:tcW w:w="120" w:type="dxa"/>
            <w:vAlign w:val="bottom"/>
          </w:tcPr>
          <w:p>
            <w:pPr>
              <w:spacing w:after="0"/>
              <w:rPr>
                <w:sz w:val="11"/>
                <w:szCs w:val="11"/>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911</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1"/>
                <w:szCs w:val="11"/>
                <w:color w:val="auto"/>
              </w:rPr>
              <w:t>(17 )</w:t>
            </w:r>
          </w:p>
        </w:tc>
        <w:tc>
          <w:tcPr>
            <w:tcW w:w="0" w:type="dxa"/>
            <w:vAlign w:val="bottom"/>
          </w:tcPr>
          <w:p>
            <w:pPr>
              <w:spacing w:after="0"/>
              <w:rPr>
                <w:sz w:val="1"/>
                <w:szCs w:val="1"/>
                <w:color w:val="auto"/>
              </w:rPr>
            </w:pPr>
          </w:p>
        </w:tc>
      </w:tr>
      <w:tr>
        <w:trPr>
          <w:trHeight w:val="155"/>
        </w:trPr>
        <w:tc>
          <w:tcPr>
            <w:tcW w:w="314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TPC Canada Parent, Inc. and TPC US Parent, LLC </w:t>
            </w:r>
            <w:r>
              <w:rPr>
                <w:rFonts w:ascii="Arial" w:cs="Arial" w:eastAsia="Arial" w:hAnsi="Arial"/>
                <w:sz w:val="14"/>
                <w:szCs w:val="14"/>
                <w:color w:val="auto"/>
                <w:vertAlign w:val="superscript"/>
              </w:rPr>
              <w:t>(5), (10)</w:t>
            </w:r>
          </w:p>
        </w:tc>
        <w:tc>
          <w:tcPr>
            <w:tcW w:w="80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11/24/2025</w:t>
            </w:r>
          </w:p>
        </w:tc>
        <w:tc>
          <w:tcPr>
            <w:tcW w:w="260" w:type="dxa"/>
            <w:vAlign w:val="bottom"/>
          </w:tcPr>
          <w:p>
            <w:pPr>
              <w:spacing w:after="0"/>
              <w:rPr>
                <w:sz w:val="13"/>
                <w:szCs w:val="13"/>
                <w:color w:val="auto"/>
              </w:rPr>
            </w:pPr>
          </w:p>
        </w:tc>
        <w:tc>
          <w:tcPr>
            <w:tcW w:w="2200" w:type="dxa"/>
            <w:vAlign w:val="bottom"/>
          </w:tcPr>
          <w:p>
            <w:pPr>
              <w:jc w:val="center"/>
              <w:spacing w:after="0"/>
              <w:rPr>
                <w:sz w:val="20"/>
                <w:szCs w:val="20"/>
                <w:color w:val="auto"/>
              </w:rPr>
            </w:pPr>
            <w:r>
              <w:rPr>
                <w:rFonts w:ascii="Arial" w:cs="Arial" w:eastAsia="Arial" w:hAnsi="Arial"/>
                <w:sz w:val="11"/>
                <w:szCs w:val="11"/>
                <w:color w:val="auto"/>
                <w:w w:val="89"/>
              </w:rPr>
              <w:t>Food Products</w:t>
            </w:r>
          </w:p>
        </w:tc>
        <w:tc>
          <w:tcPr>
            <w:tcW w:w="1080" w:type="dxa"/>
            <w:vAlign w:val="bottom"/>
            <w:gridSpan w:val="3"/>
          </w:tcPr>
          <w:p>
            <w:pPr>
              <w:jc w:val="right"/>
              <w:ind w:right="86"/>
              <w:spacing w:after="0"/>
              <w:rPr>
                <w:sz w:val="20"/>
                <w:szCs w:val="20"/>
                <w:color w:val="auto"/>
              </w:rPr>
            </w:pPr>
            <w:r>
              <w:rPr>
                <w:rFonts w:ascii="Arial" w:cs="Arial" w:eastAsia="Arial" w:hAnsi="Arial"/>
                <w:sz w:val="11"/>
                <w:szCs w:val="11"/>
                <w:color w:val="auto"/>
              </w:rPr>
              <w:t>6.25 %</w:t>
            </w:r>
          </w:p>
        </w:tc>
        <w:tc>
          <w:tcPr>
            <w:tcW w:w="920" w:type="dxa"/>
            <w:vAlign w:val="bottom"/>
          </w:tcPr>
          <w:p>
            <w:pPr>
              <w:jc w:val="right"/>
              <w:spacing w:after="0"/>
              <w:rPr>
                <w:sz w:val="20"/>
                <w:szCs w:val="20"/>
                <w:color w:val="auto"/>
              </w:rPr>
            </w:pPr>
            <w:r>
              <w:rPr>
                <w:rFonts w:ascii="Arial" w:cs="Arial" w:eastAsia="Arial" w:hAnsi="Arial"/>
                <w:sz w:val="11"/>
                <w:szCs w:val="11"/>
                <w:color w:val="auto"/>
              </w:rPr>
              <w:t>3M L+525</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4,913</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4,876</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4,765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3140" w:type="dxa"/>
            <w:vAlign w:val="bottom"/>
          </w:tcPr>
          <w:p>
            <w:pPr>
              <w:ind w:left="20"/>
              <w:spacing w:after="0" w:line="115" w:lineRule="exact"/>
              <w:rPr>
                <w:sz w:val="20"/>
                <w:szCs w:val="20"/>
                <w:color w:val="auto"/>
              </w:rPr>
            </w:pPr>
            <w:r>
              <w:rPr>
                <w:rFonts w:ascii="Arial" w:cs="Arial" w:eastAsia="Arial" w:hAnsi="Arial"/>
                <w:sz w:val="11"/>
                <w:szCs w:val="11"/>
                <w:color w:val="auto"/>
              </w:rPr>
              <w:t>TVC Enterprises, LLC</w:t>
            </w:r>
          </w:p>
        </w:tc>
        <w:tc>
          <w:tcPr>
            <w:tcW w:w="800" w:type="dxa"/>
            <w:vAlign w:val="bottom"/>
            <w:gridSpan w:val="2"/>
          </w:tcPr>
          <w:p>
            <w:pPr>
              <w:jc w:val="center"/>
              <w:ind w:left="86"/>
              <w:spacing w:after="0" w:line="115" w:lineRule="exact"/>
              <w:rPr>
                <w:sz w:val="20"/>
                <w:szCs w:val="20"/>
                <w:color w:val="auto"/>
              </w:rPr>
            </w:pPr>
            <w:r>
              <w:rPr>
                <w:rFonts w:ascii="Arial" w:cs="Arial" w:eastAsia="Arial" w:hAnsi="Arial"/>
                <w:sz w:val="11"/>
                <w:szCs w:val="11"/>
                <w:color w:val="auto"/>
                <w:w w:val="90"/>
              </w:rPr>
              <w:t>03/26/2026</w:t>
            </w:r>
          </w:p>
        </w:tc>
        <w:tc>
          <w:tcPr>
            <w:tcW w:w="260" w:type="dxa"/>
            <w:vAlign w:val="bottom"/>
          </w:tcPr>
          <w:p>
            <w:pPr>
              <w:spacing w:after="0"/>
              <w:rPr>
                <w:sz w:val="9"/>
                <w:szCs w:val="9"/>
                <w:color w:val="auto"/>
              </w:rPr>
            </w:pPr>
          </w:p>
        </w:tc>
        <w:tc>
          <w:tcPr>
            <w:tcW w:w="2200" w:type="dxa"/>
            <w:vAlign w:val="bottom"/>
          </w:tcPr>
          <w:p>
            <w:pPr>
              <w:jc w:val="center"/>
              <w:spacing w:after="0" w:line="115" w:lineRule="exact"/>
              <w:rPr>
                <w:sz w:val="20"/>
                <w:szCs w:val="20"/>
                <w:color w:val="auto"/>
              </w:rPr>
            </w:pPr>
            <w:r>
              <w:rPr>
                <w:rFonts w:ascii="Arial" w:cs="Arial" w:eastAsia="Arial" w:hAnsi="Arial"/>
                <w:sz w:val="11"/>
                <w:szCs w:val="11"/>
                <w:color w:val="auto"/>
                <w:w w:val="90"/>
              </w:rPr>
              <w:t>Commercial Services &amp; Supplies</w:t>
            </w:r>
          </w:p>
        </w:tc>
        <w:tc>
          <w:tcPr>
            <w:tcW w:w="1080" w:type="dxa"/>
            <w:vAlign w:val="bottom"/>
            <w:gridSpan w:val="3"/>
          </w:tcPr>
          <w:p>
            <w:pPr>
              <w:jc w:val="right"/>
              <w:ind w:right="86"/>
              <w:spacing w:after="0" w:line="115" w:lineRule="exact"/>
              <w:rPr>
                <w:sz w:val="20"/>
                <w:szCs w:val="20"/>
                <w:color w:val="auto"/>
              </w:rPr>
            </w:pPr>
            <w:r>
              <w:rPr>
                <w:rFonts w:ascii="Arial" w:cs="Arial" w:eastAsia="Arial" w:hAnsi="Arial"/>
                <w:sz w:val="11"/>
                <w:szCs w:val="11"/>
                <w:color w:val="auto"/>
              </w:rPr>
              <w:t>6.75 %</w:t>
            </w:r>
          </w:p>
        </w:tc>
        <w:tc>
          <w:tcPr>
            <w:tcW w:w="920" w:type="dxa"/>
            <w:vAlign w:val="bottom"/>
          </w:tcPr>
          <w:p>
            <w:pPr>
              <w:jc w:val="right"/>
              <w:spacing w:after="0" w:line="115" w:lineRule="exact"/>
              <w:rPr>
                <w:sz w:val="20"/>
                <w:szCs w:val="20"/>
                <w:color w:val="auto"/>
              </w:rPr>
            </w:pPr>
            <w:r>
              <w:rPr>
                <w:rFonts w:ascii="Arial" w:cs="Arial" w:eastAsia="Arial" w:hAnsi="Arial"/>
                <w:sz w:val="11"/>
                <w:szCs w:val="11"/>
                <w:color w:val="auto"/>
              </w:rPr>
              <w:t>1M L+575</w:t>
            </w:r>
          </w:p>
        </w:tc>
        <w:tc>
          <w:tcPr>
            <w:tcW w:w="90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24,987</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jc w:val="right"/>
              <w:spacing w:after="0" w:line="115" w:lineRule="exact"/>
              <w:rPr>
                <w:sz w:val="20"/>
                <w:szCs w:val="20"/>
                <w:color w:val="auto"/>
              </w:rPr>
            </w:pPr>
            <w:r>
              <w:rPr>
                <w:rFonts w:ascii="Arial" w:cs="Arial" w:eastAsia="Arial" w:hAnsi="Arial"/>
                <w:sz w:val="11"/>
                <w:szCs w:val="11"/>
                <w:color w:val="auto"/>
              </w:rPr>
              <w:t>24,663</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jc w:val="right"/>
              <w:spacing w:after="0" w:line="115" w:lineRule="exact"/>
              <w:rPr>
                <w:sz w:val="20"/>
                <w:szCs w:val="20"/>
                <w:color w:val="auto"/>
              </w:rPr>
            </w:pPr>
            <w:r>
              <w:rPr>
                <w:rFonts w:ascii="Arial" w:cs="Arial" w:eastAsia="Arial" w:hAnsi="Arial"/>
                <w:sz w:val="11"/>
                <w:szCs w:val="11"/>
                <w:color w:val="auto"/>
              </w:rPr>
              <w:t>24,987</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314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TVC Enterprises, LLC (Revolver) </w:t>
            </w:r>
            <w:r>
              <w:rPr>
                <w:rFonts w:ascii="Arial" w:cs="Arial" w:eastAsia="Arial" w:hAnsi="Arial"/>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03/26/2026</w:t>
            </w:r>
          </w:p>
        </w:tc>
        <w:tc>
          <w:tcPr>
            <w:tcW w:w="260" w:type="dxa"/>
            <w:vAlign w:val="bottom"/>
          </w:tcPr>
          <w:p>
            <w:pPr>
              <w:spacing w:after="0"/>
              <w:rPr>
                <w:sz w:val="13"/>
                <w:szCs w:val="13"/>
                <w:color w:val="auto"/>
              </w:rPr>
            </w:pPr>
          </w:p>
        </w:tc>
        <w:tc>
          <w:tcPr>
            <w:tcW w:w="2200" w:type="dxa"/>
            <w:vAlign w:val="bottom"/>
          </w:tcPr>
          <w:p>
            <w:pPr>
              <w:jc w:val="center"/>
              <w:spacing w:after="0"/>
              <w:rPr>
                <w:sz w:val="20"/>
                <w:szCs w:val="20"/>
                <w:color w:val="auto"/>
              </w:rPr>
            </w:pPr>
            <w:r>
              <w:rPr>
                <w:rFonts w:ascii="Arial" w:cs="Arial" w:eastAsia="Arial" w:hAnsi="Arial"/>
                <w:sz w:val="11"/>
                <w:szCs w:val="11"/>
                <w:color w:val="auto"/>
                <w:w w:val="90"/>
              </w:rPr>
              <w:t>Commercial Services &amp; Supplies</w:t>
            </w:r>
          </w:p>
        </w:tc>
        <w:tc>
          <w:tcPr>
            <w:tcW w:w="120" w:type="dxa"/>
            <w:vAlign w:val="bottom"/>
          </w:tcPr>
          <w:p>
            <w:pPr>
              <w:spacing w:after="0"/>
              <w:rPr>
                <w:sz w:val="13"/>
                <w:szCs w:val="13"/>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1,304</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5"/>
        </w:trPr>
        <w:tc>
          <w:tcPr>
            <w:tcW w:w="3140" w:type="dxa"/>
            <w:vAlign w:val="bottom"/>
          </w:tcPr>
          <w:p>
            <w:pPr>
              <w:ind w:left="20"/>
              <w:spacing w:after="0" w:line="115" w:lineRule="exact"/>
              <w:rPr>
                <w:sz w:val="20"/>
                <w:szCs w:val="20"/>
                <w:color w:val="auto"/>
              </w:rPr>
            </w:pPr>
            <w:r>
              <w:rPr>
                <w:rFonts w:ascii="Arial" w:cs="Arial" w:eastAsia="Arial" w:hAnsi="Arial"/>
                <w:sz w:val="11"/>
                <w:szCs w:val="11"/>
                <w:color w:val="auto"/>
              </w:rPr>
              <w:t>TWS Acquisition Corporation</w:t>
            </w:r>
          </w:p>
        </w:tc>
        <w:tc>
          <w:tcPr>
            <w:tcW w:w="800" w:type="dxa"/>
            <w:vAlign w:val="bottom"/>
            <w:gridSpan w:val="2"/>
          </w:tcPr>
          <w:p>
            <w:pPr>
              <w:jc w:val="center"/>
              <w:ind w:left="86"/>
              <w:spacing w:after="0" w:line="115" w:lineRule="exact"/>
              <w:rPr>
                <w:sz w:val="20"/>
                <w:szCs w:val="20"/>
                <w:color w:val="auto"/>
              </w:rPr>
            </w:pPr>
            <w:r>
              <w:rPr>
                <w:rFonts w:ascii="Arial" w:cs="Arial" w:eastAsia="Arial" w:hAnsi="Arial"/>
                <w:sz w:val="11"/>
                <w:szCs w:val="11"/>
                <w:color w:val="auto"/>
                <w:w w:val="90"/>
              </w:rPr>
              <w:t>06/16/2025</w:t>
            </w:r>
          </w:p>
        </w:tc>
        <w:tc>
          <w:tcPr>
            <w:tcW w:w="260" w:type="dxa"/>
            <w:vAlign w:val="bottom"/>
          </w:tcPr>
          <w:p>
            <w:pPr>
              <w:spacing w:after="0"/>
              <w:rPr>
                <w:sz w:val="9"/>
                <w:szCs w:val="9"/>
                <w:color w:val="auto"/>
              </w:rPr>
            </w:pPr>
          </w:p>
        </w:tc>
        <w:tc>
          <w:tcPr>
            <w:tcW w:w="2200" w:type="dxa"/>
            <w:vAlign w:val="bottom"/>
          </w:tcPr>
          <w:p>
            <w:pPr>
              <w:jc w:val="center"/>
              <w:spacing w:after="0" w:line="115" w:lineRule="exact"/>
              <w:rPr>
                <w:sz w:val="20"/>
                <w:szCs w:val="20"/>
                <w:color w:val="auto"/>
              </w:rPr>
            </w:pPr>
            <w:r>
              <w:rPr>
                <w:rFonts w:ascii="Arial" w:cs="Arial" w:eastAsia="Arial" w:hAnsi="Arial"/>
                <w:sz w:val="11"/>
                <w:szCs w:val="11"/>
                <w:color w:val="auto"/>
                <w:w w:val="90"/>
              </w:rPr>
              <w:t>Diversified Consumer Services</w:t>
            </w:r>
          </w:p>
        </w:tc>
        <w:tc>
          <w:tcPr>
            <w:tcW w:w="1080" w:type="dxa"/>
            <w:vAlign w:val="bottom"/>
            <w:gridSpan w:val="3"/>
          </w:tcPr>
          <w:p>
            <w:pPr>
              <w:jc w:val="right"/>
              <w:ind w:right="86"/>
              <w:spacing w:after="0" w:line="115" w:lineRule="exact"/>
              <w:rPr>
                <w:sz w:val="20"/>
                <w:szCs w:val="20"/>
                <w:color w:val="auto"/>
              </w:rPr>
            </w:pPr>
            <w:r>
              <w:rPr>
                <w:rFonts w:ascii="Arial" w:cs="Arial" w:eastAsia="Arial" w:hAnsi="Arial"/>
                <w:sz w:val="11"/>
                <w:szCs w:val="11"/>
                <w:color w:val="auto"/>
              </w:rPr>
              <w:t>7.25 %</w:t>
            </w:r>
          </w:p>
        </w:tc>
        <w:tc>
          <w:tcPr>
            <w:tcW w:w="920" w:type="dxa"/>
            <w:vAlign w:val="bottom"/>
          </w:tcPr>
          <w:p>
            <w:pPr>
              <w:jc w:val="right"/>
              <w:spacing w:after="0" w:line="115" w:lineRule="exact"/>
              <w:rPr>
                <w:sz w:val="20"/>
                <w:szCs w:val="20"/>
                <w:color w:val="auto"/>
              </w:rPr>
            </w:pPr>
            <w:r>
              <w:rPr>
                <w:rFonts w:ascii="Arial" w:cs="Arial" w:eastAsia="Arial" w:hAnsi="Arial"/>
                <w:sz w:val="11"/>
                <w:szCs w:val="11"/>
                <w:color w:val="auto"/>
              </w:rPr>
              <w:t>1M L+625</w:t>
            </w:r>
          </w:p>
        </w:tc>
        <w:tc>
          <w:tcPr>
            <w:tcW w:w="90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6,636</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jc w:val="right"/>
              <w:spacing w:after="0" w:line="115" w:lineRule="exact"/>
              <w:rPr>
                <w:sz w:val="20"/>
                <w:szCs w:val="20"/>
                <w:color w:val="auto"/>
              </w:rPr>
            </w:pPr>
            <w:r>
              <w:rPr>
                <w:rFonts w:ascii="Arial" w:cs="Arial" w:eastAsia="Arial" w:hAnsi="Arial"/>
                <w:sz w:val="11"/>
                <w:szCs w:val="11"/>
                <w:color w:val="auto"/>
              </w:rPr>
              <w:t>6,524</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jc w:val="right"/>
              <w:spacing w:after="0" w:line="115" w:lineRule="exact"/>
              <w:rPr>
                <w:sz w:val="20"/>
                <w:szCs w:val="20"/>
                <w:color w:val="auto"/>
              </w:rPr>
            </w:pPr>
            <w:r>
              <w:rPr>
                <w:rFonts w:ascii="Arial" w:cs="Arial" w:eastAsia="Arial" w:hAnsi="Arial"/>
                <w:sz w:val="11"/>
                <w:szCs w:val="11"/>
                <w:color w:val="auto"/>
              </w:rPr>
              <w:t>6,636</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314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TWS Acquisition Corporation (Revolver) </w:t>
            </w:r>
            <w:r>
              <w:rPr>
                <w:rFonts w:ascii="Arial" w:cs="Arial" w:eastAsia="Arial" w:hAnsi="Arial"/>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06/16/2025</w:t>
            </w:r>
          </w:p>
        </w:tc>
        <w:tc>
          <w:tcPr>
            <w:tcW w:w="260" w:type="dxa"/>
            <w:vAlign w:val="bottom"/>
          </w:tcPr>
          <w:p>
            <w:pPr>
              <w:spacing w:after="0"/>
              <w:rPr>
                <w:sz w:val="13"/>
                <w:szCs w:val="13"/>
                <w:color w:val="auto"/>
              </w:rPr>
            </w:pPr>
          </w:p>
        </w:tc>
        <w:tc>
          <w:tcPr>
            <w:tcW w:w="2200" w:type="dxa"/>
            <w:vAlign w:val="bottom"/>
          </w:tcPr>
          <w:p>
            <w:pPr>
              <w:jc w:val="center"/>
              <w:spacing w:after="0"/>
              <w:rPr>
                <w:sz w:val="20"/>
                <w:szCs w:val="20"/>
                <w:color w:val="auto"/>
              </w:rPr>
            </w:pPr>
            <w:r>
              <w:rPr>
                <w:rFonts w:ascii="Arial" w:cs="Arial" w:eastAsia="Arial" w:hAnsi="Arial"/>
                <w:sz w:val="11"/>
                <w:szCs w:val="11"/>
                <w:color w:val="auto"/>
                <w:w w:val="90"/>
              </w:rPr>
              <w:t>Diversified Consumer Services</w:t>
            </w:r>
          </w:p>
        </w:tc>
        <w:tc>
          <w:tcPr>
            <w:tcW w:w="120" w:type="dxa"/>
            <w:vAlign w:val="bottom"/>
          </w:tcPr>
          <w:p>
            <w:pPr>
              <w:spacing w:after="0"/>
              <w:rPr>
                <w:sz w:val="13"/>
                <w:szCs w:val="13"/>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2,628</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5"/>
        </w:trPr>
        <w:tc>
          <w:tcPr>
            <w:tcW w:w="3140" w:type="dxa"/>
            <w:vAlign w:val="bottom"/>
          </w:tcPr>
          <w:p>
            <w:pPr>
              <w:ind w:left="20"/>
              <w:spacing w:after="0" w:line="115" w:lineRule="exact"/>
              <w:rPr>
                <w:sz w:val="20"/>
                <w:szCs w:val="20"/>
                <w:color w:val="auto"/>
              </w:rPr>
            </w:pPr>
            <w:r>
              <w:rPr>
                <w:rFonts w:ascii="Arial" w:cs="Arial" w:eastAsia="Arial" w:hAnsi="Arial"/>
                <w:sz w:val="11"/>
                <w:szCs w:val="11"/>
                <w:color w:val="auto"/>
              </w:rPr>
              <w:t>Tyto Athene, LLC</w:t>
            </w:r>
          </w:p>
        </w:tc>
        <w:tc>
          <w:tcPr>
            <w:tcW w:w="800" w:type="dxa"/>
            <w:vAlign w:val="bottom"/>
            <w:gridSpan w:val="2"/>
          </w:tcPr>
          <w:p>
            <w:pPr>
              <w:jc w:val="center"/>
              <w:ind w:left="86"/>
              <w:spacing w:after="0" w:line="115" w:lineRule="exact"/>
              <w:rPr>
                <w:sz w:val="20"/>
                <w:szCs w:val="20"/>
                <w:color w:val="auto"/>
              </w:rPr>
            </w:pPr>
            <w:r>
              <w:rPr>
                <w:rFonts w:ascii="Arial" w:cs="Arial" w:eastAsia="Arial" w:hAnsi="Arial"/>
                <w:sz w:val="11"/>
                <w:szCs w:val="11"/>
                <w:color w:val="auto"/>
                <w:w w:val="90"/>
              </w:rPr>
              <w:t>04/01/2028</w:t>
            </w:r>
          </w:p>
        </w:tc>
        <w:tc>
          <w:tcPr>
            <w:tcW w:w="260" w:type="dxa"/>
            <w:vAlign w:val="bottom"/>
          </w:tcPr>
          <w:p>
            <w:pPr>
              <w:spacing w:after="0"/>
              <w:rPr>
                <w:sz w:val="9"/>
                <w:szCs w:val="9"/>
                <w:color w:val="auto"/>
              </w:rPr>
            </w:pPr>
          </w:p>
        </w:tc>
        <w:tc>
          <w:tcPr>
            <w:tcW w:w="2200" w:type="dxa"/>
            <w:vAlign w:val="bottom"/>
          </w:tcPr>
          <w:p>
            <w:pPr>
              <w:jc w:val="center"/>
              <w:spacing w:after="0" w:line="115" w:lineRule="exact"/>
              <w:rPr>
                <w:sz w:val="20"/>
                <w:szCs w:val="20"/>
                <w:color w:val="auto"/>
              </w:rPr>
            </w:pPr>
            <w:r>
              <w:rPr>
                <w:rFonts w:ascii="Arial" w:cs="Arial" w:eastAsia="Arial" w:hAnsi="Arial"/>
                <w:sz w:val="11"/>
                <w:szCs w:val="11"/>
                <w:color w:val="auto"/>
                <w:w w:val="87"/>
              </w:rPr>
              <w:t>IT Services</w:t>
            </w:r>
          </w:p>
        </w:tc>
        <w:tc>
          <w:tcPr>
            <w:tcW w:w="1080" w:type="dxa"/>
            <w:vAlign w:val="bottom"/>
            <w:gridSpan w:val="3"/>
          </w:tcPr>
          <w:p>
            <w:pPr>
              <w:jc w:val="right"/>
              <w:ind w:right="86"/>
              <w:spacing w:after="0" w:line="115" w:lineRule="exact"/>
              <w:rPr>
                <w:sz w:val="20"/>
                <w:szCs w:val="20"/>
                <w:color w:val="auto"/>
              </w:rPr>
            </w:pPr>
            <w:r>
              <w:rPr>
                <w:rFonts w:ascii="Arial" w:cs="Arial" w:eastAsia="Arial" w:hAnsi="Arial"/>
                <w:sz w:val="11"/>
                <w:szCs w:val="11"/>
                <w:color w:val="auto"/>
              </w:rPr>
              <w:t>6.25 %</w:t>
            </w:r>
          </w:p>
        </w:tc>
        <w:tc>
          <w:tcPr>
            <w:tcW w:w="920" w:type="dxa"/>
            <w:vAlign w:val="bottom"/>
          </w:tcPr>
          <w:p>
            <w:pPr>
              <w:jc w:val="right"/>
              <w:spacing w:after="0" w:line="115" w:lineRule="exact"/>
              <w:rPr>
                <w:sz w:val="20"/>
                <w:szCs w:val="20"/>
                <w:color w:val="auto"/>
              </w:rPr>
            </w:pPr>
            <w:r>
              <w:rPr>
                <w:rFonts w:ascii="Arial" w:cs="Arial" w:eastAsia="Arial" w:hAnsi="Arial"/>
                <w:sz w:val="11"/>
                <w:szCs w:val="11"/>
                <w:color w:val="auto"/>
              </w:rPr>
              <w:t>1M L+550</w:t>
            </w:r>
          </w:p>
        </w:tc>
        <w:tc>
          <w:tcPr>
            <w:tcW w:w="90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12,036</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jc w:val="right"/>
              <w:spacing w:after="0" w:line="115" w:lineRule="exact"/>
              <w:rPr>
                <w:sz w:val="20"/>
                <w:szCs w:val="20"/>
                <w:color w:val="auto"/>
              </w:rPr>
            </w:pPr>
            <w:r>
              <w:rPr>
                <w:rFonts w:ascii="Arial" w:cs="Arial" w:eastAsia="Arial" w:hAnsi="Arial"/>
                <w:sz w:val="11"/>
                <w:szCs w:val="11"/>
                <w:color w:val="auto"/>
              </w:rPr>
              <w:t>11,861</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jc w:val="right"/>
              <w:spacing w:after="0" w:line="115" w:lineRule="exact"/>
              <w:rPr>
                <w:sz w:val="20"/>
                <w:szCs w:val="20"/>
                <w:color w:val="auto"/>
              </w:rPr>
            </w:pPr>
            <w:r>
              <w:rPr>
                <w:rFonts w:ascii="Arial" w:cs="Arial" w:eastAsia="Arial" w:hAnsi="Arial"/>
                <w:sz w:val="11"/>
                <w:szCs w:val="11"/>
                <w:color w:val="auto"/>
              </w:rPr>
              <w:t>12,036</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314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Tyto Athene, LLC (Revolver) </w:t>
            </w:r>
            <w:r>
              <w:rPr>
                <w:rFonts w:ascii="Arial" w:cs="Arial" w:eastAsia="Arial" w:hAnsi="Arial"/>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04/01/2026</w:t>
            </w:r>
          </w:p>
        </w:tc>
        <w:tc>
          <w:tcPr>
            <w:tcW w:w="260" w:type="dxa"/>
            <w:vAlign w:val="bottom"/>
          </w:tcPr>
          <w:p>
            <w:pPr>
              <w:spacing w:after="0"/>
              <w:rPr>
                <w:sz w:val="13"/>
                <w:szCs w:val="13"/>
                <w:color w:val="auto"/>
              </w:rPr>
            </w:pPr>
          </w:p>
        </w:tc>
        <w:tc>
          <w:tcPr>
            <w:tcW w:w="2200" w:type="dxa"/>
            <w:vAlign w:val="bottom"/>
          </w:tcPr>
          <w:p>
            <w:pPr>
              <w:jc w:val="center"/>
              <w:spacing w:after="0"/>
              <w:rPr>
                <w:sz w:val="20"/>
                <w:szCs w:val="20"/>
                <w:color w:val="auto"/>
              </w:rPr>
            </w:pPr>
            <w:r>
              <w:rPr>
                <w:rFonts w:ascii="Arial" w:cs="Arial" w:eastAsia="Arial" w:hAnsi="Arial"/>
                <w:sz w:val="11"/>
                <w:szCs w:val="11"/>
                <w:color w:val="auto"/>
                <w:w w:val="87"/>
              </w:rPr>
              <w:t>IT Services</w:t>
            </w:r>
          </w:p>
        </w:tc>
        <w:tc>
          <w:tcPr>
            <w:tcW w:w="120" w:type="dxa"/>
            <w:vAlign w:val="bottom"/>
          </w:tcPr>
          <w:p>
            <w:pPr>
              <w:spacing w:after="0"/>
              <w:rPr>
                <w:sz w:val="13"/>
                <w:szCs w:val="13"/>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1,040</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3140" w:type="dxa"/>
            <w:vAlign w:val="bottom"/>
          </w:tcPr>
          <w:p>
            <w:pPr>
              <w:ind w:left="20"/>
              <w:spacing w:after="0"/>
              <w:rPr>
                <w:sz w:val="20"/>
                <w:szCs w:val="20"/>
                <w:color w:val="auto"/>
              </w:rPr>
            </w:pPr>
            <w:r>
              <w:rPr>
                <w:rFonts w:ascii="Arial" w:cs="Arial" w:eastAsia="Arial" w:hAnsi="Arial"/>
                <w:sz w:val="11"/>
                <w:szCs w:val="11"/>
                <w:color w:val="auto"/>
              </w:rPr>
              <w:t>UBEO, LLC</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04/03/2024</w:t>
            </w:r>
          </w:p>
        </w:tc>
        <w:tc>
          <w:tcPr>
            <w:tcW w:w="260" w:type="dxa"/>
            <w:vAlign w:val="bottom"/>
          </w:tcPr>
          <w:p>
            <w:pPr>
              <w:spacing w:after="0"/>
              <w:rPr>
                <w:sz w:val="11"/>
                <w:szCs w:val="11"/>
                <w:color w:val="auto"/>
              </w:rPr>
            </w:pPr>
          </w:p>
        </w:tc>
        <w:tc>
          <w:tcPr>
            <w:tcW w:w="2200" w:type="dxa"/>
            <w:vAlign w:val="bottom"/>
          </w:tcPr>
          <w:p>
            <w:pPr>
              <w:jc w:val="center"/>
              <w:spacing w:after="0"/>
              <w:rPr>
                <w:sz w:val="20"/>
                <w:szCs w:val="20"/>
                <w:color w:val="auto"/>
              </w:rPr>
            </w:pPr>
            <w:r>
              <w:rPr>
                <w:rFonts w:ascii="Arial" w:cs="Arial" w:eastAsia="Arial" w:hAnsi="Arial"/>
                <w:sz w:val="11"/>
                <w:szCs w:val="11"/>
                <w:color w:val="auto"/>
                <w:w w:val="88"/>
              </w:rPr>
              <w:t>Capital Equipment</w:t>
            </w:r>
          </w:p>
        </w:tc>
        <w:tc>
          <w:tcPr>
            <w:tcW w:w="1080" w:type="dxa"/>
            <w:vAlign w:val="bottom"/>
            <w:gridSpan w:val="3"/>
          </w:tcPr>
          <w:p>
            <w:pPr>
              <w:jc w:val="right"/>
              <w:ind w:right="86"/>
              <w:spacing w:after="0"/>
              <w:rPr>
                <w:sz w:val="20"/>
                <w:szCs w:val="20"/>
                <w:color w:val="auto"/>
              </w:rPr>
            </w:pPr>
            <w:r>
              <w:rPr>
                <w:rFonts w:ascii="Arial" w:cs="Arial" w:eastAsia="Arial" w:hAnsi="Arial"/>
                <w:sz w:val="11"/>
                <w:szCs w:val="11"/>
                <w:color w:val="auto"/>
              </w:rPr>
              <w:t>5.50 %</w:t>
            </w:r>
          </w:p>
        </w:tc>
        <w:tc>
          <w:tcPr>
            <w:tcW w:w="920" w:type="dxa"/>
            <w:vAlign w:val="bottom"/>
          </w:tcPr>
          <w:p>
            <w:pPr>
              <w:jc w:val="right"/>
              <w:spacing w:after="0"/>
              <w:rPr>
                <w:sz w:val="20"/>
                <w:szCs w:val="20"/>
                <w:color w:val="auto"/>
              </w:rPr>
            </w:pPr>
            <w:r>
              <w:rPr>
                <w:rFonts w:ascii="Arial" w:cs="Arial" w:eastAsia="Arial" w:hAnsi="Arial"/>
                <w:sz w:val="11"/>
                <w:szCs w:val="11"/>
                <w:color w:val="auto"/>
              </w:rPr>
              <w:t>3M L+450</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18,112</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18,015</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18,022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3140" w:type="dxa"/>
            <w:vAlign w:val="bottom"/>
          </w:tcPr>
          <w:p>
            <w:pPr>
              <w:ind w:left="20"/>
              <w:spacing w:after="0" w:line="115" w:lineRule="exact"/>
              <w:rPr>
                <w:sz w:val="20"/>
                <w:szCs w:val="20"/>
                <w:color w:val="auto"/>
              </w:rPr>
            </w:pPr>
            <w:r>
              <w:rPr>
                <w:rFonts w:ascii="Arial" w:cs="Arial" w:eastAsia="Arial" w:hAnsi="Arial"/>
                <w:sz w:val="11"/>
                <w:szCs w:val="11"/>
                <w:color w:val="auto"/>
              </w:rPr>
              <w:t>UBEO, LLC (Revolver)</w:t>
            </w:r>
          </w:p>
        </w:tc>
        <w:tc>
          <w:tcPr>
            <w:tcW w:w="800" w:type="dxa"/>
            <w:vAlign w:val="bottom"/>
            <w:gridSpan w:val="2"/>
          </w:tcPr>
          <w:p>
            <w:pPr>
              <w:jc w:val="center"/>
              <w:ind w:left="86"/>
              <w:spacing w:after="0" w:line="115" w:lineRule="exact"/>
              <w:rPr>
                <w:sz w:val="20"/>
                <w:szCs w:val="20"/>
                <w:color w:val="auto"/>
              </w:rPr>
            </w:pPr>
            <w:r>
              <w:rPr>
                <w:rFonts w:ascii="Arial" w:cs="Arial" w:eastAsia="Arial" w:hAnsi="Arial"/>
                <w:sz w:val="11"/>
                <w:szCs w:val="11"/>
                <w:color w:val="auto"/>
                <w:w w:val="90"/>
              </w:rPr>
              <w:t>04/03/2024</w:t>
            </w:r>
          </w:p>
        </w:tc>
        <w:tc>
          <w:tcPr>
            <w:tcW w:w="260" w:type="dxa"/>
            <w:vAlign w:val="bottom"/>
          </w:tcPr>
          <w:p>
            <w:pPr>
              <w:spacing w:after="0"/>
              <w:rPr>
                <w:sz w:val="9"/>
                <w:szCs w:val="9"/>
                <w:color w:val="auto"/>
              </w:rPr>
            </w:pPr>
          </w:p>
        </w:tc>
        <w:tc>
          <w:tcPr>
            <w:tcW w:w="2200" w:type="dxa"/>
            <w:vAlign w:val="bottom"/>
          </w:tcPr>
          <w:p>
            <w:pPr>
              <w:jc w:val="center"/>
              <w:spacing w:after="0" w:line="115" w:lineRule="exact"/>
              <w:rPr>
                <w:sz w:val="20"/>
                <w:szCs w:val="20"/>
                <w:color w:val="auto"/>
              </w:rPr>
            </w:pPr>
            <w:r>
              <w:rPr>
                <w:rFonts w:ascii="Arial" w:cs="Arial" w:eastAsia="Arial" w:hAnsi="Arial"/>
                <w:sz w:val="11"/>
                <w:szCs w:val="11"/>
                <w:color w:val="auto"/>
                <w:w w:val="88"/>
              </w:rPr>
              <w:t>Capital Equipment</w:t>
            </w:r>
          </w:p>
        </w:tc>
        <w:tc>
          <w:tcPr>
            <w:tcW w:w="1080" w:type="dxa"/>
            <w:vAlign w:val="bottom"/>
            <w:gridSpan w:val="3"/>
          </w:tcPr>
          <w:p>
            <w:pPr>
              <w:jc w:val="right"/>
              <w:ind w:right="86"/>
              <w:spacing w:after="0" w:line="115" w:lineRule="exact"/>
              <w:rPr>
                <w:sz w:val="20"/>
                <w:szCs w:val="20"/>
                <w:color w:val="auto"/>
              </w:rPr>
            </w:pPr>
            <w:r>
              <w:rPr>
                <w:rFonts w:ascii="Arial" w:cs="Arial" w:eastAsia="Arial" w:hAnsi="Arial"/>
                <w:sz w:val="11"/>
                <w:szCs w:val="11"/>
                <w:color w:val="auto"/>
              </w:rPr>
              <w:t>5.50 %</w:t>
            </w:r>
          </w:p>
        </w:tc>
        <w:tc>
          <w:tcPr>
            <w:tcW w:w="920" w:type="dxa"/>
            <w:vAlign w:val="bottom"/>
          </w:tcPr>
          <w:p>
            <w:pPr>
              <w:jc w:val="right"/>
              <w:spacing w:after="0" w:line="115" w:lineRule="exact"/>
              <w:rPr>
                <w:sz w:val="20"/>
                <w:szCs w:val="20"/>
                <w:color w:val="auto"/>
              </w:rPr>
            </w:pPr>
            <w:r>
              <w:rPr>
                <w:rFonts w:ascii="Arial" w:cs="Arial" w:eastAsia="Arial" w:hAnsi="Arial"/>
                <w:sz w:val="11"/>
                <w:szCs w:val="11"/>
                <w:color w:val="auto"/>
              </w:rPr>
              <w:t>3M L+450</w:t>
            </w:r>
          </w:p>
        </w:tc>
        <w:tc>
          <w:tcPr>
            <w:tcW w:w="90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1,467</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jc w:val="right"/>
              <w:spacing w:after="0" w:line="115" w:lineRule="exact"/>
              <w:rPr>
                <w:sz w:val="20"/>
                <w:szCs w:val="20"/>
                <w:color w:val="auto"/>
              </w:rPr>
            </w:pPr>
            <w:r>
              <w:rPr>
                <w:rFonts w:ascii="Arial" w:cs="Arial" w:eastAsia="Arial" w:hAnsi="Arial"/>
                <w:sz w:val="11"/>
                <w:szCs w:val="11"/>
                <w:color w:val="auto"/>
              </w:rPr>
              <w:t>1,467</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jc w:val="right"/>
              <w:spacing w:after="0" w:line="115" w:lineRule="exact"/>
              <w:rPr>
                <w:sz w:val="20"/>
                <w:szCs w:val="20"/>
                <w:color w:val="auto"/>
              </w:rPr>
            </w:pPr>
            <w:r>
              <w:rPr>
                <w:rFonts w:ascii="Arial" w:cs="Arial" w:eastAsia="Arial" w:hAnsi="Arial"/>
                <w:sz w:val="11"/>
                <w:szCs w:val="11"/>
                <w:color w:val="auto"/>
              </w:rPr>
              <w:t>1,459</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3140" w:type="dxa"/>
            <w:vAlign w:val="bottom"/>
          </w:tcPr>
          <w:p>
            <w:pPr>
              <w:ind w:left="20"/>
              <w:spacing w:after="0"/>
              <w:rPr>
                <w:sz w:val="20"/>
                <w:szCs w:val="20"/>
                <w:color w:val="auto"/>
              </w:rPr>
            </w:pPr>
            <w:r>
              <w:rPr>
                <w:rFonts w:ascii="Arial" w:cs="Arial" w:eastAsia="Arial" w:hAnsi="Arial"/>
                <w:sz w:val="11"/>
                <w:szCs w:val="11"/>
                <w:color w:val="auto"/>
              </w:rPr>
              <w:t xml:space="preserve">UBEO, LLC (Revolver) </w:t>
            </w:r>
            <w:r>
              <w:rPr>
                <w:rFonts w:ascii="Arial" w:cs="Arial" w:eastAsia="Arial" w:hAnsi="Arial"/>
                <w:sz w:val="14"/>
                <w:szCs w:val="14"/>
                <w:color w:val="auto"/>
                <w:vertAlign w:val="superscript"/>
              </w:rPr>
              <w:t>(9)</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04/03/2024</w:t>
            </w:r>
          </w:p>
        </w:tc>
        <w:tc>
          <w:tcPr>
            <w:tcW w:w="260" w:type="dxa"/>
            <w:vAlign w:val="bottom"/>
          </w:tcPr>
          <w:p>
            <w:pPr>
              <w:spacing w:after="0"/>
              <w:rPr>
                <w:sz w:val="14"/>
                <w:szCs w:val="14"/>
                <w:color w:val="auto"/>
              </w:rPr>
            </w:pPr>
          </w:p>
        </w:tc>
        <w:tc>
          <w:tcPr>
            <w:tcW w:w="2200" w:type="dxa"/>
            <w:vAlign w:val="bottom"/>
          </w:tcPr>
          <w:p>
            <w:pPr>
              <w:jc w:val="center"/>
              <w:spacing w:after="0"/>
              <w:rPr>
                <w:sz w:val="20"/>
                <w:szCs w:val="20"/>
                <w:color w:val="auto"/>
              </w:rPr>
            </w:pPr>
            <w:r>
              <w:rPr>
                <w:rFonts w:ascii="Arial" w:cs="Arial" w:eastAsia="Arial" w:hAnsi="Arial"/>
                <w:sz w:val="11"/>
                <w:szCs w:val="11"/>
                <w:color w:val="auto"/>
                <w:w w:val="88"/>
              </w:rPr>
              <w:t>Capital Equipment</w:t>
            </w:r>
          </w:p>
        </w:tc>
        <w:tc>
          <w:tcPr>
            <w:tcW w:w="120" w:type="dxa"/>
            <w:vAlign w:val="bottom"/>
          </w:tcPr>
          <w:p>
            <w:pPr>
              <w:spacing w:after="0"/>
              <w:rPr>
                <w:sz w:val="14"/>
                <w:szCs w:val="14"/>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1,467</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1"/>
                <w:szCs w:val="11"/>
                <w:color w:val="auto"/>
              </w:rPr>
              <w:t>(7 )</w:t>
            </w:r>
          </w:p>
        </w:tc>
        <w:tc>
          <w:tcPr>
            <w:tcW w:w="0" w:type="dxa"/>
            <w:vAlign w:val="bottom"/>
          </w:tcPr>
          <w:p>
            <w:pPr>
              <w:spacing w:after="0"/>
              <w:rPr>
                <w:sz w:val="1"/>
                <w:szCs w:val="1"/>
                <w:color w:val="auto"/>
              </w:rPr>
            </w:pPr>
          </w:p>
        </w:tc>
      </w:tr>
      <w:tr>
        <w:trPr>
          <w:trHeight w:val="135"/>
        </w:trPr>
        <w:tc>
          <w:tcPr>
            <w:tcW w:w="3140" w:type="dxa"/>
            <w:vAlign w:val="bottom"/>
            <w:shd w:val="clear" w:color="auto" w:fill="CCECFF"/>
          </w:tcPr>
          <w:p>
            <w:pPr>
              <w:ind w:left="20"/>
              <w:spacing w:after="0"/>
              <w:rPr>
                <w:sz w:val="20"/>
                <w:szCs w:val="20"/>
                <w:color w:val="auto"/>
              </w:rPr>
            </w:pPr>
            <w:r>
              <w:rPr>
                <w:rFonts w:ascii="Arial" w:cs="Arial" w:eastAsia="Arial" w:hAnsi="Arial"/>
                <w:sz w:val="11"/>
                <w:szCs w:val="11"/>
                <w:color w:val="auto"/>
              </w:rPr>
              <w:t>Urology Management Associates, LLC</w:t>
            </w:r>
          </w:p>
        </w:tc>
        <w:tc>
          <w:tcPr>
            <w:tcW w:w="80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08/30/2024</w:t>
            </w:r>
          </w:p>
        </w:tc>
        <w:tc>
          <w:tcPr>
            <w:tcW w:w="260" w:type="dxa"/>
            <w:vAlign w:val="bottom"/>
            <w:shd w:val="clear" w:color="auto" w:fill="CCECFF"/>
          </w:tcPr>
          <w:p>
            <w:pPr>
              <w:spacing w:after="0"/>
              <w:rPr>
                <w:sz w:val="11"/>
                <w:szCs w:val="11"/>
                <w:color w:val="auto"/>
              </w:rPr>
            </w:pPr>
          </w:p>
        </w:tc>
        <w:tc>
          <w:tcPr>
            <w:tcW w:w="22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Healthcare Providers and Services</w:t>
            </w:r>
          </w:p>
        </w:tc>
        <w:tc>
          <w:tcPr>
            <w:tcW w:w="1080" w:type="dxa"/>
            <w:vAlign w:val="bottom"/>
            <w:gridSpan w:val="3"/>
            <w:shd w:val="clear" w:color="auto" w:fill="CCECFF"/>
          </w:tcPr>
          <w:p>
            <w:pPr>
              <w:jc w:val="right"/>
              <w:ind w:right="86"/>
              <w:spacing w:after="0"/>
              <w:rPr>
                <w:sz w:val="20"/>
                <w:szCs w:val="20"/>
                <w:color w:val="auto"/>
              </w:rPr>
            </w:pPr>
            <w:r>
              <w:rPr>
                <w:rFonts w:ascii="Arial" w:cs="Arial" w:eastAsia="Arial" w:hAnsi="Arial"/>
                <w:sz w:val="11"/>
                <w:szCs w:val="11"/>
                <w:color w:val="auto"/>
              </w:rPr>
              <w:t>5.50 %</w:t>
            </w:r>
          </w:p>
        </w:tc>
        <w:tc>
          <w:tcPr>
            <w:tcW w:w="9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L+450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4,776</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4,721</w:t>
            </w:r>
          </w:p>
        </w:tc>
        <w:tc>
          <w:tcPr>
            <w:tcW w:w="2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5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4,752</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40" w:type="dxa"/>
            <w:vAlign w:val="bottom"/>
          </w:tcPr>
          <w:p>
            <w:pPr>
              <w:ind w:left="20"/>
              <w:spacing w:after="0"/>
              <w:rPr>
                <w:sz w:val="20"/>
                <w:szCs w:val="20"/>
                <w:color w:val="auto"/>
              </w:rPr>
            </w:pPr>
            <w:r>
              <w:rPr>
                <w:rFonts w:ascii="Arial" w:cs="Arial" w:eastAsia="Arial" w:hAnsi="Arial"/>
                <w:sz w:val="11"/>
                <w:szCs w:val="11"/>
                <w:color w:val="auto"/>
              </w:rPr>
              <w:t>Vision Purchaser Corporation</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06/10/2025</w:t>
            </w:r>
          </w:p>
        </w:tc>
        <w:tc>
          <w:tcPr>
            <w:tcW w:w="260" w:type="dxa"/>
            <w:vAlign w:val="bottom"/>
          </w:tcPr>
          <w:p>
            <w:pPr>
              <w:spacing w:after="0"/>
              <w:rPr>
                <w:sz w:val="11"/>
                <w:szCs w:val="11"/>
                <w:color w:val="auto"/>
              </w:rPr>
            </w:pPr>
          </w:p>
        </w:tc>
        <w:tc>
          <w:tcPr>
            <w:tcW w:w="220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1080" w:type="dxa"/>
            <w:vAlign w:val="bottom"/>
            <w:gridSpan w:val="3"/>
          </w:tcPr>
          <w:p>
            <w:pPr>
              <w:jc w:val="right"/>
              <w:ind w:right="86"/>
              <w:spacing w:after="0"/>
              <w:rPr>
                <w:sz w:val="20"/>
                <w:szCs w:val="20"/>
                <w:color w:val="auto"/>
              </w:rPr>
            </w:pPr>
            <w:r>
              <w:rPr>
                <w:rFonts w:ascii="Arial" w:cs="Arial" w:eastAsia="Arial" w:hAnsi="Arial"/>
                <w:sz w:val="11"/>
                <w:szCs w:val="11"/>
                <w:color w:val="auto"/>
              </w:rPr>
              <w:t>7.75 %</w:t>
            </w:r>
          </w:p>
        </w:tc>
        <w:tc>
          <w:tcPr>
            <w:tcW w:w="920" w:type="dxa"/>
            <w:vAlign w:val="bottom"/>
          </w:tcPr>
          <w:p>
            <w:pPr>
              <w:jc w:val="right"/>
              <w:spacing w:after="0"/>
              <w:rPr>
                <w:sz w:val="20"/>
                <w:szCs w:val="20"/>
                <w:color w:val="auto"/>
              </w:rPr>
            </w:pPr>
            <w:r>
              <w:rPr>
                <w:rFonts w:ascii="Arial" w:cs="Arial" w:eastAsia="Arial" w:hAnsi="Arial"/>
                <w:sz w:val="11"/>
                <w:szCs w:val="11"/>
                <w:color w:val="auto"/>
              </w:rPr>
              <w:t>1M L+675</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14,249</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14,045</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14,035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40" w:type="dxa"/>
            <w:vAlign w:val="bottom"/>
            <w:shd w:val="clear" w:color="auto" w:fill="CCECFF"/>
          </w:tcPr>
          <w:p>
            <w:pPr>
              <w:ind w:left="20"/>
              <w:spacing w:after="0"/>
              <w:rPr>
                <w:sz w:val="20"/>
                <w:szCs w:val="20"/>
                <w:color w:val="auto"/>
              </w:rPr>
            </w:pPr>
            <w:r>
              <w:rPr>
                <w:rFonts w:ascii="Arial" w:cs="Arial" w:eastAsia="Arial" w:hAnsi="Arial"/>
                <w:sz w:val="11"/>
                <w:szCs w:val="11"/>
                <w:color w:val="auto"/>
              </w:rPr>
              <w:t>Walker Edison Furniture Company LLC</w:t>
            </w:r>
          </w:p>
        </w:tc>
        <w:tc>
          <w:tcPr>
            <w:tcW w:w="80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03/31/2027</w:t>
            </w:r>
          </w:p>
        </w:tc>
        <w:tc>
          <w:tcPr>
            <w:tcW w:w="260" w:type="dxa"/>
            <w:vAlign w:val="bottom"/>
            <w:shd w:val="clear" w:color="auto" w:fill="CCECFF"/>
          </w:tcPr>
          <w:p>
            <w:pPr>
              <w:spacing w:after="0"/>
              <w:rPr>
                <w:sz w:val="11"/>
                <w:szCs w:val="11"/>
                <w:color w:val="auto"/>
              </w:rPr>
            </w:pPr>
          </w:p>
        </w:tc>
        <w:tc>
          <w:tcPr>
            <w:tcW w:w="22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5"/>
              </w:rPr>
              <w:t>Wholesale</w:t>
            </w:r>
          </w:p>
        </w:tc>
        <w:tc>
          <w:tcPr>
            <w:tcW w:w="1080" w:type="dxa"/>
            <w:vAlign w:val="bottom"/>
            <w:gridSpan w:val="3"/>
            <w:shd w:val="clear" w:color="auto" w:fill="CCECFF"/>
          </w:tcPr>
          <w:p>
            <w:pPr>
              <w:jc w:val="right"/>
              <w:ind w:right="86"/>
              <w:spacing w:after="0"/>
              <w:rPr>
                <w:sz w:val="20"/>
                <w:szCs w:val="20"/>
                <w:color w:val="auto"/>
              </w:rPr>
            </w:pPr>
            <w:r>
              <w:rPr>
                <w:rFonts w:ascii="Arial" w:cs="Arial" w:eastAsia="Arial" w:hAnsi="Arial"/>
                <w:sz w:val="11"/>
                <w:szCs w:val="11"/>
                <w:color w:val="auto"/>
              </w:rPr>
              <w:t>6.75 %</w:t>
            </w:r>
          </w:p>
        </w:tc>
        <w:tc>
          <w:tcPr>
            <w:tcW w:w="9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L+575</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12,438</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12,147</w:t>
            </w:r>
          </w:p>
        </w:tc>
        <w:tc>
          <w:tcPr>
            <w:tcW w:w="2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5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11,971</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3140" w:type="dxa"/>
            <w:vAlign w:val="bottom"/>
          </w:tcPr>
          <w:p>
            <w:pPr>
              <w:ind w:left="20"/>
              <w:spacing w:after="0" w:line="99" w:lineRule="exact"/>
              <w:rPr>
                <w:sz w:val="20"/>
                <w:szCs w:val="20"/>
                <w:color w:val="auto"/>
              </w:rPr>
            </w:pPr>
            <w:r>
              <w:rPr>
                <w:rFonts w:ascii="Arial" w:cs="Arial" w:eastAsia="Arial" w:hAnsi="Arial"/>
                <w:sz w:val="11"/>
                <w:szCs w:val="11"/>
                <w:color w:val="auto"/>
              </w:rPr>
              <w:t>Wildcat Buyerco, Inc.</w:t>
            </w:r>
          </w:p>
        </w:tc>
        <w:tc>
          <w:tcPr>
            <w:tcW w:w="800" w:type="dxa"/>
            <w:vAlign w:val="bottom"/>
            <w:gridSpan w:val="2"/>
          </w:tcPr>
          <w:p>
            <w:pPr>
              <w:jc w:val="center"/>
              <w:ind w:left="86"/>
              <w:spacing w:after="0" w:line="99" w:lineRule="exact"/>
              <w:rPr>
                <w:sz w:val="20"/>
                <w:szCs w:val="20"/>
                <w:color w:val="auto"/>
              </w:rPr>
            </w:pPr>
            <w:r>
              <w:rPr>
                <w:rFonts w:ascii="Arial" w:cs="Arial" w:eastAsia="Arial" w:hAnsi="Arial"/>
                <w:sz w:val="11"/>
                <w:szCs w:val="11"/>
                <w:color w:val="auto"/>
                <w:w w:val="90"/>
              </w:rPr>
              <w:t>02/27/2026</w:t>
            </w:r>
          </w:p>
        </w:tc>
        <w:tc>
          <w:tcPr>
            <w:tcW w:w="260" w:type="dxa"/>
            <w:vAlign w:val="bottom"/>
          </w:tcPr>
          <w:p>
            <w:pPr>
              <w:spacing w:after="0"/>
              <w:rPr>
                <w:sz w:val="8"/>
                <w:szCs w:val="8"/>
                <w:color w:val="auto"/>
              </w:rPr>
            </w:pPr>
          </w:p>
        </w:tc>
        <w:tc>
          <w:tcPr>
            <w:tcW w:w="2200" w:type="dxa"/>
            <w:vAlign w:val="bottom"/>
          </w:tcPr>
          <w:p>
            <w:pPr>
              <w:jc w:val="center"/>
              <w:spacing w:after="0" w:line="99" w:lineRule="exact"/>
              <w:rPr>
                <w:sz w:val="20"/>
                <w:szCs w:val="20"/>
                <w:color w:val="auto"/>
              </w:rPr>
            </w:pPr>
            <w:r>
              <w:rPr>
                <w:rFonts w:ascii="Arial" w:cs="Arial" w:eastAsia="Arial" w:hAnsi="Arial"/>
                <w:sz w:val="11"/>
                <w:szCs w:val="11"/>
                <w:color w:val="auto"/>
                <w:w w:val="89"/>
              </w:rPr>
              <w:t>Electronic Equipment, Instruments, and</w:t>
            </w:r>
          </w:p>
        </w:tc>
        <w:tc>
          <w:tcPr>
            <w:tcW w:w="1080" w:type="dxa"/>
            <w:vAlign w:val="bottom"/>
            <w:gridSpan w:val="3"/>
          </w:tcPr>
          <w:p>
            <w:pPr>
              <w:jc w:val="right"/>
              <w:ind w:right="86"/>
              <w:spacing w:after="0" w:line="99" w:lineRule="exact"/>
              <w:rPr>
                <w:sz w:val="20"/>
                <w:szCs w:val="20"/>
                <w:color w:val="auto"/>
              </w:rPr>
            </w:pPr>
            <w:r>
              <w:rPr>
                <w:rFonts w:ascii="Arial" w:cs="Arial" w:eastAsia="Arial" w:hAnsi="Arial"/>
                <w:sz w:val="11"/>
                <w:szCs w:val="11"/>
                <w:color w:val="auto"/>
              </w:rPr>
              <w:t>6.00 %</w:t>
            </w:r>
          </w:p>
        </w:tc>
        <w:tc>
          <w:tcPr>
            <w:tcW w:w="920" w:type="dxa"/>
            <w:vAlign w:val="bottom"/>
          </w:tcPr>
          <w:p>
            <w:pPr>
              <w:jc w:val="right"/>
              <w:spacing w:after="0" w:line="99" w:lineRule="exact"/>
              <w:rPr>
                <w:sz w:val="20"/>
                <w:szCs w:val="20"/>
                <w:color w:val="auto"/>
              </w:rPr>
            </w:pPr>
            <w:r>
              <w:rPr>
                <w:rFonts w:ascii="Arial" w:cs="Arial" w:eastAsia="Arial" w:hAnsi="Arial"/>
                <w:sz w:val="11"/>
                <w:szCs w:val="11"/>
                <w:color w:val="auto"/>
              </w:rPr>
              <w:t>3M L+500</w:t>
            </w:r>
          </w:p>
        </w:tc>
        <w:tc>
          <w:tcPr>
            <w:tcW w:w="900" w:type="dxa"/>
            <w:vAlign w:val="bottom"/>
            <w:gridSpan w:val="2"/>
          </w:tcPr>
          <w:p>
            <w:pPr>
              <w:jc w:val="right"/>
              <w:spacing w:after="0" w:line="99" w:lineRule="exact"/>
              <w:rPr>
                <w:sz w:val="20"/>
                <w:szCs w:val="20"/>
                <w:color w:val="auto"/>
              </w:rPr>
            </w:pPr>
            <w:r>
              <w:rPr>
                <w:rFonts w:ascii="Arial" w:cs="Arial" w:eastAsia="Arial" w:hAnsi="Arial"/>
                <w:sz w:val="11"/>
                <w:szCs w:val="11"/>
                <w:color w:val="auto"/>
              </w:rPr>
              <w:t>3,057</w:t>
            </w: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jc w:val="right"/>
              <w:spacing w:after="0" w:line="99" w:lineRule="exact"/>
              <w:rPr>
                <w:sz w:val="20"/>
                <w:szCs w:val="20"/>
                <w:color w:val="auto"/>
              </w:rPr>
            </w:pPr>
            <w:r>
              <w:rPr>
                <w:rFonts w:ascii="Arial" w:cs="Arial" w:eastAsia="Arial" w:hAnsi="Arial"/>
                <w:sz w:val="11"/>
                <w:szCs w:val="11"/>
                <w:color w:val="auto"/>
              </w:rPr>
              <w:t>3,039</w:t>
            </w: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jc w:val="right"/>
              <w:spacing w:after="0" w:line="99" w:lineRule="exact"/>
              <w:rPr>
                <w:sz w:val="20"/>
                <w:szCs w:val="20"/>
                <w:color w:val="auto"/>
              </w:rPr>
            </w:pPr>
            <w:r>
              <w:rPr>
                <w:rFonts w:ascii="Arial" w:cs="Arial" w:eastAsia="Arial" w:hAnsi="Arial"/>
                <w:sz w:val="11"/>
                <w:szCs w:val="11"/>
                <w:color w:val="auto"/>
              </w:rPr>
              <w:t>3,042</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3140" w:type="dxa"/>
            <w:vAlign w:val="bottom"/>
            <w:vMerge w:val="restart"/>
          </w:tcPr>
          <w:p>
            <w:pPr>
              <w:ind w:left="20"/>
              <w:spacing w:after="0"/>
              <w:rPr>
                <w:sz w:val="20"/>
                <w:szCs w:val="20"/>
                <w:color w:val="auto"/>
              </w:rPr>
            </w:pPr>
            <w:r>
              <w:rPr>
                <w:rFonts w:ascii="Arial" w:cs="Arial" w:eastAsia="Arial" w:hAnsi="Arial"/>
                <w:sz w:val="11"/>
                <w:szCs w:val="11"/>
                <w:color w:val="auto"/>
              </w:rPr>
              <w:t xml:space="preserve">Wildcat Buyerco, Inc. </w:t>
            </w:r>
            <w:r>
              <w:rPr>
                <w:rFonts w:ascii="Arial" w:cs="Arial" w:eastAsia="Arial" w:hAnsi="Arial"/>
                <w:sz w:val="14"/>
                <w:szCs w:val="14"/>
                <w:color w:val="auto"/>
                <w:vertAlign w:val="superscript"/>
              </w:rPr>
              <w:t>(7), (9)</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0" w:type="dxa"/>
            <w:vAlign w:val="bottom"/>
          </w:tcPr>
          <w:p>
            <w:pPr>
              <w:jc w:val="center"/>
              <w:spacing w:after="0"/>
              <w:rPr>
                <w:sz w:val="20"/>
                <w:szCs w:val="20"/>
                <w:color w:val="auto"/>
              </w:rPr>
            </w:pPr>
            <w:r>
              <w:rPr>
                <w:rFonts w:ascii="Arial" w:cs="Arial" w:eastAsia="Arial" w:hAnsi="Arial"/>
                <w:sz w:val="11"/>
                <w:szCs w:val="11"/>
                <w:color w:val="auto"/>
                <w:w w:val="89"/>
              </w:rPr>
              <w:t>Components</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140" w:type="dxa"/>
            <w:vAlign w:val="bottom"/>
            <w:vMerge w:val="continue"/>
          </w:tcPr>
          <w:p>
            <w:pPr>
              <w:spacing w:after="0"/>
              <w:rPr>
                <w:sz w:val="9"/>
                <w:szCs w:val="9"/>
                <w:color w:val="auto"/>
              </w:rPr>
            </w:pPr>
          </w:p>
        </w:tc>
        <w:tc>
          <w:tcPr>
            <w:tcW w:w="800" w:type="dxa"/>
            <w:vAlign w:val="bottom"/>
            <w:gridSpan w:val="2"/>
          </w:tcPr>
          <w:p>
            <w:pPr>
              <w:jc w:val="center"/>
              <w:ind w:left="86"/>
              <w:spacing w:after="0" w:line="108" w:lineRule="exact"/>
              <w:rPr>
                <w:sz w:val="20"/>
                <w:szCs w:val="20"/>
                <w:color w:val="auto"/>
              </w:rPr>
            </w:pPr>
            <w:r>
              <w:rPr>
                <w:rFonts w:ascii="Arial" w:cs="Arial" w:eastAsia="Arial" w:hAnsi="Arial"/>
                <w:sz w:val="11"/>
                <w:szCs w:val="11"/>
                <w:color w:val="auto"/>
                <w:w w:val="90"/>
              </w:rPr>
              <w:t>02/27/2022</w:t>
            </w:r>
          </w:p>
        </w:tc>
        <w:tc>
          <w:tcPr>
            <w:tcW w:w="260" w:type="dxa"/>
            <w:vAlign w:val="bottom"/>
          </w:tcPr>
          <w:p>
            <w:pPr>
              <w:spacing w:after="0"/>
              <w:rPr>
                <w:sz w:val="9"/>
                <w:szCs w:val="9"/>
                <w:color w:val="auto"/>
              </w:rPr>
            </w:pPr>
          </w:p>
        </w:tc>
        <w:tc>
          <w:tcPr>
            <w:tcW w:w="2200" w:type="dxa"/>
            <w:vAlign w:val="bottom"/>
          </w:tcPr>
          <w:p>
            <w:pPr>
              <w:jc w:val="center"/>
              <w:spacing w:after="0" w:line="108" w:lineRule="exact"/>
              <w:rPr>
                <w:sz w:val="20"/>
                <w:szCs w:val="20"/>
                <w:color w:val="auto"/>
              </w:rPr>
            </w:pPr>
            <w:r>
              <w:rPr>
                <w:rFonts w:ascii="Arial" w:cs="Arial" w:eastAsia="Arial" w:hAnsi="Arial"/>
                <w:sz w:val="11"/>
                <w:szCs w:val="11"/>
                <w:color w:val="auto"/>
                <w:w w:val="89"/>
              </w:rPr>
              <w:t>Electronic Equipment, Instruments, and</w:t>
            </w:r>
          </w:p>
        </w:tc>
        <w:tc>
          <w:tcPr>
            <w:tcW w:w="120" w:type="dxa"/>
            <w:vAlign w:val="bottom"/>
          </w:tcPr>
          <w:p>
            <w:pPr>
              <w:spacing w:after="0"/>
              <w:rPr>
                <w:sz w:val="9"/>
                <w:szCs w:val="9"/>
                <w:color w:val="auto"/>
              </w:rPr>
            </w:pPr>
          </w:p>
        </w:tc>
        <w:tc>
          <w:tcPr>
            <w:tcW w:w="960" w:type="dxa"/>
            <w:vAlign w:val="bottom"/>
            <w:gridSpan w:val="2"/>
          </w:tcPr>
          <w:p>
            <w:pPr>
              <w:jc w:val="right"/>
              <w:ind w:right="206"/>
              <w:spacing w:after="0" w:line="108" w:lineRule="exact"/>
              <w:rPr>
                <w:sz w:val="20"/>
                <w:szCs w:val="20"/>
                <w:color w:val="auto"/>
              </w:rPr>
            </w:pPr>
            <w:r>
              <w:rPr>
                <w:rFonts w:ascii="Arial" w:cs="Arial" w:eastAsia="Arial" w:hAnsi="Arial"/>
                <w:sz w:val="11"/>
                <w:szCs w:val="11"/>
                <w:color w:val="auto"/>
              </w:rPr>
              <w:t>—</w:t>
            </w:r>
          </w:p>
        </w:tc>
        <w:tc>
          <w:tcPr>
            <w:tcW w:w="920" w:type="dxa"/>
            <w:vAlign w:val="bottom"/>
          </w:tcPr>
          <w:p>
            <w:pPr>
              <w:jc w:val="right"/>
              <w:spacing w:after="0" w:line="108" w:lineRule="exact"/>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line="108" w:lineRule="exact"/>
              <w:rPr>
                <w:sz w:val="20"/>
                <w:szCs w:val="20"/>
                <w:color w:val="auto"/>
              </w:rPr>
            </w:pPr>
            <w:r>
              <w:rPr>
                <w:rFonts w:ascii="Arial" w:cs="Arial" w:eastAsia="Arial" w:hAnsi="Arial"/>
                <w:sz w:val="11"/>
                <w:szCs w:val="11"/>
                <w:color w:val="auto"/>
              </w:rPr>
              <w:t>2,491</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jc w:val="right"/>
              <w:spacing w:after="0" w:line="108" w:lineRule="exact"/>
              <w:rPr>
                <w:sz w:val="20"/>
                <w:szCs w:val="20"/>
                <w:color w:val="auto"/>
              </w:rPr>
            </w:pPr>
            <w:r>
              <w:rPr>
                <w:rFonts w:ascii="Arial" w:cs="Arial" w:eastAsia="Arial" w:hAnsi="Arial"/>
                <w:sz w:val="11"/>
                <w:szCs w:val="11"/>
                <w:color w:val="auto"/>
              </w:rPr>
              <w:t>—</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jc w:val="right"/>
              <w:spacing w:after="0" w:line="108" w:lineRule="exact"/>
              <w:rPr>
                <w:sz w:val="20"/>
                <w:szCs w:val="20"/>
                <w:color w:val="auto"/>
              </w:rPr>
            </w:pPr>
            <w:r>
              <w:rPr>
                <w:rFonts w:ascii="Arial" w:cs="Arial" w:eastAsia="Arial" w:hAnsi="Arial"/>
                <w:sz w:val="11"/>
                <w:szCs w:val="11"/>
                <w:color w:val="auto"/>
              </w:rPr>
              <w:t>16</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140" w:type="dxa"/>
            <w:vAlign w:val="bottom"/>
            <w:vMerge w:val="restart"/>
          </w:tcPr>
          <w:p>
            <w:pPr>
              <w:ind w:left="20"/>
              <w:spacing w:after="0"/>
              <w:rPr>
                <w:sz w:val="20"/>
                <w:szCs w:val="20"/>
                <w:color w:val="auto"/>
              </w:rPr>
            </w:pPr>
            <w:r>
              <w:rPr>
                <w:rFonts w:ascii="Arial" w:cs="Arial" w:eastAsia="Arial" w:hAnsi="Arial"/>
                <w:sz w:val="11"/>
                <w:szCs w:val="11"/>
                <w:color w:val="auto"/>
              </w:rPr>
              <w:t xml:space="preserve">Wildcat Buyerco, Inc. (Revolver) </w:t>
            </w:r>
            <w:r>
              <w:rPr>
                <w:rFonts w:ascii="Arial" w:cs="Arial" w:eastAsia="Arial" w:hAnsi="Arial"/>
                <w:sz w:val="14"/>
                <w:szCs w:val="14"/>
                <w:color w:val="auto"/>
                <w:vertAlign w:val="superscript"/>
              </w:rPr>
              <w:t>(7), (9)</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0" w:type="dxa"/>
            <w:vAlign w:val="bottom"/>
          </w:tcPr>
          <w:p>
            <w:pPr>
              <w:jc w:val="center"/>
              <w:spacing w:after="0"/>
              <w:rPr>
                <w:sz w:val="20"/>
                <w:szCs w:val="20"/>
                <w:color w:val="auto"/>
              </w:rPr>
            </w:pPr>
            <w:r>
              <w:rPr>
                <w:rFonts w:ascii="Arial" w:cs="Arial" w:eastAsia="Arial" w:hAnsi="Arial"/>
                <w:sz w:val="11"/>
                <w:szCs w:val="11"/>
                <w:color w:val="auto"/>
                <w:w w:val="89"/>
              </w:rPr>
              <w:t>Components</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140" w:type="dxa"/>
            <w:vAlign w:val="bottom"/>
            <w:vMerge w:val="continue"/>
          </w:tcPr>
          <w:p>
            <w:pPr>
              <w:spacing w:after="0"/>
              <w:rPr>
                <w:sz w:val="9"/>
                <w:szCs w:val="9"/>
                <w:color w:val="auto"/>
              </w:rPr>
            </w:pPr>
          </w:p>
        </w:tc>
        <w:tc>
          <w:tcPr>
            <w:tcW w:w="800" w:type="dxa"/>
            <w:vAlign w:val="bottom"/>
            <w:gridSpan w:val="2"/>
          </w:tcPr>
          <w:p>
            <w:pPr>
              <w:jc w:val="center"/>
              <w:ind w:left="86"/>
              <w:spacing w:after="0" w:line="108" w:lineRule="exact"/>
              <w:rPr>
                <w:sz w:val="20"/>
                <w:szCs w:val="20"/>
                <w:color w:val="auto"/>
              </w:rPr>
            </w:pPr>
            <w:r>
              <w:rPr>
                <w:rFonts w:ascii="Arial" w:cs="Arial" w:eastAsia="Arial" w:hAnsi="Arial"/>
                <w:sz w:val="11"/>
                <w:szCs w:val="11"/>
                <w:color w:val="auto"/>
                <w:w w:val="90"/>
              </w:rPr>
              <w:t>02/27/2026</w:t>
            </w:r>
          </w:p>
        </w:tc>
        <w:tc>
          <w:tcPr>
            <w:tcW w:w="260" w:type="dxa"/>
            <w:vAlign w:val="bottom"/>
          </w:tcPr>
          <w:p>
            <w:pPr>
              <w:spacing w:after="0"/>
              <w:rPr>
                <w:sz w:val="9"/>
                <w:szCs w:val="9"/>
                <w:color w:val="auto"/>
              </w:rPr>
            </w:pPr>
          </w:p>
        </w:tc>
        <w:tc>
          <w:tcPr>
            <w:tcW w:w="2200" w:type="dxa"/>
            <w:vAlign w:val="bottom"/>
          </w:tcPr>
          <w:p>
            <w:pPr>
              <w:jc w:val="center"/>
              <w:spacing w:after="0" w:line="108" w:lineRule="exact"/>
              <w:rPr>
                <w:sz w:val="20"/>
                <w:szCs w:val="20"/>
                <w:color w:val="auto"/>
              </w:rPr>
            </w:pPr>
            <w:r>
              <w:rPr>
                <w:rFonts w:ascii="Arial" w:cs="Arial" w:eastAsia="Arial" w:hAnsi="Arial"/>
                <w:sz w:val="11"/>
                <w:szCs w:val="11"/>
                <w:color w:val="auto"/>
                <w:w w:val="89"/>
              </w:rPr>
              <w:t>Electronic Equipment, Instruments, and</w:t>
            </w:r>
          </w:p>
        </w:tc>
        <w:tc>
          <w:tcPr>
            <w:tcW w:w="120" w:type="dxa"/>
            <w:vAlign w:val="bottom"/>
          </w:tcPr>
          <w:p>
            <w:pPr>
              <w:spacing w:after="0"/>
              <w:rPr>
                <w:sz w:val="9"/>
                <w:szCs w:val="9"/>
                <w:color w:val="auto"/>
              </w:rPr>
            </w:pPr>
          </w:p>
        </w:tc>
        <w:tc>
          <w:tcPr>
            <w:tcW w:w="960" w:type="dxa"/>
            <w:vAlign w:val="bottom"/>
            <w:gridSpan w:val="2"/>
          </w:tcPr>
          <w:p>
            <w:pPr>
              <w:jc w:val="right"/>
              <w:ind w:right="206"/>
              <w:spacing w:after="0" w:line="108" w:lineRule="exact"/>
              <w:rPr>
                <w:sz w:val="20"/>
                <w:szCs w:val="20"/>
                <w:color w:val="auto"/>
              </w:rPr>
            </w:pPr>
            <w:r>
              <w:rPr>
                <w:rFonts w:ascii="Arial" w:cs="Arial" w:eastAsia="Arial" w:hAnsi="Arial"/>
                <w:sz w:val="11"/>
                <w:szCs w:val="11"/>
                <w:color w:val="auto"/>
              </w:rPr>
              <w:t>—</w:t>
            </w:r>
          </w:p>
        </w:tc>
        <w:tc>
          <w:tcPr>
            <w:tcW w:w="920" w:type="dxa"/>
            <w:vAlign w:val="bottom"/>
          </w:tcPr>
          <w:p>
            <w:pPr>
              <w:jc w:val="right"/>
              <w:spacing w:after="0" w:line="108" w:lineRule="exact"/>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line="108" w:lineRule="exact"/>
              <w:rPr>
                <w:sz w:val="20"/>
                <w:szCs w:val="20"/>
                <w:color w:val="auto"/>
              </w:rPr>
            </w:pPr>
            <w:r>
              <w:rPr>
                <w:rFonts w:ascii="Arial" w:cs="Arial" w:eastAsia="Arial" w:hAnsi="Arial"/>
                <w:sz w:val="11"/>
                <w:szCs w:val="11"/>
                <w:color w:val="auto"/>
              </w:rPr>
              <w:t>534</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jc w:val="right"/>
              <w:spacing w:after="0" w:line="108" w:lineRule="exact"/>
              <w:rPr>
                <w:sz w:val="20"/>
                <w:szCs w:val="20"/>
                <w:color w:val="auto"/>
              </w:rPr>
            </w:pPr>
            <w:r>
              <w:rPr>
                <w:rFonts w:ascii="Arial" w:cs="Arial" w:eastAsia="Arial" w:hAnsi="Arial"/>
                <w:sz w:val="11"/>
                <w:szCs w:val="11"/>
                <w:color w:val="auto"/>
              </w:rPr>
              <w:t>—</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gridSpan w:val="2"/>
          </w:tcPr>
          <w:p>
            <w:pPr>
              <w:jc w:val="right"/>
              <w:ind w:right="60"/>
              <w:spacing w:after="0" w:line="108" w:lineRule="exact"/>
              <w:rPr>
                <w:sz w:val="20"/>
                <w:szCs w:val="20"/>
                <w:color w:val="auto"/>
              </w:rPr>
            </w:pPr>
            <w:r>
              <w:rPr>
                <w:rFonts w:ascii="Arial" w:cs="Arial" w:eastAsia="Arial" w:hAnsi="Arial"/>
                <w:sz w:val="11"/>
                <w:szCs w:val="11"/>
                <w:color w:val="auto"/>
              </w:rPr>
              <w:t>(7 )</w:t>
            </w:r>
          </w:p>
        </w:tc>
        <w:tc>
          <w:tcPr>
            <w:tcW w:w="0" w:type="dxa"/>
            <w:vAlign w:val="bottom"/>
          </w:tcPr>
          <w:p>
            <w:pPr>
              <w:spacing w:after="0"/>
              <w:rPr>
                <w:sz w:val="1"/>
                <w:szCs w:val="1"/>
                <w:color w:val="auto"/>
              </w:rPr>
            </w:pPr>
          </w:p>
        </w:tc>
      </w:tr>
      <w:tr>
        <w:trPr>
          <w:trHeight w:val="131"/>
        </w:trPr>
        <w:tc>
          <w:tcPr>
            <w:tcW w:w="3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0" w:type="dxa"/>
            <w:vAlign w:val="bottom"/>
          </w:tcPr>
          <w:p>
            <w:pPr>
              <w:jc w:val="center"/>
              <w:spacing w:after="0"/>
              <w:rPr>
                <w:sz w:val="20"/>
                <w:szCs w:val="20"/>
                <w:color w:val="auto"/>
              </w:rPr>
            </w:pPr>
            <w:r>
              <w:rPr>
                <w:rFonts w:ascii="Arial" w:cs="Arial" w:eastAsia="Arial" w:hAnsi="Arial"/>
                <w:sz w:val="11"/>
                <w:szCs w:val="11"/>
                <w:color w:val="auto"/>
                <w:w w:val="89"/>
              </w:rPr>
              <w:t>Components</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14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1"/>
                <w:szCs w:val="11"/>
                <w:b w:val="1"/>
                <w:bCs w:val="1"/>
                <w:color w:val="auto"/>
              </w:rPr>
              <w:t>Total First Lien Secured Debt</w:t>
            </w:r>
          </w:p>
        </w:tc>
        <w:tc>
          <w:tcPr>
            <w:tcW w:w="120" w:type="dxa"/>
            <w:vAlign w:val="bottom"/>
            <w:tcBorders>
              <w:bottom w:val="single" w:sz="8" w:color="CCECFF"/>
            </w:tcBorders>
            <w:shd w:val="clear" w:color="auto" w:fill="CCECFF"/>
          </w:tcPr>
          <w:p>
            <w:pPr>
              <w:spacing w:after="0"/>
              <w:rPr>
                <w:sz w:val="11"/>
                <w:szCs w:val="11"/>
                <w:color w:val="auto"/>
              </w:rPr>
            </w:pPr>
          </w:p>
        </w:tc>
        <w:tc>
          <w:tcPr>
            <w:tcW w:w="680" w:type="dxa"/>
            <w:vAlign w:val="bottom"/>
            <w:tcBorders>
              <w:bottom w:val="single" w:sz="8" w:color="CCECFF"/>
            </w:tcBorders>
            <w:shd w:val="clear" w:color="auto" w:fill="CCECFF"/>
          </w:tcPr>
          <w:p>
            <w:pPr>
              <w:spacing w:after="0"/>
              <w:rPr>
                <w:sz w:val="11"/>
                <w:szCs w:val="11"/>
                <w:color w:val="auto"/>
              </w:rPr>
            </w:pPr>
          </w:p>
        </w:tc>
        <w:tc>
          <w:tcPr>
            <w:tcW w:w="260" w:type="dxa"/>
            <w:vAlign w:val="bottom"/>
            <w:tcBorders>
              <w:bottom w:val="single" w:sz="8" w:color="CCECFF"/>
            </w:tcBorders>
            <w:shd w:val="clear" w:color="auto" w:fill="CCECFF"/>
          </w:tcPr>
          <w:p>
            <w:pPr>
              <w:spacing w:after="0"/>
              <w:rPr>
                <w:sz w:val="11"/>
                <w:szCs w:val="11"/>
                <w:color w:val="auto"/>
              </w:rPr>
            </w:pPr>
          </w:p>
        </w:tc>
        <w:tc>
          <w:tcPr>
            <w:tcW w:w="220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720" w:type="dxa"/>
            <w:vAlign w:val="bottom"/>
            <w:tcBorders>
              <w:bottom w:val="single" w:sz="8" w:color="CCECFF"/>
            </w:tcBorders>
            <w:shd w:val="clear" w:color="auto" w:fill="CCECFF"/>
          </w:tcPr>
          <w:p>
            <w:pPr>
              <w:spacing w:after="0"/>
              <w:rPr>
                <w:sz w:val="11"/>
                <w:szCs w:val="11"/>
                <w:color w:val="auto"/>
              </w:rPr>
            </w:pPr>
          </w:p>
        </w:tc>
        <w:tc>
          <w:tcPr>
            <w:tcW w:w="240" w:type="dxa"/>
            <w:vAlign w:val="bottom"/>
            <w:tcBorders>
              <w:bottom w:val="single" w:sz="8" w:color="CCECFF"/>
            </w:tcBorders>
            <w:shd w:val="clear" w:color="auto" w:fill="CCECFF"/>
          </w:tcPr>
          <w:p>
            <w:pPr>
              <w:spacing w:after="0"/>
              <w:rPr>
                <w:sz w:val="11"/>
                <w:szCs w:val="11"/>
                <w:color w:val="auto"/>
              </w:rPr>
            </w:pPr>
          </w:p>
        </w:tc>
        <w:tc>
          <w:tcPr>
            <w:tcW w:w="920" w:type="dxa"/>
            <w:vAlign w:val="bottom"/>
            <w:tcBorders>
              <w:bottom w:val="single" w:sz="8" w:color="CCECFF"/>
            </w:tcBorders>
            <w:shd w:val="clear" w:color="auto" w:fill="CCECFF"/>
          </w:tcPr>
          <w:p>
            <w:pPr>
              <w:spacing w:after="0"/>
              <w:rPr>
                <w:sz w:val="11"/>
                <w:szCs w:val="11"/>
                <w:color w:val="auto"/>
              </w:rPr>
            </w:pPr>
          </w:p>
        </w:tc>
        <w:tc>
          <w:tcPr>
            <w:tcW w:w="200" w:type="dxa"/>
            <w:vAlign w:val="bottom"/>
            <w:tcBorders>
              <w:bottom w:val="single" w:sz="8" w:color="CCECFF"/>
            </w:tcBorders>
            <w:shd w:val="clear" w:color="auto" w:fill="CCECFF"/>
          </w:tcPr>
          <w:p>
            <w:pPr>
              <w:spacing w:after="0"/>
              <w:rPr>
                <w:sz w:val="11"/>
                <w:szCs w:val="11"/>
                <w:color w:val="auto"/>
              </w:rPr>
            </w:pPr>
          </w:p>
        </w:tc>
        <w:tc>
          <w:tcPr>
            <w:tcW w:w="70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auto"/>
            </w:tcBorders>
            <w:shd w:val="clear" w:color="auto" w:fill="CCECFF"/>
          </w:tcPr>
          <w:p>
            <w:pPr>
              <w:spacing w:after="0"/>
              <w:rPr>
                <w:sz w:val="11"/>
                <w:szCs w:val="11"/>
                <w:color w:val="auto"/>
              </w:rPr>
            </w:pPr>
          </w:p>
        </w:tc>
        <w:tc>
          <w:tcPr>
            <w:tcW w:w="5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772,799</w:t>
            </w:r>
          </w:p>
        </w:tc>
        <w:tc>
          <w:tcPr>
            <w:tcW w:w="220" w:type="dxa"/>
            <w:vAlign w:val="bottom"/>
            <w:tcBorders>
              <w:bottom w:val="single" w:sz="8" w:color="CCECFF"/>
            </w:tcBorders>
            <w:shd w:val="clear" w:color="auto" w:fill="CCECFF"/>
          </w:tcPr>
          <w:p>
            <w:pPr>
              <w:spacing w:after="0"/>
              <w:rPr>
                <w:sz w:val="11"/>
                <w:szCs w:val="11"/>
                <w:color w:val="auto"/>
              </w:rPr>
            </w:pPr>
          </w:p>
        </w:tc>
        <w:tc>
          <w:tcPr>
            <w:tcW w:w="200" w:type="dxa"/>
            <w:vAlign w:val="bottom"/>
            <w:tcBorders>
              <w:bottom w:val="single" w:sz="8" w:color="auto"/>
            </w:tcBorders>
            <w:shd w:val="clear" w:color="auto" w:fill="CCECFF"/>
          </w:tcPr>
          <w:p>
            <w:pPr>
              <w:spacing w:after="0"/>
              <w:rPr>
                <w:sz w:val="11"/>
                <w:szCs w:val="11"/>
                <w:color w:val="auto"/>
              </w:rPr>
            </w:pPr>
          </w:p>
        </w:tc>
        <w:tc>
          <w:tcPr>
            <w:tcW w:w="5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764,584</w:t>
            </w:r>
          </w:p>
        </w:tc>
        <w:tc>
          <w:tcPr>
            <w:tcW w:w="10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3140" w:type="dxa"/>
            <w:vAlign w:val="bottom"/>
          </w:tcPr>
          <w:p>
            <w:pPr>
              <w:ind w:left="20"/>
              <w:spacing w:after="0" w:line="99" w:lineRule="exact"/>
              <w:rPr>
                <w:sz w:val="20"/>
                <w:szCs w:val="20"/>
                <w:color w:val="auto"/>
              </w:rPr>
            </w:pPr>
            <w:r>
              <w:rPr>
                <w:rFonts w:ascii="Arial" w:cs="Arial" w:eastAsia="Arial" w:hAnsi="Arial"/>
                <w:sz w:val="11"/>
                <w:szCs w:val="11"/>
                <w:b w:val="1"/>
                <w:bCs w:val="1"/>
                <w:color w:val="auto"/>
              </w:rPr>
              <w:t>Second Lien Secured Debt—0.7%</w:t>
            </w: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314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Mailsouth Inc. </w:t>
            </w:r>
            <w:r>
              <w:rPr>
                <w:rFonts w:ascii="Arial" w:cs="Arial" w:eastAsia="Arial" w:hAnsi="Arial"/>
                <w:sz w:val="14"/>
                <w:szCs w:val="14"/>
                <w:color w:val="auto"/>
                <w:vertAlign w:val="superscript"/>
              </w:rPr>
              <w:t>(7)</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04/23/2025</w:t>
            </w:r>
          </w:p>
        </w:tc>
        <w:tc>
          <w:tcPr>
            <w:tcW w:w="260" w:type="dxa"/>
            <w:vAlign w:val="bottom"/>
          </w:tcPr>
          <w:p>
            <w:pPr>
              <w:spacing w:after="0"/>
              <w:rPr>
                <w:sz w:val="13"/>
                <w:szCs w:val="13"/>
                <w:color w:val="auto"/>
              </w:rPr>
            </w:pPr>
          </w:p>
        </w:tc>
        <w:tc>
          <w:tcPr>
            <w:tcW w:w="2200" w:type="dxa"/>
            <w:vAlign w:val="bottom"/>
          </w:tcPr>
          <w:p>
            <w:pPr>
              <w:jc w:val="center"/>
              <w:spacing w:after="0"/>
              <w:rPr>
                <w:sz w:val="20"/>
                <w:szCs w:val="20"/>
                <w:color w:val="auto"/>
              </w:rPr>
            </w:pPr>
            <w:r>
              <w:rPr>
                <w:rFonts w:ascii="Arial" w:cs="Arial" w:eastAsia="Arial" w:hAnsi="Arial"/>
                <w:sz w:val="11"/>
                <w:szCs w:val="11"/>
                <w:color w:val="auto"/>
                <w:w w:val="91"/>
              </w:rPr>
              <w:t>Media: Advertising, Printing and Publishing</w:t>
            </w:r>
          </w:p>
        </w:tc>
        <w:tc>
          <w:tcPr>
            <w:tcW w:w="1080" w:type="dxa"/>
            <w:vAlign w:val="bottom"/>
            <w:gridSpan w:val="3"/>
          </w:tcPr>
          <w:p>
            <w:pPr>
              <w:jc w:val="right"/>
              <w:ind w:right="86"/>
              <w:spacing w:after="0"/>
              <w:rPr>
                <w:sz w:val="20"/>
                <w:szCs w:val="20"/>
                <w:color w:val="auto"/>
              </w:rPr>
            </w:pPr>
            <w:r>
              <w:rPr>
                <w:rFonts w:ascii="Arial" w:cs="Arial" w:eastAsia="Arial" w:hAnsi="Arial"/>
                <w:sz w:val="11"/>
                <w:szCs w:val="11"/>
                <w:color w:val="auto"/>
              </w:rPr>
              <w:t>15.00 %</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864</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864</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864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3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vMerge w:val="restart"/>
          </w:tcPr>
          <w:p>
            <w:pPr>
              <w:jc w:val="right"/>
              <w:ind w:right="206"/>
              <w:spacing w:after="0"/>
              <w:rPr>
                <w:sz w:val="20"/>
                <w:szCs w:val="20"/>
                <w:color w:val="auto"/>
              </w:rPr>
            </w:pPr>
            <w:r>
              <w:rPr>
                <w:rFonts w:ascii="Arial" w:cs="Arial" w:eastAsia="Arial" w:hAnsi="Arial"/>
                <w:sz w:val="11"/>
                <w:szCs w:val="11"/>
                <w:color w:val="auto"/>
              </w:rPr>
              <w:t>(PIK 15.00%)</w:t>
            </w:r>
          </w:p>
        </w:tc>
        <w:tc>
          <w:tcPr>
            <w:tcW w:w="920" w:type="dxa"/>
            <w:vAlign w:val="bottom"/>
          </w:tcPr>
          <w:p>
            <w:pPr>
              <w:spacing w:after="0"/>
              <w:rPr>
                <w:sz w:val="11"/>
                <w:szCs w:val="11"/>
                <w:color w:val="auto"/>
              </w:rPr>
            </w:pP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3140" w:type="dxa"/>
            <w:vAlign w:val="bottom"/>
            <w:vMerge w:val="restart"/>
          </w:tcPr>
          <w:p>
            <w:pPr>
              <w:ind w:left="20"/>
              <w:spacing w:after="0"/>
              <w:rPr>
                <w:sz w:val="20"/>
                <w:szCs w:val="20"/>
                <w:color w:val="auto"/>
              </w:rPr>
            </w:pPr>
            <w:r>
              <w:rPr>
                <w:rFonts w:ascii="Arial" w:cs="Arial" w:eastAsia="Arial" w:hAnsi="Arial"/>
                <w:sz w:val="11"/>
                <w:szCs w:val="11"/>
                <w:color w:val="auto"/>
              </w:rPr>
              <w:t xml:space="preserve">PT Network Intermediate Holdings, LLC </w:t>
            </w:r>
            <w:r>
              <w:rPr>
                <w:rFonts w:ascii="Arial" w:cs="Arial" w:eastAsia="Arial" w:hAnsi="Arial"/>
                <w:sz w:val="14"/>
                <w:szCs w:val="14"/>
                <w:color w:val="auto"/>
                <w:vertAlign w:val="superscript"/>
              </w:rPr>
              <w:t>(7)</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40" w:type="dxa"/>
            <w:vAlign w:val="bottom"/>
            <w:vMerge w:val="continue"/>
          </w:tcPr>
          <w:p>
            <w:pPr>
              <w:spacing w:after="0"/>
              <w:rPr>
                <w:sz w:val="11"/>
                <w:szCs w:val="11"/>
                <w:color w:val="auto"/>
              </w:rPr>
            </w:pPr>
          </w:p>
        </w:tc>
        <w:tc>
          <w:tcPr>
            <w:tcW w:w="80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11/30/2024</w:t>
            </w:r>
          </w:p>
        </w:tc>
        <w:tc>
          <w:tcPr>
            <w:tcW w:w="260" w:type="dxa"/>
            <w:vAlign w:val="bottom"/>
          </w:tcPr>
          <w:p>
            <w:pPr>
              <w:spacing w:after="0"/>
              <w:rPr>
                <w:sz w:val="11"/>
                <w:szCs w:val="11"/>
                <w:color w:val="auto"/>
              </w:rPr>
            </w:pPr>
          </w:p>
        </w:tc>
        <w:tc>
          <w:tcPr>
            <w:tcW w:w="2200" w:type="dxa"/>
            <w:vAlign w:val="bottom"/>
          </w:tcPr>
          <w:p>
            <w:pPr>
              <w:jc w:val="center"/>
              <w:spacing w:after="0"/>
              <w:rPr>
                <w:sz w:val="20"/>
                <w:szCs w:val="20"/>
                <w:color w:val="auto"/>
              </w:rPr>
            </w:pPr>
            <w:r>
              <w:rPr>
                <w:rFonts w:ascii="Arial" w:cs="Arial" w:eastAsia="Arial" w:hAnsi="Arial"/>
                <w:sz w:val="11"/>
                <w:szCs w:val="11"/>
                <w:color w:val="auto"/>
                <w:w w:val="88"/>
              </w:rPr>
              <w:t>Healthcare and Pharmaceuticals</w:t>
            </w:r>
          </w:p>
        </w:tc>
        <w:tc>
          <w:tcPr>
            <w:tcW w:w="1080" w:type="dxa"/>
            <w:vAlign w:val="bottom"/>
            <w:gridSpan w:val="3"/>
          </w:tcPr>
          <w:p>
            <w:pPr>
              <w:jc w:val="right"/>
              <w:ind w:right="86"/>
              <w:spacing w:after="0"/>
              <w:rPr>
                <w:sz w:val="20"/>
                <w:szCs w:val="20"/>
                <w:color w:val="auto"/>
              </w:rPr>
            </w:pPr>
            <w:r>
              <w:rPr>
                <w:rFonts w:ascii="Arial" w:cs="Arial" w:eastAsia="Arial" w:hAnsi="Arial"/>
                <w:sz w:val="11"/>
                <w:szCs w:val="11"/>
                <w:color w:val="auto"/>
              </w:rPr>
              <w:t>11.00 %</w:t>
            </w:r>
          </w:p>
        </w:tc>
        <w:tc>
          <w:tcPr>
            <w:tcW w:w="920" w:type="dxa"/>
            <w:vAlign w:val="bottom"/>
          </w:tcPr>
          <w:p>
            <w:pPr>
              <w:jc w:val="right"/>
              <w:spacing w:after="0"/>
              <w:rPr>
                <w:sz w:val="20"/>
                <w:szCs w:val="20"/>
                <w:color w:val="auto"/>
              </w:rPr>
            </w:pPr>
            <w:r>
              <w:rPr>
                <w:rFonts w:ascii="Arial" w:cs="Arial" w:eastAsia="Arial" w:hAnsi="Arial"/>
                <w:sz w:val="11"/>
                <w:szCs w:val="11"/>
                <w:color w:val="auto"/>
              </w:rPr>
              <w:t>3M L+1,000</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2,343</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2,331</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2,343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3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(PIK 11.00%)</w:t>
            </w: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14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1"/>
                <w:szCs w:val="11"/>
                <w:color w:val="auto"/>
              </w:rPr>
              <w:t>QuantiTech LLC</w:t>
            </w:r>
          </w:p>
        </w:tc>
        <w:tc>
          <w:tcPr>
            <w:tcW w:w="800" w:type="dxa"/>
            <w:vAlign w:val="bottom"/>
            <w:tcBorders>
              <w:bottom w:val="single" w:sz="8" w:color="CCECFF"/>
            </w:tcBorders>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90"/>
              </w:rPr>
              <w:t>02/04/2027</w:t>
            </w:r>
          </w:p>
        </w:tc>
        <w:tc>
          <w:tcPr>
            <w:tcW w:w="260" w:type="dxa"/>
            <w:vAlign w:val="bottom"/>
            <w:tcBorders>
              <w:bottom w:val="single" w:sz="8" w:color="CCECFF"/>
            </w:tcBorders>
            <w:shd w:val="clear" w:color="auto" w:fill="CCECFF"/>
          </w:tcPr>
          <w:p>
            <w:pPr>
              <w:spacing w:after="0"/>
              <w:rPr>
                <w:sz w:val="12"/>
                <w:szCs w:val="12"/>
                <w:color w:val="auto"/>
              </w:rPr>
            </w:pPr>
          </w:p>
        </w:tc>
        <w:tc>
          <w:tcPr>
            <w:tcW w:w="2200" w:type="dxa"/>
            <w:vAlign w:val="bottom"/>
            <w:tcBorders>
              <w:bottom w:val="single" w:sz="8" w:color="CCECFF"/>
            </w:tcBorders>
            <w:shd w:val="clear" w:color="auto" w:fill="CCECFF"/>
          </w:tcPr>
          <w:p>
            <w:pPr>
              <w:jc w:val="center"/>
              <w:spacing w:after="0"/>
              <w:rPr>
                <w:sz w:val="20"/>
                <w:szCs w:val="20"/>
                <w:color w:val="auto"/>
              </w:rPr>
            </w:pPr>
            <w:r>
              <w:rPr>
                <w:rFonts w:ascii="Arial" w:cs="Arial" w:eastAsia="Arial" w:hAnsi="Arial"/>
                <w:sz w:val="11"/>
                <w:szCs w:val="11"/>
                <w:color w:val="auto"/>
                <w:w w:val="84"/>
              </w:rPr>
              <w:t>Aerospace and Defense</w:t>
            </w:r>
          </w:p>
        </w:tc>
        <w:tc>
          <w:tcPr>
            <w:tcW w:w="1080" w:type="dxa"/>
            <w:vAlign w:val="bottom"/>
            <w:tcBorders>
              <w:bottom w:val="single" w:sz="8" w:color="CCECFF"/>
            </w:tcBorders>
            <w:gridSpan w:val="3"/>
            <w:shd w:val="clear" w:color="auto" w:fill="CCECFF"/>
          </w:tcPr>
          <w:p>
            <w:pPr>
              <w:jc w:val="right"/>
              <w:ind w:right="86"/>
              <w:spacing w:after="0"/>
              <w:rPr>
                <w:sz w:val="20"/>
                <w:szCs w:val="20"/>
                <w:color w:val="auto"/>
              </w:rPr>
            </w:pPr>
            <w:r>
              <w:rPr>
                <w:rFonts w:ascii="Arial" w:cs="Arial" w:eastAsia="Arial" w:hAnsi="Arial"/>
                <w:sz w:val="11"/>
                <w:szCs w:val="11"/>
                <w:color w:val="auto"/>
              </w:rPr>
              <w:t>11.00 %</w:t>
            </w:r>
          </w:p>
        </w:tc>
        <w:tc>
          <w:tcPr>
            <w:tcW w:w="92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1"/>
                <w:szCs w:val="11"/>
                <w:color w:val="auto"/>
              </w:rPr>
              <w:t>3M L+1,000</w:t>
            </w:r>
          </w:p>
        </w:tc>
        <w:tc>
          <w:tcPr>
            <w:tcW w:w="900" w:type="dxa"/>
            <w:vAlign w:val="bottom"/>
            <w:tcBorders>
              <w:bottom w:val="single" w:sz="8" w:color="CCECFF"/>
            </w:tcBorders>
            <w:gridSpan w:val="2"/>
            <w:shd w:val="clear" w:color="auto" w:fill="CCECFF"/>
          </w:tcPr>
          <w:p>
            <w:pPr>
              <w:jc w:val="right"/>
              <w:spacing w:after="0"/>
              <w:rPr>
                <w:sz w:val="20"/>
                <w:szCs w:val="20"/>
                <w:color w:val="auto"/>
              </w:rPr>
            </w:pPr>
            <w:r>
              <w:rPr>
                <w:rFonts w:ascii="Arial" w:cs="Arial" w:eastAsia="Arial" w:hAnsi="Arial"/>
                <w:sz w:val="11"/>
                <w:szCs w:val="11"/>
                <w:color w:val="auto"/>
              </w:rPr>
              <w:t>150</w:t>
            </w:r>
          </w:p>
        </w:tc>
        <w:tc>
          <w:tcPr>
            <w:tcW w:w="220" w:type="dxa"/>
            <w:vAlign w:val="bottom"/>
            <w:tcBorders>
              <w:bottom w:val="single" w:sz="8" w:color="CCECFF"/>
            </w:tcBorders>
            <w:shd w:val="clear" w:color="auto" w:fill="CCECFF"/>
          </w:tcPr>
          <w:p>
            <w:pPr>
              <w:spacing w:after="0"/>
              <w:rPr>
                <w:sz w:val="12"/>
                <w:szCs w:val="12"/>
                <w:color w:val="auto"/>
              </w:rPr>
            </w:pPr>
          </w:p>
        </w:tc>
        <w:tc>
          <w:tcPr>
            <w:tcW w:w="160" w:type="dxa"/>
            <w:vAlign w:val="bottom"/>
            <w:tcBorders>
              <w:bottom w:val="single" w:sz="8" w:color="auto"/>
            </w:tcBorders>
            <w:shd w:val="clear" w:color="auto" w:fill="CCECFF"/>
          </w:tcPr>
          <w:p>
            <w:pPr>
              <w:spacing w:after="0"/>
              <w:rPr>
                <w:sz w:val="12"/>
                <w:szCs w:val="12"/>
                <w:color w:val="auto"/>
              </w:rPr>
            </w:pPr>
          </w:p>
        </w:tc>
        <w:tc>
          <w:tcPr>
            <w:tcW w:w="5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147</w:t>
            </w:r>
          </w:p>
        </w:tc>
        <w:tc>
          <w:tcPr>
            <w:tcW w:w="220" w:type="dxa"/>
            <w:vAlign w:val="bottom"/>
            <w:tcBorders>
              <w:bottom w:val="single" w:sz="8" w:color="CCECFF"/>
            </w:tcBorders>
            <w:shd w:val="clear" w:color="auto" w:fill="CCECFF"/>
          </w:tcPr>
          <w:p>
            <w:pPr>
              <w:spacing w:after="0"/>
              <w:rPr>
                <w:sz w:val="12"/>
                <w:szCs w:val="12"/>
                <w:color w:val="auto"/>
              </w:rPr>
            </w:pPr>
          </w:p>
        </w:tc>
        <w:tc>
          <w:tcPr>
            <w:tcW w:w="200" w:type="dxa"/>
            <w:vAlign w:val="bottom"/>
            <w:tcBorders>
              <w:bottom w:val="single" w:sz="8" w:color="auto"/>
            </w:tcBorders>
            <w:shd w:val="clear" w:color="auto" w:fill="CCECFF"/>
          </w:tcPr>
          <w:p>
            <w:pPr>
              <w:spacing w:after="0"/>
              <w:rPr>
                <w:sz w:val="12"/>
                <w:szCs w:val="12"/>
                <w:color w:val="auto"/>
              </w:rPr>
            </w:pPr>
          </w:p>
        </w:tc>
        <w:tc>
          <w:tcPr>
            <w:tcW w:w="5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147</w:t>
            </w:r>
          </w:p>
        </w:tc>
        <w:tc>
          <w:tcPr>
            <w:tcW w:w="10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3140" w:type="dxa"/>
            <w:vAlign w:val="bottom"/>
          </w:tcPr>
          <w:p>
            <w:pPr>
              <w:ind w:left="20"/>
              <w:spacing w:after="0" w:line="110" w:lineRule="exact"/>
              <w:rPr>
                <w:sz w:val="20"/>
                <w:szCs w:val="20"/>
                <w:color w:val="auto"/>
              </w:rPr>
            </w:pPr>
            <w:r>
              <w:rPr>
                <w:rFonts w:ascii="Arial" w:cs="Arial" w:eastAsia="Arial" w:hAnsi="Arial"/>
                <w:sz w:val="11"/>
                <w:szCs w:val="11"/>
                <w:b w:val="1"/>
                <w:bCs w:val="1"/>
                <w:color w:val="auto"/>
              </w:rPr>
              <w:t>Total Second Lien Secured Debt</w:t>
            </w: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spacing w:after="0" w:line="110" w:lineRule="exact"/>
              <w:rPr>
                <w:sz w:val="20"/>
                <w:szCs w:val="20"/>
                <w:color w:val="auto"/>
              </w:rPr>
            </w:pPr>
            <w:r>
              <w:rPr>
                <w:rFonts w:ascii="Arial" w:cs="Arial" w:eastAsia="Arial" w:hAnsi="Arial"/>
                <w:sz w:val="11"/>
                <w:szCs w:val="11"/>
                <w:color w:val="auto"/>
              </w:rPr>
              <w:t>3,343</w:t>
            </w:r>
          </w:p>
        </w:tc>
        <w:tc>
          <w:tcPr>
            <w:tcW w:w="22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spacing w:after="0" w:line="110" w:lineRule="exact"/>
              <w:rPr>
                <w:sz w:val="20"/>
                <w:szCs w:val="20"/>
                <w:color w:val="auto"/>
              </w:rPr>
            </w:pPr>
            <w:r>
              <w:rPr>
                <w:rFonts w:ascii="Arial" w:cs="Arial" w:eastAsia="Arial" w:hAnsi="Arial"/>
                <w:sz w:val="11"/>
                <w:szCs w:val="11"/>
                <w:color w:val="auto"/>
              </w:rPr>
              <w:t>3,355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3140" w:type="dxa"/>
            <w:vAlign w:val="bottom"/>
          </w:tcPr>
          <w:p>
            <w:pPr>
              <w:ind w:left="20"/>
              <w:spacing w:after="0" w:line="105" w:lineRule="exact"/>
              <w:rPr>
                <w:sz w:val="20"/>
                <w:szCs w:val="20"/>
                <w:color w:val="auto"/>
              </w:rPr>
            </w:pPr>
            <w:r>
              <w:rPr>
                <w:rFonts w:ascii="Arial" w:cs="Arial" w:eastAsia="Arial" w:hAnsi="Arial"/>
                <w:sz w:val="9"/>
                <w:szCs w:val="9"/>
                <w:b w:val="1"/>
                <w:bCs w:val="1"/>
                <w:color w:val="auto"/>
              </w:rPr>
              <w:t xml:space="preserve">Preferred Equity— 1.3% </w:t>
            </w:r>
            <w:r>
              <w:rPr>
                <w:rFonts w:ascii="Arial" w:cs="Arial" w:eastAsia="Arial" w:hAnsi="Arial"/>
                <w:sz w:val="12"/>
                <w:szCs w:val="12"/>
                <w:b w:val="1"/>
                <w:bCs w:val="1"/>
                <w:color w:val="auto"/>
                <w:vertAlign w:val="superscript"/>
              </w:rPr>
              <w:t>(6)</w:t>
            </w: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314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Ad.net Holdings, Inc. </w:t>
            </w:r>
            <w:r>
              <w:rPr>
                <w:rFonts w:ascii="Arial" w:cs="Arial" w:eastAsia="Arial" w:hAnsi="Arial"/>
                <w:sz w:val="14"/>
                <w:szCs w:val="14"/>
                <w:color w:val="auto"/>
                <w:vertAlign w:val="superscript"/>
              </w:rPr>
              <w:t>(7),(8)</w:t>
            </w:r>
          </w:p>
        </w:tc>
        <w:tc>
          <w:tcPr>
            <w:tcW w:w="120" w:type="dxa"/>
            <w:vAlign w:val="bottom"/>
          </w:tcPr>
          <w:p>
            <w:pPr>
              <w:spacing w:after="0"/>
              <w:rPr>
                <w:sz w:val="13"/>
                <w:szCs w:val="13"/>
                <w:color w:val="auto"/>
              </w:rPr>
            </w:pPr>
          </w:p>
        </w:tc>
        <w:tc>
          <w:tcPr>
            <w:tcW w:w="680" w:type="dxa"/>
            <w:vAlign w:val="bottom"/>
          </w:tcPr>
          <w:p>
            <w:pPr>
              <w:ind w:left="56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3"/>
                <w:szCs w:val="13"/>
                <w:color w:val="auto"/>
              </w:rPr>
            </w:pPr>
          </w:p>
        </w:tc>
        <w:tc>
          <w:tcPr>
            <w:tcW w:w="220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120" w:type="dxa"/>
            <w:vAlign w:val="bottom"/>
          </w:tcPr>
          <w:p>
            <w:pPr>
              <w:spacing w:after="0"/>
              <w:rPr>
                <w:sz w:val="13"/>
                <w:szCs w:val="13"/>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6,720</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672</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672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3140" w:type="dxa"/>
            <w:vAlign w:val="bottom"/>
          </w:tcPr>
          <w:p>
            <w:pPr>
              <w:ind w:left="20"/>
              <w:spacing w:after="0" w:line="115" w:lineRule="exact"/>
              <w:rPr>
                <w:sz w:val="20"/>
                <w:szCs w:val="20"/>
                <w:color w:val="auto"/>
              </w:rPr>
            </w:pPr>
            <w:r>
              <w:rPr>
                <w:rFonts w:ascii="Arial" w:cs="Arial" w:eastAsia="Arial" w:hAnsi="Arial"/>
                <w:sz w:val="11"/>
                <w:szCs w:val="11"/>
                <w:color w:val="auto"/>
              </w:rPr>
              <w:t>CI (PTN) Investment Holdings II, LLC</w:t>
            </w:r>
          </w:p>
        </w:tc>
        <w:tc>
          <w:tcPr>
            <w:tcW w:w="120" w:type="dxa"/>
            <w:vAlign w:val="bottom"/>
          </w:tcPr>
          <w:p>
            <w:pPr>
              <w:spacing w:after="0"/>
              <w:rPr>
                <w:sz w:val="9"/>
                <w:szCs w:val="9"/>
                <w:color w:val="auto"/>
              </w:rPr>
            </w:pPr>
          </w:p>
        </w:tc>
        <w:tc>
          <w:tcPr>
            <w:tcW w:w="680" w:type="dxa"/>
            <w:vAlign w:val="bottom"/>
          </w:tcPr>
          <w:p>
            <w:pPr>
              <w:ind w:left="560"/>
              <w:spacing w:after="0" w:line="115" w:lineRule="exact"/>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9"/>
                <w:szCs w:val="9"/>
                <w:color w:val="auto"/>
              </w:rPr>
            </w:pPr>
          </w:p>
        </w:tc>
        <w:tc>
          <w:tcPr>
            <w:tcW w:w="2200" w:type="dxa"/>
            <w:vAlign w:val="bottom"/>
          </w:tcPr>
          <w:p>
            <w:pPr>
              <w:jc w:val="center"/>
              <w:spacing w:after="0" w:line="115" w:lineRule="exact"/>
              <w:rPr>
                <w:sz w:val="20"/>
                <w:szCs w:val="20"/>
                <w:color w:val="auto"/>
              </w:rPr>
            </w:pPr>
            <w:r>
              <w:rPr>
                <w:rFonts w:ascii="Arial" w:cs="Arial" w:eastAsia="Arial" w:hAnsi="Arial"/>
                <w:sz w:val="11"/>
                <w:szCs w:val="11"/>
                <w:color w:val="auto"/>
                <w:w w:val="88"/>
              </w:rPr>
              <w:t>Healthcare and Pharmaceuticals</w:t>
            </w:r>
          </w:p>
        </w:tc>
        <w:tc>
          <w:tcPr>
            <w:tcW w:w="120" w:type="dxa"/>
            <w:vAlign w:val="bottom"/>
          </w:tcPr>
          <w:p>
            <w:pPr>
              <w:spacing w:after="0"/>
              <w:rPr>
                <w:sz w:val="9"/>
                <w:szCs w:val="9"/>
                <w:color w:val="auto"/>
              </w:rPr>
            </w:pPr>
          </w:p>
        </w:tc>
        <w:tc>
          <w:tcPr>
            <w:tcW w:w="960" w:type="dxa"/>
            <w:vAlign w:val="bottom"/>
            <w:gridSpan w:val="2"/>
          </w:tcPr>
          <w:p>
            <w:pPr>
              <w:jc w:val="right"/>
              <w:ind w:right="206"/>
              <w:spacing w:after="0" w:line="115" w:lineRule="exact"/>
              <w:rPr>
                <w:sz w:val="20"/>
                <w:szCs w:val="20"/>
                <w:color w:val="auto"/>
              </w:rPr>
            </w:pPr>
            <w:r>
              <w:rPr>
                <w:rFonts w:ascii="Arial" w:cs="Arial" w:eastAsia="Arial" w:hAnsi="Arial"/>
                <w:sz w:val="11"/>
                <w:szCs w:val="11"/>
                <w:color w:val="auto"/>
              </w:rPr>
              <w:t>—</w:t>
            </w:r>
          </w:p>
        </w:tc>
        <w:tc>
          <w:tcPr>
            <w:tcW w:w="920" w:type="dxa"/>
            <w:vAlign w:val="bottom"/>
          </w:tcPr>
          <w:p>
            <w:pPr>
              <w:jc w:val="right"/>
              <w:spacing w:after="0" w:line="115" w:lineRule="exact"/>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1,458</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jc w:val="right"/>
              <w:spacing w:after="0" w:line="115" w:lineRule="exact"/>
              <w:rPr>
                <w:sz w:val="20"/>
                <w:szCs w:val="20"/>
                <w:color w:val="auto"/>
              </w:rPr>
            </w:pPr>
            <w:r>
              <w:rPr>
                <w:rFonts w:ascii="Arial" w:cs="Arial" w:eastAsia="Arial" w:hAnsi="Arial"/>
                <w:sz w:val="11"/>
                <w:szCs w:val="11"/>
                <w:color w:val="auto"/>
              </w:rPr>
              <w:t>22</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gridSpan w:val="2"/>
          </w:tcPr>
          <w:p>
            <w:pPr>
              <w:jc w:val="right"/>
              <w:ind w:right="120"/>
              <w:spacing w:after="0" w:line="115"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30"/>
        </w:trPr>
        <w:tc>
          <w:tcPr>
            <w:tcW w:w="3140" w:type="dxa"/>
            <w:vAlign w:val="bottom"/>
            <w:vMerge w:val="restart"/>
          </w:tcPr>
          <w:p>
            <w:pPr>
              <w:ind w:left="100"/>
              <w:spacing w:after="0" w:line="135" w:lineRule="exact"/>
              <w:rPr>
                <w:sz w:val="20"/>
                <w:szCs w:val="20"/>
                <w:color w:val="auto"/>
              </w:rPr>
            </w:pPr>
            <w:r>
              <w:rPr>
                <w:rFonts w:ascii="Arial" w:cs="Arial" w:eastAsia="Arial" w:hAnsi="Arial"/>
                <w:sz w:val="11"/>
                <w:szCs w:val="11"/>
                <w:color w:val="auto"/>
              </w:rPr>
              <w:t xml:space="preserve">(PT Network, LLC) </w:t>
            </w:r>
            <w:r>
              <w:rPr>
                <w:rFonts w:ascii="Arial" w:cs="Arial" w:eastAsia="Arial" w:hAnsi="Arial"/>
                <w:sz w:val="14"/>
                <w:szCs w:val="14"/>
                <w:color w:val="auto"/>
                <w:vertAlign w:val="superscript"/>
              </w:rPr>
              <w:t>(7), (8)</w:t>
            </w: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5"/>
        </w:trPr>
        <w:tc>
          <w:tcPr>
            <w:tcW w:w="3140" w:type="dxa"/>
            <w:vAlign w:val="bottom"/>
            <w:vMerge w:val="continue"/>
          </w:tcPr>
          <w:p>
            <w:pPr>
              <w:spacing w:after="0"/>
              <w:rPr>
                <w:sz w:val="10"/>
                <w:szCs w:val="10"/>
                <w:color w:val="auto"/>
              </w:rPr>
            </w:pPr>
          </w:p>
        </w:tc>
        <w:tc>
          <w:tcPr>
            <w:tcW w:w="120" w:type="dxa"/>
            <w:vAlign w:val="bottom"/>
            <w:tcBorders>
              <w:bottom w:val="single" w:sz="8" w:color="CCECFF"/>
            </w:tcBorders>
            <w:shd w:val="clear" w:color="auto" w:fill="CCECFF"/>
          </w:tcPr>
          <w:p>
            <w:pPr>
              <w:spacing w:after="0"/>
              <w:rPr>
                <w:sz w:val="10"/>
                <w:szCs w:val="10"/>
                <w:color w:val="auto"/>
              </w:rPr>
            </w:pPr>
          </w:p>
        </w:tc>
        <w:tc>
          <w:tcPr>
            <w:tcW w:w="680" w:type="dxa"/>
            <w:vAlign w:val="bottom"/>
            <w:tcBorders>
              <w:bottom w:val="single" w:sz="8" w:color="CCECFF"/>
            </w:tcBorders>
            <w:shd w:val="clear" w:color="auto" w:fill="CCECFF"/>
          </w:tcPr>
          <w:p>
            <w:pPr>
              <w:spacing w:after="0"/>
              <w:rPr>
                <w:sz w:val="10"/>
                <w:szCs w:val="10"/>
                <w:color w:val="auto"/>
              </w:rPr>
            </w:pPr>
          </w:p>
        </w:tc>
        <w:tc>
          <w:tcPr>
            <w:tcW w:w="260" w:type="dxa"/>
            <w:vAlign w:val="bottom"/>
            <w:tcBorders>
              <w:bottom w:val="single" w:sz="8" w:color="CCECFF"/>
            </w:tcBorders>
            <w:shd w:val="clear" w:color="auto" w:fill="CCECFF"/>
          </w:tcPr>
          <w:p>
            <w:pPr>
              <w:spacing w:after="0"/>
              <w:rPr>
                <w:sz w:val="10"/>
                <w:szCs w:val="10"/>
                <w:color w:val="auto"/>
              </w:rPr>
            </w:pPr>
          </w:p>
        </w:tc>
        <w:tc>
          <w:tcPr>
            <w:tcW w:w="2200" w:type="dxa"/>
            <w:vAlign w:val="bottom"/>
            <w:tcBorders>
              <w:bottom w:val="single" w:sz="8" w:color="CCECFF"/>
            </w:tcBorders>
            <w:shd w:val="clear" w:color="auto" w:fill="CCECFF"/>
          </w:tcPr>
          <w:p>
            <w:pPr>
              <w:spacing w:after="0"/>
              <w:rPr>
                <w:sz w:val="10"/>
                <w:szCs w:val="10"/>
                <w:color w:val="auto"/>
              </w:rPr>
            </w:pPr>
          </w:p>
        </w:tc>
        <w:tc>
          <w:tcPr>
            <w:tcW w:w="120" w:type="dxa"/>
            <w:vAlign w:val="bottom"/>
            <w:tcBorders>
              <w:bottom w:val="single" w:sz="8" w:color="CCECFF"/>
            </w:tcBorders>
            <w:shd w:val="clear" w:color="auto" w:fill="CCECFF"/>
          </w:tcPr>
          <w:p>
            <w:pPr>
              <w:spacing w:after="0"/>
              <w:rPr>
                <w:sz w:val="10"/>
                <w:szCs w:val="10"/>
                <w:color w:val="auto"/>
              </w:rPr>
            </w:pPr>
          </w:p>
        </w:tc>
        <w:tc>
          <w:tcPr>
            <w:tcW w:w="720" w:type="dxa"/>
            <w:vAlign w:val="bottom"/>
            <w:tcBorders>
              <w:bottom w:val="single" w:sz="8" w:color="CCECFF"/>
            </w:tcBorders>
            <w:shd w:val="clear" w:color="auto" w:fill="CCECFF"/>
          </w:tcPr>
          <w:p>
            <w:pPr>
              <w:spacing w:after="0"/>
              <w:rPr>
                <w:sz w:val="10"/>
                <w:szCs w:val="10"/>
                <w:color w:val="auto"/>
              </w:rPr>
            </w:pPr>
          </w:p>
        </w:tc>
        <w:tc>
          <w:tcPr>
            <w:tcW w:w="240" w:type="dxa"/>
            <w:vAlign w:val="bottom"/>
            <w:tcBorders>
              <w:bottom w:val="single" w:sz="8" w:color="CCECFF"/>
            </w:tcBorders>
            <w:shd w:val="clear" w:color="auto" w:fill="CCECFF"/>
          </w:tcPr>
          <w:p>
            <w:pPr>
              <w:spacing w:after="0"/>
              <w:rPr>
                <w:sz w:val="10"/>
                <w:szCs w:val="10"/>
                <w:color w:val="auto"/>
              </w:rPr>
            </w:pPr>
          </w:p>
        </w:tc>
        <w:tc>
          <w:tcPr>
            <w:tcW w:w="920" w:type="dxa"/>
            <w:vAlign w:val="bottom"/>
            <w:tcBorders>
              <w:bottom w:val="single" w:sz="8" w:color="CCECFF"/>
            </w:tcBorders>
            <w:shd w:val="clear" w:color="auto" w:fill="CCECFF"/>
          </w:tcPr>
          <w:p>
            <w:pPr>
              <w:spacing w:after="0"/>
              <w:rPr>
                <w:sz w:val="10"/>
                <w:szCs w:val="10"/>
                <w:color w:val="auto"/>
              </w:rPr>
            </w:pPr>
          </w:p>
        </w:tc>
        <w:tc>
          <w:tcPr>
            <w:tcW w:w="200" w:type="dxa"/>
            <w:vAlign w:val="bottom"/>
            <w:tcBorders>
              <w:bottom w:val="single" w:sz="8" w:color="CCECFF"/>
            </w:tcBorders>
            <w:shd w:val="clear" w:color="auto" w:fill="CCECFF"/>
          </w:tcPr>
          <w:p>
            <w:pPr>
              <w:spacing w:after="0"/>
              <w:rPr>
                <w:sz w:val="10"/>
                <w:szCs w:val="10"/>
                <w:color w:val="auto"/>
              </w:rPr>
            </w:pPr>
          </w:p>
        </w:tc>
        <w:tc>
          <w:tcPr>
            <w:tcW w:w="700" w:type="dxa"/>
            <w:vAlign w:val="bottom"/>
            <w:tcBorders>
              <w:bottom w:val="single" w:sz="8" w:color="CCECFF"/>
            </w:tcBorders>
            <w:shd w:val="clear" w:color="auto" w:fill="CCECFF"/>
          </w:tcPr>
          <w:p>
            <w:pPr>
              <w:spacing w:after="0"/>
              <w:rPr>
                <w:sz w:val="10"/>
                <w:szCs w:val="10"/>
                <w:color w:val="auto"/>
              </w:rPr>
            </w:pPr>
          </w:p>
        </w:tc>
        <w:tc>
          <w:tcPr>
            <w:tcW w:w="220" w:type="dxa"/>
            <w:vAlign w:val="bottom"/>
            <w:tcBorders>
              <w:bottom w:val="single" w:sz="8" w:color="CCECFF"/>
            </w:tcBorders>
            <w:shd w:val="clear" w:color="auto" w:fill="CCECFF"/>
          </w:tcPr>
          <w:p>
            <w:pPr>
              <w:spacing w:after="0"/>
              <w:rPr>
                <w:sz w:val="10"/>
                <w:szCs w:val="10"/>
                <w:color w:val="auto"/>
              </w:rPr>
            </w:pPr>
          </w:p>
        </w:tc>
        <w:tc>
          <w:tcPr>
            <w:tcW w:w="160" w:type="dxa"/>
            <w:vAlign w:val="bottom"/>
            <w:tcBorders>
              <w:bottom w:val="single" w:sz="8" w:color="CCECFF"/>
            </w:tcBorders>
            <w:shd w:val="clear" w:color="auto" w:fill="CCECFF"/>
          </w:tcPr>
          <w:p>
            <w:pPr>
              <w:spacing w:after="0"/>
              <w:rPr>
                <w:sz w:val="10"/>
                <w:szCs w:val="10"/>
                <w:color w:val="auto"/>
              </w:rPr>
            </w:pPr>
          </w:p>
        </w:tc>
        <w:tc>
          <w:tcPr>
            <w:tcW w:w="540" w:type="dxa"/>
            <w:vAlign w:val="bottom"/>
            <w:tcBorders>
              <w:bottom w:val="single" w:sz="8" w:color="CCECFF"/>
            </w:tcBorders>
            <w:shd w:val="clear" w:color="auto" w:fill="CCECFF"/>
          </w:tcPr>
          <w:p>
            <w:pPr>
              <w:spacing w:after="0"/>
              <w:rPr>
                <w:sz w:val="10"/>
                <w:szCs w:val="10"/>
                <w:color w:val="auto"/>
              </w:rPr>
            </w:pPr>
          </w:p>
        </w:tc>
        <w:tc>
          <w:tcPr>
            <w:tcW w:w="220" w:type="dxa"/>
            <w:vAlign w:val="bottom"/>
            <w:tcBorders>
              <w:bottom w:val="single" w:sz="8" w:color="CCECFF"/>
            </w:tcBorders>
            <w:shd w:val="clear" w:color="auto" w:fill="CCECFF"/>
          </w:tcPr>
          <w:p>
            <w:pPr>
              <w:spacing w:after="0"/>
              <w:rPr>
                <w:sz w:val="10"/>
                <w:szCs w:val="10"/>
                <w:color w:val="auto"/>
              </w:rPr>
            </w:pPr>
          </w:p>
        </w:tc>
        <w:tc>
          <w:tcPr>
            <w:tcW w:w="200" w:type="dxa"/>
            <w:vAlign w:val="bottom"/>
            <w:tcBorders>
              <w:bottom w:val="single" w:sz="8" w:color="CCECFF"/>
            </w:tcBorders>
            <w:shd w:val="clear" w:color="auto" w:fill="CCECFF"/>
          </w:tcPr>
          <w:p>
            <w:pPr>
              <w:spacing w:after="0"/>
              <w:rPr>
                <w:sz w:val="10"/>
                <w:szCs w:val="10"/>
                <w:color w:val="auto"/>
              </w:rPr>
            </w:pPr>
          </w:p>
        </w:tc>
        <w:tc>
          <w:tcPr>
            <w:tcW w:w="500" w:type="dxa"/>
            <w:vAlign w:val="bottom"/>
            <w:tcBorders>
              <w:bottom w:val="single" w:sz="8" w:color="CCECFF"/>
            </w:tcBorders>
            <w:shd w:val="clear" w:color="auto" w:fill="CCECFF"/>
          </w:tcPr>
          <w:p>
            <w:pPr>
              <w:spacing w:after="0"/>
              <w:rPr>
                <w:sz w:val="10"/>
                <w:szCs w:val="10"/>
                <w:color w:val="auto"/>
              </w:rPr>
            </w:pPr>
          </w:p>
        </w:tc>
        <w:tc>
          <w:tcPr>
            <w:tcW w:w="100" w:type="dxa"/>
            <w:vAlign w:val="bottom"/>
            <w:tcBorders>
              <w:bottom w:val="single" w:sz="8" w:color="CCECFF"/>
            </w:tcBorders>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3140" w:type="dxa"/>
            <w:vAlign w:val="bottom"/>
          </w:tcPr>
          <w:p>
            <w:pPr>
              <w:ind w:left="20"/>
              <w:spacing w:after="0" w:line="105" w:lineRule="exact"/>
              <w:rPr>
                <w:sz w:val="20"/>
                <w:szCs w:val="20"/>
                <w:color w:val="auto"/>
              </w:rPr>
            </w:pPr>
            <w:r>
              <w:rPr>
                <w:rFonts w:ascii="Arial" w:cs="Arial" w:eastAsia="Arial" w:hAnsi="Arial"/>
                <w:sz w:val="9"/>
                <w:szCs w:val="9"/>
                <w:color w:val="auto"/>
              </w:rPr>
              <w:t xml:space="preserve">Mars Intermediate Holdings II, Inc. </w:t>
            </w:r>
            <w:r>
              <w:rPr>
                <w:rFonts w:ascii="Arial" w:cs="Arial" w:eastAsia="Arial" w:hAnsi="Arial"/>
                <w:sz w:val="12"/>
                <w:szCs w:val="12"/>
                <w:color w:val="auto"/>
                <w:vertAlign w:val="superscript"/>
              </w:rPr>
              <w:t>(7)</w:t>
            </w:r>
          </w:p>
        </w:tc>
        <w:tc>
          <w:tcPr>
            <w:tcW w:w="120" w:type="dxa"/>
            <w:vAlign w:val="bottom"/>
          </w:tcPr>
          <w:p>
            <w:pPr>
              <w:spacing w:after="0"/>
              <w:rPr>
                <w:sz w:val="9"/>
                <w:szCs w:val="9"/>
                <w:color w:val="auto"/>
              </w:rPr>
            </w:pPr>
          </w:p>
        </w:tc>
        <w:tc>
          <w:tcPr>
            <w:tcW w:w="680" w:type="dxa"/>
            <w:vAlign w:val="bottom"/>
          </w:tcPr>
          <w:p>
            <w:pPr>
              <w:ind w:left="560"/>
              <w:spacing w:after="0" w:line="105" w:lineRule="exact"/>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9"/>
                <w:szCs w:val="9"/>
                <w:color w:val="auto"/>
              </w:rPr>
            </w:pPr>
          </w:p>
        </w:tc>
        <w:tc>
          <w:tcPr>
            <w:tcW w:w="2200" w:type="dxa"/>
            <w:vAlign w:val="bottom"/>
          </w:tcPr>
          <w:p>
            <w:pPr>
              <w:jc w:val="center"/>
              <w:spacing w:after="0" w:line="105" w:lineRule="exact"/>
              <w:rPr>
                <w:sz w:val="20"/>
                <w:szCs w:val="20"/>
                <w:color w:val="auto"/>
              </w:rPr>
            </w:pPr>
            <w:r>
              <w:rPr>
                <w:rFonts w:ascii="Arial" w:cs="Arial" w:eastAsia="Arial" w:hAnsi="Arial"/>
                <w:sz w:val="11"/>
                <w:szCs w:val="11"/>
                <w:color w:val="auto"/>
                <w:w w:val="93"/>
              </w:rPr>
              <w:t>Media</w:t>
            </w:r>
          </w:p>
        </w:tc>
        <w:tc>
          <w:tcPr>
            <w:tcW w:w="120" w:type="dxa"/>
            <w:vAlign w:val="bottom"/>
          </w:tcPr>
          <w:p>
            <w:pPr>
              <w:spacing w:after="0"/>
              <w:rPr>
                <w:sz w:val="9"/>
                <w:szCs w:val="9"/>
                <w:color w:val="auto"/>
              </w:rPr>
            </w:pPr>
          </w:p>
        </w:tc>
        <w:tc>
          <w:tcPr>
            <w:tcW w:w="960" w:type="dxa"/>
            <w:vAlign w:val="bottom"/>
            <w:gridSpan w:val="2"/>
          </w:tcPr>
          <w:p>
            <w:pPr>
              <w:jc w:val="right"/>
              <w:ind w:right="206"/>
              <w:spacing w:after="0" w:line="105" w:lineRule="exact"/>
              <w:rPr>
                <w:sz w:val="20"/>
                <w:szCs w:val="20"/>
                <w:color w:val="auto"/>
              </w:rPr>
            </w:pPr>
            <w:r>
              <w:rPr>
                <w:rFonts w:ascii="Arial" w:cs="Arial" w:eastAsia="Arial" w:hAnsi="Arial"/>
                <w:sz w:val="11"/>
                <w:szCs w:val="11"/>
                <w:color w:val="auto"/>
              </w:rPr>
              <w:t>—</w:t>
            </w:r>
          </w:p>
        </w:tc>
        <w:tc>
          <w:tcPr>
            <w:tcW w:w="920" w:type="dxa"/>
            <w:vAlign w:val="bottom"/>
          </w:tcPr>
          <w:p>
            <w:pPr>
              <w:jc w:val="right"/>
              <w:spacing w:after="0" w:line="105" w:lineRule="exact"/>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line="105" w:lineRule="exact"/>
              <w:rPr>
                <w:sz w:val="20"/>
                <w:szCs w:val="20"/>
                <w:color w:val="auto"/>
              </w:rPr>
            </w:pPr>
            <w:r>
              <w:rPr>
                <w:rFonts w:ascii="Arial" w:cs="Arial" w:eastAsia="Arial" w:hAnsi="Arial"/>
                <w:sz w:val="11"/>
                <w:szCs w:val="11"/>
                <w:color w:val="auto"/>
              </w:rPr>
              <w:t>835</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jc w:val="right"/>
              <w:spacing w:after="0" w:line="105" w:lineRule="exact"/>
              <w:rPr>
                <w:sz w:val="20"/>
                <w:szCs w:val="20"/>
                <w:color w:val="auto"/>
              </w:rPr>
            </w:pPr>
            <w:r>
              <w:rPr>
                <w:rFonts w:ascii="Arial" w:cs="Arial" w:eastAsia="Arial" w:hAnsi="Arial"/>
                <w:sz w:val="11"/>
                <w:szCs w:val="11"/>
                <w:color w:val="auto"/>
              </w:rPr>
              <w:t>835</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jc w:val="right"/>
              <w:spacing w:after="0" w:line="105" w:lineRule="exact"/>
              <w:rPr>
                <w:sz w:val="20"/>
                <w:szCs w:val="20"/>
                <w:color w:val="auto"/>
              </w:rPr>
            </w:pPr>
            <w:r>
              <w:rPr>
                <w:rFonts w:ascii="Arial" w:cs="Arial" w:eastAsia="Arial" w:hAnsi="Arial"/>
                <w:sz w:val="11"/>
                <w:szCs w:val="11"/>
                <w:color w:val="auto"/>
              </w:rPr>
              <w:t>872</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14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MeritDirect Holdings, LP </w:t>
            </w:r>
            <w:r>
              <w:rPr>
                <w:rFonts w:ascii="Arial" w:cs="Arial" w:eastAsia="Arial" w:hAnsi="Arial"/>
                <w:sz w:val="14"/>
                <w:szCs w:val="14"/>
                <w:color w:val="auto"/>
                <w:vertAlign w:val="superscript"/>
              </w:rPr>
              <w:t>(7), (8)</w:t>
            </w:r>
          </w:p>
        </w:tc>
        <w:tc>
          <w:tcPr>
            <w:tcW w:w="120" w:type="dxa"/>
            <w:vAlign w:val="bottom"/>
          </w:tcPr>
          <w:p>
            <w:pPr>
              <w:spacing w:after="0"/>
              <w:rPr>
                <w:sz w:val="11"/>
                <w:szCs w:val="11"/>
                <w:color w:val="auto"/>
              </w:rPr>
            </w:pPr>
          </w:p>
        </w:tc>
        <w:tc>
          <w:tcPr>
            <w:tcW w:w="680" w:type="dxa"/>
            <w:vAlign w:val="bottom"/>
          </w:tcPr>
          <w:p>
            <w:pPr>
              <w:ind w:left="56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1"/>
                <w:szCs w:val="11"/>
                <w:color w:val="auto"/>
              </w:rPr>
            </w:pPr>
          </w:p>
        </w:tc>
        <w:tc>
          <w:tcPr>
            <w:tcW w:w="220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120" w:type="dxa"/>
            <w:vAlign w:val="bottom"/>
          </w:tcPr>
          <w:p>
            <w:pPr>
              <w:spacing w:after="0"/>
              <w:rPr>
                <w:sz w:val="11"/>
                <w:szCs w:val="11"/>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960</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960</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1,232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4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NXOF Holdings, Inc. (Tyto Athene, LLC) </w:t>
            </w:r>
            <w:r>
              <w:rPr>
                <w:rFonts w:ascii="Arial" w:cs="Arial" w:eastAsia="Arial" w:hAnsi="Arial"/>
                <w:sz w:val="14"/>
                <w:szCs w:val="14"/>
                <w:color w:val="auto"/>
                <w:vertAlign w:val="superscript"/>
              </w:rPr>
              <w:t>(7)</w:t>
            </w:r>
          </w:p>
        </w:tc>
        <w:tc>
          <w:tcPr>
            <w:tcW w:w="120" w:type="dxa"/>
            <w:vAlign w:val="bottom"/>
          </w:tcPr>
          <w:p>
            <w:pPr>
              <w:spacing w:after="0"/>
              <w:rPr>
                <w:sz w:val="11"/>
                <w:szCs w:val="11"/>
                <w:color w:val="auto"/>
              </w:rPr>
            </w:pPr>
          </w:p>
        </w:tc>
        <w:tc>
          <w:tcPr>
            <w:tcW w:w="680" w:type="dxa"/>
            <w:vAlign w:val="bottom"/>
          </w:tcPr>
          <w:p>
            <w:pPr>
              <w:ind w:left="56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1"/>
                <w:szCs w:val="11"/>
                <w:color w:val="auto"/>
              </w:rPr>
            </w:pPr>
          </w:p>
        </w:tc>
        <w:tc>
          <w:tcPr>
            <w:tcW w:w="2200" w:type="dxa"/>
            <w:vAlign w:val="bottom"/>
          </w:tcPr>
          <w:p>
            <w:pPr>
              <w:jc w:val="center"/>
              <w:spacing w:after="0"/>
              <w:rPr>
                <w:sz w:val="20"/>
                <w:szCs w:val="20"/>
                <w:color w:val="auto"/>
              </w:rPr>
            </w:pPr>
            <w:r>
              <w:rPr>
                <w:rFonts w:ascii="Arial" w:cs="Arial" w:eastAsia="Arial" w:hAnsi="Arial"/>
                <w:sz w:val="11"/>
                <w:szCs w:val="11"/>
                <w:color w:val="auto"/>
                <w:w w:val="87"/>
              </w:rPr>
              <w:t>IT Services</w:t>
            </w:r>
          </w:p>
        </w:tc>
        <w:tc>
          <w:tcPr>
            <w:tcW w:w="120" w:type="dxa"/>
            <w:vAlign w:val="bottom"/>
          </w:tcPr>
          <w:p>
            <w:pPr>
              <w:spacing w:after="0"/>
              <w:rPr>
                <w:sz w:val="11"/>
                <w:szCs w:val="11"/>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733</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733</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926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4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ORL Holdco, Inc. </w:t>
            </w:r>
            <w:r>
              <w:rPr>
                <w:rFonts w:ascii="Arial" w:cs="Arial" w:eastAsia="Arial" w:hAnsi="Arial"/>
                <w:sz w:val="14"/>
                <w:szCs w:val="14"/>
                <w:color w:val="auto"/>
                <w:vertAlign w:val="superscript"/>
              </w:rPr>
              <w:t>(7)</w:t>
            </w:r>
          </w:p>
        </w:tc>
        <w:tc>
          <w:tcPr>
            <w:tcW w:w="120" w:type="dxa"/>
            <w:vAlign w:val="bottom"/>
          </w:tcPr>
          <w:p>
            <w:pPr>
              <w:spacing w:after="0"/>
              <w:rPr>
                <w:sz w:val="11"/>
                <w:szCs w:val="11"/>
                <w:color w:val="auto"/>
              </w:rPr>
            </w:pPr>
          </w:p>
        </w:tc>
        <w:tc>
          <w:tcPr>
            <w:tcW w:w="680" w:type="dxa"/>
            <w:vAlign w:val="bottom"/>
          </w:tcPr>
          <w:p>
            <w:pPr>
              <w:ind w:left="56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1"/>
                <w:szCs w:val="11"/>
                <w:color w:val="auto"/>
              </w:rPr>
            </w:pPr>
          </w:p>
        </w:tc>
        <w:tc>
          <w:tcPr>
            <w:tcW w:w="2200" w:type="dxa"/>
            <w:vAlign w:val="bottom"/>
          </w:tcPr>
          <w:p>
            <w:pPr>
              <w:jc w:val="center"/>
              <w:spacing w:after="0"/>
              <w:rPr>
                <w:sz w:val="20"/>
                <w:szCs w:val="20"/>
                <w:color w:val="auto"/>
              </w:rPr>
            </w:pPr>
            <w:r>
              <w:rPr>
                <w:rFonts w:ascii="Arial" w:cs="Arial" w:eastAsia="Arial" w:hAnsi="Arial"/>
                <w:sz w:val="11"/>
                <w:szCs w:val="11"/>
                <w:color w:val="auto"/>
                <w:w w:val="86"/>
              </w:rPr>
              <w:t>Consumer Finance</w:t>
            </w:r>
          </w:p>
        </w:tc>
        <w:tc>
          <w:tcPr>
            <w:tcW w:w="120" w:type="dxa"/>
            <w:vAlign w:val="bottom"/>
          </w:tcPr>
          <w:p>
            <w:pPr>
              <w:spacing w:after="0"/>
              <w:rPr>
                <w:sz w:val="11"/>
                <w:szCs w:val="11"/>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1,327</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133</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133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4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PT Network Intermediate Holdings, LLC </w:t>
            </w:r>
            <w:r>
              <w:rPr>
                <w:rFonts w:ascii="Arial" w:cs="Arial" w:eastAsia="Arial" w:hAnsi="Arial"/>
                <w:sz w:val="14"/>
                <w:szCs w:val="14"/>
                <w:color w:val="auto"/>
                <w:vertAlign w:val="superscript"/>
              </w:rPr>
              <w:t>(7),(8)</w:t>
            </w:r>
          </w:p>
        </w:tc>
        <w:tc>
          <w:tcPr>
            <w:tcW w:w="120" w:type="dxa"/>
            <w:vAlign w:val="bottom"/>
          </w:tcPr>
          <w:p>
            <w:pPr>
              <w:spacing w:after="0"/>
              <w:rPr>
                <w:sz w:val="11"/>
                <w:szCs w:val="11"/>
                <w:color w:val="auto"/>
              </w:rPr>
            </w:pPr>
          </w:p>
        </w:tc>
        <w:tc>
          <w:tcPr>
            <w:tcW w:w="680" w:type="dxa"/>
            <w:vAlign w:val="bottom"/>
          </w:tcPr>
          <w:p>
            <w:pPr>
              <w:ind w:left="56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1"/>
                <w:szCs w:val="11"/>
                <w:color w:val="auto"/>
              </w:rPr>
            </w:pPr>
          </w:p>
        </w:tc>
        <w:tc>
          <w:tcPr>
            <w:tcW w:w="2200" w:type="dxa"/>
            <w:vAlign w:val="bottom"/>
          </w:tcPr>
          <w:p>
            <w:pPr>
              <w:jc w:val="center"/>
              <w:spacing w:after="0"/>
              <w:rPr>
                <w:sz w:val="20"/>
                <w:szCs w:val="20"/>
                <w:color w:val="auto"/>
              </w:rPr>
            </w:pPr>
            <w:r>
              <w:rPr>
                <w:rFonts w:ascii="Arial" w:cs="Arial" w:eastAsia="Arial" w:hAnsi="Arial"/>
                <w:sz w:val="11"/>
                <w:szCs w:val="11"/>
                <w:color w:val="auto"/>
                <w:w w:val="88"/>
              </w:rPr>
              <w:t>Healthcare and Pharmaceuticals</w:t>
            </w:r>
          </w:p>
        </w:tc>
        <w:tc>
          <w:tcPr>
            <w:tcW w:w="1080" w:type="dxa"/>
            <w:vAlign w:val="bottom"/>
            <w:gridSpan w:val="3"/>
          </w:tcPr>
          <w:p>
            <w:pPr>
              <w:jc w:val="right"/>
              <w:ind w:right="86"/>
              <w:spacing w:after="0"/>
              <w:rPr>
                <w:sz w:val="20"/>
                <w:szCs w:val="20"/>
                <w:color w:val="auto"/>
              </w:rPr>
            </w:pPr>
            <w:r>
              <w:rPr>
                <w:rFonts w:ascii="Arial" w:cs="Arial" w:eastAsia="Arial" w:hAnsi="Arial"/>
                <w:sz w:val="11"/>
                <w:szCs w:val="11"/>
                <w:color w:val="auto"/>
              </w:rPr>
              <w:t>11.00 %</w:t>
            </w:r>
          </w:p>
        </w:tc>
        <w:tc>
          <w:tcPr>
            <w:tcW w:w="920" w:type="dxa"/>
            <w:vAlign w:val="bottom"/>
          </w:tcPr>
          <w:p>
            <w:pPr>
              <w:jc w:val="right"/>
              <w:spacing w:after="0"/>
              <w:rPr>
                <w:sz w:val="20"/>
                <w:szCs w:val="20"/>
                <w:color w:val="auto"/>
              </w:rPr>
            </w:pPr>
            <w:r>
              <w:rPr>
                <w:rFonts w:ascii="Arial" w:cs="Arial" w:eastAsia="Arial" w:hAnsi="Arial"/>
                <w:sz w:val="11"/>
                <w:szCs w:val="11"/>
                <w:color w:val="auto"/>
              </w:rPr>
              <w:t>3M L+1,000</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33</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429</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536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4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Signature CR Intermediate Holdco, Inc. </w:t>
            </w:r>
            <w:r>
              <w:rPr>
                <w:rFonts w:ascii="Arial" w:cs="Arial" w:eastAsia="Arial" w:hAnsi="Arial"/>
                <w:sz w:val="14"/>
                <w:szCs w:val="14"/>
                <w:color w:val="auto"/>
                <w:vertAlign w:val="superscript"/>
              </w:rPr>
              <w:t>(7)</w:t>
            </w:r>
          </w:p>
        </w:tc>
        <w:tc>
          <w:tcPr>
            <w:tcW w:w="120" w:type="dxa"/>
            <w:vAlign w:val="bottom"/>
          </w:tcPr>
          <w:p>
            <w:pPr>
              <w:spacing w:after="0"/>
              <w:rPr>
                <w:sz w:val="11"/>
                <w:szCs w:val="11"/>
                <w:color w:val="auto"/>
              </w:rPr>
            </w:pPr>
          </w:p>
        </w:tc>
        <w:tc>
          <w:tcPr>
            <w:tcW w:w="680" w:type="dxa"/>
            <w:vAlign w:val="bottom"/>
          </w:tcPr>
          <w:p>
            <w:pPr>
              <w:ind w:left="56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1"/>
                <w:szCs w:val="11"/>
                <w:color w:val="auto"/>
              </w:rPr>
            </w:pPr>
          </w:p>
        </w:tc>
        <w:tc>
          <w:tcPr>
            <w:tcW w:w="2200" w:type="dxa"/>
            <w:vAlign w:val="bottom"/>
          </w:tcPr>
          <w:p>
            <w:pPr>
              <w:jc w:val="center"/>
              <w:spacing w:after="0"/>
              <w:rPr>
                <w:sz w:val="20"/>
                <w:szCs w:val="20"/>
                <w:color w:val="auto"/>
              </w:rPr>
            </w:pPr>
            <w:r>
              <w:rPr>
                <w:rFonts w:ascii="Arial" w:cs="Arial" w:eastAsia="Arial" w:hAnsi="Arial"/>
                <w:sz w:val="11"/>
                <w:szCs w:val="11"/>
                <w:color w:val="auto"/>
                <w:w w:val="90"/>
              </w:rPr>
              <w:t>Commercial Services &amp; Supplies</w:t>
            </w:r>
          </w:p>
        </w:tc>
        <w:tc>
          <w:tcPr>
            <w:tcW w:w="1080" w:type="dxa"/>
            <w:vAlign w:val="bottom"/>
            <w:gridSpan w:val="3"/>
          </w:tcPr>
          <w:p>
            <w:pPr>
              <w:jc w:val="right"/>
              <w:ind w:right="86"/>
              <w:spacing w:after="0"/>
              <w:rPr>
                <w:sz w:val="20"/>
                <w:szCs w:val="20"/>
                <w:color w:val="auto"/>
              </w:rPr>
            </w:pPr>
            <w:r>
              <w:rPr>
                <w:rFonts w:ascii="Arial" w:cs="Arial" w:eastAsia="Arial" w:hAnsi="Arial"/>
                <w:sz w:val="11"/>
                <w:szCs w:val="11"/>
                <w:color w:val="auto"/>
              </w:rPr>
              <w:t>12.00 %</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1,323</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1,323</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1,628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4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TPC Holding Company, LP </w:t>
            </w:r>
            <w:r>
              <w:rPr>
                <w:rFonts w:ascii="Arial" w:cs="Arial" w:eastAsia="Arial" w:hAnsi="Arial"/>
                <w:sz w:val="14"/>
                <w:szCs w:val="14"/>
                <w:color w:val="auto"/>
                <w:vertAlign w:val="superscript"/>
              </w:rPr>
              <w:t>(5), (7), (10)</w:t>
            </w:r>
          </w:p>
        </w:tc>
        <w:tc>
          <w:tcPr>
            <w:tcW w:w="120" w:type="dxa"/>
            <w:vAlign w:val="bottom"/>
          </w:tcPr>
          <w:p>
            <w:pPr>
              <w:spacing w:after="0"/>
              <w:rPr>
                <w:sz w:val="11"/>
                <w:szCs w:val="11"/>
                <w:color w:val="auto"/>
              </w:rPr>
            </w:pPr>
          </w:p>
        </w:tc>
        <w:tc>
          <w:tcPr>
            <w:tcW w:w="680" w:type="dxa"/>
            <w:vAlign w:val="bottom"/>
          </w:tcPr>
          <w:p>
            <w:pPr>
              <w:ind w:left="56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1"/>
                <w:szCs w:val="11"/>
                <w:color w:val="auto"/>
              </w:rPr>
            </w:pPr>
          </w:p>
        </w:tc>
        <w:tc>
          <w:tcPr>
            <w:tcW w:w="2200" w:type="dxa"/>
            <w:vAlign w:val="bottom"/>
          </w:tcPr>
          <w:p>
            <w:pPr>
              <w:jc w:val="center"/>
              <w:spacing w:after="0"/>
              <w:rPr>
                <w:sz w:val="20"/>
                <w:szCs w:val="20"/>
                <w:color w:val="auto"/>
              </w:rPr>
            </w:pPr>
            <w:r>
              <w:rPr>
                <w:rFonts w:ascii="Arial" w:cs="Arial" w:eastAsia="Arial" w:hAnsi="Arial"/>
                <w:sz w:val="11"/>
                <w:szCs w:val="11"/>
                <w:color w:val="auto"/>
                <w:w w:val="89"/>
              </w:rPr>
              <w:t>Food Products</w:t>
            </w:r>
          </w:p>
        </w:tc>
        <w:tc>
          <w:tcPr>
            <w:tcW w:w="120" w:type="dxa"/>
            <w:vAlign w:val="bottom"/>
          </w:tcPr>
          <w:p>
            <w:pPr>
              <w:spacing w:after="0"/>
              <w:rPr>
                <w:sz w:val="11"/>
                <w:szCs w:val="11"/>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409</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409</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490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14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TWD Parent Holdings, LLC (The Vertex Companies, LLC) </w:t>
            </w:r>
            <w:r>
              <w:rPr>
                <w:rFonts w:ascii="Arial" w:cs="Arial" w:eastAsia="Arial" w:hAnsi="Arial"/>
                <w:sz w:val="14"/>
                <w:szCs w:val="14"/>
                <w:color w:val="auto"/>
                <w:vertAlign w:val="superscript"/>
              </w:rPr>
              <w:t>(7)</w:t>
            </w:r>
          </w:p>
        </w:tc>
        <w:tc>
          <w:tcPr>
            <w:tcW w:w="120" w:type="dxa"/>
            <w:vAlign w:val="bottom"/>
          </w:tcPr>
          <w:p>
            <w:pPr>
              <w:spacing w:after="0"/>
              <w:rPr>
                <w:sz w:val="13"/>
                <w:szCs w:val="13"/>
                <w:color w:val="auto"/>
              </w:rPr>
            </w:pPr>
          </w:p>
        </w:tc>
        <w:tc>
          <w:tcPr>
            <w:tcW w:w="680" w:type="dxa"/>
            <w:vAlign w:val="bottom"/>
          </w:tcPr>
          <w:p>
            <w:pPr>
              <w:ind w:left="56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3"/>
                <w:szCs w:val="13"/>
                <w:color w:val="auto"/>
              </w:rPr>
            </w:pPr>
          </w:p>
        </w:tc>
        <w:tc>
          <w:tcPr>
            <w:tcW w:w="2200" w:type="dxa"/>
            <w:vAlign w:val="bottom"/>
          </w:tcPr>
          <w:p>
            <w:pPr>
              <w:jc w:val="center"/>
              <w:spacing w:after="0"/>
              <w:rPr>
                <w:sz w:val="20"/>
                <w:szCs w:val="20"/>
                <w:color w:val="auto"/>
              </w:rPr>
            </w:pPr>
            <w:r>
              <w:rPr>
                <w:rFonts w:ascii="Arial" w:cs="Arial" w:eastAsia="Arial" w:hAnsi="Arial"/>
                <w:sz w:val="11"/>
                <w:szCs w:val="11"/>
                <w:color w:val="auto"/>
                <w:w w:val="92"/>
              </w:rPr>
              <w:t>Construction &amp; Engineering</w:t>
            </w:r>
          </w:p>
        </w:tc>
        <w:tc>
          <w:tcPr>
            <w:tcW w:w="120" w:type="dxa"/>
            <w:vAlign w:val="bottom"/>
          </w:tcPr>
          <w:p>
            <w:pPr>
              <w:spacing w:after="0"/>
              <w:rPr>
                <w:sz w:val="13"/>
                <w:szCs w:val="13"/>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37</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37</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37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3140" w:type="dxa"/>
            <w:vAlign w:val="bottom"/>
          </w:tcPr>
          <w:p>
            <w:pPr>
              <w:ind w:left="20"/>
              <w:spacing w:after="0" w:line="115" w:lineRule="exact"/>
              <w:rPr>
                <w:sz w:val="20"/>
                <w:szCs w:val="20"/>
                <w:color w:val="auto"/>
              </w:rPr>
            </w:pPr>
            <w:r>
              <w:rPr>
                <w:rFonts w:ascii="Arial" w:cs="Arial" w:eastAsia="Arial" w:hAnsi="Arial"/>
                <w:sz w:val="11"/>
                <w:szCs w:val="11"/>
                <w:color w:val="auto"/>
              </w:rPr>
              <w:t>UniTek Global Services, Inc. -</w:t>
            </w:r>
          </w:p>
        </w:tc>
        <w:tc>
          <w:tcPr>
            <w:tcW w:w="120" w:type="dxa"/>
            <w:vAlign w:val="bottom"/>
          </w:tcPr>
          <w:p>
            <w:pPr>
              <w:spacing w:after="0"/>
              <w:rPr>
                <w:sz w:val="9"/>
                <w:szCs w:val="9"/>
                <w:color w:val="auto"/>
              </w:rPr>
            </w:pPr>
          </w:p>
        </w:tc>
        <w:tc>
          <w:tcPr>
            <w:tcW w:w="680" w:type="dxa"/>
            <w:vAlign w:val="bottom"/>
          </w:tcPr>
          <w:p>
            <w:pPr>
              <w:ind w:left="560"/>
              <w:spacing w:after="0" w:line="115" w:lineRule="exact"/>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9"/>
                <w:szCs w:val="9"/>
                <w:color w:val="auto"/>
              </w:rPr>
            </w:pPr>
          </w:p>
        </w:tc>
        <w:tc>
          <w:tcPr>
            <w:tcW w:w="2200" w:type="dxa"/>
            <w:vAlign w:val="bottom"/>
          </w:tcPr>
          <w:p>
            <w:pPr>
              <w:jc w:val="center"/>
              <w:spacing w:after="0" w:line="115" w:lineRule="exact"/>
              <w:rPr>
                <w:sz w:val="20"/>
                <w:szCs w:val="20"/>
                <w:color w:val="auto"/>
              </w:rPr>
            </w:pPr>
            <w:r>
              <w:rPr>
                <w:rFonts w:ascii="Arial" w:cs="Arial" w:eastAsia="Arial" w:hAnsi="Arial"/>
                <w:sz w:val="11"/>
                <w:szCs w:val="11"/>
                <w:color w:val="auto"/>
                <w:w w:val="87"/>
              </w:rPr>
              <w:t>Telecommunications</w:t>
            </w:r>
          </w:p>
        </w:tc>
        <w:tc>
          <w:tcPr>
            <w:tcW w:w="1080" w:type="dxa"/>
            <w:vAlign w:val="bottom"/>
            <w:gridSpan w:val="3"/>
          </w:tcPr>
          <w:p>
            <w:pPr>
              <w:jc w:val="right"/>
              <w:ind w:right="86"/>
              <w:spacing w:after="0" w:line="115" w:lineRule="exact"/>
              <w:rPr>
                <w:sz w:val="20"/>
                <w:szCs w:val="20"/>
                <w:color w:val="auto"/>
              </w:rPr>
            </w:pPr>
            <w:r>
              <w:rPr>
                <w:rFonts w:ascii="Arial" w:cs="Arial" w:eastAsia="Arial" w:hAnsi="Arial"/>
                <w:sz w:val="11"/>
                <w:szCs w:val="11"/>
                <w:color w:val="auto"/>
              </w:rPr>
              <w:t>20.00 %</w:t>
            </w:r>
          </w:p>
        </w:tc>
        <w:tc>
          <w:tcPr>
            <w:tcW w:w="920" w:type="dxa"/>
            <w:vAlign w:val="bottom"/>
          </w:tcPr>
          <w:p>
            <w:pPr>
              <w:jc w:val="right"/>
              <w:spacing w:after="0" w:line="115" w:lineRule="exact"/>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343,861</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jc w:val="right"/>
              <w:spacing w:after="0" w:line="115" w:lineRule="exact"/>
              <w:rPr>
                <w:sz w:val="20"/>
                <w:szCs w:val="20"/>
                <w:color w:val="auto"/>
              </w:rPr>
            </w:pPr>
            <w:r>
              <w:rPr>
                <w:rFonts w:ascii="Arial" w:cs="Arial" w:eastAsia="Arial" w:hAnsi="Arial"/>
                <w:sz w:val="11"/>
                <w:szCs w:val="11"/>
                <w:color w:val="auto"/>
              </w:rPr>
              <w:t>344</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gridSpan w:val="2"/>
          </w:tcPr>
          <w:p>
            <w:pPr>
              <w:jc w:val="right"/>
              <w:ind w:right="120"/>
              <w:spacing w:after="0" w:line="115"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3140" w:type="dxa"/>
            <w:vAlign w:val="bottom"/>
          </w:tcPr>
          <w:p>
            <w:pPr>
              <w:ind w:left="100"/>
              <w:spacing w:after="0" w:line="135" w:lineRule="exact"/>
              <w:rPr>
                <w:sz w:val="20"/>
                <w:szCs w:val="20"/>
                <w:color w:val="auto"/>
              </w:rPr>
            </w:pPr>
            <w:r>
              <w:rPr>
                <w:rFonts w:ascii="Arial" w:cs="Arial" w:eastAsia="Arial" w:hAnsi="Arial"/>
                <w:sz w:val="11"/>
                <w:szCs w:val="11"/>
                <w:color w:val="auto"/>
              </w:rPr>
              <w:t xml:space="preserve">Super Senior Preferred Equity </w:t>
            </w:r>
            <w:r>
              <w:rPr>
                <w:rFonts w:ascii="Arial" w:cs="Arial" w:eastAsia="Arial" w:hAnsi="Arial"/>
                <w:sz w:val="14"/>
                <w:szCs w:val="14"/>
                <w:color w:val="auto"/>
                <w:vertAlign w:val="superscript"/>
              </w:rPr>
              <w:t>(7)</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4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UniTek Global Services, Inc. - Senior Preferred Equity </w:t>
            </w:r>
            <w:r>
              <w:rPr>
                <w:rFonts w:ascii="Arial" w:cs="Arial" w:eastAsia="Arial" w:hAnsi="Arial"/>
                <w:sz w:val="14"/>
                <w:szCs w:val="14"/>
                <w:color w:val="auto"/>
                <w:vertAlign w:val="superscript"/>
              </w:rPr>
              <w:t>(7)</w:t>
            </w:r>
          </w:p>
        </w:tc>
        <w:tc>
          <w:tcPr>
            <w:tcW w:w="120" w:type="dxa"/>
            <w:vAlign w:val="bottom"/>
          </w:tcPr>
          <w:p>
            <w:pPr>
              <w:spacing w:after="0"/>
              <w:rPr>
                <w:sz w:val="11"/>
                <w:szCs w:val="11"/>
                <w:color w:val="auto"/>
              </w:rPr>
            </w:pPr>
          </w:p>
        </w:tc>
        <w:tc>
          <w:tcPr>
            <w:tcW w:w="680" w:type="dxa"/>
            <w:vAlign w:val="bottom"/>
          </w:tcPr>
          <w:p>
            <w:pPr>
              <w:ind w:left="56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1"/>
                <w:szCs w:val="11"/>
                <w:color w:val="auto"/>
              </w:rPr>
            </w:pPr>
          </w:p>
        </w:tc>
        <w:tc>
          <w:tcPr>
            <w:tcW w:w="2200" w:type="dxa"/>
            <w:vAlign w:val="bottom"/>
          </w:tcPr>
          <w:p>
            <w:pPr>
              <w:jc w:val="center"/>
              <w:spacing w:after="0"/>
              <w:rPr>
                <w:sz w:val="20"/>
                <w:szCs w:val="20"/>
                <w:color w:val="auto"/>
              </w:rPr>
            </w:pPr>
            <w:r>
              <w:rPr>
                <w:rFonts w:ascii="Arial" w:cs="Arial" w:eastAsia="Arial" w:hAnsi="Arial"/>
                <w:sz w:val="11"/>
                <w:szCs w:val="11"/>
                <w:color w:val="auto"/>
                <w:w w:val="87"/>
              </w:rPr>
              <w:t>Telecommunications</w:t>
            </w:r>
          </w:p>
        </w:tc>
        <w:tc>
          <w:tcPr>
            <w:tcW w:w="1080" w:type="dxa"/>
            <w:vAlign w:val="bottom"/>
            <w:gridSpan w:val="3"/>
          </w:tcPr>
          <w:p>
            <w:pPr>
              <w:jc w:val="right"/>
              <w:ind w:right="86"/>
              <w:spacing w:after="0"/>
              <w:rPr>
                <w:sz w:val="20"/>
                <w:szCs w:val="20"/>
                <w:color w:val="auto"/>
              </w:rPr>
            </w:pPr>
            <w:r>
              <w:rPr>
                <w:rFonts w:ascii="Arial" w:cs="Arial" w:eastAsia="Arial" w:hAnsi="Arial"/>
                <w:sz w:val="11"/>
                <w:szCs w:val="11"/>
                <w:color w:val="auto"/>
              </w:rPr>
              <w:t>19.00 %</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448,851</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449</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5"/>
        </w:trPr>
        <w:tc>
          <w:tcPr>
            <w:tcW w:w="3140" w:type="dxa"/>
            <w:vAlign w:val="bottom"/>
          </w:tcPr>
          <w:p>
            <w:pPr>
              <w:ind w:left="20"/>
              <w:spacing w:after="0"/>
              <w:rPr>
                <w:sz w:val="20"/>
                <w:szCs w:val="20"/>
                <w:color w:val="auto"/>
              </w:rPr>
            </w:pPr>
            <w:r>
              <w:rPr>
                <w:rFonts w:ascii="Arial" w:cs="Arial" w:eastAsia="Arial" w:hAnsi="Arial"/>
                <w:sz w:val="11"/>
                <w:szCs w:val="11"/>
                <w:color w:val="auto"/>
              </w:rPr>
              <w:t xml:space="preserve">UniTek Global Services, Inc. </w:t>
            </w:r>
            <w:r>
              <w:rPr>
                <w:rFonts w:ascii="Arial" w:cs="Arial" w:eastAsia="Arial" w:hAnsi="Arial"/>
                <w:sz w:val="14"/>
                <w:szCs w:val="14"/>
                <w:color w:val="auto"/>
                <w:vertAlign w:val="superscript"/>
              </w:rPr>
              <w:t>(7)</w:t>
            </w:r>
          </w:p>
        </w:tc>
        <w:tc>
          <w:tcPr>
            <w:tcW w:w="120" w:type="dxa"/>
            <w:vAlign w:val="bottom"/>
          </w:tcPr>
          <w:p>
            <w:pPr>
              <w:spacing w:after="0"/>
              <w:rPr>
                <w:sz w:val="14"/>
                <w:szCs w:val="14"/>
                <w:color w:val="auto"/>
              </w:rPr>
            </w:pPr>
          </w:p>
        </w:tc>
        <w:tc>
          <w:tcPr>
            <w:tcW w:w="680" w:type="dxa"/>
            <w:vAlign w:val="bottom"/>
          </w:tcPr>
          <w:p>
            <w:pPr>
              <w:ind w:left="56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4"/>
                <w:szCs w:val="14"/>
                <w:color w:val="auto"/>
              </w:rPr>
            </w:pPr>
          </w:p>
        </w:tc>
        <w:tc>
          <w:tcPr>
            <w:tcW w:w="2200" w:type="dxa"/>
            <w:vAlign w:val="bottom"/>
          </w:tcPr>
          <w:p>
            <w:pPr>
              <w:jc w:val="center"/>
              <w:spacing w:after="0"/>
              <w:rPr>
                <w:sz w:val="20"/>
                <w:szCs w:val="20"/>
                <w:color w:val="auto"/>
              </w:rPr>
            </w:pPr>
            <w:r>
              <w:rPr>
                <w:rFonts w:ascii="Arial" w:cs="Arial" w:eastAsia="Arial" w:hAnsi="Arial"/>
                <w:sz w:val="11"/>
                <w:szCs w:val="11"/>
                <w:color w:val="auto"/>
                <w:w w:val="87"/>
              </w:rPr>
              <w:t>Telecommunications</w:t>
            </w:r>
          </w:p>
        </w:tc>
        <w:tc>
          <w:tcPr>
            <w:tcW w:w="1080" w:type="dxa"/>
            <w:vAlign w:val="bottom"/>
            <w:gridSpan w:val="3"/>
          </w:tcPr>
          <w:p>
            <w:pPr>
              <w:jc w:val="right"/>
              <w:ind w:right="86"/>
              <w:spacing w:after="0"/>
              <w:rPr>
                <w:sz w:val="20"/>
                <w:szCs w:val="20"/>
                <w:color w:val="auto"/>
              </w:rPr>
            </w:pPr>
            <w:r>
              <w:rPr>
                <w:rFonts w:ascii="Arial" w:cs="Arial" w:eastAsia="Arial" w:hAnsi="Arial"/>
                <w:sz w:val="11"/>
                <w:szCs w:val="11"/>
                <w:color w:val="auto"/>
              </w:rPr>
              <w:t>13.50 %</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1,047,317</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670</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3140" w:type="dxa"/>
            <w:vAlign w:val="bottom"/>
          </w:tcPr>
          <w:p>
            <w:pPr>
              <w:ind w:left="20"/>
              <w:spacing w:after="0" w:line="110" w:lineRule="exact"/>
              <w:rPr>
                <w:sz w:val="20"/>
                <w:szCs w:val="20"/>
                <w:color w:val="auto"/>
              </w:rPr>
            </w:pPr>
            <w:r>
              <w:rPr>
                <w:rFonts w:ascii="Arial" w:cs="Arial" w:eastAsia="Arial" w:hAnsi="Arial"/>
                <w:sz w:val="11"/>
                <w:szCs w:val="11"/>
                <w:b w:val="1"/>
                <w:bCs w:val="1"/>
                <w:color w:val="auto"/>
              </w:rPr>
              <w:t>Total Preferred Equity</w:t>
            </w: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Borders>
              <w:top w:val="single" w:sz="8" w:color="auto"/>
              <w:bottom w:val="single" w:sz="8" w:color="auto"/>
            </w:tcBorders>
          </w:tcPr>
          <w:p>
            <w:pPr>
              <w:spacing w:after="0"/>
              <w:rPr>
                <w:sz w:val="10"/>
                <w:szCs w:val="10"/>
                <w:color w:val="auto"/>
              </w:rPr>
            </w:pPr>
          </w:p>
        </w:tc>
        <w:tc>
          <w:tcPr>
            <w:tcW w:w="540" w:type="dxa"/>
            <w:vAlign w:val="bottom"/>
            <w:tcBorders>
              <w:top w:val="single" w:sz="8" w:color="auto"/>
              <w:bottom w:val="single" w:sz="8" w:color="auto"/>
            </w:tcBorders>
          </w:tcPr>
          <w:p>
            <w:pPr>
              <w:jc w:val="right"/>
              <w:spacing w:after="0" w:line="110" w:lineRule="exact"/>
              <w:rPr>
                <w:sz w:val="20"/>
                <w:szCs w:val="20"/>
                <w:color w:val="auto"/>
              </w:rPr>
            </w:pPr>
            <w:r>
              <w:rPr>
                <w:rFonts w:ascii="Arial" w:cs="Arial" w:eastAsia="Arial" w:hAnsi="Arial"/>
                <w:sz w:val="11"/>
                <w:szCs w:val="11"/>
                <w:color w:val="auto"/>
              </w:rPr>
              <w:t>7,016</w:t>
            </w:r>
          </w:p>
        </w:tc>
        <w:tc>
          <w:tcPr>
            <w:tcW w:w="220" w:type="dxa"/>
            <w:vAlign w:val="bottom"/>
          </w:tcPr>
          <w:p>
            <w:pPr>
              <w:spacing w:after="0"/>
              <w:rPr>
                <w:sz w:val="10"/>
                <w:szCs w:val="10"/>
                <w:color w:val="auto"/>
              </w:rPr>
            </w:pPr>
          </w:p>
        </w:tc>
        <w:tc>
          <w:tcPr>
            <w:tcW w:w="200" w:type="dxa"/>
            <w:vAlign w:val="bottom"/>
            <w:tcBorders>
              <w:top w:val="single" w:sz="8" w:color="auto"/>
              <w:bottom w:val="single" w:sz="8" w:color="auto"/>
            </w:tcBorders>
          </w:tcPr>
          <w:p>
            <w:pPr>
              <w:spacing w:after="0"/>
              <w:rPr>
                <w:sz w:val="10"/>
                <w:szCs w:val="10"/>
                <w:color w:val="auto"/>
              </w:rPr>
            </w:pPr>
          </w:p>
        </w:tc>
        <w:tc>
          <w:tcPr>
            <w:tcW w:w="500" w:type="dxa"/>
            <w:vAlign w:val="bottom"/>
            <w:tcBorders>
              <w:top w:val="single" w:sz="8" w:color="auto"/>
              <w:bottom w:val="single" w:sz="8" w:color="auto"/>
            </w:tcBorders>
          </w:tcPr>
          <w:p>
            <w:pPr>
              <w:jc w:val="right"/>
              <w:spacing w:after="0" w:line="110" w:lineRule="exact"/>
              <w:rPr>
                <w:sz w:val="20"/>
                <w:szCs w:val="20"/>
                <w:color w:val="auto"/>
              </w:rPr>
            </w:pPr>
            <w:r>
              <w:rPr>
                <w:rFonts w:ascii="Arial" w:cs="Arial" w:eastAsia="Arial" w:hAnsi="Arial"/>
                <w:sz w:val="11"/>
                <w:szCs w:val="11"/>
                <w:color w:val="auto"/>
              </w:rPr>
              <w:t>6,525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3140" w:type="dxa"/>
            <w:vAlign w:val="bottom"/>
          </w:tcPr>
          <w:p>
            <w:pPr>
              <w:ind w:left="20"/>
              <w:spacing w:after="0" w:line="105" w:lineRule="exact"/>
              <w:rPr>
                <w:sz w:val="20"/>
                <w:szCs w:val="20"/>
                <w:color w:val="auto"/>
              </w:rPr>
            </w:pPr>
            <w:r>
              <w:rPr>
                <w:rFonts w:ascii="Arial" w:cs="Arial" w:eastAsia="Arial" w:hAnsi="Arial"/>
                <w:sz w:val="9"/>
                <w:szCs w:val="9"/>
                <w:b w:val="1"/>
                <w:bCs w:val="1"/>
                <w:color w:val="auto"/>
              </w:rPr>
              <w:t xml:space="preserve">Common Equity/Warrants— 16.8% </w:t>
            </w:r>
            <w:r>
              <w:rPr>
                <w:rFonts w:ascii="Arial" w:cs="Arial" w:eastAsia="Arial" w:hAnsi="Arial"/>
                <w:sz w:val="12"/>
                <w:szCs w:val="12"/>
                <w:b w:val="1"/>
                <w:bCs w:val="1"/>
                <w:color w:val="auto"/>
                <w:vertAlign w:val="superscript"/>
              </w:rPr>
              <w:t>(6)</w:t>
            </w: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14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Ad.net Holdings, Inc. </w:t>
            </w:r>
            <w:r>
              <w:rPr>
                <w:rFonts w:ascii="Arial" w:cs="Arial" w:eastAsia="Arial" w:hAnsi="Arial"/>
                <w:sz w:val="14"/>
                <w:szCs w:val="14"/>
                <w:color w:val="auto"/>
                <w:vertAlign w:val="superscript"/>
              </w:rPr>
              <w:t>(7),(8)</w:t>
            </w:r>
          </w:p>
        </w:tc>
        <w:tc>
          <w:tcPr>
            <w:tcW w:w="120" w:type="dxa"/>
            <w:vAlign w:val="bottom"/>
          </w:tcPr>
          <w:p>
            <w:pPr>
              <w:spacing w:after="0"/>
              <w:rPr>
                <w:sz w:val="11"/>
                <w:szCs w:val="11"/>
                <w:color w:val="auto"/>
              </w:rPr>
            </w:pPr>
          </w:p>
        </w:tc>
        <w:tc>
          <w:tcPr>
            <w:tcW w:w="680" w:type="dxa"/>
            <w:vAlign w:val="bottom"/>
          </w:tcPr>
          <w:p>
            <w:pPr>
              <w:ind w:left="56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1"/>
                <w:szCs w:val="11"/>
                <w:color w:val="auto"/>
              </w:rPr>
            </w:pPr>
          </w:p>
        </w:tc>
        <w:tc>
          <w:tcPr>
            <w:tcW w:w="220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120" w:type="dxa"/>
            <w:vAlign w:val="bottom"/>
          </w:tcPr>
          <w:p>
            <w:pPr>
              <w:spacing w:after="0"/>
              <w:rPr>
                <w:sz w:val="11"/>
                <w:szCs w:val="11"/>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7,467</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75</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137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40" w:type="dxa"/>
            <w:vAlign w:val="bottom"/>
          </w:tcPr>
          <w:p>
            <w:pPr>
              <w:ind w:left="20"/>
              <w:spacing w:after="0" w:line="135" w:lineRule="exact"/>
              <w:rPr>
                <w:sz w:val="20"/>
                <w:szCs w:val="20"/>
                <w:color w:val="auto"/>
              </w:rPr>
            </w:pPr>
            <w:r>
              <w:rPr>
                <w:rFonts w:ascii="Arial" w:cs="Arial" w:eastAsia="Arial" w:hAnsi="Arial"/>
                <w:sz w:val="11"/>
                <w:szCs w:val="11"/>
                <w:color w:val="auto"/>
              </w:rPr>
              <w:t>Affinion Group Holdings, Inc. (Warrants)</w:t>
            </w:r>
            <w:r>
              <w:rPr>
                <w:rFonts w:ascii="Arial" w:cs="Arial" w:eastAsia="Arial" w:hAnsi="Arial"/>
                <w:sz w:val="14"/>
                <w:szCs w:val="14"/>
                <w:color w:val="auto"/>
                <w:vertAlign w:val="superscript"/>
              </w:rPr>
              <w:t>(7)</w:t>
            </w:r>
          </w:p>
        </w:tc>
        <w:tc>
          <w:tcPr>
            <w:tcW w:w="800" w:type="dxa"/>
            <w:vAlign w:val="bottom"/>
            <w:gridSpan w:val="2"/>
          </w:tcPr>
          <w:p>
            <w:pPr>
              <w:jc w:val="center"/>
              <w:ind w:left="86"/>
              <w:spacing w:after="0"/>
              <w:rPr>
                <w:sz w:val="20"/>
                <w:szCs w:val="20"/>
                <w:color w:val="auto"/>
              </w:rPr>
            </w:pPr>
            <w:r>
              <w:rPr>
                <w:rFonts w:ascii="Arial" w:cs="Arial" w:eastAsia="Arial" w:hAnsi="Arial"/>
                <w:sz w:val="11"/>
                <w:szCs w:val="11"/>
                <w:color w:val="auto"/>
                <w:w w:val="90"/>
              </w:rPr>
              <w:t>04/10/2024</w:t>
            </w:r>
          </w:p>
        </w:tc>
        <w:tc>
          <w:tcPr>
            <w:tcW w:w="260" w:type="dxa"/>
            <w:vAlign w:val="bottom"/>
          </w:tcPr>
          <w:p>
            <w:pPr>
              <w:spacing w:after="0"/>
              <w:rPr>
                <w:sz w:val="11"/>
                <w:szCs w:val="11"/>
                <w:color w:val="auto"/>
              </w:rPr>
            </w:pPr>
          </w:p>
        </w:tc>
        <w:tc>
          <w:tcPr>
            <w:tcW w:w="2200" w:type="dxa"/>
            <w:vAlign w:val="bottom"/>
          </w:tcPr>
          <w:p>
            <w:pPr>
              <w:jc w:val="center"/>
              <w:spacing w:after="0"/>
              <w:rPr>
                <w:sz w:val="20"/>
                <w:szCs w:val="20"/>
                <w:color w:val="auto"/>
              </w:rPr>
            </w:pPr>
            <w:r>
              <w:rPr>
                <w:rFonts w:ascii="Arial" w:cs="Arial" w:eastAsia="Arial" w:hAnsi="Arial"/>
                <w:sz w:val="11"/>
                <w:szCs w:val="11"/>
                <w:color w:val="auto"/>
                <w:w w:val="88"/>
              </w:rPr>
              <w:t>Consumer Goods: Durable</w:t>
            </w:r>
          </w:p>
        </w:tc>
        <w:tc>
          <w:tcPr>
            <w:tcW w:w="120" w:type="dxa"/>
            <w:vAlign w:val="bottom"/>
          </w:tcPr>
          <w:p>
            <w:pPr>
              <w:spacing w:after="0"/>
              <w:rPr>
                <w:sz w:val="11"/>
                <w:szCs w:val="11"/>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8,893</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245</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314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AG Investco LP </w:t>
            </w:r>
            <w:r>
              <w:rPr>
                <w:rFonts w:ascii="Arial" w:cs="Arial" w:eastAsia="Arial" w:hAnsi="Arial"/>
                <w:sz w:val="14"/>
                <w:szCs w:val="14"/>
                <w:color w:val="auto"/>
                <w:vertAlign w:val="superscript"/>
              </w:rPr>
              <w:t>(7), (8)</w:t>
            </w:r>
          </w:p>
        </w:tc>
        <w:tc>
          <w:tcPr>
            <w:tcW w:w="120" w:type="dxa"/>
            <w:vAlign w:val="bottom"/>
          </w:tcPr>
          <w:p>
            <w:pPr>
              <w:spacing w:after="0"/>
              <w:rPr>
                <w:sz w:val="11"/>
                <w:szCs w:val="11"/>
                <w:color w:val="auto"/>
              </w:rPr>
            </w:pPr>
          </w:p>
        </w:tc>
        <w:tc>
          <w:tcPr>
            <w:tcW w:w="680" w:type="dxa"/>
            <w:vAlign w:val="bottom"/>
          </w:tcPr>
          <w:p>
            <w:pPr>
              <w:ind w:left="56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1"/>
                <w:szCs w:val="11"/>
                <w:color w:val="auto"/>
              </w:rPr>
            </w:pPr>
          </w:p>
        </w:tc>
        <w:tc>
          <w:tcPr>
            <w:tcW w:w="2200" w:type="dxa"/>
            <w:vAlign w:val="bottom"/>
          </w:tcPr>
          <w:p>
            <w:pPr>
              <w:jc w:val="center"/>
              <w:spacing w:after="0"/>
              <w:rPr>
                <w:sz w:val="20"/>
                <w:szCs w:val="20"/>
                <w:color w:val="auto"/>
              </w:rPr>
            </w:pPr>
            <w:r>
              <w:rPr>
                <w:rFonts w:ascii="Arial" w:cs="Arial" w:eastAsia="Arial" w:hAnsi="Arial"/>
                <w:sz w:val="11"/>
                <w:szCs w:val="11"/>
                <w:color w:val="auto"/>
                <w:w w:val="92"/>
              </w:rPr>
              <w:t>Software</w:t>
            </w:r>
          </w:p>
        </w:tc>
        <w:tc>
          <w:tcPr>
            <w:tcW w:w="120" w:type="dxa"/>
            <w:vAlign w:val="bottom"/>
          </w:tcPr>
          <w:p>
            <w:pPr>
              <w:spacing w:after="0"/>
              <w:rPr>
                <w:sz w:val="11"/>
                <w:szCs w:val="11"/>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805,164</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805</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1,192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4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AG Investco LP </w:t>
            </w:r>
            <w:r>
              <w:rPr>
                <w:rFonts w:ascii="Arial" w:cs="Arial" w:eastAsia="Arial" w:hAnsi="Arial"/>
                <w:sz w:val="14"/>
                <w:szCs w:val="14"/>
                <w:color w:val="auto"/>
                <w:vertAlign w:val="superscript"/>
              </w:rPr>
              <w:t>(7), (8), (9)</w:t>
            </w:r>
          </w:p>
        </w:tc>
        <w:tc>
          <w:tcPr>
            <w:tcW w:w="120" w:type="dxa"/>
            <w:vAlign w:val="bottom"/>
          </w:tcPr>
          <w:p>
            <w:pPr>
              <w:spacing w:after="0"/>
              <w:rPr>
                <w:sz w:val="11"/>
                <w:szCs w:val="11"/>
                <w:color w:val="auto"/>
              </w:rPr>
            </w:pPr>
          </w:p>
        </w:tc>
        <w:tc>
          <w:tcPr>
            <w:tcW w:w="680" w:type="dxa"/>
            <w:vAlign w:val="bottom"/>
          </w:tcPr>
          <w:p>
            <w:pPr>
              <w:ind w:left="56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1"/>
                <w:szCs w:val="11"/>
                <w:color w:val="auto"/>
              </w:rPr>
            </w:pPr>
          </w:p>
        </w:tc>
        <w:tc>
          <w:tcPr>
            <w:tcW w:w="2200" w:type="dxa"/>
            <w:vAlign w:val="bottom"/>
          </w:tcPr>
          <w:p>
            <w:pPr>
              <w:jc w:val="center"/>
              <w:spacing w:after="0"/>
              <w:rPr>
                <w:sz w:val="20"/>
                <w:szCs w:val="20"/>
                <w:color w:val="auto"/>
              </w:rPr>
            </w:pPr>
            <w:r>
              <w:rPr>
                <w:rFonts w:ascii="Arial" w:cs="Arial" w:eastAsia="Arial" w:hAnsi="Arial"/>
                <w:sz w:val="11"/>
                <w:szCs w:val="11"/>
                <w:color w:val="auto"/>
                <w:w w:val="92"/>
              </w:rPr>
              <w:t>Software</w:t>
            </w:r>
          </w:p>
        </w:tc>
        <w:tc>
          <w:tcPr>
            <w:tcW w:w="120" w:type="dxa"/>
            <w:vAlign w:val="bottom"/>
          </w:tcPr>
          <w:p>
            <w:pPr>
              <w:spacing w:after="0"/>
              <w:rPr>
                <w:sz w:val="11"/>
                <w:szCs w:val="11"/>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194,836</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314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Altamira Intermediate Company II, Inc. </w:t>
            </w:r>
            <w:r>
              <w:rPr>
                <w:rFonts w:ascii="Arial" w:cs="Arial" w:eastAsia="Arial" w:hAnsi="Arial"/>
                <w:sz w:val="14"/>
                <w:szCs w:val="14"/>
                <w:color w:val="auto"/>
                <w:vertAlign w:val="superscript"/>
              </w:rPr>
              <w:t>(7)</w:t>
            </w:r>
          </w:p>
        </w:tc>
        <w:tc>
          <w:tcPr>
            <w:tcW w:w="120" w:type="dxa"/>
            <w:vAlign w:val="bottom"/>
          </w:tcPr>
          <w:p>
            <w:pPr>
              <w:spacing w:after="0"/>
              <w:rPr>
                <w:sz w:val="11"/>
                <w:szCs w:val="11"/>
                <w:color w:val="auto"/>
              </w:rPr>
            </w:pPr>
          </w:p>
        </w:tc>
        <w:tc>
          <w:tcPr>
            <w:tcW w:w="680" w:type="dxa"/>
            <w:vAlign w:val="bottom"/>
          </w:tcPr>
          <w:p>
            <w:pPr>
              <w:ind w:left="56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1"/>
                <w:szCs w:val="11"/>
                <w:color w:val="auto"/>
              </w:rPr>
            </w:pPr>
          </w:p>
        </w:tc>
        <w:tc>
          <w:tcPr>
            <w:tcW w:w="2200" w:type="dxa"/>
            <w:vAlign w:val="bottom"/>
          </w:tcPr>
          <w:p>
            <w:pPr>
              <w:jc w:val="center"/>
              <w:spacing w:after="0"/>
              <w:rPr>
                <w:sz w:val="20"/>
                <w:szCs w:val="20"/>
                <w:color w:val="auto"/>
              </w:rPr>
            </w:pPr>
            <w:r>
              <w:rPr>
                <w:rFonts w:ascii="Arial" w:cs="Arial" w:eastAsia="Arial" w:hAnsi="Arial"/>
                <w:sz w:val="11"/>
                <w:szCs w:val="11"/>
                <w:color w:val="auto"/>
                <w:w w:val="87"/>
              </w:rPr>
              <w:t>IT Services</w:t>
            </w:r>
          </w:p>
        </w:tc>
        <w:tc>
          <w:tcPr>
            <w:tcW w:w="120" w:type="dxa"/>
            <w:vAlign w:val="bottom"/>
          </w:tcPr>
          <w:p>
            <w:pPr>
              <w:spacing w:after="0"/>
              <w:rPr>
                <w:sz w:val="11"/>
                <w:szCs w:val="11"/>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1,437,500</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1,438</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378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4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By Light Investco LP </w:t>
            </w:r>
            <w:r>
              <w:rPr>
                <w:rFonts w:ascii="Arial" w:cs="Arial" w:eastAsia="Arial" w:hAnsi="Arial"/>
                <w:sz w:val="14"/>
                <w:szCs w:val="14"/>
                <w:color w:val="auto"/>
                <w:vertAlign w:val="superscript"/>
              </w:rPr>
              <w:t>(7), (8)</w:t>
            </w:r>
          </w:p>
        </w:tc>
        <w:tc>
          <w:tcPr>
            <w:tcW w:w="120" w:type="dxa"/>
            <w:vAlign w:val="bottom"/>
          </w:tcPr>
          <w:p>
            <w:pPr>
              <w:spacing w:after="0"/>
              <w:rPr>
                <w:sz w:val="11"/>
                <w:szCs w:val="11"/>
                <w:color w:val="auto"/>
              </w:rPr>
            </w:pPr>
          </w:p>
        </w:tc>
        <w:tc>
          <w:tcPr>
            <w:tcW w:w="680" w:type="dxa"/>
            <w:vAlign w:val="bottom"/>
          </w:tcPr>
          <w:p>
            <w:pPr>
              <w:ind w:left="56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1"/>
                <w:szCs w:val="11"/>
                <w:color w:val="auto"/>
              </w:rPr>
            </w:pPr>
          </w:p>
        </w:tc>
        <w:tc>
          <w:tcPr>
            <w:tcW w:w="2200" w:type="dxa"/>
            <w:vAlign w:val="bottom"/>
          </w:tcPr>
          <w:p>
            <w:pPr>
              <w:jc w:val="center"/>
              <w:spacing w:after="0"/>
              <w:rPr>
                <w:sz w:val="20"/>
                <w:szCs w:val="20"/>
                <w:color w:val="auto"/>
              </w:rPr>
            </w:pPr>
            <w:r>
              <w:rPr>
                <w:rFonts w:ascii="Arial" w:cs="Arial" w:eastAsia="Arial" w:hAnsi="Arial"/>
                <w:sz w:val="11"/>
                <w:szCs w:val="11"/>
                <w:color w:val="auto"/>
                <w:w w:val="91"/>
              </w:rPr>
              <w:t>High Tech Industries</w:t>
            </w:r>
          </w:p>
        </w:tc>
        <w:tc>
          <w:tcPr>
            <w:tcW w:w="120" w:type="dxa"/>
            <w:vAlign w:val="bottom"/>
          </w:tcPr>
          <w:p>
            <w:pPr>
              <w:spacing w:after="0"/>
              <w:rPr>
                <w:sz w:val="11"/>
                <w:szCs w:val="11"/>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21,908</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2,100</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12,799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14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By Light Investco LP </w:t>
            </w:r>
            <w:r>
              <w:rPr>
                <w:rFonts w:ascii="Arial" w:cs="Arial" w:eastAsia="Arial" w:hAnsi="Arial"/>
                <w:sz w:val="14"/>
                <w:szCs w:val="14"/>
                <w:color w:val="auto"/>
                <w:vertAlign w:val="superscript"/>
              </w:rPr>
              <w:t>(7), (8), (9)</w:t>
            </w:r>
          </w:p>
        </w:tc>
        <w:tc>
          <w:tcPr>
            <w:tcW w:w="120" w:type="dxa"/>
            <w:vAlign w:val="bottom"/>
          </w:tcPr>
          <w:p>
            <w:pPr>
              <w:spacing w:after="0"/>
              <w:rPr>
                <w:sz w:val="13"/>
                <w:szCs w:val="13"/>
                <w:color w:val="auto"/>
              </w:rPr>
            </w:pPr>
          </w:p>
        </w:tc>
        <w:tc>
          <w:tcPr>
            <w:tcW w:w="680" w:type="dxa"/>
            <w:vAlign w:val="bottom"/>
          </w:tcPr>
          <w:p>
            <w:pPr>
              <w:ind w:left="56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3"/>
                <w:szCs w:val="13"/>
                <w:color w:val="auto"/>
              </w:rPr>
            </w:pPr>
          </w:p>
        </w:tc>
        <w:tc>
          <w:tcPr>
            <w:tcW w:w="2200" w:type="dxa"/>
            <w:vAlign w:val="bottom"/>
          </w:tcPr>
          <w:p>
            <w:pPr>
              <w:jc w:val="center"/>
              <w:spacing w:after="0"/>
              <w:rPr>
                <w:sz w:val="20"/>
                <w:szCs w:val="20"/>
                <w:color w:val="auto"/>
              </w:rPr>
            </w:pPr>
            <w:r>
              <w:rPr>
                <w:rFonts w:ascii="Arial" w:cs="Arial" w:eastAsia="Arial" w:hAnsi="Arial"/>
                <w:sz w:val="11"/>
                <w:szCs w:val="11"/>
                <w:color w:val="auto"/>
                <w:w w:val="91"/>
              </w:rPr>
              <w:t>High Tech Industries</w:t>
            </w:r>
          </w:p>
        </w:tc>
        <w:tc>
          <w:tcPr>
            <w:tcW w:w="120" w:type="dxa"/>
            <w:vAlign w:val="bottom"/>
          </w:tcPr>
          <w:p>
            <w:pPr>
              <w:spacing w:after="0"/>
              <w:rPr>
                <w:sz w:val="13"/>
                <w:szCs w:val="13"/>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7,401</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5"/>
        </w:trPr>
        <w:tc>
          <w:tcPr>
            <w:tcW w:w="3140" w:type="dxa"/>
            <w:vAlign w:val="bottom"/>
          </w:tcPr>
          <w:p>
            <w:pPr>
              <w:ind w:left="20"/>
              <w:spacing w:after="0" w:line="115" w:lineRule="exact"/>
              <w:rPr>
                <w:sz w:val="20"/>
                <w:szCs w:val="20"/>
                <w:color w:val="auto"/>
              </w:rPr>
            </w:pPr>
            <w:r>
              <w:rPr>
                <w:rFonts w:ascii="Arial" w:cs="Arial" w:eastAsia="Arial" w:hAnsi="Arial"/>
                <w:sz w:val="11"/>
                <w:szCs w:val="11"/>
                <w:color w:val="auto"/>
              </w:rPr>
              <w:t>CI (Allied) Investment Holdings, LLC</w:t>
            </w:r>
          </w:p>
        </w:tc>
        <w:tc>
          <w:tcPr>
            <w:tcW w:w="120" w:type="dxa"/>
            <w:vAlign w:val="bottom"/>
          </w:tcPr>
          <w:p>
            <w:pPr>
              <w:spacing w:after="0"/>
              <w:rPr>
                <w:sz w:val="9"/>
                <w:szCs w:val="9"/>
                <w:color w:val="auto"/>
              </w:rPr>
            </w:pPr>
          </w:p>
        </w:tc>
        <w:tc>
          <w:tcPr>
            <w:tcW w:w="680" w:type="dxa"/>
            <w:vAlign w:val="bottom"/>
          </w:tcPr>
          <w:p>
            <w:pPr>
              <w:ind w:left="560"/>
              <w:spacing w:after="0" w:line="115" w:lineRule="exact"/>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9"/>
                <w:szCs w:val="9"/>
                <w:color w:val="auto"/>
              </w:rPr>
            </w:pPr>
          </w:p>
        </w:tc>
        <w:tc>
          <w:tcPr>
            <w:tcW w:w="2200" w:type="dxa"/>
            <w:vAlign w:val="bottom"/>
          </w:tcPr>
          <w:p>
            <w:pPr>
              <w:jc w:val="center"/>
              <w:spacing w:after="0" w:line="115" w:lineRule="exact"/>
              <w:rPr>
                <w:sz w:val="20"/>
                <w:szCs w:val="20"/>
                <w:color w:val="auto"/>
              </w:rPr>
            </w:pPr>
            <w:r>
              <w:rPr>
                <w:rFonts w:ascii="Arial" w:cs="Arial" w:eastAsia="Arial" w:hAnsi="Arial"/>
                <w:sz w:val="11"/>
                <w:szCs w:val="11"/>
                <w:color w:val="auto"/>
                <w:w w:val="84"/>
              </w:rPr>
              <w:t>Business Services</w:t>
            </w:r>
          </w:p>
        </w:tc>
        <w:tc>
          <w:tcPr>
            <w:tcW w:w="120" w:type="dxa"/>
            <w:vAlign w:val="bottom"/>
          </w:tcPr>
          <w:p>
            <w:pPr>
              <w:spacing w:after="0"/>
              <w:rPr>
                <w:sz w:val="9"/>
                <w:szCs w:val="9"/>
                <w:color w:val="auto"/>
              </w:rPr>
            </w:pPr>
          </w:p>
        </w:tc>
        <w:tc>
          <w:tcPr>
            <w:tcW w:w="960" w:type="dxa"/>
            <w:vAlign w:val="bottom"/>
            <w:gridSpan w:val="2"/>
          </w:tcPr>
          <w:p>
            <w:pPr>
              <w:jc w:val="right"/>
              <w:ind w:right="206"/>
              <w:spacing w:after="0" w:line="115" w:lineRule="exact"/>
              <w:rPr>
                <w:sz w:val="20"/>
                <w:szCs w:val="20"/>
                <w:color w:val="auto"/>
              </w:rPr>
            </w:pPr>
            <w:r>
              <w:rPr>
                <w:rFonts w:ascii="Arial" w:cs="Arial" w:eastAsia="Arial" w:hAnsi="Arial"/>
                <w:sz w:val="11"/>
                <w:szCs w:val="11"/>
                <w:color w:val="auto"/>
              </w:rPr>
              <w:t>—</w:t>
            </w:r>
          </w:p>
        </w:tc>
        <w:tc>
          <w:tcPr>
            <w:tcW w:w="920" w:type="dxa"/>
            <w:vAlign w:val="bottom"/>
          </w:tcPr>
          <w:p>
            <w:pPr>
              <w:jc w:val="right"/>
              <w:spacing w:after="0" w:line="115" w:lineRule="exact"/>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120,962</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jc w:val="right"/>
              <w:spacing w:after="0" w:line="115" w:lineRule="exact"/>
              <w:rPr>
                <w:sz w:val="20"/>
                <w:szCs w:val="20"/>
                <w:color w:val="auto"/>
              </w:rPr>
            </w:pPr>
            <w:r>
              <w:rPr>
                <w:rFonts w:ascii="Arial" w:cs="Arial" w:eastAsia="Arial" w:hAnsi="Arial"/>
                <w:sz w:val="11"/>
                <w:szCs w:val="11"/>
                <w:color w:val="auto"/>
              </w:rPr>
              <w:t>1,243</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jc w:val="right"/>
              <w:spacing w:after="0" w:line="115" w:lineRule="exact"/>
              <w:rPr>
                <w:sz w:val="20"/>
                <w:szCs w:val="20"/>
                <w:color w:val="auto"/>
              </w:rPr>
            </w:pPr>
            <w:r>
              <w:rPr>
                <w:rFonts w:ascii="Arial" w:cs="Arial" w:eastAsia="Arial" w:hAnsi="Arial"/>
                <w:sz w:val="11"/>
                <w:szCs w:val="11"/>
                <w:color w:val="auto"/>
              </w:rPr>
              <w:t>475</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3140" w:type="dxa"/>
            <w:vAlign w:val="bottom"/>
          </w:tcPr>
          <w:p>
            <w:pPr>
              <w:ind w:left="100"/>
              <w:spacing w:after="0" w:line="155" w:lineRule="exact"/>
              <w:rPr>
                <w:sz w:val="20"/>
                <w:szCs w:val="20"/>
                <w:color w:val="auto"/>
              </w:rPr>
            </w:pPr>
            <w:r>
              <w:rPr>
                <w:rFonts w:ascii="Arial" w:cs="Arial" w:eastAsia="Arial" w:hAnsi="Arial"/>
                <w:sz w:val="11"/>
                <w:szCs w:val="11"/>
                <w:color w:val="auto"/>
              </w:rPr>
              <w:t xml:space="preserve">(PRA Events, Inc.) </w:t>
            </w:r>
            <w:r>
              <w:rPr>
                <w:rFonts w:ascii="Arial" w:cs="Arial" w:eastAsia="Arial" w:hAnsi="Arial"/>
                <w:sz w:val="14"/>
                <w:szCs w:val="14"/>
                <w:color w:val="auto"/>
                <w:vertAlign w:val="superscript"/>
              </w:rPr>
              <w:t>(7), (8)</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3140" w:type="dxa"/>
            <w:vAlign w:val="bottom"/>
          </w:tcPr>
          <w:p>
            <w:pPr>
              <w:ind w:left="20"/>
              <w:spacing w:after="0" w:line="115" w:lineRule="exact"/>
              <w:rPr>
                <w:sz w:val="20"/>
                <w:szCs w:val="20"/>
                <w:color w:val="auto"/>
              </w:rPr>
            </w:pPr>
            <w:r>
              <w:rPr>
                <w:rFonts w:ascii="Arial" w:cs="Arial" w:eastAsia="Arial" w:hAnsi="Arial"/>
                <w:sz w:val="11"/>
                <w:szCs w:val="11"/>
                <w:color w:val="auto"/>
              </w:rPr>
              <w:t>CI (PTN) Investment Holdings II, LLC</w:t>
            </w:r>
          </w:p>
        </w:tc>
        <w:tc>
          <w:tcPr>
            <w:tcW w:w="120" w:type="dxa"/>
            <w:vAlign w:val="bottom"/>
          </w:tcPr>
          <w:p>
            <w:pPr>
              <w:spacing w:after="0"/>
              <w:rPr>
                <w:sz w:val="9"/>
                <w:szCs w:val="9"/>
                <w:color w:val="auto"/>
              </w:rPr>
            </w:pPr>
          </w:p>
        </w:tc>
        <w:tc>
          <w:tcPr>
            <w:tcW w:w="680" w:type="dxa"/>
            <w:vAlign w:val="bottom"/>
          </w:tcPr>
          <w:p>
            <w:pPr>
              <w:ind w:left="560"/>
              <w:spacing w:after="0" w:line="115" w:lineRule="exact"/>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9"/>
                <w:szCs w:val="9"/>
                <w:color w:val="auto"/>
              </w:rPr>
            </w:pPr>
          </w:p>
        </w:tc>
        <w:tc>
          <w:tcPr>
            <w:tcW w:w="2200" w:type="dxa"/>
            <w:vAlign w:val="bottom"/>
          </w:tcPr>
          <w:p>
            <w:pPr>
              <w:jc w:val="center"/>
              <w:spacing w:after="0" w:line="115" w:lineRule="exact"/>
              <w:rPr>
                <w:sz w:val="20"/>
                <w:szCs w:val="20"/>
                <w:color w:val="auto"/>
              </w:rPr>
            </w:pPr>
            <w:r>
              <w:rPr>
                <w:rFonts w:ascii="Arial" w:cs="Arial" w:eastAsia="Arial" w:hAnsi="Arial"/>
                <w:sz w:val="11"/>
                <w:szCs w:val="11"/>
                <w:color w:val="auto"/>
                <w:w w:val="88"/>
              </w:rPr>
              <w:t>Healthcare and Pharmaceuticals</w:t>
            </w:r>
          </w:p>
        </w:tc>
        <w:tc>
          <w:tcPr>
            <w:tcW w:w="120" w:type="dxa"/>
            <w:vAlign w:val="bottom"/>
          </w:tcPr>
          <w:p>
            <w:pPr>
              <w:spacing w:after="0"/>
              <w:rPr>
                <w:sz w:val="9"/>
                <w:szCs w:val="9"/>
                <w:color w:val="auto"/>
              </w:rPr>
            </w:pPr>
          </w:p>
        </w:tc>
        <w:tc>
          <w:tcPr>
            <w:tcW w:w="960" w:type="dxa"/>
            <w:vAlign w:val="bottom"/>
            <w:gridSpan w:val="2"/>
          </w:tcPr>
          <w:p>
            <w:pPr>
              <w:jc w:val="right"/>
              <w:ind w:right="206"/>
              <w:spacing w:after="0" w:line="115" w:lineRule="exact"/>
              <w:rPr>
                <w:sz w:val="20"/>
                <w:szCs w:val="20"/>
                <w:color w:val="auto"/>
              </w:rPr>
            </w:pPr>
            <w:r>
              <w:rPr>
                <w:rFonts w:ascii="Arial" w:cs="Arial" w:eastAsia="Arial" w:hAnsi="Arial"/>
                <w:sz w:val="11"/>
                <w:szCs w:val="11"/>
                <w:color w:val="auto"/>
              </w:rPr>
              <w:t>—</w:t>
            </w:r>
          </w:p>
        </w:tc>
        <w:tc>
          <w:tcPr>
            <w:tcW w:w="920" w:type="dxa"/>
            <w:vAlign w:val="bottom"/>
          </w:tcPr>
          <w:p>
            <w:pPr>
              <w:jc w:val="right"/>
              <w:spacing w:after="0" w:line="115" w:lineRule="exact"/>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13,333</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jc w:val="right"/>
              <w:spacing w:after="0" w:line="115" w:lineRule="exact"/>
              <w:rPr>
                <w:sz w:val="20"/>
                <w:szCs w:val="20"/>
                <w:color w:val="auto"/>
              </w:rPr>
            </w:pPr>
            <w:r>
              <w:rPr>
                <w:rFonts w:ascii="Arial" w:cs="Arial" w:eastAsia="Arial" w:hAnsi="Arial"/>
                <w:sz w:val="11"/>
                <w:szCs w:val="11"/>
                <w:color w:val="auto"/>
              </w:rPr>
              <w:t>200</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gridSpan w:val="2"/>
          </w:tcPr>
          <w:p>
            <w:pPr>
              <w:jc w:val="right"/>
              <w:ind w:right="120"/>
              <w:spacing w:after="0" w:line="115"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30"/>
        </w:trPr>
        <w:tc>
          <w:tcPr>
            <w:tcW w:w="3140" w:type="dxa"/>
            <w:vAlign w:val="bottom"/>
            <w:vMerge w:val="restart"/>
          </w:tcPr>
          <w:p>
            <w:pPr>
              <w:ind w:left="100"/>
              <w:spacing w:after="0" w:line="135" w:lineRule="exact"/>
              <w:rPr>
                <w:sz w:val="20"/>
                <w:szCs w:val="20"/>
                <w:color w:val="auto"/>
              </w:rPr>
            </w:pPr>
            <w:r>
              <w:rPr>
                <w:rFonts w:ascii="Arial" w:cs="Arial" w:eastAsia="Arial" w:hAnsi="Arial"/>
                <w:sz w:val="11"/>
                <w:szCs w:val="11"/>
                <w:color w:val="auto"/>
              </w:rPr>
              <w:t xml:space="preserve">(PT Network, LLC) </w:t>
            </w:r>
            <w:r>
              <w:rPr>
                <w:rFonts w:ascii="Arial" w:cs="Arial" w:eastAsia="Arial" w:hAnsi="Arial"/>
                <w:sz w:val="14"/>
                <w:szCs w:val="14"/>
                <w:color w:val="auto"/>
                <w:vertAlign w:val="superscript"/>
              </w:rPr>
              <w:t>(7), (8)</w:t>
            </w: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5"/>
        </w:trPr>
        <w:tc>
          <w:tcPr>
            <w:tcW w:w="3140" w:type="dxa"/>
            <w:vAlign w:val="bottom"/>
            <w:vMerge w:val="continue"/>
          </w:tcPr>
          <w:p>
            <w:pPr>
              <w:spacing w:after="0"/>
              <w:rPr>
                <w:sz w:val="10"/>
                <w:szCs w:val="10"/>
                <w:color w:val="auto"/>
              </w:rPr>
            </w:pPr>
          </w:p>
        </w:tc>
        <w:tc>
          <w:tcPr>
            <w:tcW w:w="120" w:type="dxa"/>
            <w:vAlign w:val="bottom"/>
            <w:tcBorders>
              <w:bottom w:val="single" w:sz="8" w:color="CCECFF"/>
            </w:tcBorders>
            <w:shd w:val="clear" w:color="auto" w:fill="CCECFF"/>
          </w:tcPr>
          <w:p>
            <w:pPr>
              <w:spacing w:after="0"/>
              <w:rPr>
                <w:sz w:val="10"/>
                <w:szCs w:val="10"/>
                <w:color w:val="auto"/>
              </w:rPr>
            </w:pPr>
          </w:p>
        </w:tc>
        <w:tc>
          <w:tcPr>
            <w:tcW w:w="680" w:type="dxa"/>
            <w:vAlign w:val="bottom"/>
            <w:tcBorders>
              <w:bottom w:val="single" w:sz="8" w:color="CCECFF"/>
            </w:tcBorders>
            <w:shd w:val="clear" w:color="auto" w:fill="CCECFF"/>
          </w:tcPr>
          <w:p>
            <w:pPr>
              <w:spacing w:after="0"/>
              <w:rPr>
                <w:sz w:val="10"/>
                <w:szCs w:val="10"/>
                <w:color w:val="auto"/>
              </w:rPr>
            </w:pPr>
          </w:p>
        </w:tc>
        <w:tc>
          <w:tcPr>
            <w:tcW w:w="260" w:type="dxa"/>
            <w:vAlign w:val="bottom"/>
            <w:tcBorders>
              <w:bottom w:val="single" w:sz="8" w:color="CCECFF"/>
            </w:tcBorders>
            <w:shd w:val="clear" w:color="auto" w:fill="CCECFF"/>
          </w:tcPr>
          <w:p>
            <w:pPr>
              <w:spacing w:after="0"/>
              <w:rPr>
                <w:sz w:val="10"/>
                <w:szCs w:val="10"/>
                <w:color w:val="auto"/>
              </w:rPr>
            </w:pPr>
          </w:p>
        </w:tc>
        <w:tc>
          <w:tcPr>
            <w:tcW w:w="2200" w:type="dxa"/>
            <w:vAlign w:val="bottom"/>
            <w:tcBorders>
              <w:bottom w:val="single" w:sz="8" w:color="CCECFF"/>
            </w:tcBorders>
            <w:shd w:val="clear" w:color="auto" w:fill="CCECFF"/>
          </w:tcPr>
          <w:p>
            <w:pPr>
              <w:spacing w:after="0"/>
              <w:rPr>
                <w:sz w:val="10"/>
                <w:szCs w:val="10"/>
                <w:color w:val="auto"/>
              </w:rPr>
            </w:pPr>
          </w:p>
        </w:tc>
        <w:tc>
          <w:tcPr>
            <w:tcW w:w="120" w:type="dxa"/>
            <w:vAlign w:val="bottom"/>
            <w:tcBorders>
              <w:bottom w:val="single" w:sz="8" w:color="CCECFF"/>
            </w:tcBorders>
            <w:shd w:val="clear" w:color="auto" w:fill="CCECFF"/>
          </w:tcPr>
          <w:p>
            <w:pPr>
              <w:spacing w:after="0"/>
              <w:rPr>
                <w:sz w:val="10"/>
                <w:szCs w:val="10"/>
                <w:color w:val="auto"/>
              </w:rPr>
            </w:pPr>
          </w:p>
        </w:tc>
        <w:tc>
          <w:tcPr>
            <w:tcW w:w="720" w:type="dxa"/>
            <w:vAlign w:val="bottom"/>
            <w:tcBorders>
              <w:bottom w:val="single" w:sz="8" w:color="CCECFF"/>
            </w:tcBorders>
            <w:shd w:val="clear" w:color="auto" w:fill="CCECFF"/>
          </w:tcPr>
          <w:p>
            <w:pPr>
              <w:spacing w:after="0"/>
              <w:rPr>
                <w:sz w:val="10"/>
                <w:szCs w:val="10"/>
                <w:color w:val="auto"/>
              </w:rPr>
            </w:pPr>
          </w:p>
        </w:tc>
        <w:tc>
          <w:tcPr>
            <w:tcW w:w="240" w:type="dxa"/>
            <w:vAlign w:val="bottom"/>
            <w:tcBorders>
              <w:bottom w:val="single" w:sz="8" w:color="CCECFF"/>
            </w:tcBorders>
            <w:shd w:val="clear" w:color="auto" w:fill="CCECFF"/>
          </w:tcPr>
          <w:p>
            <w:pPr>
              <w:spacing w:after="0"/>
              <w:rPr>
                <w:sz w:val="10"/>
                <w:szCs w:val="10"/>
                <w:color w:val="auto"/>
              </w:rPr>
            </w:pPr>
          </w:p>
        </w:tc>
        <w:tc>
          <w:tcPr>
            <w:tcW w:w="920" w:type="dxa"/>
            <w:vAlign w:val="bottom"/>
            <w:tcBorders>
              <w:bottom w:val="single" w:sz="8" w:color="CCECFF"/>
            </w:tcBorders>
            <w:shd w:val="clear" w:color="auto" w:fill="CCECFF"/>
          </w:tcPr>
          <w:p>
            <w:pPr>
              <w:spacing w:after="0"/>
              <w:rPr>
                <w:sz w:val="10"/>
                <w:szCs w:val="10"/>
                <w:color w:val="auto"/>
              </w:rPr>
            </w:pPr>
          </w:p>
        </w:tc>
        <w:tc>
          <w:tcPr>
            <w:tcW w:w="200" w:type="dxa"/>
            <w:vAlign w:val="bottom"/>
            <w:tcBorders>
              <w:bottom w:val="single" w:sz="8" w:color="CCECFF"/>
            </w:tcBorders>
            <w:shd w:val="clear" w:color="auto" w:fill="CCECFF"/>
          </w:tcPr>
          <w:p>
            <w:pPr>
              <w:spacing w:after="0"/>
              <w:rPr>
                <w:sz w:val="10"/>
                <w:szCs w:val="10"/>
                <w:color w:val="auto"/>
              </w:rPr>
            </w:pPr>
          </w:p>
        </w:tc>
        <w:tc>
          <w:tcPr>
            <w:tcW w:w="700" w:type="dxa"/>
            <w:vAlign w:val="bottom"/>
            <w:tcBorders>
              <w:bottom w:val="single" w:sz="8" w:color="CCECFF"/>
            </w:tcBorders>
            <w:shd w:val="clear" w:color="auto" w:fill="CCECFF"/>
          </w:tcPr>
          <w:p>
            <w:pPr>
              <w:spacing w:after="0"/>
              <w:rPr>
                <w:sz w:val="10"/>
                <w:szCs w:val="10"/>
                <w:color w:val="auto"/>
              </w:rPr>
            </w:pPr>
          </w:p>
        </w:tc>
        <w:tc>
          <w:tcPr>
            <w:tcW w:w="220" w:type="dxa"/>
            <w:vAlign w:val="bottom"/>
            <w:tcBorders>
              <w:bottom w:val="single" w:sz="8" w:color="CCECFF"/>
            </w:tcBorders>
            <w:shd w:val="clear" w:color="auto" w:fill="CCECFF"/>
          </w:tcPr>
          <w:p>
            <w:pPr>
              <w:spacing w:after="0"/>
              <w:rPr>
                <w:sz w:val="10"/>
                <w:szCs w:val="10"/>
                <w:color w:val="auto"/>
              </w:rPr>
            </w:pPr>
          </w:p>
        </w:tc>
        <w:tc>
          <w:tcPr>
            <w:tcW w:w="160" w:type="dxa"/>
            <w:vAlign w:val="bottom"/>
            <w:tcBorders>
              <w:bottom w:val="single" w:sz="8" w:color="CCECFF"/>
            </w:tcBorders>
            <w:shd w:val="clear" w:color="auto" w:fill="CCECFF"/>
          </w:tcPr>
          <w:p>
            <w:pPr>
              <w:spacing w:after="0"/>
              <w:rPr>
                <w:sz w:val="10"/>
                <w:szCs w:val="10"/>
                <w:color w:val="auto"/>
              </w:rPr>
            </w:pPr>
          </w:p>
        </w:tc>
        <w:tc>
          <w:tcPr>
            <w:tcW w:w="540" w:type="dxa"/>
            <w:vAlign w:val="bottom"/>
            <w:tcBorders>
              <w:bottom w:val="single" w:sz="8" w:color="CCECFF"/>
            </w:tcBorders>
            <w:shd w:val="clear" w:color="auto" w:fill="CCECFF"/>
          </w:tcPr>
          <w:p>
            <w:pPr>
              <w:spacing w:after="0"/>
              <w:rPr>
                <w:sz w:val="10"/>
                <w:szCs w:val="10"/>
                <w:color w:val="auto"/>
              </w:rPr>
            </w:pPr>
          </w:p>
        </w:tc>
        <w:tc>
          <w:tcPr>
            <w:tcW w:w="220" w:type="dxa"/>
            <w:vAlign w:val="bottom"/>
            <w:tcBorders>
              <w:bottom w:val="single" w:sz="8" w:color="CCECFF"/>
            </w:tcBorders>
            <w:shd w:val="clear" w:color="auto" w:fill="CCECFF"/>
          </w:tcPr>
          <w:p>
            <w:pPr>
              <w:spacing w:after="0"/>
              <w:rPr>
                <w:sz w:val="10"/>
                <w:szCs w:val="10"/>
                <w:color w:val="auto"/>
              </w:rPr>
            </w:pPr>
          </w:p>
        </w:tc>
        <w:tc>
          <w:tcPr>
            <w:tcW w:w="200" w:type="dxa"/>
            <w:vAlign w:val="bottom"/>
            <w:tcBorders>
              <w:bottom w:val="single" w:sz="8" w:color="CCECFF"/>
            </w:tcBorders>
            <w:shd w:val="clear" w:color="auto" w:fill="CCECFF"/>
          </w:tcPr>
          <w:p>
            <w:pPr>
              <w:spacing w:after="0"/>
              <w:rPr>
                <w:sz w:val="10"/>
                <w:szCs w:val="10"/>
                <w:color w:val="auto"/>
              </w:rPr>
            </w:pPr>
          </w:p>
        </w:tc>
        <w:tc>
          <w:tcPr>
            <w:tcW w:w="500" w:type="dxa"/>
            <w:vAlign w:val="bottom"/>
            <w:tcBorders>
              <w:bottom w:val="single" w:sz="8" w:color="CCECFF"/>
            </w:tcBorders>
            <w:shd w:val="clear" w:color="auto" w:fill="CCECFF"/>
          </w:tcPr>
          <w:p>
            <w:pPr>
              <w:spacing w:after="0"/>
              <w:rPr>
                <w:sz w:val="10"/>
                <w:szCs w:val="10"/>
                <w:color w:val="auto"/>
              </w:rPr>
            </w:pPr>
          </w:p>
        </w:tc>
        <w:tc>
          <w:tcPr>
            <w:tcW w:w="100" w:type="dxa"/>
            <w:vAlign w:val="bottom"/>
            <w:tcBorders>
              <w:bottom w:val="single" w:sz="8" w:color="CCECFF"/>
            </w:tcBorders>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3140" w:type="dxa"/>
            <w:vAlign w:val="bottom"/>
          </w:tcPr>
          <w:p>
            <w:pPr>
              <w:ind w:left="20"/>
              <w:spacing w:after="0" w:line="105" w:lineRule="exact"/>
              <w:rPr>
                <w:sz w:val="20"/>
                <w:szCs w:val="20"/>
                <w:color w:val="auto"/>
              </w:rPr>
            </w:pPr>
            <w:r>
              <w:rPr>
                <w:rFonts w:ascii="Arial" w:cs="Arial" w:eastAsia="Arial" w:hAnsi="Arial"/>
                <w:sz w:val="9"/>
                <w:szCs w:val="9"/>
                <w:color w:val="auto"/>
              </w:rPr>
              <w:t xml:space="preserve">Connatix Parent, LLC </w:t>
            </w:r>
            <w:r>
              <w:rPr>
                <w:rFonts w:ascii="Arial" w:cs="Arial" w:eastAsia="Arial" w:hAnsi="Arial"/>
                <w:sz w:val="12"/>
                <w:szCs w:val="12"/>
                <w:color w:val="auto"/>
                <w:vertAlign w:val="superscript"/>
              </w:rPr>
              <w:t>(7)</w:t>
            </w:r>
          </w:p>
        </w:tc>
        <w:tc>
          <w:tcPr>
            <w:tcW w:w="120" w:type="dxa"/>
            <w:vAlign w:val="bottom"/>
          </w:tcPr>
          <w:p>
            <w:pPr>
              <w:spacing w:after="0"/>
              <w:rPr>
                <w:sz w:val="9"/>
                <w:szCs w:val="9"/>
                <w:color w:val="auto"/>
              </w:rPr>
            </w:pPr>
          </w:p>
        </w:tc>
        <w:tc>
          <w:tcPr>
            <w:tcW w:w="680" w:type="dxa"/>
            <w:vAlign w:val="bottom"/>
          </w:tcPr>
          <w:p>
            <w:pPr>
              <w:ind w:left="560"/>
              <w:spacing w:after="0" w:line="105" w:lineRule="exact"/>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9"/>
                <w:szCs w:val="9"/>
                <w:color w:val="auto"/>
              </w:rPr>
            </w:pPr>
          </w:p>
        </w:tc>
        <w:tc>
          <w:tcPr>
            <w:tcW w:w="2200" w:type="dxa"/>
            <w:vAlign w:val="bottom"/>
          </w:tcPr>
          <w:p>
            <w:pPr>
              <w:jc w:val="center"/>
              <w:spacing w:after="0" w:line="105" w:lineRule="exact"/>
              <w:rPr>
                <w:sz w:val="20"/>
                <w:szCs w:val="20"/>
                <w:color w:val="auto"/>
              </w:rPr>
            </w:pPr>
            <w:r>
              <w:rPr>
                <w:rFonts w:ascii="Arial" w:cs="Arial" w:eastAsia="Arial" w:hAnsi="Arial"/>
                <w:sz w:val="11"/>
                <w:szCs w:val="11"/>
                <w:color w:val="auto"/>
                <w:w w:val="93"/>
              </w:rPr>
              <w:t>Media</w:t>
            </w:r>
          </w:p>
        </w:tc>
        <w:tc>
          <w:tcPr>
            <w:tcW w:w="120" w:type="dxa"/>
            <w:vAlign w:val="bottom"/>
          </w:tcPr>
          <w:p>
            <w:pPr>
              <w:spacing w:after="0"/>
              <w:rPr>
                <w:sz w:val="9"/>
                <w:szCs w:val="9"/>
                <w:color w:val="auto"/>
              </w:rPr>
            </w:pPr>
          </w:p>
        </w:tc>
        <w:tc>
          <w:tcPr>
            <w:tcW w:w="960" w:type="dxa"/>
            <w:vAlign w:val="bottom"/>
            <w:gridSpan w:val="2"/>
          </w:tcPr>
          <w:p>
            <w:pPr>
              <w:jc w:val="right"/>
              <w:ind w:right="206"/>
              <w:spacing w:after="0" w:line="105" w:lineRule="exact"/>
              <w:rPr>
                <w:sz w:val="20"/>
                <w:szCs w:val="20"/>
                <w:color w:val="auto"/>
              </w:rPr>
            </w:pPr>
            <w:r>
              <w:rPr>
                <w:rFonts w:ascii="Arial" w:cs="Arial" w:eastAsia="Arial" w:hAnsi="Arial"/>
                <w:sz w:val="11"/>
                <w:szCs w:val="11"/>
                <w:color w:val="auto"/>
              </w:rPr>
              <w:t>—</w:t>
            </w:r>
          </w:p>
        </w:tc>
        <w:tc>
          <w:tcPr>
            <w:tcW w:w="920" w:type="dxa"/>
            <w:vAlign w:val="bottom"/>
          </w:tcPr>
          <w:p>
            <w:pPr>
              <w:jc w:val="right"/>
              <w:spacing w:after="0" w:line="105" w:lineRule="exact"/>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line="105" w:lineRule="exact"/>
              <w:rPr>
                <w:sz w:val="20"/>
                <w:szCs w:val="20"/>
                <w:color w:val="auto"/>
              </w:rPr>
            </w:pPr>
            <w:r>
              <w:rPr>
                <w:rFonts w:ascii="Arial" w:cs="Arial" w:eastAsia="Arial" w:hAnsi="Arial"/>
                <w:sz w:val="11"/>
                <w:szCs w:val="11"/>
                <w:color w:val="auto"/>
              </w:rPr>
              <w:t>38,278</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jc w:val="right"/>
              <w:spacing w:after="0" w:line="105" w:lineRule="exact"/>
              <w:rPr>
                <w:sz w:val="20"/>
                <w:szCs w:val="20"/>
                <w:color w:val="auto"/>
              </w:rPr>
            </w:pPr>
            <w:r>
              <w:rPr>
                <w:rFonts w:ascii="Arial" w:cs="Arial" w:eastAsia="Arial" w:hAnsi="Arial"/>
                <w:sz w:val="11"/>
                <w:szCs w:val="11"/>
                <w:color w:val="auto"/>
              </w:rPr>
              <w:t>421</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jc w:val="right"/>
              <w:spacing w:after="0" w:line="105" w:lineRule="exact"/>
              <w:rPr>
                <w:sz w:val="20"/>
                <w:szCs w:val="20"/>
                <w:color w:val="auto"/>
              </w:rPr>
            </w:pPr>
            <w:r>
              <w:rPr>
                <w:rFonts w:ascii="Arial" w:cs="Arial" w:eastAsia="Arial" w:hAnsi="Arial"/>
                <w:sz w:val="11"/>
                <w:szCs w:val="11"/>
                <w:color w:val="auto"/>
              </w:rPr>
              <w:t>423</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14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Crane 1 Acquisition Parent Holdings, L.P. </w:t>
            </w:r>
            <w:r>
              <w:rPr>
                <w:rFonts w:ascii="Arial" w:cs="Arial" w:eastAsia="Arial" w:hAnsi="Arial"/>
                <w:sz w:val="14"/>
                <w:szCs w:val="14"/>
                <w:color w:val="auto"/>
                <w:vertAlign w:val="superscript"/>
              </w:rPr>
              <w:t>(7)</w:t>
            </w:r>
          </w:p>
        </w:tc>
        <w:tc>
          <w:tcPr>
            <w:tcW w:w="120" w:type="dxa"/>
            <w:vAlign w:val="bottom"/>
          </w:tcPr>
          <w:p>
            <w:pPr>
              <w:spacing w:after="0"/>
              <w:rPr>
                <w:sz w:val="11"/>
                <w:szCs w:val="11"/>
                <w:color w:val="auto"/>
              </w:rPr>
            </w:pPr>
          </w:p>
        </w:tc>
        <w:tc>
          <w:tcPr>
            <w:tcW w:w="680" w:type="dxa"/>
            <w:vAlign w:val="bottom"/>
          </w:tcPr>
          <w:p>
            <w:pPr>
              <w:ind w:left="56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1"/>
                <w:szCs w:val="11"/>
                <w:color w:val="auto"/>
              </w:rPr>
            </w:pPr>
          </w:p>
        </w:tc>
        <w:tc>
          <w:tcPr>
            <w:tcW w:w="2200" w:type="dxa"/>
            <w:vAlign w:val="bottom"/>
          </w:tcPr>
          <w:p>
            <w:pPr>
              <w:jc w:val="center"/>
              <w:spacing w:after="0"/>
              <w:rPr>
                <w:sz w:val="20"/>
                <w:szCs w:val="20"/>
                <w:color w:val="auto"/>
              </w:rPr>
            </w:pPr>
            <w:r>
              <w:rPr>
                <w:rFonts w:ascii="Arial" w:cs="Arial" w:eastAsia="Arial" w:hAnsi="Arial"/>
                <w:sz w:val="11"/>
                <w:szCs w:val="11"/>
                <w:color w:val="auto"/>
                <w:w w:val="90"/>
              </w:rPr>
              <w:t>Commercial Services &amp; Supplies</w:t>
            </w:r>
          </w:p>
        </w:tc>
        <w:tc>
          <w:tcPr>
            <w:tcW w:w="120" w:type="dxa"/>
            <w:vAlign w:val="bottom"/>
          </w:tcPr>
          <w:p>
            <w:pPr>
              <w:spacing w:after="0"/>
              <w:rPr>
                <w:sz w:val="11"/>
                <w:szCs w:val="11"/>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130</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120</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120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3140" w:type="dxa"/>
            <w:vAlign w:val="bottom"/>
          </w:tcPr>
          <w:p>
            <w:pPr>
              <w:ind w:left="20"/>
              <w:spacing w:after="0"/>
              <w:rPr>
                <w:sz w:val="20"/>
                <w:szCs w:val="20"/>
                <w:color w:val="auto"/>
              </w:rPr>
            </w:pPr>
            <w:r>
              <w:rPr>
                <w:rFonts w:ascii="Arial" w:cs="Arial" w:eastAsia="Arial" w:hAnsi="Arial"/>
                <w:sz w:val="11"/>
                <w:szCs w:val="11"/>
                <w:color w:val="auto"/>
              </w:rPr>
              <w:t xml:space="preserve">Crash Champions Holdings, LLC </w:t>
            </w:r>
            <w:r>
              <w:rPr>
                <w:rFonts w:ascii="Arial" w:cs="Arial" w:eastAsia="Arial" w:hAnsi="Arial"/>
                <w:sz w:val="14"/>
                <w:szCs w:val="14"/>
                <w:color w:val="auto"/>
                <w:vertAlign w:val="superscript"/>
              </w:rPr>
              <w:t>(7),(8)</w:t>
            </w:r>
          </w:p>
        </w:tc>
        <w:tc>
          <w:tcPr>
            <w:tcW w:w="120" w:type="dxa"/>
            <w:vAlign w:val="bottom"/>
          </w:tcPr>
          <w:p>
            <w:pPr>
              <w:spacing w:after="0"/>
              <w:rPr>
                <w:sz w:val="16"/>
                <w:szCs w:val="16"/>
                <w:color w:val="auto"/>
              </w:rPr>
            </w:pPr>
          </w:p>
        </w:tc>
        <w:tc>
          <w:tcPr>
            <w:tcW w:w="680" w:type="dxa"/>
            <w:vAlign w:val="bottom"/>
          </w:tcPr>
          <w:p>
            <w:pPr>
              <w:ind w:left="56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6"/>
                <w:szCs w:val="16"/>
                <w:color w:val="auto"/>
              </w:rPr>
            </w:pPr>
          </w:p>
        </w:tc>
        <w:tc>
          <w:tcPr>
            <w:tcW w:w="2200" w:type="dxa"/>
            <w:vAlign w:val="bottom"/>
          </w:tcPr>
          <w:p>
            <w:pPr>
              <w:jc w:val="center"/>
              <w:spacing w:after="0"/>
              <w:rPr>
                <w:sz w:val="20"/>
                <w:szCs w:val="20"/>
                <w:color w:val="auto"/>
              </w:rPr>
            </w:pPr>
            <w:r>
              <w:rPr>
                <w:rFonts w:ascii="Arial" w:cs="Arial" w:eastAsia="Arial" w:hAnsi="Arial"/>
                <w:sz w:val="11"/>
                <w:szCs w:val="11"/>
                <w:color w:val="auto"/>
                <w:w w:val="92"/>
              </w:rPr>
              <w:t>Automobiles</w:t>
            </w:r>
          </w:p>
        </w:tc>
        <w:tc>
          <w:tcPr>
            <w:tcW w:w="120" w:type="dxa"/>
            <w:vAlign w:val="bottom"/>
          </w:tcPr>
          <w:p>
            <w:pPr>
              <w:spacing w:after="0"/>
              <w:rPr>
                <w:sz w:val="16"/>
                <w:szCs w:val="16"/>
                <w:color w:val="auto"/>
              </w:rPr>
            </w:pPr>
          </w:p>
        </w:tc>
        <w:tc>
          <w:tcPr>
            <w:tcW w:w="9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75</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678</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764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-6863080</wp:posOffset>
            </wp:positionV>
            <wp:extent cx="7132320" cy="8572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-6691630</wp:posOffset>
            </wp:positionV>
            <wp:extent cx="7132320" cy="8572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-6520180</wp:posOffset>
            </wp:positionV>
            <wp:extent cx="7132320" cy="8572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-6348730</wp:posOffset>
            </wp:positionV>
            <wp:extent cx="7132320" cy="8572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-6005830</wp:posOffset>
            </wp:positionV>
            <wp:extent cx="7132320" cy="8572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-5491480</wp:posOffset>
            </wp:positionV>
            <wp:extent cx="7132320" cy="8572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-5320030</wp:posOffset>
            </wp:positionV>
            <wp:extent cx="7132320" cy="8572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-5148580</wp:posOffset>
            </wp:positionV>
            <wp:extent cx="7132320" cy="8572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-4977130</wp:posOffset>
            </wp:positionV>
            <wp:extent cx="7132320" cy="8572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-4805680</wp:posOffset>
            </wp:positionV>
            <wp:extent cx="7132320" cy="8572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-4634230</wp:posOffset>
            </wp:positionV>
            <wp:extent cx="7132320" cy="8572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-4462780</wp:posOffset>
            </wp:positionV>
            <wp:extent cx="7132320" cy="8572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-3879850</wp:posOffset>
            </wp:positionV>
            <wp:extent cx="7132320" cy="15430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-3482340</wp:posOffset>
            </wp:positionV>
            <wp:extent cx="68580" cy="571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-3482340</wp:posOffset>
            </wp:positionV>
            <wp:extent cx="68580" cy="571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-3390900</wp:posOffset>
            </wp:positionV>
            <wp:extent cx="7132320" cy="8572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-3219450</wp:posOffset>
            </wp:positionV>
            <wp:extent cx="7132320" cy="8572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-2874010</wp:posOffset>
            </wp:positionV>
            <wp:extent cx="68580" cy="571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-2874010</wp:posOffset>
            </wp:positionV>
            <wp:extent cx="68580" cy="571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-2773680</wp:posOffset>
            </wp:positionV>
            <wp:extent cx="7132320" cy="8572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-2602230</wp:posOffset>
            </wp:positionV>
            <wp:extent cx="7132320" cy="17145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-2345055</wp:posOffset>
            </wp:positionV>
            <wp:extent cx="7132320" cy="8572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-2173605</wp:posOffset>
            </wp:positionV>
            <wp:extent cx="7132320" cy="8572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-2002155</wp:posOffset>
            </wp:positionV>
            <wp:extent cx="7132320" cy="8572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-1830705</wp:posOffset>
            </wp:positionV>
            <wp:extent cx="7132320" cy="8572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-1573530</wp:posOffset>
            </wp:positionV>
            <wp:extent cx="7132320" cy="8572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-1393825</wp:posOffset>
            </wp:positionV>
            <wp:extent cx="7132320" cy="9461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-1213485</wp:posOffset>
            </wp:positionV>
            <wp:extent cx="7132320" cy="8572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-1042035</wp:posOffset>
            </wp:positionV>
            <wp:extent cx="7132320" cy="8572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-870585</wp:posOffset>
            </wp:positionV>
            <wp:extent cx="7132320" cy="8572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-699135</wp:posOffset>
            </wp:positionV>
            <wp:extent cx="7132320" cy="8572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-441960</wp:posOffset>
            </wp:positionV>
            <wp:extent cx="7132320" cy="17145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-184785</wp:posOffset>
            </wp:positionV>
            <wp:extent cx="7132320" cy="8572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32320" cy="85725"/>
                    </a:xfrm>
                    <a:prstGeom prst="rect">
                      <a:avLst/>
                    </a:prstGeom>
                    <a:noFill/>
                  </pic:spPr>
                </pic:pic>
              </a:graphicData>
            </a:graphic>
          </wp:anchor>
        </w:drawing>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SCHEDULE OF INVESTMENTS—(Continued)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SEPTEMBER 30, 2021</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data)</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jc w:val="center"/>
              <w:spacing w:after="0"/>
              <w:rPr>
                <w:sz w:val="20"/>
                <w:szCs w:val="20"/>
                <w:color w:val="auto"/>
              </w:rPr>
            </w:pPr>
            <w:r>
              <w:rPr>
                <w:rFonts w:ascii="Arial" w:cs="Arial" w:eastAsia="Arial" w:hAnsi="Arial"/>
                <w:sz w:val="11"/>
                <w:szCs w:val="11"/>
                <w:b w:val="1"/>
                <w:bCs w:val="1"/>
                <w:color w:val="auto"/>
                <w:w w:val="86"/>
              </w:rPr>
              <w:t>Basis Point</w:t>
            </w: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gridSpan w:val="2"/>
            <w:vMerge w:val="restart"/>
          </w:tcPr>
          <w:p>
            <w:pPr>
              <w:jc w:val="right"/>
              <w:ind w:right="420"/>
              <w:spacing w:after="0"/>
              <w:rPr>
                <w:sz w:val="20"/>
                <w:szCs w:val="20"/>
                <w:color w:val="auto"/>
              </w:rPr>
            </w:pPr>
            <w:r>
              <w:rPr>
                <w:rFonts w:ascii="Arial" w:cs="Arial" w:eastAsia="Arial" w:hAnsi="Arial"/>
                <w:sz w:val="11"/>
                <w:szCs w:val="11"/>
                <w:b w:val="1"/>
                <w:bCs w:val="1"/>
                <w:color w:val="auto"/>
              </w:rPr>
              <w:t>Current</w:t>
            </w:r>
          </w:p>
        </w:tc>
        <w:tc>
          <w:tcPr>
            <w:tcW w:w="92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91"/>
              </w:rPr>
              <w:t>Spread</w:t>
            </w:r>
          </w:p>
        </w:tc>
        <w:tc>
          <w:tcPr>
            <w:tcW w:w="220" w:type="dxa"/>
            <w:vAlign w:val="bottom"/>
          </w:tcPr>
          <w:p>
            <w:pPr>
              <w:spacing w:after="0"/>
              <w:rPr>
                <w:sz w:val="9"/>
                <w:szCs w:val="9"/>
                <w:color w:val="auto"/>
              </w:rPr>
            </w:pPr>
          </w:p>
        </w:tc>
        <w:tc>
          <w:tcPr>
            <w:tcW w:w="680" w:type="dxa"/>
            <w:vAlign w:val="bottom"/>
            <w:vMerge w:val="restart"/>
          </w:tcPr>
          <w:p>
            <w:pPr>
              <w:jc w:val="right"/>
              <w:ind w:right="166"/>
              <w:spacing w:after="0"/>
              <w:rPr>
                <w:sz w:val="20"/>
                <w:szCs w:val="20"/>
                <w:color w:val="auto"/>
              </w:rPr>
            </w:pPr>
            <w:r>
              <w:rPr>
                <w:rFonts w:ascii="Arial" w:cs="Arial" w:eastAsia="Arial" w:hAnsi="Arial"/>
                <w:sz w:val="11"/>
                <w:szCs w:val="11"/>
                <w:b w:val="1"/>
                <w:bCs w:val="1"/>
                <w:color w:val="auto"/>
              </w:rPr>
              <w:t>Par /</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2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Issuer Name</w:t>
            </w:r>
          </w:p>
        </w:tc>
        <w:tc>
          <w:tcPr>
            <w:tcW w:w="68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Maturity</w:t>
            </w:r>
          </w:p>
        </w:tc>
        <w:tc>
          <w:tcPr>
            <w:tcW w:w="260" w:type="dxa"/>
            <w:vAlign w:val="bottom"/>
          </w:tcPr>
          <w:p>
            <w:pPr>
              <w:spacing w:after="0"/>
              <w:rPr>
                <w:sz w:val="9"/>
                <w:szCs w:val="9"/>
                <w:color w:val="auto"/>
              </w:rPr>
            </w:pPr>
          </w:p>
        </w:tc>
        <w:tc>
          <w:tcPr>
            <w:tcW w:w="220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2"/>
              </w:rPr>
              <w:t>Industry</w:t>
            </w:r>
          </w:p>
        </w:tc>
        <w:tc>
          <w:tcPr>
            <w:tcW w:w="12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92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89"/>
              </w:rPr>
              <w:t>Above</w:t>
            </w:r>
          </w:p>
        </w:tc>
        <w:tc>
          <w:tcPr>
            <w:tcW w:w="22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vMerge w:val="restart"/>
          </w:tcPr>
          <w:p>
            <w:pPr>
              <w:jc w:val="right"/>
              <w:ind w:right="186"/>
              <w:spacing w:after="0"/>
              <w:rPr>
                <w:sz w:val="20"/>
                <w:szCs w:val="20"/>
                <w:color w:val="auto"/>
              </w:rPr>
            </w:pPr>
            <w:r>
              <w:rPr>
                <w:rFonts w:ascii="Arial" w:cs="Arial" w:eastAsia="Arial" w:hAnsi="Arial"/>
                <w:sz w:val="11"/>
                <w:szCs w:val="11"/>
                <w:b w:val="1"/>
                <w:bCs w:val="1"/>
                <w:color w:val="auto"/>
              </w:rPr>
              <w:t>Cost</w:t>
            </w:r>
          </w:p>
        </w:tc>
        <w:tc>
          <w:tcPr>
            <w:tcW w:w="220" w:type="dxa"/>
            <w:vAlign w:val="bottom"/>
          </w:tcPr>
          <w:p>
            <w:pPr>
              <w:spacing w:after="0"/>
              <w:rPr>
                <w:sz w:val="9"/>
                <w:szCs w:val="9"/>
                <w:color w:val="auto"/>
              </w:rPr>
            </w:pPr>
          </w:p>
        </w:tc>
        <w:tc>
          <w:tcPr>
            <w:tcW w:w="800" w:type="dxa"/>
            <w:vAlign w:val="bottom"/>
            <w:gridSpan w:val="3"/>
            <w:vMerge w:val="restart"/>
          </w:tcPr>
          <w:p>
            <w:pPr>
              <w:jc w:val="right"/>
              <w:ind w:right="160"/>
              <w:spacing w:after="0"/>
              <w:rPr>
                <w:sz w:val="20"/>
                <w:szCs w:val="20"/>
                <w:color w:val="auto"/>
              </w:rPr>
            </w:pPr>
            <w:r>
              <w:rPr>
                <w:rFonts w:ascii="Arial" w:cs="Arial" w:eastAsia="Arial" w:hAnsi="Arial"/>
                <w:sz w:val="11"/>
                <w:szCs w:val="11"/>
                <w:b w:val="1"/>
                <w:bCs w:val="1"/>
                <w:color w:val="auto"/>
                <w:w w:val="92"/>
              </w:rPr>
              <w:t xml:space="preserve">Fair Value </w:t>
            </w:r>
            <w:r>
              <w:rPr>
                <w:rFonts w:ascii="Arial" w:cs="Arial" w:eastAsia="Arial" w:hAnsi="Arial"/>
                <w:sz w:val="14"/>
                <w:szCs w:val="14"/>
                <w:b w:val="1"/>
                <w:bCs w:val="1"/>
                <w:color w:val="auto"/>
                <w:w w:val="92"/>
                <w:vertAlign w:val="superscript"/>
              </w:rPr>
              <w:t>(2)</w:t>
            </w:r>
          </w:p>
        </w:tc>
        <w:tc>
          <w:tcPr>
            <w:tcW w:w="0" w:type="dxa"/>
            <w:vAlign w:val="bottom"/>
          </w:tcPr>
          <w:p>
            <w:pPr>
              <w:spacing w:after="0"/>
              <w:rPr>
                <w:sz w:val="1"/>
                <w:szCs w:val="1"/>
                <w:color w:val="auto"/>
              </w:rPr>
            </w:pPr>
          </w:p>
        </w:tc>
      </w:tr>
      <w:tr>
        <w:trPr>
          <w:trHeight w:val="142"/>
        </w:trPr>
        <w:tc>
          <w:tcPr>
            <w:tcW w:w="326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22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1"/>
                <w:szCs w:val="11"/>
                <w:b w:val="1"/>
                <w:bCs w:val="1"/>
                <w:color w:val="auto"/>
              </w:rPr>
              <w:t>Coupon</w:t>
            </w:r>
          </w:p>
        </w:tc>
        <w:tc>
          <w:tcPr>
            <w:tcW w:w="920" w:type="dxa"/>
            <w:vAlign w:val="bottom"/>
          </w:tcPr>
          <w:p>
            <w:pPr>
              <w:jc w:val="center"/>
              <w:spacing w:after="0" w:line="132" w:lineRule="exact"/>
              <w:rPr>
                <w:sz w:val="20"/>
                <w:szCs w:val="20"/>
                <w:color w:val="auto"/>
              </w:rPr>
            </w:pPr>
            <w:r>
              <w:rPr>
                <w:rFonts w:ascii="Arial" w:cs="Arial" w:eastAsia="Arial" w:hAnsi="Arial"/>
                <w:sz w:val="11"/>
                <w:szCs w:val="11"/>
                <w:b w:val="1"/>
                <w:bCs w:val="1"/>
                <w:color w:val="auto"/>
                <w:w w:val="87"/>
              </w:rPr>
              <w:t xml:space="preserve">Index </w:t>
            </w:r>
            <w:r>
              <w:rPr>
                <w:rFonts w:ascii="Arial" w:cs="Arial" w:eastAsia="Arial" w:hAnsi="Arial"/>
                <w:sz w:val="14"/>
                <w:szCs w:val="14"/>
                <w:b w:val="1"/>
                <w:bCs w:val="1"/>
                <w:color w:val="auto"/>
                <w:w w:val="87"/>
                <w:vertAlign w:val="superscript"/>
              </w:rPr>
              <w:t>(1)</w:t>
            </w:r>
          </w:p>
        </w:tc>
        <w:tc>
          <w:tcPr>
            <w:tcW w:w="220" w:type="dxa"/>
            <w:vAlign w:val="bottom"/>
          </w:tcPr>
          <w:p>
            <w:pPr>
              <w:spacing w:after="0"/>
              <w:rPr>
                <w:sz w:val="12"/>
                <w:szCs w:val="12"/>
                <w:color w:val="auto"/>
              </w:rPr>
            </w:pPr>
          </w:p>
        </w:tc>
        <w:tc>
          <w:tcPr>
            <w:tcW w:w="680" w:type="dxa"/>
            <w:vAlign w:val="bottom"/>
          </w:tcPr>
          <w:p>
            <w:pPr>
              <w:jc w:val="right"/>
              <w:ind w:right="106"/>
              <w:spacing w:after="0"/>
              <w:rPr>
                <w:sz w:val="20"/>
                <w:szCs w:val="20"/>
                <w:color w:val="auto"/>
              </w:rPr>
            </w:pPr>
            <w:r>
              <w:rPr>
                <w:rFonts w:ascii="Arial" w:cs="Arial" w:eastAsia="Arial" w:hAnsi="Arial"/>
                <w:sz w:val="11"/>
                <w:szCs w:val="11"/>
                <w:b w:val="1"/>
                <w:bCs w:val="1"/>
                <w:color w:val="auto"/>
              </w:rPr>
              <w:t>Shares</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3140" w:type="dxa"/>
            <w:vAlign w:val="bottom"/>
          </w:tcPr>
          <w:p>
            <w:pPr>
              <w:ind w:left="20"/>
              <w:spacing w:after="0" w:line="105" w:lineRule="exact"/>
              <w:rPr>
                <w:sz w:val="20"/>
                <w:szCs w:val="20"/>
                <w:color w:val="auto"/>
              </w:rPr>
            </w:pPr>
            <w:r>
              <w:rPr>
                <w:rFonts w:ascii="Arial" w:cs="Arial" w:eastAsia="Arial" w:hAnsi="Arial"/>
                <w:sz w:val="9"/>
                <w:szCs w:val="9"/>
                <w:color w:val="auto"/>
              </w:rPr>
              <w:t xml:space="preserve">Delta InvestCo LP (Sigma Defense Systems, LLC) </w:t>
            </w:r>
            <w:r>
              <w:rPr>
                <w:rFonts w:ascii="Arial" w:cs="Arial" w:eastAsia="Arial" w:hAnsi="Arial"/>
                <w:sz w:val="12"/>
                <w:szCs w:val="12"/>
                <w:color w:val="auto"/>
                <w:vertAlign w:val="superscript"/>
              </w:rPr>
              <w:t>(7), (8)</w:t>
            </w:r>
          </w:p>
        </w:tc>
        <w:tc>
          <w:tcPr>
            <w:tcW w:w="120" w:type="dxa"/>
            <w:vAlign w:val="bottom"/>
          </w:tcPr>
          <w:p>
            <w:pPr>
              <w:spacing w:after="0"/>
              <w:rPr>
                <w:sz w:val="9"/>
                <w:szCs w:val="9"/>
                <w:color w:val="auto"/>
              </w:rPr>
            </w:pPr>
          </w:p>
        </w:tc>
        <w:tc>
          <w:tcPr>
            <w:tcW w:w="680" w:type="dxa"/>
            <w:vAlign w:val="bottom"/>
            <w:tcBorders>
              <w:top w:val="single" w:sz="8" w:color="auto"/>
            </w:tcBorders>
          </w:tcPr>
          <w:p>
            <w:pPr>
              <w:ind w:left="560"/>
              <w:spacing w:after="0" w:line="105" w:lineRule="exact"/>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9"/>
                <w:szCs w:val="9"/>
                <w:color w:val="auto"/>
              </w:rPr>
            </w:pPr>
          </w:p>
        </w:tc>
        <w:tc>
          <w:tcPr>
            <w:tcW w:w="2200" w:type="dxa"/>
            <w:vAlign w:val="bottom"/>
            <w:tcBorders>
              <w:top w:val="single" w:sz="8" w:color="auto"/>
            </w:tcBorders>
          </w:tcPr>
          <w:p>
            <w:pPr>
              <w:jc w:val="center"/>
              <w:spacing w:after="0" w:line="105" w:lineRule="exact"/>
              <w:rPr>
                <w:sz w:val="20"/>
                <w:szCs w:val="20"/>
                <w:color w:val="auto"/>
              </w:rPr>
            </w:pPr>
            <w:r>
              <w:rPr>
                <w:rFonts w:ascii="Arial" w:cs="Arial" w:eastAsia="Arial" w:hAnsi="Arial"/>
                <w:sz w:val="11"/>
                <w:szCs w:val="11"/>
                <w:color w:val="auto"/>
                <w:w w:val="87"/>
              </w:rPr>
              <w:t>IT Services</w:t>
            </w:r>
          </w:p>
        </w:tc>
        <w:tc>
          <w:tcPr>
            <w:tcW w:w="120" w:type="dxa"/>
            <w:vAlign w:val="bottom"/>
          </w:tcPr>
          <w:p>
            <w:pPr>
              <w:spacing w:after="0"/>
              <w:rPr>
                <w:sz w:val="9"/>
                <w:szCs w:val="9"/>
                <w:color w:val="auto"/>
              </w:rPr>
            </w:pPr>
          </w:p>
        </w:tc>
        <w:tc>
          <w:tcPr>
            <w:tcW w:w="720" w:type="dxa"/>
            <w:vAlign w:val="bottom"/>
            <w:tcBorders>
              <w:top w:val="single" w:sz="8" w:color="auto"/>
            </w:tcBorders>
          </w:tcPr>
          <w:p>
            <w:pPr>
              <w:jc w:val="right"/>
              <w:spacing w:after="0" w:line="105" w:lineRule="exact"/>
              <w:rPr>
                <w:sz w:val="20"/>
                <w:szCs w:val="20"/>
                <w:color w:val="auto"/>
              </w:rPr>
            </w:pPr>
            <w:r>
              <w:rPr>
                <w:rFonts w:ascii="Arial" w:cs="Arial" w:eastAsia="Arial" w:hAnsi="Arial"/>
                <w:sz w:val="11"/>
                <w:szCs w:val="11"/>
                <w:color w:val="auto"/>
              </w:rPr>
              <w:t>—</w:t>
            </w:r>
          </w:p>
        </w:tc>
        <w:tc>
          <w:tcPr>
            <w:tcW w:w="240" w:type="dxa"/>
            <w:vAlign w:val="bottom"/>
          </w:tcPr>
          <w:p>
            <w:pPr>
              <w:spacing w:after="0"/>
              <w:rPr>
                <w:sz w:val="9"/>
                <w:szCs w:val="9"/>
                <w:color w:val="auto"/>
              </w:rPr>
            </w:pPr>
          </w:p>
        </w:tc>
        <w:tc>
          <w:tcPr>
            <w:tcW w:w="920" w:type="dxa"/>
            <w:vAlign w:val="bottom"/>
            <w:tcBorders>
              <w:top w:val="single" w:sz="8" w:color="auto"/>
            </w:tcBorders>
          </w:tcPr>
          <w:p>
            <w:pPr>
              <w:ind w:left="800"/>
              <w:spacing w:after="0" w:line="105" w:lineRule="exact"/>
              <w:rPr>
                <w:sz w:val="20"/>
                <w:szCs w:val="20"/>
                <w:color w:val="auto"/>
              </w:rPr>
            </w:pPr>
            <w:r>
              <w:rPr>
                <w:rFonts w:ascii="Arial" w:cs="Arial" w:eastAsia="Arial" w:hAnsi="Arial"/>
                <w:sz w:val="11"/>
                <w:szCs w:val="11"/>
                <w:color w:val="auto"/>
                <w:w w:val="90"/>
              </w:rPr>
              <w:t>—</w:t>
            </w:r>
          </w:p>
        </w:tc>
        <w:tc>
          <w:tcPr>
            <w:tcW w:w="220" w:type="dxa"/>
            <w:vAlign w:val="bottom"/>
          </w:tcPr>
          <w:p>
            <w:pPr>
              <w:spacing w:after="0"/>
              <w:rPr>
                <w:sz w:val="9"/>
                <w:szCs w:val="9"/>
                <w:color w:val="auto"/>
              </w:rPr>
            </w:pPr>
          </w:p>
        </w:tc>
        <w:tc>
          <w:tcPr>
            <w:tcW w:w="680" w:type="dxa"/>
            <w:vAlign w:val="bottom"/>
            <w:tcBorders>
              <w:top w:val="single" w:sz="8" w:color="auto"/>
            </w:tcBorders>
          </w:tcPr>
          <w:p>
            <w:pPr>
              <w:jc w:val="right"/>
              <w:spacing w:after="0" w:line="105" w:lineRule="exact"/>
              <w:rPr>
                <w:sz w:val="20"/>
                <w:szCs w:val="20"/>
                <w:color w:val="auto"/>
              </w:rPr>
            </w:pPr>
            <w:r>
              <w:rPr>
                <w:rFonts w:ascii="Arial" w:cs="Arial" w:eastAsia="Arial" w:hAnsi="Arial"/>
                <w:sz w:val="11"/>
                <w:szCs w:val="11"/>
                <w:color w:val="auto"/>
              </w:rPr>
              <w:t>502,435</w:t>
            </w:r>
          </w:p>
        </w:tc>
        <w:tc>
          <w:tcPr>
            <w:tcW w:w="220" w:type="dxa"/>
            <w:vAlign w:val="bottom"/>
          </w:tcPr>
          <w:p>
            <w:pPr>
              <w:spacing w:after="0"/>
              <w:rPr>
                <w:sz w:val="9"/>
                <w:szCs w:val="9"/>
                <w:color w:val="auto"/>
              </w:rPr>
            </w:pPr>
          </w:p>
        </w:tc>
        <w:tc>
          <w:tcPr>
            <w:tcW w:w="160" w:type="dxa"/>
            <w:vAlign w:val="bottom"/>
            <w:tcBorders>
              <w:top w:val="single" w:sz="8" w:color="auto"/>
            </w:tcBorders>
          </w:tcPr>
          <w:p>
            <w:pPr>
              <w:jc w:val="right"/>
              <w:ind w:right="26"/>
              <w:spacing w:after="0" w:line="105" w:lineRule="exact"/>
              <w:rPr>
                <w:sz w:val="20"/>
                <w:szCs w:val="20"/>
                <w:color w:val="auto"/>
              </w:rPr>
            </w:pPr>
            <w:r>
              <w:rPr>
                <w:rFonts w:ascii="Arial" w:cs="Arial" w:eastAsia="Arial" w:hAnsi="Arial"/>
                <w:sz w:val="11"/>
                <w:szCs w:val="11"/>
                <w:color w:val="auto"/>
                <w:w w:val="97"/>
              </w:rPr>
              <w:t>$</w:t>
            </w:r>
          </w:p>
        </w:tc>
        <w:tc>
          <w:tcPr>
            <w:tcW w:w="540" w:type="dxa"/>
            <w:vAlign w:val="bottom"/>
            <w:tcBorders>
              <w:top w:val="single" w:sz="8" w:color="auto"/>
            </w:tcBorders>
          </w:tcPr>
          <w:p>
            <w:pPr>
              <w:jc w:val="right"/>
              <w:spacing w:after="0" w:line="105" w:lineRule="exact"/>
              <w:rPr>
                <w:sz w:val="20"/>
                <w:szCs w:val="20"/>
                <w:color w:val="auto"/>
              </w:rPr>
            </w:pPr>
            <w:r>
              <w:rPr>
                <w:rFonts w:ascii="Arial" w:cs="Arial" w:eastAsia="Arial" w:hAnsi="Arial"/>
                <w:sz w:val="11"/>
                <w:szCs w:val="11"/>
                <w:color w:val="auto"/>
              </w:rPr>
              <w:t>502</w:t>
            </w:r>
          </w:p>
        </w:tc>
        <w:tc>
          <w:tcPr>
            <w:tcW w:w="220" w:type="dxa"/>
            <w:vAlign w:val="bottom"/>
          </w:tcPr>
          <w:p>
            <w:pPr>
              <w:spacing w:after="0"/>
              <w:rPr>
                <w:sz w:val="9"/>
                <w:szCs w:val="9"/>
                <w:color w:val="auto"/>
              </w:rPr>
            </w:pPr>
          </w:p>
        </w:tc>
        <w:tc>
          <w:tcPr>
            <w:tcW w:w="200" w:type="dxa"/>
            <w:vAlign w:val="bottom"/>
            <w:tcBorders>
              <w:top w:val="single" w:sz="8" w:color="auto"/>
            </w:tcBorders>
          </w:tcPr>
          <w:p>
            <w:pPr>
              <w:jc w:val="right"/>
              <w:ind w:right="66"/>
              <w:spacing w:after="0" w:line="105" w:lineRule="exact"/>
              <w:rPr>
                <w:sz w:val="20"/>
                <w:szCs w:val="20"/>
                <w:color w:val="auto"/>
              </w:rPr>
            </w:pPr>
            <w:r>
              <w:rPr>
                <w:rFonts w:ascii="Arial" w:cs="Arial" w:eastAsia="Arial" w:hAnsi="Arial"/>
                <w:sz w:val="11"/>
                <w:szCs w:val="11"/>
                <w:color w:val="auto"/>
                <w:w w:val="97"/>
              </w:rPr>
              <w:t>$</w:t>
            </w:r>
          </w:p>
        </w:tc>
        <w:tc>
          <w:tcPr>
            <w:tcW w:w="500" w:type="dxa"/>
            <w:vAlign w:val="bottom"/>
            <w:tcBorders>
              <w:top w:val="single" w:sz="8" w:color="auto"/>
            </w:tcBorders>
          </w:tcPr>
          <w:p>
            <w:pPr>
              <w:jc w:val="right"/>
              <w:spacing w:after="0" w:line="105" w:lineRule="exact"/>
              <w:rPr>
                <w:sz w:val="20"/>
                <w:szCs w:val="20"/>
                <w:color w:val="auto"/>
              </w:rPr>
            </w:pPr>
            <w:r>
              <w:rPr>
                <w:rFonts w:ascii="Arial" w:cs="Arial" w:eastAsia="Arial" w:hAnsi="Arial"/>
                <w:sz w:val="11"/>
                <w:szCs w:val="11"/>
                <w:color w:val="auto"/>
              </w:rPr>
              <w:t>430</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60" w:type="dxa"/>
            <w:vAlign w:val="bottom"/>
            <w:gridSpan w:val="2"/>
          </w:tcPr>
          <w:p>
            <w:pPr>
              <w:ind w:left="20"/>
              <w:spacing w:after="0" w:line="135" w:lineRule="exact"/>
              <w:rPr>
                <w:sz w:val="20"/>
                <w:szCs w:val="20"/>
                <w:color w:val="auto"/>
              </w:rPr>
            </w:pPr>
            <w:r>
              <w:rPr>
                <w:rFonts w:ascii="Arial" w:cs="Arial" w:eastAsia="Arial" w:hAnsi="Arial"/>
                <w:sz w:val="11"/>
                <w:szCs w:val="11"/>
                <w:color w:val="auto"/>
              </w:rPr>
              <w:t xml:space="preserve">Delta InvestCo LP (Sigma Defense Systems, LLC) </w:t>
            </w:r>
            <w:r>
              <w:rPr>
                <w:rFonts w:ascii="Arial" w:cs="Arial" w:eastAsia="Arial" w:hAnsi="Arial"/>
                <w:sz w:val="14"/>
                <w:szCs w:val="14"/>
                <w:color w:val="auto"/>
                <w:vertAlign w:val="superscript"/>
              </w:rPr>
              <w:t>(7), (8),(9)</w:t>
            </w:r>
          </w:p>
        </w:tc>
        <w:tc>
          <w:tcPr>
            <w:tcW w:w="680" w:type="dxa"/>
            <w:vAlign w:val="bottom"/>
          </w:tcPr>
          <w:p>
            <w:pPr>
              <w:ind w:left="56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1"/>
                <w:szCs w:val="11"/>
                <w:color w:val="auto"/>
              </w:rPr>
            </w:pPr>
          </w:p>
        </w:tc>
        <w:tc>
          <w:tcPr>
            <w:tcW w:w="2200" w:type="dxa"/>
            <w:vAlign w:val="bottom"/>
          </w:tcPr>
          <w:p>
            <w:pPr>
              <w:jc w:val="center"/>
              <w:spacing w:after="0"/>
              <w:rPr>
                <w:sz w:val="20"/>
                <w:szCs w:val="20"/>
                <w:color w:val="auto"/>
              </w:rPr>
            </w:pPr>
            <w:r>
              <w:rPr>
                <w:rFonts w:ascii="Arial" w:cs="Arial" w:eastAsia="Arial" w:hAnsi="Arial"/>
                <w:sz w:val="11"/>
                <w:szCs w:val="11"/>
                <w:color w:val="auto"/>
                <w:w w:val="87"/>
              </w:rPr>
              <w:t>IT Services</w:t>
            </w:r>
          </w:p>
        </w:tc>
        <w:tc>
          <w:tcPr>
            <w:tcW w:w="120" w:type="dxa"/>
            <w:vAlign w:val="bottom"/>
          </w:tcPr>
          <w:p>
            <w:pPr>
              <w:spacing w:after="0"/>
              <w:rPr>
                <w:sz w:val="11"/>
                <w:szCs w:val="11"/>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Pr>
          <w:p>
            <w:pPr>
              <w:ind w:left="800"/>
              <w:spacing w:after="0"/>
              <w:rPr>
                <w:sz w:val="20"/>
                <w:szCs w:val="20"/>
                <w:color w:val="auto"/>
              </w:rPr>
            </w:pPr>
            <w:r>
              <w:rPr>
                <w:rFonts w:ascii="Arial" w:cs="Arial" w:eastAsia="Arial" w:hAnsi="Arial"/>
                <w:sz w:val="11"/>
                <w:szCs w:val="11"/>
                <w:color w:val="auto"/>
                <w:w w:val="90"/>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502,435</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1"/>
                <w:szCs w:val="11"/>
                <w:color w:val="auto"/>
              </w:rPr>
              <w:t>(73 )</w:t>
            </w:r>
          </w:p>
        </w:tc>
        <w:tc>
          <w:tcPr>
            <w:tcW w:w="0" w:type="dxa"/>
            <w:vAlign w:val="bottom"/>
          </w:tcPr>
          <w:p>
            <w:pPr>
              <w:spacing w:after="0"/>
              <w:rPr>
                <w:sz w:val="1"/>
                <w:szCs w:val="1"/>
                <w:color w:val="auto"/>
              </w:rPr>
            </w:pPr>
          </w:p>
        </w:tc>
      </w:tr>
      <w:tr>
        <w:trPr>
          <w:trHeight w:val="128"/>
        </w:trPr>
        <w:tc>
          <w:tcPr>
            <w:tcW w:w="3260" w:type="dxa"/>
            <w:vAlign w:val="bottom"/>
            <w:gridSpan w:val="2"/>
          </w:tcPr>
          <w:p>
            <w:pPr>
              <w:ind w:left="20"/>
              <w:spacing w:after="0" w:line="129" w:lineRule="exact"/>
              <w:rPr>
                <w:sz w:val="20"/>
                <w:szCs w:val="20"/>
                <w:color w:val="auto"/>
              </w:rPr>
            </w:pPr>
            <w:r>
              <w:rPr>
                <w:rFonts w:ascii="Arial" w:cs="Arial" w:eastAsia="Arial" w:hAnsi="Arial"/>
                <w:sz w:val="11"/>
                <w:szCs w:val="11"/>
                <w:color w:val="auto"/>
              </w:rPr>
              <w:t xml:space="preserve">ECM Investors, LLC </w:t>
            </w:r>
            <w:r>
              <w:rPr>
                <w:rFonts w:ascii="Arial" w:cs="Arial" w:eastAsia="Arial" w:hAnsi="Arial"/>
                <w:sz w:val="14"/>
                <w:szCs w:val="14"/>
                <w:color w:val="auto"/>
                <w:vertAlign w:val="superscript"/>
              </w:rPr>
              <w:t>(7), (8)</w:t>
            </w:r>
          </w:p>
        </w:tc>
        <w:tc>
          <w:tcPr>
            <w:tcW w:w="680" w:type="dxa"/>
            <w:vAlign w:val="bottom"/>
          </w:tcPr>
          <w:p>
            <w:pPr>
              <w:ind w:left="56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1"/>
                <w:szCs w:val="11"/>
                <w:color w:val="auto"/>
              </w:rPr>
            </w:pPr>
          </w:p>
        </w:tc>
        <w:tc>
          <w:tcPr>
            <w:tcW w:w="2200" w:type="dxa"/>
            <w:vAlign w:val="bottom"/>
          </w:tcPr>
          <w:p>
            <w:pPr>
              <w:jc w:val="center"/>
              <w:spacing w:after="0"/>
              <w:rPr>
                <w:sz w:val="20"/>
                <w:szCs w:val="20"/>
                <w:color w:val="auto"/>
              </w:rPr>
            </w:pPr>
            <w:r>
              <w:rPr>
                <w:rFonts w:ascii="Arial" w:cs="Arial" w:eastAsia="Arial" w:hAnsi="Arial"/>
                <w:sz w:val="11"/>
                <w:szCs w:val="11"/>
                <w:color w:val="auto"/>
                <w:w w:val="89"/>
              </w:rPr>
              <w:t>Electronic Equipment, Instruments, and</w:t>
            </w:r>
          </w:p>
        </w:tc>
        <w:tc>
          <w:tcPr>
            <w:tcW w:w="120" w:type="dxa"/>
            <w:vAlign w:val="bottom"/>
          </w:tcPr>
          <w:p>
            <w:pPr>
              <w:spacing w:after="0"/>
              <w:rPr>
                <w:sz w:val="11"/>
                <w:szCs w:val="11"/>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Pr>
          <w:p>
            <w:pPr>
              <w:ind w:left="800"/>
              <w:spacing w:after="0"/>
              <w:rPr>
                <w:sz w:val="20"/>
                <w:szCs w:val="20"/>
                <w:color w:val="auto"/>
              </w:rPr>
            </w:pPr>
            <w:r>
              <w:rPr>
                <w:rFonts w:ascii="Arial" w:cs="Arial" w:eastAsia="Arial" w:hAnsi="Arial"/>
                <w:sz w:val="11"/>
                <w:szCs w:val="11"/>
                <w:color w:val="auto"/>
                <w:w w:val="90"/>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295,982</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72</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997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60" w:type="dxa"/>
            <w:vAlign w:val="bottom"/>
            <w:gridSpan w:val="2"/>
            <w:vMerge w:val="restart"/>
          </w:tcPr>
          <w:p>
            <w:pPr>
              <w:ind w:left="20"/>
              <w:spacing w:after="0"/>
              <w:rPr>
                <w:sz w:val="20"/>
                <w:szCs w:val="20"/>
                <w:color w:val="auto"/>
              </w:rPr>
            </w:pPr>
            <w:r>
              <w:rPr>
                <w:rFonts w:ascii="Arial" w:cs="Arial" w:eastAsia="Arial" w:hAnsi="Arial"/>
                <w:sz w:val="11"/>
                <w:szCs w:val="11"/>
                <w:color w:val="auto"/>
              </w:rPr>
              <w:t xml:space="preserve">eCommission Holding Corporation </w:t>
            </w:r>
            <w:r>
              <w:rPr>
                <w:rFonts w:ascii="Arial" w:cs="Arial" w:eastAsia="Arial" w:hAnsi="Arial"/>
                <w:sz w:val="14"/>
                <w:szCs w:val="14"/>
                <w:color w:val="auto"/>
                <w:vertAlign w:val="superscript"/>
              </w:rPr>
              <w:t>(7), (10)</w:t>
            </w: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0" w:type="dxa"/>
            <w:vAlign w:val="bottom"/>
          </w:tcPr>
          <w:p>
            <w:pPr>
              <w:jc w:val="center"/>
              <w:spacing w:after="0"/>
              <w:rPr>
                <w:sz w:val="20"/>
                <w:szCs w:val="20"/>
                <w:color w:val="auto"/>
              </w:rPr>
            </w:pPr>
            <w:r>
              <w:rPr>
                <w:rFonts w:ascii="Arial" w:cs="Arial" w:eastAsia="Arial" w:hAnsi="Arial"/>
                <w:sz w:val="11"/>
                <w:szCs w:val="11"/>
                <w:color w:val="auto"/>
                <w:w w:val="89"/>
              </w:rPr>
              <w:t>Components</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3260" w:type="dxa"/>
            <w:vAlign w:val="bottom"/>
            <w:gridSpan w:val="2"/>
            <w:vMerge w:val="continue"/>
          </w:tcPr>
          <w:p>
            <w:pPr>
              <w:spacing w:after="0"/>
              <w:rPr>
                <w:sz w:val="9"/>
                <w:szCs w:val="9"/>
                <w:color w:val="auto"/>
              </w:rPr>
            </w:pPr>
          </w:p>
        </w:tc>
        <w:tc>
          <w:tcPr>
            <w:tcW w:w="680" w:type="dxa"/>
            <w:vAlign w:val="bottom"/>
          </w:tcPr>
          <w:p>
            <w:pPr>
              <w:ind w:left="560"/>
              <w:spacing w:after="0" w:line="115" w:lineRule="exact"/>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9"/>
                <w:szCs w:val="9"/>
                <w:color w:val="auto"/>
              </w:rPr>
            </w:pPr>
          </w:p>
        </w:tc>
        <w:tc>
          <w:tcPr>
            <w:tcW w:w="2200" w:type="dxa"/>
            <w:vAlign w:val="bottom"/>
          </w:tcPr>
          <w:p>
            <w:pPr>
              <w:jc w:val="center"/>
              <w:spacing w:after="0" w:line="115" w:lineRule="exact"/>
              <w:rPr>
                <w:sz w:val="20"/>
                <w:szCs w:val="20"/>
                <w:color w:val="auto"/>
              </w:rPr>
            </w:pPr>
            <w:r>
              <w:rPr>
                <w:rFonts w:ascii="Arial" w:cs="Arial" w:eastAsia="Arial" w:hAnsi="Arial"/>
                <w:sz w:val="11"/>
                <w:szCs w:val="11"/>
                <w:color w:val="auto"/>
                <w:w w:val="89"/>
              </w:rPr>
              <w:t>Banking, Finance, Insurance &amp; Real Estate</w:t>
            </w:r>
          </w:p>
        </w:tc>
        <w:tc>
          <w:tcPr>
            <w:tcW w:w="120" w:type="dxa"/>
            <w:vAlign w:val="bottom"/>
          </w:tcPr>
          <w:p>
            <w:pPr>
              <w:spacing w:after="0"/>
              <w:rPr>
                <w:sz w:val="9"/>
                <w:szCs w:val="9"/>
                <w:color w:val="auto"/>
              </w:rPr>
            </w:pPr>
          </w:p>
        </w:tc>
        <w:tc>
          <w:tcPr>
            <w:tcW w:w="960" w:type="dxa"/>
            <w:vAlign w:val="bottom"/>
            <w:gridSpan w:val="2"/>
          </w:tcPr>
          <w:p>
            <w:pPr>
              <w:jc w:val="right"/>
              <w:ind w:right="260"/>
              <w:spacing w:after="0" w:line="115" w:lineRule="exact"/>
              <w:rPr>
                <w:sz w:val="20"/>
                <w:szCs w:val="20"/>
                <w:color w:val="auto"/>
              </w:rPr>
            </w:pPr>
            <w:r>
              <w:rPr>
                <w:rFonts w:ascii="Arial" w:cs="Arial" w:eastAsia="Arial" w:hAnsi="Arial"/>
                <w:sz w:val="11"/>
                <w:szCs w:val="11"/>
                <w:color w:val="auto"/>
              </w:rPr>
              <w:t>—</w:t>
            </w:r>
          </w:p>
        </w:tc>
        <w:tc>
          <w:tcPr>
            <w:tcW w:w="920" w:type="dxa"/>
            <w:vAlign w:val="bottom"/>
          </w:tcPr>
          <w:p>
            <w:pPr>
              <w:ind w:left="800"/>
              <w:spacing w:after="0" w:line="115" w:lineRule="exact"/>
              <w:rPr>
                <w:sz w:val="20"/>
                <w:szCs w:val="20"/>
                <w:color w:val="auto"/>
              </w:rPr>
            </w:pPr>
            <w:r>
              <w:rPr>
                <w:rFonts w:ascii="Arial" w:cs="Arial" w:eastAsia="Arial" w:hAnsi="Arial"/>
                <w:sz w:val="11"/>
                <w:szCs w:val="11"/>
                <w:color w:val="auto"/>
                <w:w w:val="90"/>
              </w:rPr>
              <w:t>—</w:t>
            </w:r>
          </w:p>
        </w:tc>
        <w:tc>
          <w:tcPr>
            <w:tcW w:w="90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20</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jc w:val="right"/>
              <w:spacing w:after="0" w:line="115" w:lineRule="exact"/>
              <w:rPr>
                <w:sz w:val="20"/>
                <w:szCs w:val="20"/>
                <w:color w:val="auto"/>
              </w:rPr>
            </w:pPr>
            <w:r>
              <w:rPr>
                <w:rFonts w:ascii="Arial" w:cs="Arial" w:eastAsia="Arial" w:hAnsi="Arial"/>
                <w:sz w:val="11"/>
                <w:szCs w:val="11"/>
                <w:color w:val="auto"/>
              </w:rPr>
              <w:t>251</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jc w:val="right"/>
              <w:spacing w:after="0" w:line="115" w:lineRule="exact"/>
              <w:rPr>
                <w:sz w:val="20"/>
                <w:szCs w:val="20"/>
                <w:color w:val="auto"/>
              </w:rPr>
            </w:pPr>
            <w:r>
              <w:rPr>
                <w:rFonts w:ascii="Arial" w:cs="Arial" w:eastAsia="Arial" w:hAnsi="Arial"/>
                <w:sz w:val="11"/>
                <w:szCs w:val="11"/>
                <w:color w:val="auto"/>
              </w:rPr>
              <w:t>288</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60" w:type="dxa"/>
            <w:vAlign w:val="bottom"/>
            <w:gridSpan w:val="2"/>
          </w:tcPr>
          <w:p>
            <w:pPr>
              <w:ind w:left="20"/>
              <w:spacing w:after="0" w:line="135" w:lineRule="exact"/>
              <w:rPr>
                <w:sz w:val="20"/>
                <w:szCs w:val="20"/>
                <w:color w:val="auto"/>
              </w:rPr>
            </w:pPr>
            <w:r>
              <w:rPr>
                <w:rFonts w:ascii="Arial" w:cs="Arial" w:eastAsia="Arial" w:hAnsi="Arial"/>
                <w:sz w:val="11"/>
                <w:szCs w:val="11"/>
                <w:color w:val="auto"/>
              </w:rPr>
              <w:t xml:space="preserve">FedHC InvestCo LP </w:t>
            </w:r>
            <w:r>
              <w:rPr>
                <w:rFonts w:ascii="Arial" w:cs="Arial" w:eastAsia="Arial" w:hAnsi="Arial"/>
                <w:sz w:val="14"/>
                <w:szCs w:val="14"/>
                <w:color w:val="auto"/>
                <w:vertAlign w:val="superscript"/>
              </w:rPr>
              <w:t>(7),(8)</w:t>
            </w:r>
          </w:p>
        </w:tc>
        <w:tc>
          <w:tcPr>
            <w:tcW w:w="680" w:type="dxa"/>
            <w:vAlign w:val="bottom"/>
          </w:tcPr>
          <w:p>
            <w:pPr>
              <w:ind w:left="56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1"/>
                <w:szCs w:val="11"/>
                <w:color w:val="auto"/>
              </w:rPr>
            </w:pPr>
          </w:p>
        </w:tc>
        <w:tc>
          <w:tcPr>
            <w:tcW w:w="2200" w:type="dxa"/>
            <w:vAlign w:val="bottom"/>
          </w:tcPr>
          <w:p>
            <w:pPr>
              <w:jc w:val="center"/>
              <w:spacing w:after="0"/>
              <w:rPr>
                <w:sz w:val="20"/>
                <w:szCs w:val="20"/>
                <w:color w:val="auto"/>
              </w:rPr>
            </w:pPr>
            <w:r>
              <w:rPr>
                <w:rFonts w:ascii="Arial" w:cs="Arial" w:eastAsia="Arial" w:hAnsi="Arial"/>
                <w:sz w:val="11"/>
                <w:szCs w:val="11"/>
                <w:color w:val="auto"/>
                <w:w w:val="84"/>
              </w:rPr>
              <w:t>Aerospace and Defense</w:t>
            </w:r>
          </w:p>
        </w:tc>
        <w:tc>
          <w:tcPr>
            <w:tcW w:w="120" w:type="dxa"/>
            <w:vAlign w:val="bottom"/>
          </w:tcPr>
          <w:p>
            <w:pPr>
              <w:spacing w:after="0"/>
              <w:rPr>
                <w:sz w:val="11"/>
                <w:szCs w:val="11"/>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Pr>
          <w:p>
            <w:pPr>
              <w:ind w:left="800"/>
              <w:spacing w:after="0"/>
              <w:rPr>
                <w:sz w:val="20"/>
                <w:szCs w:val="20"/>
                <w:color w:val="auto"/>
              </w:rPr>
            </w:pPr>
            <w:r>
              <w:rPr>
                <w:rFonts w:ascii="Arial" w:cs="Arial" w:eastAsia="Arial" w:hAnsi="Arial"/>
                <w:sz w:val="11"/>
                <w:szCs w:val="11"/>
                <w:color w:val="auto"/>
                <w:w w:val="90"/>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4,951</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495</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504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260" w:type="dxa"/>
            <w:vAlign w:val="bottom"/>
            <w:gridSpan w:val="2"/>
          </w:tcPr>
          <w:p>
            <w:pPr>
              <w:ind w:left="20"/>
              <w:spacing w:after="0" w:line="155" w:lineRule="exact"/>
              <w:rPr>
                <w:sz w:val="20"/>
                <w:szCs w:val="20"/>
                <w:color w:val="auto"/>
              </w:rPr>
            </w:pPr>
            <w:r>
              <w:rPr>
                <w:rFonts w:ascii="Arial" w:cs="Arial" w:eastAsia="Arial" w:hAnsi="Arial"/>
                <w:sz w:val="11"/>
                <w:szCs w:val="11"/>
                <w:color w:val="auto"/>
              </w:rPr>
              <w:t xml:space="preserve">FedHC InvestCo LP </w:t>
            </w:r>
            <w:r>
              <w:rPr>
                <w:rFonts w:ascii="Arial" w:cs="Arial" w:eastAsia="Arial" w:hAnsi="Arial"/>
                <w:sz w:val="14"/>
                <w:szCs w:val="14"/>
                <w:color w:val="auto"/>
                <w:vertAlign w:val="superscript"/>
              </w:rPr>
              <w:t>(7),(8),(9)</w:t>
            </w:r>
          </w:p>
        </w:tc>
        <w:tc>
          <w:tcPr>
            <w:tcW w:w="680" w:type="dxa"/>
            <w:vAlign w:val="bottom"/>
          </w:tcPr>
          <w:p>
            <w:pPr>
              <w:ind w:left="56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3"/>
                <w:szCs w:val="13"/>
                <w:color w:val="auto"/>
              </w:rPr>
            </w:pPr>
          </w:p>
        </w:tc>
        <w:tc>
          <w:tcPr>
            <w:tcW w:w="2200" w:type="dxa"/>
            <w:vAlign w:val="bottom"/>
          </w:tcPr>
          <w:p>
            <w:pPr>
              <w:jc w:val="center"/>
              <w:spacing w:after="0"/>
              <w:rPr>
                <w:sz w:val="20"/>
                <w:szCs w:val="20"/>
                <w:color w:val="auto"/>
              </w:rPr>
            </w:pPr>
            <w:r>
              <w:rPr>
                <w:rFonts w:ascii="Arial" w:cs="Arial" w:eastAsia="Arial" w:hAnsi="Arial"/>
                <w:sz w:val="11"/>
                <w:szCs w:val="11"/>
                <w:color w:val="auto"/>
                <w:w w:val="84"/>
              </w:rPr>
              <w:t>Aerospace and Defense</w:t>
            </w:r>
          </w:p>
        </w:tc>
        <w:tc>
          <w:tcPr>
            <w:tcW w:w="120" w:type="dxa"/>
            <w:vAlign w:val="bottom"/>
          </w:tcPr>
          <w:p>
            <w:pPr>
              <w:spacing w:after="0"/>
              <w:rPr>
                <w:sz w:val="13"/>
                <w:szCs w:val="13"/>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Pr>
          <w:p>
            <w:pPr>
              <w:ind w:left="800"/>
              <w:spacing w:after="0"/>
              <w:rPr>
                <w:sz w:val="20"/>
                <w:szCs w:val="20"/>
                <w:color w:val="auto"/>
              </w:rPr>
            </w:pPr>
            <w:r>
              <w:rPr>
                <w:rFonts w:ascii="Arial" w:cs="Arial" w:eastAsia="Arial" w:hAnsi="Arial"/>
                <w:sz w:val="11"/>
                <w:szCs w:val="11"/>
                <w:color w:val="auto"/>
                <w:w w:val="90"/>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6,051</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5"/>
        </w:trPr>
        <w:tc>
          <w:tcPr>
            <w:tcW w:w="3260" w:type="dxa"/>
            <w:vAlign w:val="bottom"/>
            <w:gridSpan w:val="2"/>
          </w:tcPr>
          <w:p>
            <w:pPr>
              <w:ind w:left="20"/>
              <w:spacing w:after="0" w:line="115" w:lineRule="exact"/>
              <w:rPr>
                <w:sz w:val="20"/>
                <w:szCs w:val="20"/>
                <w:color w:val="auto"/>
              </w:rPr>
            </w:pPr>
            <w:r>
              <w:rPr>
                <w:rFonts w:ascii="Arial" w:cs="Arial" w:eastAsia="Arial" w:hAnsi="Arial"/>
                <w:sz w:val="11"/>
                <w:szCs w:val="11"/>
                <w:color w:val="auto"/>
              </w:rPr>
              <w:t>Gauge InfosoftCoInvest, LLC</w:t>
            </w:r>
          </w:p>
        </w:tc>
        <w:tc>
          <w:tcPr>
            <w:tcW w:w="680" w:type="dxa"/>
            <w:vAlign w:val="bottom"/>
          </w:tcPr>
          <w:p>
            <w:pPr>
              <w:ind w:left="560"/>
              <w:spacing w:after="0" w:line="115" w:lineRule="exact"/>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9"/>
                <w:szCs w:val="9"/>
                <w:color w:val="auto"/>
              </w:rPr>
            </w:pPr>
          </w:p>
        </w:tc>
        <w:tc>
          <w:tcPr>
            <w:tcW w:w="2200" w:type="dxa"/>
            <w:vAlign w:val="bottom"/>
          </w:tcPr>
          <w:p>
            <w:pPr>
              <w:jc w:val="center"/>
              <w:spacing w:after="0" w:line="115" w:lineRule="exact"/>
              <w:rPr>
                <w:sz w:val="20"/>
                <w:szCs w:val="20"/>
                <w:color w:val="auto"/>
              </w:rPr>
            </w:pPr>
            <w:r>
              <w:rPr>
                <w:rFonts w:ascii="Arial" w:cs="Arial" w:eastAsia="Arial" w:hAnsi="Arial"/>
                <w:sz w:val="11"/>
                <w:szCs w:val="11"/>
                <w:color w:val="auto"/>
                <w:w w:val="88"/>
              </w:rPr>
              <w:t>Media: Broadcasting and Subscription</w:t>
            </w:r>
          </w:p>
        </w:tc>
        <w:tc>
          <w:tcPr>
            <w:tcW w:w="120" w:type="dxa"/>
            <w:vAlign w:val="bottom"/>
          </w:tcPr>
          <w:p>
            <w:pPr>
              <w:spacing w:after="0"/>
              <w:rPr>
                <w:sz w:val="9"/>
                <w:szCs w:val="9"/>
                <w:color w:val="auto"/>
              </w:rPr>
            </w:pPr>
          </w:p>
        </w:tc>
        <w:tc>
          <w:tcPr>
            <w:tcW w:w="960" w:type="dxa"/>
            <w:vAlign w:val="bottom"/>
            <w:gridSpan w:val="2"/>
          </w:tcPr>
          <w:p>
            <w:pPr>
              <w:jc w:val="right"/>
              <w:ind w:right="260"/>
              <w:spacing w:after="0" w:line="115" w:lineRule="exact"/>
              <w:rPr>
                <w:sz w:val="20"/>
                <w:szCs w:val="20"/>
                <w:color w:val="auto"/>
              </w:rPr>
            </w:pPr>
            <w:r>
              <w:rPr>
                <w:rFonts w:ascii="Arial" w:cs="Arial" w:eastAsia="Arial" w:hAnsi="Arial"/>
                <w:sz w:val="11"/>
                <w:szCs w:val="11"/>
                <w:color w:val="auto"/>
              </w:rPr>
              <w:t>—</w:t>
            </w:r>
          </w:p>
        </w:tc>
        <w:tc>
          <w:tcPr>
            <w:tcW w:w="920" w:type="dxa"/>
            <w:vAlign w:val="bottom"/>
          </w:tcPr>
          <w:p>
            <w:pPr>
              <w:ind w:left="800"/>
              <w:spacing w:after="0" w:line="115" w:lineRule="exact"/>
              <w:rPr>
                <w:sz w:val="20"/>
                <w:szCs w:val="20"/>
                <w:color w:val="auto"/>
              </w:rPr>
            </w:pPr>
            <w:r>
              <w:rPr>
                <w:rFonts w:ascii="Arial" w:cs="Arial" w:eastAsia="Arial" w:hAnsi="Arial"/>
                <w:sz w:val="11"/>
                <w:szCs w:val="11"/>
                <w:color w:val="auto"/>
                <w:w w:val="90"/>
              </w:rPr>
              <w:t>—</w:t>
            </w:r>
          </w:p>
        </w:tc>
        <w:tc>
          <w:tcPr>
            <w:tcW w:w="90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500</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jc w:val="right"/>
              <w:spacing w:after="0" w:line="115" w:lineRule="exact"/>
              <w:rPr>
                <w:sz w:val="20"/>
                <w:szCs w:val="20"/>
                <w:color w:val="auto"/>
              </w:rPr>
            </w:pPr>
            <w:r>
              <w:rPr>
                <w:rFonts w:ascii="Arial" w:cs="Arial" w:eastAsia="Arial" w:hAnsi="Arial"/>
                <w:sz w:val="11"/>
                <w:szCs w:val="11"/>
                <w:color w:val="auto"/>
              </w:rPr>
              <w:t>144</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jc w:val="right"/>
              <w:spacing w:after="0" w:line="115" w:lineRule="exact"/>
              <w:rPr>
                <w:sz w:val="20"/>
                <w:szCs w:val="20"/>
                <w:color w:val="auto"/>
              </w:rPr>
            </w:pPr>
            <w:r>
              <w:rPr>
                <w:rFonts w:ascii="Arial" w:cs="Arial" w:eastAsia="Arial" w:hAnsi="Arial"/>
                <w:sz w:val="11"/>
                <w:szCs w:val="11"/>
                <w:color w:val="auto"/>
              </w:rPr>
              <w:t>2,217</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60" w:type="dxa"/>
            <w:vAlign w:val="bottom"/>
            <w:gridSpan w:val="2"/>
          </w:tcPr>
          <w:p>
            <w:pPr>
              <w:ind w:left="100"/>
              <w:spacing w:after="0" w:line="135" w:lineRule="exact"/>
              <w:rPr>
                <w:sz w:val="20"/>
                <w:szCs w:val="20"/>
                <w:color w:val="auto"/>
              </w:rPr>
            </w:pPr>
            <w:r>
              <w:rPr>
                <w:rFonts w:ascii="Arial" w:cs="Arial" w:eastAsia="Arial" w:hAnsi="Arial"/>
                <w:sz w:val="11"/>
                <w:szCs w:val="11"/>
                <w:color w:val="auto"/>
              </w:rPr>
              <w:t xml:space="preserve">(The Infosoft Group, LLC) </w:t>
            </w:r>
            <w:r>
              <w:rPr>
                <w:rFonts w:ascii="Arial" w:cs="Arial" w:eastAsia="Arial" w:hAnsi="Arial"/>
                <w:sz w:val="14"/>
                <w:szCs w:val="14"/>
                <w:color w:val="auto"/>
                <w:vertAlign w:val="superscript"/>
              </w:rPr>
              <w:t>(7)</w:t>
            </w: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60" w:type="dxa"/>
            <w:vAlign w:val="bottom"/>
            <w:gridSpan w:val="2"/>
          </w:tcPr>
          <w:p>
            <w:pPr>
              <w:ind w:left="20"/>
              <w:spacing w:after="0" w:line="135" w:lineRule="exact"/>
              <w:rPr>
                <w:sz w:val="20"/>
                <w:szCs w:val="20"/>
                <w:color w:val="auto"/>
              </w:rPr>
            </w:pPr>
            <w:r>
              <w:rPr>
                <w:rFonts w:ascii="Arial" w:cs="Arial" w:eastAsia="Arial" w:hAnsi="Arial"/>
                <w:sz w:val="11"/>
                <w:szCs w:val="11"/>
                <w:color w:val="auto"/>
              </w:rPr>
              <w:t xml:space="preserve">Gauge Lash Coinvest LLC </w:t>
            </w:r>
            <w:r>
              <w:rPr>
                <w:rFonts w:ascii="Arial" w:cs="Arial" w:eastAsia="Arial" w:hAnsi="Arial"/>
                <w:sz w:val="14"/>
                <w:szCs w:val="14"/>
                <w:color w:val="auto"/>
                <w:vertAlign w:val="superscript"/>
              </w:rPr>
              <w:t>(7)</w:t>
            </w:r>
          </w:p>
        </w:tc>
        <w:tc>
          <w:tcPr>
            <w:tcW w:w="680" w:type="dxa"/>
            <w:vAlign w:val="bottom"/>
          </w:tcPr>
          <w:p>
            <w:pPr>
              <w:ind w:left="56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1"/>
                <w:szCs w:val="11"/>
                <w:color w:val="auto"/>
              </w:rPr>
            </w:pPr>
          </w:p>
        </w:tc>
        <w:tc>
          <w:tcPr>
            <w:tcW w:w="2200" w:type="dxa"/>
            <w:vAlign w:val="bottom"/>
          </w:tcPr>
          <w:p>
            <w:pPr>
              <w:jc w:val="center"/>
              <w:spacing w:after="0"/>
              <w:rPr>
                <w:sz w:val="20"/>
                <w:szCs w:val="20"/>
                <w:color w:val="auto"/>
              </w:rPr>
            </w:pPr>
            <w:r>
              <w:rPr>
                <w:rFonts w:ascii="Arial" w:cs="Arial" w:eastAsia="Arial" w:hAnsi="Arial"/>
                <w:sz w:val="11"/>
                <w:szCs w:val="11"/>
                <w:color w:val="auto"/>
                <w:w w:val="84"/>
              </w:rPr>
              <w:t>Personal Products</w:t>
            </w:r>
          </w:p>
        </w:tc>
        <w:tc>
          <w:tcPr>
            <w:tcW w:w="120" w:type="dxa"/>
            <w:vAlign w:val="bottom"/>
          </w:tcPr>
          <w:p>
            <w:pPr>
              <w:spacing w:after="0"/>
              <w:rPr>
                <w:sz w:val="11"/>
                <w:szCs w:val="11"/>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Pr>
          <w:p>
            <w:pPr>
              <w:ind w:left="800"/>
              <w:spacing w:after="0"/>
              <w:rPr>
                <w:sz w:val="20"/>
                <w:szCs w:val="20"/>
                <w:color w:val="auto"/>
              </w:rPr>
            </w:pPr>
            <w:r>
              <w:rPr>
                <w:rFonts w:ascii="Arial" w:cs="Arial" w:eastAsia="Arial" w:hAnsi="Arial"/>
                <w:sz w:val="11"/>
                <w:szCs w:val="11"/>
                <w:color w:val="auto"/>
                <w:w w:val="90"/>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1,485,953</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227</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5,944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60" w:type="dxa"/>
            <w:vAlign w:val="bottom"/>
            <w:gridSpan w:val="2"/>
          </w:tcPr>
          <w:p>
            <w:pPr>
              <w:ind w:left="20"/>
              <w:spacing w:after="0" w:line="135" w:lineRule="exact"/>
              <w:rPr>
                <w:sz w:val="20"/>
                <w:szCs w:val="20"/>
                <w:color w:val="auto"/>
              </w:rPr>
            </w:pPr>
            <w:r>
              <w:rPr>
                <w:rFonts w:ascii="Arial" w:cs="Arial" w:eastAsia="Arial" w:hAnsi="Arial"/>
                <w:sz w:val="11"/>
                <w:szCs w:val="11"/>
                <w:color w:val="auto"/>
              </w:rPr>
              <w:t xml:space="preserve">Gauge Schlesinger Coinvest LLC </w:t>
            </w:r>
            <w:r>
              <w:rPr>
                <w:rFonts w:ascii="Arial" w:cs="Arial" w:eastAsia="Arial" w:hAnsi="Arial"/>
                <w:sz w:val="14"/>
                <w:szCs w:val="14"/>
                <w:color w:val="auto"/>
                <w:vertAlign w:val="superscript"/>
              </w:rPr>
              <w:t>(7)</w:t>
            </w:r>
          </w:p>
        </w:tc>
        <w:tc>
          <w:tcPr>
            <w:tcW w:w="680" w:type="dxa"/>
            <w:vAlign w:val="bottom"/>
          </w:tcPr>
          <w:p>
            <w:pPr>
              <w:ind w:left="56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1"/>
                <w:szCs w:val="11"/>
                <w:color w:val="auto"/>
              </w:rPr>
            </w:pPr>
          </w:p>
        </w:tc>
        <w:tc>
          <w:tcPr>
            <w:tcW w:w="2200" w:type="dxa"/>
            <w:vAlign w:val="bottom"/>
          </w:tcPr>
          <w:p>
            <w:pPr>
              <w:jc w:val="center"/>
              <w:spacing w:after="0"/>
              <w:rPr>
                <w:sz w:val="20"/>
                <w:szCs w:val="20"/>
                <w:color w:val="auto"/>
              </w:rPr>
            </w:pPr>
            <w:r>
              <w:rPr>
                <w:rFonts w:ascii="Arial" w:cs="Arial" w:eastAsia="Arial" w:hAnsi="Arial"/>
                <w:sz w:val="11"/>
                <w:szCs w:val="11"/>
                <w:color w:val="auto"/>
                <w:w w:val="86"/>
              </w:rPr>
              <w:t>Professional Services</w:t>
            </w:r>
          </w:p>
        </w:tc>
        <w:tc>
          <w:tcPr>
            <w:tcW w:w="120" w:type="dxa"/>
            <w:vAlign w:val="bottom"/>
          </w:tcPr>
          <w:p>
            <w:pPr>
              <w:spacing w:after="0"/>
              <w:rPr>
                <w:sz w:val="11"/>
                <w:szCs w:val="11"/>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Pr>
          <w:p>
            <w:pPr>
              <w:ind w:left="800"/>
              <w:spacing w:after="0"/>
              <w:rPr>
                <w:sz w:val="20"/>
                <w:szCs w:val="20"/>
                <w:color w:val="auto"/>
              </w:rPr>
            </w:pPr>
            <w:r>
              <w:rPr>
                <w:rFonts w:ascii="Arial" w:cs="Arial" w:eastAsia="Arial" w:hAnsi="Arial"/>
                <w:sz w:val="11"/>
                <w:szCs w:val="11"/>
                <w:color w:val="auto"/>
                <w:w w:val="90"/>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437</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437</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440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60" w:type="dxa"/>
            <w:vAlign w:val="bottom"/>
            <w:gridSpan w:val="2"/>
          </w:tcPr>
          <w:p>
            <w:pPr>
              <w:ind w:left="20"/>
              <w:spacing w:after="0" w:line="135" w:lineRule="exact"/>
              <w:rPr>
                <w:sz w:val="20"/>
                <w:szCs w:val="20"/>
                <w:color w:val="auto"/>
              </w:rPr>
            </w:pPr>
            <w:r>
              <w:rPr>
                <w:rFonts w:ascii="Arial" w:cs="Arial" w:eastAsia="Arial" w:hAnsi="Arial"/>
                <w:sz w:val="11"/>
                <w:szCs w:val="11"/>
                <w:color w:val="auto"/>
              </w:rPr>
              <w:t xml:space="preserve">Gauge TVC Coinvest, LLC (TVC Enterprises, LLC) </w:t>
            </w:r>
            <w:r>
              <w:rPr>
                <w:rFonts w:ascii="Arial" w:cs="Arial" w:eastAsia="Arial" w:hAnsi="Arial"/>
                <w:sz w:val="14"/>
                <w:szCs w:val="14"/>
                <w:color w:val="auto"/>
                <w:vertAlign w:val="superscript"/>
              </w:rPr>
              <w:t>(7)</w:t>
            </w:r>
          </w:p>
        </w:tc>
        <w:tc>
          <w:tcPr>
            <w:tcW w:w="680" w:type="dxa"/>
            <w:vAlign w:val="bottom"/>
          </w:tcPr>
          <w:p>
            <w:pPr>
              <w:ind w:left="56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1"/>
                <w:szCs w:val="11"/>
                <w:color w:val="auto"/>
              </w:rPr>
            </w:pPr>
          </w:p>
        </w:tc>
        <w:tc>
          <w:tcPr>
            <w:tcW w:w="2200" w:type="dxa"/>
            <w:vAlign w:val="bottom"/>
          </w:tcPr>
          <w:p>
            <w:pPr>
              <w:jc w:val="center"/>
              <w:spacing w:after="0"/>
              <w:rPr>
                <w:sz w:val="20"/>
                <w:szCs w:val="20"/>
                <w:color w:val="auto"/>
              </w:rPr>
            </w:pPr>
            <w:r>
              <w:rPr>
                <w:rFonts w:ascii="Arial" w:cs="Arial" w:eastAsia="Arial" w:hAnsi="Arial"/>
                <w:sz w:val="11"/>
                <w:szCs w:val="11"/>
                <w:color w:val="auto"/>
                <w:w w:val="86"/>
              </w:rPr>
              <w:t>Professional Services</w:t>
            </w:r>
          </w:p>
        </w:tc>
        <w:tc>
          <w:tcPr>
            <w:tcW w:w="120" w:type="dxa"/>
            <w:vAlign w:val="bottom"/>
          </w:tcPr>
          <w:p>
            <w:pPr>
              <w:spacing w:after="0"/>
              <w:rPr>
                <w:sz w:val="11"/>
                <w:szCs w:val="11"/>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Pr>
          <w:p>
            <w:pPr>
              <w:ind w:left="800"/>
              <w:spacing w:after="0"/>
              <w:rPr>
                <w:sz w:val="20"/>
                <w:szCs w:val="20"/>
                <w:color w:val="auto"/>
              </w:rPr>
            </w:pPr>
            <w:r>
              <w:rPr>
                <w:rFonts w:ascii="Arial" w:cs="Arial" w:eastAsia="Arial" w:hAnsi="Arial"/>
                <w:sz w:val="11"/>
                <w:szCs w:val="11"/>
                <w:color w:val="auto"/>
                <w:w w:val="90"/>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391,144</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1,285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60" w:type="dxa"/>
            <w:vAlign w:val="bottom"/>
            <w:gridSpan w:val="2"/>
          </w:tcPr>
          <w:p>
            <w:pPr>
              <w:ind w:left="20"/>
              <w:spacing w:after="0" w:line="135" w:lineRule="exact"/>
              <w:rPr>
                <w:sz w:val="20"/>
                <w:szCs w:val="20"/>
                <w:color w:val="auto"/>
              </w:rPr>
            </w:pPr>
            <w:r>
              <w:rPr>
                <w:rFonts w:ascii="Arial" w:cs="Arial" w:eastAsia="Arial" w:hAnsi="Arial"/>
                <w:sz w:val="11"/>
                <w:szCs w:val="11"/>
                <w:color w:val="auto"/>
              </w:rPr>
              <w:t xml:space="preserve">GCOM InvestCo LP </w:t>
            </w:r>
            <w:r>
              <w:rPr>
                <w:rFonts w:ascii="Arial" w:cs="Arial" w:eastAsia="Arial" w:hAnsi="Arial"/>
                <w:sz w:val="14"/>
                <w:szCs w:val="14"/>
                <w:color w:val="auto"/>
                <w:vertAlign w:val="superscript"/>
              </w:rPr>
              <w:t>(7),(8)</w:t>
            </w:r>
          </w:p>
        </w:tc>
        <w:tc>
          <w:tcPr>
            <w:tcW w:w="680" w:type="dxa"/>
            <w:vAlign w:val="bottom"/>
          </w:tcPr>
          <w:p>
            <w:pPr>
              <w:ind w:left="56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1"/>
                <w:szCs w:val="11"/>
                <w:color w:val="auto"/>
              </w:rPr>
            </w:pPr>
          </w:p>
        </w:tc>
        <w:tc>
          <w:tcPr>
            <w:tcW w:w="2200" w:type="dxa"/>
            <w:vAlign w:val="bottom"/>
          </w:tcPr>
          <w:p>
            <w:pPr>
              <w:jc w:val="center"/>
              <w:spacing w:after="0"/>
              <w:rPr>
                <w:sz w:val="20"/>
                <w:szCs w:val="20"/>
                <w:color w:val="auto"/>
              </w:rPr>
            </w:pPr>
            <w:r>
              <w:rPr>
                <w:rFonts w:ascii="Arial" w:cs="Arial" w:eastAsia="Arial" w:hAnsi="Arial"/>
                <w:sz w:val="11"/>
                <w:szCs w:val="11"/>
                <w:color w:val="auto"/>
                <w:w w:val="87"/>
              </w:rPr>
              <w:t>IT Services</w:t>
            </w:r>
          </w:p>
        </w:tc>
        <w:tc>
          <w:tcPr>
            <w:tcW w:w="120" w:type="dxa"/>
            <w:vAlign w:val="bottom"/>
          </w:tcPr>
          <w:p>
            <w:pPr>
              <w:spacing w:after="0"/>
              <w:rPr>
                <w:sz w:val="11"/>
                <w:szCs w:val="11"/>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Pr>
          <w:p>
            <w:pPr>
              <w:ind w:left="800"/>
              <w:spacing w:after="0"/>
              <w:rPr>
                <w:sz w:val="20"/>
                <w:szCs w:val="20"/>
                <w:color w:val="auto"/>
              </w:rPr>
            </w:pPr>
            <w:r>
              <w:rPr>
                <w:rFonts w:ascii="Arial" w:cs="Arial" w:eastAsia="Arial" w:hAnsi="Arial"/>
                <w:sz w:val="11"/>
                <w:szCs w:val="11"/>
                <w:color w:val="auto"/>
                <w:w w:val="90"/>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17,951</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2,930</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3,404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260" w:type="dxa"/>
            <w:vAlign w:val="bottom"/>
            <w:gridSpan w:val="2"/>
          </w:tcPr>
          <w:p>
            <w:pPr>
              <w:ind w:left="20"/>
              <w:spacing w:after="0" w:line="155" w:lineRule="exact"/>
              <w:rPr>
                <w:sz w:val="20"/>
                <w:szCs w:val="20"/>
                <w:color w:val="auto"/>
              </w:rPr>
            </w:pPr>
            <w:r>
              <w:rPr>
                <w:rFonts w:ascii="Arial" w:cs="Arial" w:eastAsia="Arial" w:hAnsi="Arial"/>
                <w:sz w:val="11"/>
                <w:szCs w:val="11"/>
                <w:color w:val="auto"/>
              </w:rPr>
              <w:t xml:space="preserve">GCOM InvestCo LP </w:t>
            </w:r>
            <w:r>
              <w:rPr>
                <w:rFonts w:ascii="Arial" w:cs="Arial" w:eastAsia="Arial" w:hAnsi="Arial"/>
                <w:sz w:val="14"/>
                <w:szCs w:val="14"/>
                <w:color w:val="auto"/>
                <w:vertAlign w:val="superscript"/>
              </w:rPr>
              <w:t>(7), (8), (9)</w:t>
            </w:r>
          </w:p>
        </w:tc>
        <w:tc>
          <w:tcPr>
            <w:tcW w:w="680" w:type="dxa"/>
            <w:vAlign w:val="bottom"/>
          </w:tcPr>
          <w:p>
            <w:pPr>
              <w:ind w:left="56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3"/>
                <w:szCs w:val="13"/>
                <w:color w:val="auto"/>
              </w:rPr>
            </w:pPr>
          </w:p>
        </w:tc>
        <w:tc>
          <w:tcPr>
            <w:tcW w:w="2200" w:type="dxa"/>
            <w:vAlign w:val="bottom"/>
          </w:tcPr>
          <w:p>
            <w:pPr>
              <w:jc w:val="center"/>
              <w:spacing w:after="0"/>
              <w:rPr>
                <w:sz w:val="20"/>
                <w:szCs w:val="20"/>
                <w:color w:val="auto"/>
              </w:rPr>
            </w:pPr>
            <w:r>
              <w:rPr>
                <w:rFonts w:ascii="Arial" w:cs="Arial" w:eastAsia="Arial" w:hAnsi="Arial"/>
                <w:sz w:val="11"/>
                <w:szCs w:val="11"/>
                <w:color w:val="auto"/>
                <w:w w:val="87"/>
              </w:rPr>
              <w:t>IT Services</w:t>
            </w:r>
          </w:p>
        </w:tc>
        <w:tc>
          <w:tcPr>
            <w:tcW w:w="120" w:type="dxa"/>
            <w:vAlign w:val="bottom"/>
          </w:tcPr>
          <w:p>
            <w:pPr>
              <w:spacing w:after="0"/>
              <w:rPr>
                <w:sz w:val="13"/>
                <w:szCs w:val="13"/>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Pr>
          <w:p>
            <w:pPr>
              <w:ind w:left="800"/>
              <w:spacing w:after="0"/>
              <w:rPr>
                <w:sz w:val="20"/>
                <w:szCs w:val="20"/>
                <w:color w:val="auto"/>
              </w:rPr>
            </w:pPr>
            <w:r>
              <w:rPr>
                <w:rFonts w:ascii="Arial" w:cs="Arial" w:eastAsia="Arial" w:hAnsi="Arial"/>
                <w:sz w:val="11"/>
                <w:szCs w:val="11"/>
                <w:color w:val="auto"/>
                <w:w w:val="90"/>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2,398</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5"/>
        </w:trPr>
        <w:tc>
          <w:tcPr>
            <w:tcW w:w="3260" w:type="dxa"/>
            <w:vAlign w:val="bottom"/>
            <w:gridSpan w:val="2"/>
          </w:tcPr>
          <w:p>
            <w:pPr>
              <w:ind w:left="20"/>
              <w:spacing w:after="0" w:line="115" w:lineRule="exact"/>
              <w:rPr>
                <w:sz w:val="20"/>
                <w:szCs w:val="20"/>
                <w:color w:val="auto"/>
              </w:rPr>
            </w:pPr>
            <w:r>
              <w:rPr>
                <w:rFonts w:ascii="Arial" w:cs="Arial" w:eastAsia="Arial" w:hAnsi="Arial"/>
                <w:sz w:val="11"/>
                <w:szCs w:val="11"/>
                <w:color w:val="auto"/>
              </w:rPr>
              <w:t>Go Dawgs Capital III, LP</w:t>
            </w:r>
          </w:p>
        </w:tc>
        <w:tc>
          <w:tcPr>
            <w:tcW w:w="680" w:type="dxa"/>
            <w:vAlign w:val="bottom"/>
          </w:tcPr>
          <w:p>
            <w:pPr>
              <w:ind w:left="560"/>
              <w:spacing w:after="0" w:line="115" w:lineRule="exact"/>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9"/>
                <w:szCs w:val="9"/>
                <w:color w:val="auto"/>
              </w:rPr>
            </w:pPr>
          </w:p>
        </w:tc>
        <w:tc>
          <w:tcPr>
            <w:tcW w:w="2200" w:type="dxa"/>
            <w:vAlign w:val="bottom"/>
          </w:tcPr>
          <w:p>
            <w:pPr>
              <w:jc w:val="center"/>
              <w:spacing w:after="0" w:line="115" w:lineRule="exact"/>
              <w:rPr>
                <w:sz w:val="20"/>
                <w:szCs w:val="20"/>
                <w:color w:val="auto"/>
              </w:rPr>
            </w:pPr>
            <w:r>
              <w:rPr>
                <w:rFonts w:ascii="Arial" w:cs="Arial" w:eastAsia="Arial" w:hAnsi="Arial"/>
                <w:sz w:val="11"/>
                <w:szCs w:val="11"/>
                <w:color w:val="auto"/>
                <w:w w:val="93"/>
              </w:rPr>
              <w:t>Building Products</w:t>
            </w:r>
          </w:p>
        </w:tc>
        <w:tc>
          <w:tcPr>
            <w:tcW w:w="120" w:type="dxa"/>
            <w:vAlign w:val="bottom"/>
          </w:tcPr>
          <w:p>
            <w:pPr>
              <w:spacing w:after="0"/>
              <w:rPr>
                <w:sz w:val="9"/>
                <w:szCs w:val="9"/>
                <w:color w:val="auto"/>
              </w:rPr>
            </w:pPr>
          </w:p>
        </w:tc>
        <w:tc>
          <w:tcPr>
            <w:tcW w:w="960" w:type="dxa"/>
            <w:vAlign w:val="bottom"/>
            <w:gridSpan w:val="2"/>
          </w:tcPr>
          <w:p>
            <w:pPr>
              <w:jc w:val="right"/>
              <w:ind w:right="260"/>
              <w:spacing w:after="0" w:line="115" w:lineRule="exact"/>
              <w:rPr>
                <w:sz w:val="20"/>
                <w:szCs w:val="20"/>
                <w:color w:val="auto"/>
              </w:rPr>
            </w:pPr>
            <w:r>
              <w:rPr>
                <w:rFonts w:ascii="Arial" w:cs="Arial" w:eastAsia="Arial" w:hAnsi="Arial"/>
                <w:sz w:val="11"/>
                <w:szCs w:val="11"/>
                <w:color w:val="auto"/>
              </w:rPr>
              <w:t>—</w:t>
            </w:r>
          </w:p>
        </w:tc>
        <w:tc>
          <w:tcPr>
            <w:tcW w:w="920" w:type="dxa"/>
            <w:vAlign w:val="bottom"/>
          </w:tcPr>
          <w:p>
            <w:pPr>
              <w:ind w:left="800"/>
              <w:spacing w:after="0" w:line="115" w:lineRule="exact"/>
              <w:rPr>
                <w:sz w:val="20"/>
                <w:szCs w:val="20"/>
                <w:color w:val="auto"/>
              </w:rPr>
            </w:pPr>
            <w:r>
              <w:rPr>
                <w:rFonts w:ascii="Arial" w:cs="Arial" w:eastAsia="Arial" w:hAnsi="Arial"/>
                <w:sz w:val="11"/>
                <w:szCs w:val="11"/>
                <w:color w:val="auto"/>
                <w:w w:val="90"/>
              </w:rPr>
              <w:t>—</w:t>
            </w:r>
          </w:p>
        </w:tc>
        <w:tc>
          <w:tcPr>
            <w:tcW w:w="90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324,675</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jc w:val="right"/>
              <w:spacing w:after="0" w:line="115" w:lineRule="exact"/>
              <w:rPr>
                <w:sz w:val="20"/>
                <w:szCs w:val="20"/>
                <w:color w:val="auto"/>
              </w:rPr>
            </w:pPr>
            <w:r>
              <w:rPr>
                <w:rFonts w:ascii="Arial" w:cs="Arial" w:eastAsia="Arial" w:hAnsi="Arial"/>
                <w:sz w:val="11"/>
                <w:szCs w:val="11"/>
                <w:color w:val="auto"/>
              </w:rPr>
              <w:t>325</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jc w:val="right"/>
              <w:spacing w:after="0" w:line="115" w:lineRule="exact"/>
              <w:rPr>
                <w:sz w:val="20"/>
                <w:szCs w:val="20"/>
                <w:color w:val="auto"/>
              </w:rPr>
            </w:pPr>
            <w:r>
              <w:rPr>
                <w:rFonts w:ascii="Arial" w:cs="Arial" w:eastAsia="Arial" w:hAnsi="Arial"/>
                <w:sz w:val="11"/>
                <w:szCs w:val="11"/>
                <w:color w:val="auto"/>
              </w:rPr>
              <w:t>406</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60" w:type="dxa"/>
            <w:vAlign w:val="bottom"/>
            <w:gridSpan w:val="2"/>
          </w:tcPr>
          <w:p>
            <w:pPr>
              <w:ind w:left="100"/>
              <w:spacing w:after="0" w:line="135" w:lineRule="exact"/>
              <w:rPr>
                <w:sz w:val="20"/>
                <w:szCs w:val="20"/>
                <w:color w:val="auto"/>
              </w:rPr>
            </w:pPr>
            <w:r>
              <w:rPr>
                <w:rFonts w:ascii="Arial" w:cs="Arial" w:eastAsia="Arial" w:hAnsi="Arial"/>
                <w:sz w:val="11"/>
                <w:szCs w:val="11"/>
                <w:color w:val="auto"/>
              </w:rPr>
              <w:t xml:space="preserve">(American Insulated Glass, LLC) </w:t>
            </w:r>
            <w:r>
              <w:rPr>
                <w:rFonts w:ascii="Arial" w:cs="Arial" w:eastAsia="Arial" w:hAnsi="Arial"/>
                <w:sz w:val="14"/>
                <w:szCs w:val="14"/>
                <w:color w:val="auto"/>
                <w:vertAlign w:val="superscript"/>
              </w:rPr>
              <w:t>(7), (8)</w:t>
            </w: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260" w:type="dxa"/>
            <w:vAlign w:val="bottom"/>
            <w:gridSpan w:val="2"/>
          </w:tcPr>
          <w:p>
            <w:pPr>
              <w:ind w:left="20"/>
              <w:spacing w:after="0" w:line="155" w:lineRule="exact"/>
              <w:rPr>
                <w:sz w:val="20"/>
                <w:szCs w:val="20"/>
                <w:color w:val="auto"/>
              </w:rPr>
            </w:pPr>
            <w:r>
              <w:rPr>
                <w:rFonts w:ascii="Arial" w:cs="Arial" w:eastAsia="Arial" w:hAnsi="Arial"/>
                <w:sz w:val="11"/>
                <w:szCs w:val="11"/>
                <w:color w:val="auto"/>
              </w:rPr>
              <w:t xml:space="preserve">Hancock Claims Consultants Investors, LLC </w:t>
            </w:r>
            <w:r>
              <w:rPr>
                <w:rFonts w:ascii="Arial" w:cs="Arial" w:eastAsia="Arial" w:hAnsi="Arial"/>
                <w:sz w:val="14"/>
                <w:szCs w:val="14"/>
                <w:color w:val="auto"/>
                <w:vertAlign w:val="superscript"/>
              </w:rPr>
              <w:t>(7), (8)</w:t>
            </w:r>
          </w:p>
        </w:tc>
        <w:tc>
          <w:tcPr>
            <w:tcW w:w="680" w:type="dxa"/>
            <w:vAlign w:val="bottom"/>
          </w:tcPr>
          <w:p>
            <w:pPr>
              <w:ind w:left="56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3"/>
                <w:szCs w:val="13"/>
                <w:color w:val="auto"/>
              </w:rPr>
            </w:pPr>
          </w:p>
        </w:tc>
        <w:tc>
          <w:tcPr>
            <w:tcW w:w="2200" w:type="dxa"/>
            <w:vAlign w:val="bottom"/>
          </w:tcPr>
          <w:p>
            <w:pPr>
              <w:jc w:val="center"/>
              <w:spacing w:after="0"/>
              <w:rPr>
                <w:sz w:val="20"/>
                <w:szCs w:val="20"/>
                <w:color w:val="auto"/>
              </w:rPr>
            </w:pPr>
            <w:r>
              <w:rPr>
                <w:rFonts w:ascii="Arial" w:cs="Arial" w:eastAsia="Arial" w:hAnsi="Arial"/>
                <w:sz w:val="11"/>
                <w:szCs w:val="11"/>
                <w:color w:val="auto"/>
                <w:w w:val="86"/>
              </w:rPr>
              <w:t>Insurance</w:t>
            </w:r>
          </w:p>
        </w:tc>
        <w:tc>
          <w:tcPr>
            <w:tcW w:w="120" w:type="dxa"/>
            <w:vAlign w:val="bottom"/>
          </w:tcPr>
          <w:p>
            <w:pPr>
              <w:spacing w:after="0"/>
              <w:rPr>
                <w:sz w:val="13"/>
                <w:szCs w:val="13"/>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Pr>
          <w:p>
            <w:pPr>
              <w:ind w:left="800"/>
              <w:spacing w:after="0"/>
              <w:rPr>
                <w:sz w:val="20"/>
                <w:szCs w:val="20"/>
                <w:color w:val="auto"/>
              </w:rPr>
            </w:pPr>
            <w:r>
              <w:rPr>
                <w:rFonts w:ascii="Arial" w:cs="Arial" w:eastAsia="Arial" w:hAnsi="Arial"/>
                <w:sz w:val="11"/>
                <w:szCs w:val="11"/>
                <w:color w:val="auto"/>
                <w:w w:val="90"/>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450,000</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450</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613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3260" w:type="dxa"/>
            <w:vAlign w:val="bottom"/>
            <w:gridSpan w:val="2"/>
          </w:tcPr>
          <w:p>
            <w:pPr>
              <w:ind w:left="20"/>
              <w:spacing w:after="0" w:line="115" w:lineRule="exact"/>
              <w:rPr>
                <w:sz w:val="20"/>
                <w:szCs w:val="20"/>
                <w:color w:val="auto"/>
              </w:rPr>
            </w:pPr>
            <w:r>
              <w:rPr>
                <w:rFonts w:ascii="Arial" w:cs="Arial" w:eastAsia="Arial" w:hAnsi="Arial"/>
                <w:sz w:val="11"/>
                <w:szCs w:val="11"/>
                <w:color w:val="auto"/>
              </w:rPr>
              <w:t>IIN Group Holdings, LLC</w:t>
            </w:r>
          </w:p>
        </w:tc>
        <w:tc>
          <w:tcPr>
            <w:tcW w:w="680" w:type="dxa"/>
            <w:vAlign w:val="bottom"/>
          </w:tcPr>
          <w:p>
            <w:pPr>
              <w:ind w:left="560"/>
              <w:spacing w:after="0" w:line="115" w:lineRule="exact"/>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9"/>
                <w:szCs w:val="9"/>
                <w:color w:val="auto"/>
              </w:rPr>
            </w:pPr>
          </w:p>
        </w:tc>
        <w:tc>
          <w:tcPr>
            <w:tcW w:w="2200" w:type="dxa"/>
            <w:vAlign w:val="bottom"/>
          </w:tcPr>
          <w:p>
            <w:pPr>
              <w:jc w:val="center"/>
              <w:spacing w:after="0" w:line="115" w:lineRule="exact"/>
              <w:rPr>
                <w:sz w:val="20"/>
                <w:szCs w:val="20"/>
                <w:color w:val="auto"/>
              </w:rPr>
            </w:pPr>
            <w:r>
              <w:rPr>
                <w:rFonts w:ascii="Arial" w:cs="Arial" w:eastAsia="Arial" w:hAnsi="Arial"/>
                <w:sz w:val="11"/>
                <w:szCs w:val="11"/>
                <w:color w:val="auto"/>
                <w:w w:val="87"/>
              </w:rPr>
              <w:t>Consumer Services</w:t>
            </w:r>
          </w:p>
        </w:tc>
        <w:tc>
          <w:tcPr>
            <w:tcW w:w="120" w:type="dxa"/>
            <w:vAlign w:val="bottom"/>
          </w:tcPr>
          <w:p>
            <w:pPr>
              <w:spacing w:after="0"/>
              <w:rPr>
                <w:sz w:val="9"/>
                <w:szCs w:val="9"/>
                <w:color w:val="auto"/>
              </w:rPr>
            </w:pPr>
          </w:p>
        </w:tc>
        <w:tc>
          <w:tcPr>
            <w:tcW w:w="960" w:type="dxa"/>
            <w:vAlign w:val="bottom"/>
            <w:gridSpan w:val="2"/>
          </w:tcPr>
          <w:p>
            <w:pPr>
              <w:jc w:val="right"/>
              <w:ind w:right="260"/>
              <w:spacing w:after="0" w:line="115" w:lineRule="exact"/>
              <w:rPr>
                <w:sz w:val="20"/>
                <w:szCs w:val="20"/>
                <w:color w:val="auto"/>
              </w:rPr>
            </w:pPr>
            <w:r>
              <w:rPr>
                <w:rFonts w:ascii="Arial" w:cs="Arial" w:eastAsia="Arial" w:hAnsi="Arial"/>
                <w:sz w:val="11"/>
                <w:szCs w:val="11"/>
                <w:color w:val="auto"/>
              </w:rPr>
              <w:t>—</w:t>
            </w:r>
          </w:p>
        </w:tc>
        <w:tc>
          <w:tcPr>
            <w:tcW w:w="920" w:type="dxa"/>
            <w:vAlign w:val="bottom"/>
          </w:tcPr>
          <w:p>
            <w:pPr>
              <w:ind w:left="800"/>
              <w:spacing w:after="0" w:line="115" w:lineRule="exact"/>
              <w:rPr>
                <w:sz w:val="20"/>
                <w:szCs w:val="20"/>
                <w:color w:val="auto"/>
              </w:rPr>
            </w:pPr>
            <w:r>
              <w:rPr>
                <w:rFonts w:ascii="Arial" w:cs="Arial" w:eastAsia="Arial" w:hAnsi="Arial"/>
                <w:sz w:val="11"/>
                <w:szCs w:val="11"/>
                <w:color w:val="auto"/>
                <w:w w:val="90"/>
              </w:rPr>
              <w:t>—</w:t>
            </w:r>
          </w:p>
        </w:tc>
        <w:tc>
          <w:tcPr>
            <w:tcW w:w="90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1,000</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jc w:val="right"/>
              <w:spacing w:after="0" w:line="115" w:lineRule="exact"/>
              <w:rPr>
                <w:sz w:val="20"/>
                <w:szCs w:val="20"/>
                <w:color w:val="auto"/>
              </w:rPr>
            </w:pPr>
            <w:r>
              <w:rPr>
                <w:rFonts w:ascii="Arial" w:cs="Arial" w:eastAsia="Arial" w:hAnsi="Arial"/>
                <w:sz w:val="11"/>
                <w:szCs w:val="11"/>
                <w:color w:val="auto"/>
              </w:rPr>
              <w:t>1,000</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jc w:val="right"/>
              <w:spacing w:after="0" w:line="115" w:lineRule="exact"/>
              <w:rPr>
                <w:sz w:val="20"/>
                <w:szCs w:val="20"/>
                <w:color w:val="auto"/>
              </w:rPr>
            </w:pPr>
            <w:r>
              <w:rPr>
                <w:rFonts w:ascii="Arial" w:cs="Arial" w:eastAsia="Arial" w:hAnsi="Arial"/>
                <w:sz w:val="11"/>
                <w:szCs w:val="11"/>
                <w:color w:val="auto"/>
              </w:rPr>
              <w:t>1,950</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60" w:type="dxa"/>
            <w:vAlign w:val="bottom"/>
            <w:gridSpan w:val="2"/>
          </w:tcPr>
          <w:p>
            <w:pPr>
              <w:ind w:left="100"/>
              <w:spacing w:after="0" w:line="135" w:lineRule="exact"/>
              <w:rPr>
                <w:sz w:val="20"/>
                <w:szCs w:val="20"/>
                <w:color w:val="auto"/>
              </w:rPr>
            </w:pPr>
            <w:r>
              <w:rPr>
                <w:rFonts w:ascii="Arial" w:cs="Arial" w:eastAsia="Arial" w:hAnsi="Arial"/>
                <w:sz w:val="11"/>
                <w:szCs w:val="11"/>
                <w:color w:val="auto"/>
              </w:rPr>
              <w:t xml:space="preserve">(Integrative Nutrition, LLC) </w:t>
            </w:r>
            <w:r>
              <w:rPr>
                <w:rFonts w:ascii="Arial" w:cs="Arial" w:eastAsia="Arial" w:hAnsi="Arial"/>
                <w:sz w:val="14"/>
                <w:szCs w:val="14"/>
                <w:color w:val="auto"/>
                <w:vertAlign w:val="superscript"/>
              </w:rPr>
              <w:t>(7), (8)</w:t>
            </w: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60" w:type="dxa"/>
            <w:vAlign w:val="bottom"/>
            <w:gridSpan w:val="2"/>
          </w:tcPr>
          <w:p>
            <w:pPr>
              <w:ind w:left="20"/>
              <w:spacing w:after="0" w:line="135" w:lineRule="exact"/>
              <w:rPr>
                <w:sz w:val="20"/>
                <w:szCs w:val="20"/>
                <w:color w:val="auto"/>
              </w:rPr>
            </w:pPr>
            <w:r>
              <w:rPr>
                <w:rFonts w:ascii="Arial" w:cs="Arial" w:eastAsia="Arial" w:hAnsi="Arial"/>
                <w:sz w:val="11"/>
                <w:szCs w:val="11"/>
                <w:color w:val="auto"/>
              </w:rPr>
              <w:t xml:space="preserve">Ironclad Holdco, LLC (Applied Technical Services, LLC) </w:t>
            </w:r>
            <w:r>
              <w:rPr>
                <w:rFonts w:ascii="Arial" w:cs="Arial" w:eastAsia="Arial" w:hAnsi="Arial"/>
                <w:sz w:val="14"/>
                <w:szCs w:val="14"/>
                <w:color w:val="auto"/>
                <w:vertAlign w:val="superscript"/>
              </w:rPr>
              <w:t>(7), (8)</w:t>
            </w:r>
          </w:p>
        </w:tc>
        <w:tc>
          <w:tcPr>
            <w:tcW w:w="680" w:type="dxa"/>
            <w:vAlign w:val="bottom"/>
          </w:tcPr>
          <w:p>
            <w:pPr>
              <w:ind w:left="56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1"/>
                <w:szCs w:val="11"/>
                <w:color w:val="auto"/>
              </w:rPr>
            </w:pPr>
          </w:p>
        </w:tc>
        <w:tc>
          <w:tcPr>
            <w:tcW w:w="2200" w:type="dxa"/>
            <w:vAlign w:val="bottom"/>
          </w:tcPr>
          <w:p>
            <w:pPr>
              <w:jc w:val="center"/>
              <w:spacing w:after="0"/>
              <w:rPr>
                <w:sz w:val="20"/>
                <w:szCs w:val="20"/>
                <w:color w:val="auto"/>
              </w:rPr>
            </w:pPr>
            <w:r>
              <w:rPr>
                <w:rFonts w:ascii="Arial" w:cs="Arial" w:eastAsia="Arial" w:hAnsi="Arial"/>
                <w:sz w:val="11"/>
                <w:szCs w:val="11"/>
                <w:color w:val="auto"/>
                <w:w w:val="90"/>
              </w:rPr>
              <w:t>Commercial Services &amp; Supplies</w:t>
            </w:r>
          </w:p>
        </w:tc>
        <w:tc>
          <w:tcPr>
            <w:tcW w:w="120" w:type="dxa"/>
            <w:vAlign w:val="bottom"/>
          </w:tcPr>
          <w:p>
            <w:pPr>
              <w:spacing w:after="0"/>
              <w:rPr>
                <w:sz w:val="11"/>
                <w:szCs w:val="11"/>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Pr>
          <w:p>
            <w:pPr>
              <w:ind w:left="800"/>
              <w:spacing w:after="0"/>
              <w:rPr>
                <w:sz w:val="20"/>
                <w:szCs w:val="20"/>
                <w:color w:val="auto"/>
              </w:rPr>
            </w:pPr>
            <w:r>
              <w:rPr>
                <w:rFonts w:ascii="Arial" w:cs="Arial" w:eastAsia="Arial" w:hAnsi="Arial"/>
                <w:sz w:val="11"/>
                <w:szCs w:val="11"/>
                <w:color w:val="auto"/>
                <w:w w:val="90"/>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5,040</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496</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552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60" w:type="dxa"/>
            <w:vAlign w:val="bottom"/>
            <w:gridSpan w:val="2"/>
          </w:tcPr>
          <w:p>
            <w:pPr>
              <w:ind w:left="20"/>
              <w:spacing w:after="0" w:line="135" w:lineRule="exact"/>
              <w:rPr>
                <w:sz w:val="20"/>
                <w:szCs w:val="20"/>
                <w:color w:val="auto"/>
              </w:rPr>
            </w:pPr>
            <w:r>
              <w:rPr>
                <w:rFonts w:ascii="Arial" w:cs="Arial" w:eastAsia="Arial" w:hAnsi="Arial"/>
                <w:sz w:val="11"/>
                <w:szCs w:val="11"/>
                <w:color w:val="auto"/>
              </w:rPr>
              <w:t xml:space="preserve">ITC Rumba, LLC (Cano Health, LLC) </w:t>
            </w:r>
            <w:r>
              <w:rPr>
                <w:rFonts w:ascii="Arial" w:cs="Arial" w:eastAsia="Arial" w:hAnsi="Arial"/>
                <w:sz w:val="14"/>
                <w:szCs w:val="14"/>
                <w:color w:val="auto"/>
                <w:vertAlign w:val="superscript"/>
              </w:rPr>
              <w:t>(7),(8)</w:t>
            </w:r>
          </w:p>
        </w:tc>
        <w:tc>
          <w:tcPr>
            <w:tcW w:w="680" w:type="dxa"/>
            <w:vAlign w:val="bottom"/>
          </w:tcPr>
          <w:p>
            <w:pPr>
              <w:ind w:left="56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1"/>
                <w:szCs w:val="11"/>
                <w:color w:val="auto"/>
              </w:rPr>
            </w:pPr>
          </w:p>
        </w:tc>
        <w:tc>
          <w:tcPr>
            <w:tcW w:w="2200" w:type="dxa"/>
            <w:vAlign w:val="bottom"/>
          </w:tcPr>
          <w:p>
            <w:pPr>
              <w:jc w:val="center"/>
              <w:spacing w:after="0"/>
              <w:rPr>
                <w:sz w:val="20"/>
                <w:szCs w:val="20"/>
                <w:color w:val="auto"/>
              </w:rPr>
            </w:pPr>
            <w:r>
              <w:rPr>
                <w:rFonts w:ascii="Arial" w:cs="Arial" w:eastAsia="Arial" w:hAnsi="Arial"/>
                <w:sz w:val="11"/>
                <w:szCs w:val="11"/>
                <w:color w:val="auto"/>
                <w:w w:val="88"/>
              </w:rPr>
              <w:t>Healthcare and Pharmaceuticals</w:t>
            </w:r>
          </w:p>
        </w:tc>
        <w:tc>
          <w:tcPr>
            <w:tcW w:w="120" w:type="dxa"/>
            <w:vAlign w:val="bottom"/>
          </w:tcPr>
          <w:p>
            <w:pPr>
              <w:spacing w:after="0"/>
              <w:rPr>
                <w:sz w:val="11"/>
                <w:szCs w:val="11"/>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Pr>
          <w:p>
            <w:pPr>
              <w:ind w:left="800"/>
              <w:spacing w:after="0"/>
              <w:rPr>
                <w:sz w:val="20"/>
                <w:szCs w:val="20"/>
                <w:color w:val="auto"/>
              </w:rPr>
            </w:pPr>
            <w:r>
              <w:rPr>
                <w:rFonts w:ascii="Arial" w:cs="Arial" w:eastAsia="Arial" w:hAnsi="Arial"/>
                <w:sz w:val="11"/>
                <w:szCs w:val="11"/>
                <w:color w:val="auto"/>
                <w:w w:val="90"/>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46,763</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110</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7,569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260" w:type="dxa"/>
            <w:vAlign w:val="bottom"/>
            <w:gridSpan w:val="2"/>
          </w:tcPr>
          <w:p>
            <w:pPr>
              <w:ind w:left="20"/>
              <w:spacing w:after="0" w:line="155" w:lineRule="exact"/>
              <w:rPr>
                <w:sz w:val="20"/>
                <w:szCs w:val="20"/>
                <w:color w:val="auto"/>
              </w:rPr>
            </w:pPr>
            <w:r>
              <w:rPr>
                <w:rFonts w:ascii="Arial" w:cs="Arial" w:eastAsia="Arial" w:hAnsi="Arial"/>
                <w:sz w:val="11"/>
                <w:szCs w:val="11"/>
                <w:color w:val="auto"/>
                <w:w w:val="95"/>
              </w:rPr>
              <w:t xml:space="preserve">JWC/UMA Holdings, L.P. (Urology Management Associates, LLC) </w:t>
            </w:r>
            <w:r>
              <w:rPr>
                <w:rFonts w:ascii="Arial" w:cs="Arial" w:eastAsia="Arial" w:hAnsi="Arial"/>
                <w:sz w:val="14"/>
                <w:szCs w:val="14"/>
                <w:color w:val="auto"/>
                <w:w w:val="95"/>
                <w:vertAlign w:val="superscript"/>
              </w:rPr>
              <w:t>(7)</w:t>
            </w:r>
          </w:p>
        </w:tc>
        <w:tc>
          <w:tcPr>
            <w:tcW w:w="680" w:type="dxa"/>
            <w:vAlign w:val="bottom"/>
          </w:tcPr>
          <w:p>
            <w:pPr>
              <w:ind w:left="56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3"/>
                <w:szCs w:val="13"/>
                <w:color w:val="auto"/>
              </w:rPr>
            </w:pPr>
          </w:p>
        </w:tc>
        <w:tc>
          <w:tcPr>
            <w:tcW w:w="2200" w:type="dxa"/>
            <w:vAlign w:val="bottom"/>
          </w:tcPr>
          <w:p>
            <w:pPr>
              <w:jc w:val="center"/>
              <w:spacing w:after="0"/>
              <w:rPr>
                <w:sz w:val="20"/>
                <w:szCs w:val="20"/>
                <w:color w:val="auto"/>
              </w:rPr>
            </w:pPr>
            <w:r>
              <w:rPr>
                <w:rFonts w:ascii="Arial" w:cs="Arial" w:eastAsia="Arial" w:hAnsi="Arial"/>
                <w:sz w:val="11"/>
                <w:szCs w:val="11"/>
                <w:color w:val="auto"/>
                <w:w w:val="88"/>
              </w:rPr>
              <w:t>Healthcare and Pharmaceuticals</w:t>
            </w:r>
          </w:p>
        </w:tc>
        <w:tc>
          <w:tcPr>
            <w:tcW w:w="120" w:type="dxa"/>
            <w:vAlign w:val="bottom"/>
          </w:tcPr>
          <w:p>
            <w:pPr>
              <w:spacing w:after="0"/>
              <w:rPr>
                <w:sz w:val="13"/>
                <w:szCs w:val="13"/>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Pr>
          <w:p>
            <w:pPr>
              <w:ind w:left="800"/>
              <w:spacing w:after="0"/>
              <w:rPr>
                <w:sz w:val="20"/>
                <w:szCs w:val="20"/>
                <w:color w:val="auto"/>
              </w:rPr>
            </w:pPr>
            <w:r>
              <w:rPr>
                <w:rFonts w:ascii="Arial" w:cs="Arial" w:eastAsia="Arial" w:hAnsi="Arial"/>
                <w:sz w:val="11"/>
                <w:szCs w:val="11"/>
                <w:color w:val="auto"/>
                <w:w w:val="90"/>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1,000</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1,000</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1,667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3260" w:type="dxa"/>
            <w:vAlign w:val="bottom"/>
            <w:gridSpan w:val="2"/>
          </w:tcPr>
          <w:p>
            <w:pPr>
              <w:ind w:left="20"/>
              <w:spacing w:after="0" w:line="115" w:lineRule="exact"/>
              <w:rPr>
                <w:sz w:val="20"/>
                <w:szCs w:val="20"/>
                <w:color w:val="auto"/>
              </w:rPr>
            </w:pPr>
            <w:r>
              <w:rPr>
                <w:rFonts w:ascii="Arial" w:cs="Arial" w:eastAsia="Arial" w:hAnsi="Arial"/>
                <w:sz w:val="11"/>
                <w:szCs w:val="11"/>
                <w:color w:val="auto"/>
              </w:rPr>
              <w:t>JWC-WE Holdings, L.P.</w:t>
            </w:r>
          </w:p>
        </w:tc>
        <w:tc>
          <w:tcPr>
            <w:tcW w:w="680" w:type="dxa"/>
            <w:vAlign w:val="bottom"/>
          </w:tcPr>
          <w:p>
            <w:pPr>
              <w:ind w:left="560"/>
              <w:spacing w:after="0" w:line="115" w:lineRule="exact"/>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9"/>
                <w:szCs w:val="9"/>
                <w:color w:val="auto"/>
              </w:rPr>
            </w:pPr>
          </w:p>
        </w:tc>
        <w:tc>
          <w:tcPr>
            <w:tcW w:w="2200" w:type="dxa"/>
            <w:vAlign w:val="bottom"/>
          </w:tcPr>
          <w:p>
            <w:pPr>
              <w:jc w:val="center"/>
              <w:spacing w:after="0" w:line="115" w:lineRule="exact"/>
              <w:rPr>
                <w:sz w:val="20"/>
                <w:szCs w:val="20"/>
                <w:color w:val="auto"/>
              </w:rPr>
            </w:pPr>
            <w:r>
              <w:rPr>
                <w:rFonts w:ascii="Arial" w:cs="Arial" w:eastAsia="Arial" w:hAnsi="Arial"/>
                <w:sz w:val="11"/>
                <w:szCs w:val="11"/>
                <w:color w:val="auto"/>
                <w:w w:val="85"/>
              </w:rPr>
              <w:t>Wholesale</w:t>
            </w:r>
          </w:p>
        </w:tc>
        <w:tc>
          <w:tcPr>
            <w:tcW w:w="120" w:type="dxa"/>
            <w:vAlign w:val="bottom"/>
          </w:tcPr>
          <w:p>
            <w:pPr>
              <w:spacing w:after="0"/>
              <w:rPr>
                <w:sz w:val="9"/>
                <w:szCs w:val="9"/>
                <w:color w:val="auto"/>
              </w:rPr>
            </w:pPr>
          </w:p>
        </w:tc>
        <w:tc>
          <w:tcPr>
            <w:tcW w:w="960" w:type="dxa"/>
            <w:vAlign w:val="bottom"/>
            <w:gridSpan w:val="2"/>
          </w:tcPr>
          <w:p>
            <w:pPr>
              <w:jc w:val="right"/>
              <w:ind w:right="260"/>
              <w:spacing w:after="0" w:line="115" w:lineRule="exact"/>
              <w:rPr>
                <w:sz w:val="20"/>
                <w:szCs w:val="20"/>
                <w:color w:val="auto"/>
              </w:rPr>
            </w:pPr>
            <w:r>
              <w:rPr>
                <w:rFonts w:ascii="Arial" w:cs="Arial" w:eastAsia="Arial" w:hAnsi="Arial"/>
                <w:sz w:val="11"/>
                <w:szCs w:val="11"/>
                <w:color w:val="auto"/>
              </w:rPr>
              <w:t>—</w:t>
            </w:r>
          </w:p>
        </w:tc>
        <w:tc>
          <w:tcPr>
            <w:tcW w:w="920" w:type="dxa"/>
            <w:vAlign w:val="bottom"/>
          </w:tcPr>
          <w:p>
            <w:pPr>
              <w:ind w:left="800"/>
              <w:spacing w:after="0" w:line="115" w:lineRule="exact"/>
              <w:rPr>
                <w:sz w:val="20"/>
                <w:szCs w:val="20"/>
                <w:color w:val="auto"/>
              </w:rPr>
            </w:pPr>
            <w:r>
              <w:rPr>
                <w:rFonts w:ascii="Arial" w:cs="Arial" w:eastAsia="Arial" w:hAnsi="Arial"/>
                <w:sz w:val="11"/>
                <w:szCs w:val="11"/>
                <w:color w:val="auto"/>
                <w:w w:val="90"/>
              </w:rPr>
              <w:t>—</w:t>
            </w:r>
          </w:p>
        </w:tc>
        <w:tc>
          <w:tcPr>
            <w:tcW w:w="90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1,381,741</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jc w:val="right"/>
              <w:spacing w:after="0" w:line="115" w:lineRule="exact"/>
              <w:rPr>
                <w:sz w:val="20"/>
                <w:szCs w:val="20"/>
                <w:color w:val="auto"/>
              </w:rPr>
            </w:pPr>
            <w:r>
              <w:rPr>
                <w:rFonts w:ascii="Arial" w:cs="Arial" w:eastAsia="Arial" w:hAnsi="Arial"/>
                <w:sz w:val="11"/>
                <w:szCs w:val="11"/>
                <w:color w:val="auto"/>
              </w:rPr>
              <w:t>—</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jc w:val="right"/>
              <w:spacing w:after="0" w:line="115" w:lineRule="exact"/>
              <w:rPr>
                <w:sz w:val="20"/>
                <w:szCs w:val="20"/>
                <w:color w:val="auto"/>
              </w:rPr>
            </w:pPr>
            <w:r>
              <w:rPr>
                <w:rFonts w:ascii="Arial" w:cs="Arial" w:eastAsia="Arial" w:hAnsi="Arial"/>
                <w:sz w:val="11"/>
                <w:szCs w:val="11"/>
                <w:color w:val="auto"/>
              </w:rPr>
              <w:t>4,795</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60" w:type="dxa"/>
            <w:vAlign w:val="bottom"/>
            <w:gridSpan w:val="2"/>
          </w:tcPr>
          <w:p>
            <w:pPr>
              <w:ind w:left="100"/>
              <w:spacing w:after="0" w:line="135" w:lineRule="exact"/>
              <w:rPr>
                <w:sz w:val="20"/>
                <w:szCs w:val="20"/>
                <w:color w:val="auto"/>
              </w:rPr>
            </w:pPr>
            <w:r>
              <w:rPr>
                <w:rFonts w:ascii="Arial" w:cs="Arial" w:eastAsia="Arial" w:hAnsi="Arial"/>
                <w:sz w:val="11"/>
                <w:szCs w:val="11"/>
                <w:color w:val="auto"/>
              </w:rPr>
              <w:t xml:space="preserve">(Walker Edison Furniture Company LLC) </w:t>
            </w:r>
            <w:r>
              <w:rPr>
                <w:rFonts w:ascii="Arial" w:cs="Arial" w:eastAsia="Arial" w:hAnsi="Arial"/>
                <w:sz w:val="14"/>
                <w:szCs w:val="14"/>
                <w:color w:val="auto"/>
                <w:vertAlign w:val="superscript"/>
              </w:rPr>
              <w:t>(7), (8)</w:t>
            </w: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60" w:type="dxa"/>
            <w:vAlign w:val="bottom"/>
            <w:gridSpan w:val="2"/>
          </w:tcPr>
          <w:p>
            <w:pPr>
              <w:ind w:left="20"/>
              <w:spacing w:after="0" w:line="135" w:lineRule="exact"/>
              <w:rPr>
                <w:sz w:val="20"/>
                <w:szCs w:val="20"/>
                <w:color w:val="auto"/>
              </w:rPr>
            </w:pPr>
            <w:r>
              <w:rPr>
                <w:rFonts w:ascii="Arial" w:cs="Arial" w:eastAsia="Arial" w:hAnsi="Arial"/>
                <w:sz w:val="11"/>
                <w:szCs w:val="11"/>
                <w:color w:val="auto"/>
              </w:rPr>
              <w:t xml:space="preserve">KL Stockton Co-Invest LP (Any Hour Services) </w:t>
            </w:r>
            <w:r>
              <w:rPr>
                <w:rFonts w:ascii="Arial" w:cs="Arial" w:eastAsia="Arial" w:hAnsi="Arial"/>
                <w:sz w:val="14"/>
                <w:szCs w:val="14"/>
                <w:color w:val="auto"/>
                <w:vertAlign w:val="superscript"/>
              </w:rPr>
              <w:t>(7),(8)</w:t>
            </w:r>
          </w:p>
        </w:tc>
        <w:tc>
          <w:tcPr>
            <w:tcW w:w="680" w:type="dxa"/>
            <w:vAlign w:val="bottom"/>
          </w:tcPr>
          <w:p>
            <w:pPr>
              <w:ind w:left="56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1"/>
                <w:szCs w:val="11"/>
                <w:color w:val="auto"/>
              </w:rPr>
            </w:pPr>
          </w:p>
        </w:tc>
        <w:tc>
          <w:tcPr>
            <w:tcW w:w="2200" w:type="dxa"/>
            <w:vAlign w:val="bottom"/>
          </w:tcPr>
          <w:p>
            <w:pPr>
              <w:jc w:val="center"/>
              <w:spacing w:after="0"/>
              <w:rPr>
                <w:sz w:val="20"/>
                <w:szCs w:val="20"/>
                <w:color w:val="auto"/>
              </w:rPr>
            </w:pPr>
            <w:r>
              <w:rPr>
                <w:rFonts w:ascii="Arial" w:cs="Arial" w:eastAsia="Arial" w:hAnsi="Arial"/>
                <w:sz w:val="11"/>
                <w:szCs w:val="11"/>
                <w:color w:val="auto"/>
                <w:w w:val="89"/>
              </w:rPr>
              <w:t>Energy Equipment and Services</w:t>
            </w:r>
          </w:p>
        </w:tc>
        <w:tc>
          <w:tcPr>
            <w:tcW w:w="120" w:type="dxa"/>
            <w:vAlign w:val="bottom"/>
          </w:tcPr>
          <w:p>
            <w:pPr>
              <w:spacing w:after="0"/>
              <w:rPr>
                <w:sz w:val="11"/>
                <w:szCs w:val="11"/>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Pr>
          <w:p>
            <w:pPr>
              <w:ind w:left="800"/>
              <w:spacing w:after="0"/>
              <w:rPr>
                <w:sz w:val="20"/>
                <w:szCs w:val="20"/>
                <w:color w:val="auto"/>
              </w:rPr>
            </w:pPr>
            <w:r>
              <w:rPr>
                <w:rFonts w:ascii="Arial" w:cs="Arial" w:eastAsia="Arial" w:hAnsi="Arial"/>
                <w:sz w:val="11"/>
                <w:szCs w:val="11"/>
                <w:color w:val="auto"/>
                <w:w w:val="90"/>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382,353</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382</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382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60" w:type="dxa"/>
            <w:vAlign w:val="bottom"/>
            <w:gridSpan w:val="2"/>
          </w:tcPr>
          <w:p>
            <w:pPr>
              <w:ind w:left="20"/>
              <w:spacing w:after="0" w:line="135" w:lineRule="exact"/>
              <w:rPr>
                <w:sz w:val="20"/>
                <w:szCs w:val="20"/>
                <w:color w:val="auto"/>
              </w:rPr>
            </w:pPr>
            <w:r>
              <w:rPr>
                <w:rFonts w:ascii="Arial" w:cs="Arial" w:eastAsia="Arial" w:hAnsi="Arial"/>
                <w:sz w:val="11"/>
                <w:szCs w:val="11"/>
                <w:color w:val="auto"/>
              </w:rPr>
              <w:t xml:space="preserve">Kentucky Racing Holdco, LLC (Warrants) </w:t>
            </w:r>
            <w:r>
              <w:rPr>
                <w:rFonts w:ascii="Arial" w:cs="Arial" w:eastAsia="Arial" w:hAnsi="Arial"/>
                <w:sz w:val="14"/>
                <w:szCs w:val="14"/>
                <w:color w:val="auto"/>
                <w:vertAlign w:val="superscript"/>
              </w:rPr>
              <w:t>(7), (8)</w:t>
            </w:r>
          </w:p>
        </w:tc>
        <w:tc>
          <w:tcPr>
            <w:tcW w:w="680" w:type="dxa"/>
            <w:vAlign w:val="bottom"/>
          </w:tcPr>
          <w:p>
            <w:pPr>
              <w:ind w:left="56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1"/>
                <w:szCs w:val="11"/>
                <w:color w:val="auto"/>
              </w:rPr>
            </w:pPr>
          </w:p>
        </w:tc>
        <w:tc>
          <w:tcPr>
            <w:tcW w:w="2200" w:type="dxa"/>
            <w:vAlign w:val="bottom"/>
          </w:tcPr>
          <w:p>
            <w:pPr>
              <w:jc w:val="center"/>
              <w:spacing w:after="0"/>
              <w:rPr>
                <w:sz w:val="20"/>
                <w:szCs w:val="20"/>
                <w:color w:val="auto"/>
              </w:rPr>
            </w:pPr>
            <w:r>
              <w:rPr>
                <w:rFonts w:ascii="Arial" w:cs="Arial" w:eastAsia="Arial" w:hAnsi="Arial"/>
                <w:sz w:val="11"/>
                <w:szCs w:val="11"/>
                <w:color w:val="auto"/>
                <w:w w:val="86"/>
              </w:rPr>
              <w:t>Hotels, Restaurants and Leisure</w:t>
            </w:r>
          </w:p>
        </w:tc>
        <w:tc>
          <w:tcPr>
            <w:tcW w:w="120" w:type="dxa"/>
            <w:vAlign w:val="bottom"/>
          </w:tcPr>
          <w:p>
            <w:pPr>
              <w:spacing w:after="0"/>
              <w:rPr>
                <w:sz w:val="11"/>
                <w:szCs w:val="11"/>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Pr>
          <w:p>
            <w:pPr>
              <w:ind w:left="800"/>
              <w:spacing w:after="0"/>
              <w:rPr>
                <w:sz w:val="20"/>
                <w:szCs w:val="20"/>
                <w:color w:val="auto"/>
              </w:rPr>
            </w:pPr>
            <w:r>
              <w:rPr>
                <w:rFonts w:ascii="Arial" w:cs="Arial" w:eastAsia="Arial" w:hAnsi="Arial"/>
                <w:sz w:val="11"/>
                <w:szCs w:val="11"/>
                <w:color w:val="auto"/>
                <w:w w:val="90"/>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87,345</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621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60" w:type="dxa"/>
            <w:vAlign w:val="bottom"/>
            <w:gridSpan w:val="2"/>
          </w:tcPr>
          <w:p>
            <w:pPr>
              <w:ind w:left="20"/>
              <w:spacing w:after="0" w:line="135" w:lineRule="exact"/>
              <w:rPr>
                <w:sz w:val="20"/>
                <w:szCs w:val="20"/>
                <w:color w:val="auto"/>
              </w:rPr>
            </w:pPr>
            <w:r>
              <w:rPr>
                <w:rFonts w:ascii="Arial" w:cs="Arial" w:eastAsia="Arial" w:hAnsi="Arial"/>
                <w:sz w:val="11"/>
                <w:szCs w:val="11"/>
                <w:color w:val="auto"/>
              </w:rPr>
              <w:t xml:space="preserve">Lightspeed Investment Holdco LLC </w:t>
            </w:r>
            <w:r>
              <w:rPr>
                <w:rFonts w:ascii="Arial" w:cs="Arial" w:eastAsia="Arial" w:hAnsi="Arial"/>
                <w:sz w:val="14"/>
                <w:szCs w:val="14"/>
                <w:color w:val="auto"/>
                <w:vertAlign w:val="superscript"/>
              </w:rPr>
              <w:t>(7)</w:t>
            </w:r>
          </w:p>
        </w:tc>
        <w:tc>
          <w:tcPr>
            <w:tcW w:w="680" w:type="dxa"/>
            <w:vAlign w:val="bottom"/>
          </w:tcPr>
          <w:p>
            <w:pPr>
              <w:ind w:left="56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1"/>
                <w:szCs w:val="11"/>
                <w:color w:val="auto"/>
              </w:rPr>
            </w:pPr>
          </w:p>
        </w:tc>
        <w:tc>
          <w:tcPr>
            <w:tcW w:w="2200" w:type="dxa"/>
            <w:vAlign w:val="bottom"/>
          </w:tcPr>
          <w:p>
            <w:pPr>
              <w:jc w:val="center"/>
              <w:spacing w:after="0"/>
              <w:rPr>
                <w:sz w:val="20"/>
                <w:szCs w:val="20"/>
                <w:color w:val="auto"/>
              </w:rPr>
            </w:pPr>
            <w:r>
              <w:rPr>
                <w:rFonts w:ascii="Arial" w:cs="Arial" w:eastAsia="Arial" w:hAnsi="Arial"/>
                <w:sz w:val="11"/>
                <w:szCs w:val="11"/>
                <w:color w:val="auto"/>
                <w:w w:val="88"/>
              </w:rPr>
              <w:t>Healthcare Technology</w:t>
            </w:r>
          </w:p>
        </w:tc>
        <w:tc>
          <w:tcPr>
            <w:tcW w:w="120" w:type="dxa"/>
            <w:vAlign w:val="bottom"/>
          </w:tcPr>
          <w:p>
            <w:pPr>
              <w:spacing w:after="0"/>
              <w:rPr>
                <w:sz w:val="11"/>
                <w:szCs w:val="11"/>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Pr>
          <w:p>
            <w:pPr>
              <w:ind w:left="800"/>
              <w:spacing w:after="0"/>
              <w:rPr>
                <w:sz w:val="20"/>
                <w:szCs w:val="20"/>
                <w:color w:val="auto"/>
              </w:rPr>
            </w:pPr>
            <w:r>
              <w:rPr>
                <w:rFonts w:ascii="Arial" w:cs="Arial" w:eastAsia="Arial" w:hAnsi="Arial"/>
                <w:sz w:val="11"/>
                <w:szCs w:val="11"/>
                <w:color w:val="auto"/>
                <w:w w:val="90"/>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585,587</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586</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674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60" w:type="dxa"/>
            <w:vAlign w:val="bottom"/>
            <w:gridSpan w:val="2"/>
          </w:tcPr>
          <w:p>
            <w:pPr>
              <w:ind w:left="20"/>
              <w:spacing w:after="0" w:line="135" w:lineRule="exact"/>
              <w:rPr>
                <w:sz w:val="20"/>
                <w:szCs w:val="20"/>
                <w:color w:val="auto"/>
              </w:rPr>
            </w:pPr>
            <w:r>
              <w:rPr>
                <w:rFonts w:ascii="Arial" w:cs="Arial" w:eastAsia="Arial" w:hAnsi="Arial"/>
                <w:sz w:val="11"/>
                <w:szCs w:val="11"/>
                <w:color w:val="auto"/>
              </w:rPr>
              <w:t xml:space="preserve">Mars Intermediate Holdings II, Inc. </w:t>
            </w:r>
            <w:r>
              <w:rPr>
                <w:rFonts w:ascii="Arial" w:cs="Arial" w:eastAsia="Arial" w:hAnsi="Arial"/>
                <w:sz w:val="14"/>
                <w:szCs w:val="14"/>
                <w:color w:val="auto"/>
                <w:vertAlign w:val="superscript"/>
              </w:rPr>
              <w:t>(7)</w:t>
            </w:r>
          </w:p>
        </w:tc>
        <w:tc>
          <w:tcPr>
            <w:tcW w:w="680" w:type="dxa"/>
            <w:vAlign w:val="bottom"/>
          </w:tcPr>
          <w:p>
            <w:pPr>
              <w:ind w:left="56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1"/>
                <w:szCs w:val="11"/>
                <w:color w:val="auto"/>
              </w:rPr>
            </w:pPr>
          </w:p>
        </w:tc>
        <w:tc>
          <w:tcPr>
            <w:tcW w:w="220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120" w:type="dxa"/>
            <w:vAlign w:val="bottom"/>
          </w:tcPr>
          <w:p>
            <w:pPr>
              <w:spacing w:after="0"/>
              <w:rPr>
                <w:sz w:val="11"/>
                <w:szCs w:val="11"/>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Pr>
          <w:p>
            <w:pPr>
              <w:ind w:left="800"/>
              <w:spacing w:after="0"/>
              <w:rPr>
                <w:sz w:val="20"/>
                <w:szCs w:val="20"/>
                <w:color w:val="auto"/>
              </w:rPr>
            </w:pPr>
            <w:r>
              <w:rPr>
                <w:rFonts w:ascii="Arial" w:cs="Arial" w:eastAsia="Arial" w:hAnsi="Arial"/>
                <w:sz w:val="11"/>
                <w:szCs w:val="11"/>
                <w:color w:val="auto"/>
                <w:w w:val="90"/>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835</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341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260" w:type="dxa"/>
            <w:vAlign w:val="bottom"/>
            <w:gridSpan w:val="2"/>
          </w:tcPr>
          <w:p>
            <w:pPr>
              <w:ind w:left="20"/>
              <w:spacing w:after="0" w:line="155" w:lineRule="exact"/>
              <w:rPr>
                <w:sz w:val="20"/>
                <w:szCs w:val="20"/>
                <w:color w:val="auto"/>
              </w:rPr>
            </w:pPr>
            <w:r>
              <w:rPr>
                <w:rFonts w:ascii="Arial" w:cs="Arial" w:eastAsia="Arial" w:hAnsi="Arial"/>
                <w:sz w:val="11"/>
                <w:szCs w:val="11"/>
                <w:color w:val="auto"/>
              </w:rPr>
              <w:t xml:space="preserve">MeritDirect Holdings, LP </w:t>
            </w:r>
            <w:r>
              <w:rPr>
                <w:rFonts w:ascii="Arial" w:cs="Arial" w:eastAsia="Arial" w:hAnsi="Arial"/>
                <w:sz w:val="14"/>
                <w:szCs w:val="14"/>
                <w:color w:val="auto"/>
                <w:vertAlign w:val="superscript"/>
              </w:rPr>
              <w:t>(7), (8)</w:t>
            </w:r>
          </w:p>
        </w:tc>
        <w:tc>
          <w:tcPr>
            <w:tcW w:w="680" w:type="dxa"/>
            <w:vAlign w:val="bottom"/>
          </w:tcPr>
          <w:p>
            <w:pPr>
              <w:ind w:left="56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3"/>
                <w:szCs w:val="13"/>
                <w:color w:val="auto"/>
              </w:rPr>
            </w:pPr>
          </w:p>
        </w:tc>
        <w:tc>
          <w:tcPr>
            <w:tcW w:w="220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120" w:type="dxa"/>
            <w:vAlign w:val="bottom"/>
          </w:tcPr>
          <w:p>
            <w:pPr>
              <w:spacing w:after="0"/>
              <w:rPr>
                <w:sz w:val="13"/>
                <w:szCs w:val="13"/>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Pr>
          <w:p>
            <w:pPr>
              <w:ind w:left="800"/>
              <w:spacing w:after="0"/>
              <w:rPr>
                <w:sz w:val="20"/>
                <w:szCs w:val="20"/>
                <w:color w:val="auto"/>
              </w:rPr>
            </w:pPr>
            <w:r>
              <w:rPr>
                <w:rFonts w:ascii="Arial" w:cs="Arial" w:eastAsia="Arial" w:hAnsi="Arial"/>
                <w:sz w:val="11"/>
                <w:szCs w:val="11"/>
                <w:color w:val="auto"/>
                <w:w w:val="90"/>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960</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224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3260" w:type="dxa"/>
            <w:vAlign w:val="bottom"/>
            <w:gridSpan w:val="2"/>
          </w:tcPr>
          <w:p>
            <w:pPr>
              <w:ind w:left="20"/>
              <w:spacing w:after="0" w:line="115" w:lineRule="exact"/>
              <w:rPr>
                <w:sz w:val="20"/>
                <w:szCs w:val="20"/>
                <w:color w:val="auto"/>
              </w:rPr>
            </w:pPr>
            <w:r>
              <w:rPr>
                <w:rFonts w:ascii="Arial" w:cs="Arial" w:eastAsia="Arial" w:hAnsi="Arial"/>
                <w:sz w:val="11"/>
                <w:szCs w:val="11"/>
                <w:color w:val="auto"/>
              </w:rPr>
              <w:t>MSpark, LLC (Mailsouth Inc.)</w:t>
            </w:r>
          </w:p>
        </w:tc>
        <w:tc>
          <w:tcPr>
            <w:tcW w:w="680" w:type="dxa"/>
            <w:vAlign w:val="bottom"/>
          </w:tcPr>
          <w:p>
            <w:pPr>
              <w:ind w:left="560"/>
              <w:spacing w:after="0" w:line="115" w:lineRule="exact"/>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9"/>
                <w:szCs w:val="9"/>
                <w:color w:val="auto"/>
              </w:rPr>
            </w:pPr>
          </w:p>
        </w:tc>
        <w:tc>
          <w:tcPr>
            <w:tcW w:w="2200" w:type="dxa"/>
            <w:vAlign w:val="bottom"/>
          </w:tcPr>
          <w:p>
            <w:pPr>
              <w:jc w:val="center"/>
              <w:spacing w:after="0" w:line="115" w:lineRule="exact"/>
              <w:rPr>
                <w:sz w:val="20"/>
                <w:szCs w:val="20"/>
                <w:color w:val="auto"/>
              </w:rPr>
            </w:pPr>
            <w:r>
              <w:rPr>
                <w:rFonts w:ascii="Arial" w:cs="Arial" w:eastAsia="Arial" w:hAnsi="Arial"/>
                <w:sz w:val="11"/>
                <w:szCs w:val="11"/>
                <w:color w:val="auto"/>
                <w:w w:val="91"/>
              </w:rPr>
              <w:t>Media: Advertising, Printing and Publishing</w:t>
            </w:r>
          </w:p>
        </w:tc>
        <w:tc>
          <w:tcPr>
            <w:tcW w:w="120" w:type="dxa"/>
            <w:vAlign w:val="bottom"/>
          </w:tcPr>
          <w:p>
            <w:pPr>
              <w:spacing w:after="0"/>
              <w:rPr>
                <w:sz w:val="9"/>
                <w:szCs w:val="9"/>
                <w:color w:val="auto"/>
              </w:rPr>
            </w:pPr>
          </w:p>
        </w:tc>
        <w:tc>
          <w:tcPr>
            <w:tcW w:w="960" w:type="dxa"/>
            <w:vAlign w:val="bottom"/>
            <w:gridSpan w:val="2"/>
          </w:tcPr>
          <w:p>
            <w:pPr>
              <w:jc w:val="right"/>
              <w:ind w:right="260"/>
              <w:spacing w:after="0" w:line="115" w:lineRule="exact"/>
              <w:rPr>
                <w:sz w:val="20"/>
                <w:szCs w:val="20"/>
                <w:color w:val="auto"/>
              </w:rPr>
            </w:pPr>
            <w:r>
              <w:rPr>
                <w:rFonts w:ascii="Arial" w:cs="Arial" w:eastAsia="Arial" w:hAnsi="Arial"/>
                <w:sz w:val="11"/>
                <w:szCs w:val="11"/>
                <w:color w:val="auto"/>
              </w:rPr>
              <w:t>—</w:t>
            </w:r>
          </w:p>
        </w:tc>
        <w:tc>
          <w:tcPr>
            <w:tcW w:w="920" w:type="dxa"/>
            <w:vAlign w:val="bottom"/>
          </w:tcPr>
          <w:p>
            <w:pPr>
              <w:ind w:left="800"/>
              <w:spacing w:after="0" w:line="115" w:lineRule="exact"/>
              <w:rPr>
                <w:sz w:val="20"/>
                <w:szCs w:val="20"/>
                <w:color w:val="auto"/>
              </w:rPr>
            </w:pPr>
            <w:r>
              <w:rPr>
                <w:rFonts w:ascii="Arial" w:cs="Arial" w:eastAsia="Arial" w:hAnsi="Arial"/>
                <w:sz w:val="11"/>
                <w:szCs w:val="11"/>
                <w:color w:val="auto"/>
                <w:w w:val="90"/>
              </w:rPr>
              <w:t>—</w:t>
            </w:r>
          </w:p>
        </w:tc>
        <w:tc>
          <w:tcPr>
            <w:tcW w:w="90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3,988</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jc w:val="right"/>
              <w:spacing w:after="0" w:line="115" w:lineRule="exact"/>
              <w:rPr>
                <w:sz w:val="20"/>
                <w:szCs w:val="20"/>
                <w:color w:val="auto"/>
              </w:rPr>
            </w:pPr>
            <w:r>
              <w:rPr>
                <w:rFonts w:ascii="Arial" w:cs="Arial" w:eastAsia="Arial" w:hAnsi="Arial"/>
                <w:sz w:val="11"/>
                <w:szCs w:val="11"/>
                <w:color w:val="auto"/>
              </w:rPr>
              <w:t>1,288</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jc w:val="right"/>
              <w:spacing w:after="0" w:line="115" w:lineRule="exact"/>
              <w:rPr>
                <w:sz w:val="20"/>
                <w:szCs w:val="20"/>
                <w:color w:val="auto"/>
              </w:rPr>
            </w:pPr>
            <w:r>
              <w:rPr>
                <w:rFonts w:ascii="Arial" w:cs="Arial" w:eastAsia="Arial" w:hAnsi="Arial"/>
                <w:sz w:val="11"/>
                <w:szCs w:val="11"/>
                <w:color w:val="auto"/>
              </w:rPr>
              <w:t>859</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60" w:type="dxa"/>
            <w:vAlign w:val="bottom"/>
            <w:gridSpan w:val="2"/>
          </w:tcPr>
          <w:p>
            <w:pPr>
              <w:ind w:left="20"/>
              <w:spacing w:after="0" w:line="135" w:lineRule="exact"/>
              <w:rPr>
                <w:sz w:val="20"/>
                <w:szCs w:val="20"/>
                <w:color w:val="auto"/>
              </w:rPr>
            </w:pPr>
            <w:r>
              <w:rPr>
                <w:rFonts w:ascii="Arial" w:cs="Arial" w:eastAsia="Arial" w:hAnsi="Arial"/>
                <w:sz w:val="11"/>
                <w:szCs w:val="11"/>
                <w:color w:val="auto"/>
              </w:rPr>
              <w:t xml:space="preserve">Municipal Emergency Services, Inc. </w:t>
            </w:r>
            <w:r>
              <w:rPr>
                <w:rFonts w:ascii="Arial" w:cs="Arial" w:eastAsia="Arial" w:hAnsi="Arial"/>
                <w:sz w:val="14"/>
                <w:szCs w:val="14"/>
                <w:color w:val="auto"/>
                <w:vertAlign w:val="superscript"/>
              </w:rPr>
              <w:t>(7)</w:t>
            </w:r>
          </w:p>
        </w:tc>
        <w:tc>
          <w:tcPr>
            <w:tcW w:w="680" w:type="dxa"/>
            <w:vAlign w:val="bottom"/>
          </w:tcPr>
          <w:p>
            <w:pPr>
              <w:ind w:left="56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1"/>
                <w:szCs w:val="11"/>
                <w:color w:val="auto"/>
              </w:rPr>
            </w:pPr>
          </w:p>
        </w:tc>
        <w:tc>
          <w:tcPr>
            <w:tcW w:w="2200" w:type="dxa"/>
            <w:vAlign w:val="bottom"/>
          </w:tcPr>
          <w:p>
            <w:pPr>
              <w:jc w:val="center"/>
              <w:spacing w:after="0"/>
              <w:rPr>
                <w:sz w:val="20"/>
                <w:szCs w:val="20"/>
                <w:color w:val="auto"/>
              </w:rPr>
            </w:pPr>
            <w:r>
              <w:rPr>
                <w:rFonts w:ascii="Arial" w:cs="Arial" w:eastAsia="Arial" w:hAnsi="Arial"/>
                <w:sz w:val="11"/>
                <w:szCs w:val="11"/>
                <w:color w:val="auto"/>
                <w:w w:val="93"/>
              </w:rPr>
              <w:t>Distributors</w:t>
            </w:r>
          </w:p>
        </w:tc>
        <w:tc>
          <w:tcPr>
            <w:tcW w:w="120" w:type="dxa"/>
            <w:vAlign w:val="bottom"/>
          </w:tcPr>
          <w:p>
            <w:pPr>
              <w:spacing w:after="0"/>
              <w:rPr>
                <w:sz w:val="11"/>
                <w:szCs w:val="11"/>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Pr>
          <w:p>
            <w:pPr>
              <w:ind w:left="800"/>
              <w:spacing w:after="0"/>
              <w:rPr>
                <w:sz w:val="20"/>
                <w:szCs w:val="20"/>
                <w:color w:val="auto"/>
              </w:rPr>
            </w:pPr>
            <w:r>
              <w:rPr>
                <w:rFonts w:ascii="Arial" w:cs="Arial" w:eastAsia="Arial" w:hAnsi="Arial"/>
                <w:sz w:val="11"/>
                <w:szCs w:val="11"/>
                <w:color w:val="auto"/>
                <w:w w:val="90"/>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802,162</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802</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802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60" w:type="dxa"/>
            <w:vAlign w:val="bottom"/>
            <w:gridSpan w:val="2"/>
          </w:tcPr>
          <w:p>
            <w:pPr>
              <w:ind w:left="20"/>
              <w:spacing w:after="0" w:line="135" w:lineRule="exact"/>
              <w:rPr>
                <w:sz w:val="20"/>
                <w:szCs w:val="20"/>
                <w:color w:val="auto"/>
              </w:rPr>
            </w:pPr>
            <w:r>
              <w:rPr>
                <w:rFonts w:ascii="Arial" w:cs="Arial" w:eastAsia="Arial" w:hAnsi="Arial"/>
                <w:sz w:val="11"/>
                <w:szCs w:val="11"/>
                <w:color w:val="auto"/>
              </w:rPr>
              <w:t xml:space="preserve">NEPRT Parent Holdings, LLC (Recteq, LLC) </w:t>
            </w:r>
            <w:r>
              <w:rPr>
                <w:rFonts w:ascii="Arial" w:cs="Arial" w:eastAsia="Arial" w:hAnsi="Arial"/>
                <w:sz w:val="14"/>
                <w:szCs w:val="14"/>
                <w:color w:val="auto"/>
                <w:vertAlign w:val="superscript"/>
              </w:rPr>
              <w:t>(7), (8)</w:t>
            </w:r>
          </w:p>
        </w:tc>
        <w:tc>
          <w:tcPr>
            <w:tcW w:w="680" w:type="dxa"/>
            <w:vAlign w:val="bottom"/>
          </w:tcPr>
          <w:p>
            <w:pPr>
              <w:ind w:left="56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1"/>
                <w:szCs w:val="11"/>
                <w:color w:val="auto"/>
              </w:rPr>
            </w:pPr>
          </w:p>
        </w:tc>
        <w:tc>
          <w:tcPr>
            <w:tcW w:w="2200" w:type="dxa"/>
            <w:vAlign w:val="bottom"/>
          </w:tcPr>
          <w:p>
            <w:pPr>
              <w:jc w:val="center"/>
              <w:spacing w:after="0"/>
              <w:rPr>
                <w:sz w:val="20"/>
                <w:szCs w:val="20"/>
                <w:color w:val="auto"/>
              </w:rPr>
            </w:pPr>
            <w:r>
              <w:rPr>
                <w:rFonts w:ascii="Arial" w:cs="Arial" w:eastAsia="Arial" w:hAnsi="Arial"/>
                <w:sz w:val="11"/>
                <w:szCs w:val="11"/>
                <w:color w:val="auto"/>
                <w:w w:val="87"/>
              </w:rPr>
              <w:t>Leisure Products</w:t>
            </w:r>
          </w:p>
        </w:tc>
        <w:tc>
          <w:tcPr>
            <w:tcW w:w="120" w:type="dxa"/>
            <w:vAlign w:val="bottom"/>
          </w:tcPr>
          <w:p>
            <w:pPr>
              <w:spacing w:after="0"/>
              <w:rPr>
                <w:sz w:val="11"/>
                <w:szCs w:val="11"/>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Pr>
          <w:p>
            <w:pPr>
              <w:ind w:left="800"/>
              <w:spacing w:after="0"/>
              <w:rPr>
                <w:sz w:val="20"/>
                <w:szCs w:val="20"/>
                <w:color w:val="auto"/>
              </w:rPr>
            </w:pPr>
            <w:r>
              <w:rPr>
                <w:rFonts w:ascii="Arial" w:cs="Arial" w:eastAsia="Arial" w:hAnsi="Arial"/>
                <w:sz w:val="11"/>
                <w:szCs w:val="11"/>
                <w:color w:val="auto"/>
                <w:w w:val="90"/>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1,494</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1,452</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1,767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260" w:type="dxa"/>
            <w:vAlign w:val="bottom"/>
            <w:gridSpan w:val="2"/>
          </w:tcPr>
          <w:p>
            <w:pPr>
              <w:ind w:left="20"/>
              <w:spacing w:after="0" w:line="155" w:lineRule="exact"/>
              <w:rPr>
                <w:sz w:val="20"/>
                <w:szCs w:val="20"/>
                <w:color w:val="auto"/>
              </w:rPr>
            </w:pPr>
            <w:r>
              <w:rPr>
                <w:rFonts w:ascii="Arial" w:cs="Arial" w:eastAsia="Arial" w:hAnsi="Arial"/>
                <w:sz w:val="11"/>
                <w:szCs w:val="11"/>
                <w:color w:val="auto"/>
              </w:rPr>
              <w:t xml:space="preserve">NXOF Holdings, Inc. (Tyto Athene, LLC) </w:t>
            </w:r>
            <w:r>
              <w:rPr>
                <w:rFonts w:ascii="Arial" w:cs="Arial" w:eastAsia="Arial" w:hAnsi="Arial"/>
                <w:sz w:val="14"/>
                <w:szCs w:val="14"/>
                <w:color w:val="auto"/>
                <w:vertAlign w:val="superscript"/>
              </w:rPr>
              <w:t>(7)</w:t>
            </w:r>
          </w:p>
        </w:tc>
        <w:tc>
          <w:tcPr>
            <w:tcW w:w="680" w:type="dxa"/>
            <w:vAlign w:val="bottom"/>
          </w:tcPr>
          <w:p>
            <w:pPr>
              <w:ind w:left="56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3"/>
                <w:szCs w:val="13"/>
                <w:color w:val="auto"/>
              </w:rPr>
            </w:pPr>
          </w:p>
        </w:tc>
        <w:tc>
          <w:tcPr>
            <w:tcW w:w="2200" w:type="dxa"/>
            <w:vAlign w:val="bottom"/>
          </w:tcPr>
          <w:p>
            <w:pPr>
              <w:jc w:val="center"/>
              <w:spacing w:after="0"/>
              <w:rPr>
                <w:sz w:val="20"/>
                <w:szCs w:val="20"/>
                <w:color w:val="auto"/>
              </w:rPr>
            </w:pPr>
            <w:r>
              <w:rPr>
                <w:rFonts w:ascii="Arial" w:cs="Arial" w:eastAsia="Arial" w:hAnsi="Arial"/>
                <w:sz w:val="11"/>
                <w:szCs w:val="11"/>
                <w:color w:val="auto"/>
                <w:w w:val="87"/>
              </w:rPr>
              <w:t>IT Services</w:t>
            </w:r>
          </w:p>
        </w:tc>
        <w:tc>
          <w:tcPr>
            <w:tcW w:w="120" w:type="dxa"/>
            <w:vAlign w:val="bottom"/>
          </w:tcPr>
          <w:p>
            <w:pPr>
              <w:spacing w:after="0"/>
              <w:rPr>
                <w:sz w:val="13"/>
                <w:szCs w:val="13"/>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Pr>
          <w:p>
            <w:pPr>
              <w:ind w:left="800"/>
              <w:spacing w:after="0"/>
              <w:rPr>
                <w:sz w:val="20"/>
                <w:szCs w:val="20"/>
                <w:color w:val="auto"/>
              </w:rPr>
            </w:pPr>
            <w:r>
              <w:rPr>
                <w:rFonts w:ascii="Arial" w:cs="Arial" w:eastAsia="Arial" w:hAnsi="Arial"/>
                <w:sz w:val="11"/>
                <w:szCs w:val="11"/>
                <w:color w:val="auto"/>
                <w:w w:val="90"/>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14,960</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15</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855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3260" w:type="dxa"/>
            <w:vAlign w:val="bottom"/>
            <w:gridSpan w:val="2"/>
          </w:tcPr>
          <w:p>
            <w:pPr>
              <w:ind w:left="20"/>
              <w:spacing w:after="0" w:line="104" w:lineRule="exact"/>
              <w:rPr>
                <w:sz w:val="20"/>
                <w:szCs w:val="20"/>
                <w:color w:val="auto"/>
              </w:rPr>
            </w:pPr>
            <w:r>
              <w:rPr>
                <w:rFonts w:ascii="Arial" w:cs="Arial" w:eastAsia="Arial" w:hAnsi="Arial"/>
                <w:sz w:val="11"/>
                <w:szCs w:val="11"/>
                <w:color w:val="auto"/>
              </w:rPr>
              <w:t>OceanSound Discovery Equity, LP (Holdco Sands Intermediate,</w:t>
            </w:r>
          </w:p>
        </w:tc>
        <w:tc>
          <w:tcPr>
            <w:tcW w:w="680" w:type="dxa"/>
            <w:vAlign w:val="bottom"/>
          </w:tcPr>
          <w:p>
            <w:pPr>
              <w:ind w:left="560"/>
              <w:spacing w:after="0" w:line="104" w:lineRule="exact"/>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9"/>
                <w:szCs w:val="9"/>
                <w:color w:val="auto"/>
              </w:rPr>
            </w:pPr>
          </w:p>
        </w:tc>
        <w:tc>
          <w:tcPr>
            <w:tcW w:w="2200" w:type="dxa"/>
            <w:vAlign w:val="bottom"/>
          </w:tcPr>
          <w:p>
            <w:pPr>
              <w:jc w:val="center"/>
              <w:spacing w:after="0" w:line="104" w:lineRule="exact"/>
              <w:rPr>
                <w:sz w:val="20"/>
                <w:szCs w:val="20"/>
                <w:color w:val="auto"/>
              </w:rPr>
            </w:pPr>
            <w:r>
              <w:rPr>
                <w:rFonts w:ascii="Arial" w:cs="Arial" w:eastAsia="Arial" w:hAnsi="Arial"/>
                <w:sz w:val="11"/>
                <w:szCs w:val="11"/>
                <w:color w:val="auto"/>
                <w:w w:val="84"/>
              </w:rPr>
              <w:t>Aerospace and Defense</w:t>
            </w:r>
          </w:p>
        </w:tc>
        <w:tc>
          <w:tcPr>
            <w:tcW w:w="120" w:type="dxa"/>
            <w:vAlign w:val="bottom"/>
          </w:tcPr>
          <w:p>
            <w:pPr>
              <w:spacing w:after="0"/>
              <w:rPr>
                <w:sz w:val="9"/>
                <w:szCs w:val="9"/>
                <w:color w:val="auto"/>
              </w:rPr>
            </w:pPr>
          </w:p>
        </w:tc>
        <w:tc>
          <w:tcPr>
            <w:tcW w:w="960" w:type="dxa"/>
            <w:vAlign w:val="bottom"/>
            <w:gridSpan w:val="2"/>
          </w:tcPr>
          <w:p>
            <w:pPr>
              <w:jc w:val="right"/>
              <w:ind w:right="260"/>
              <w:spacing w:after="0" w:line="104" w:lineRule="exact"/>
              <w:rPr>
                <w:sz w:val="20"/>
                <w:szCs w:val="20"/>
                <w:color w:val="auto"/>
              </w:rPr>
            </w:pPr>
            <w:r>
              <w:rPr>
                <w:rFonts w:ascii="Arial" w:cs="Arial" w:eastAsia="Arial" w:hAnsi="Arial"/>
                <w:sz w:val="11"/>
                <w:szCs w:val="11"/>
                <w:color w:val="auto"/>
              </w:rPr>
              <w:t>—</w:t>
            </w:r>
          </w:p>
        </w:tc>
        <w:tc>
          <w:tcPr>
            <w:tcW w:w="920" w:type="dxa"/>
            <w:vAlign w:val="bottom"/>
          </w:tcPr>
          <w:p>
            <w:pPr>
              <w:ind w:left="800"/>
              <w:spacing w:after="0" w:line="104" w:lineRule="exact"/>
              <w:rPr>
                <w:sz w:val="20"/>
                <w:szCs w:val="20"/>
                <w:color w:val="auto"/>
              </w:rPr>
            </w:pPr>
            <w:r>
              <w:rPr>
                <w:rFonts w:ascii="Arial" w:cs="Arial" w:eastAsia="Arial" w:hAnsi="Arial"/>
                <w:sz w:val="11"/>
                <w:szCs w:val="11"/>
                <w:color w:val="auto"/>
                <w:w w:val="90"/>
              </w:rPr>
              <w:t>—</w:t>
            </w:r>
          </w:p>
        </w:tc>
        <w:tc>
          <w:tcPr>
            <w:tcW w:w="900" w:type="dxa"/>
            <w:vAlign w:val="bottom"/>
            <w:gridSpan w:val="2"/>
          </w:tcPr>
          <w:p>
            <w:pPr>
              <w:jc w:val="right"/>
              <w:spacing w:after="0" w:line="104" w:lineRule="exact"/>
              <w:rPr>
                <w:sz w:val="20"/>
                <w:szCs w:val="20"/>
                <w:color w:val="auto"/>
              </w:rPr>
            </w:pPr>
            <w:r>
              <w:rPr>
                <w:rFonts w:ascii="Arial" w:cs="Arial" w:eastAsia="Arial" w:hAnsi="Arial"/>
                <w:sz w:val="11"/>
                <w:szCs w:val="11"/>
                <w:color w:val="auto"/>
              </w:rPr>
              <w:t>173,638</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jc w:val="right"/>
              <w:spacing w:after="0" w:line="104" w:lineRule="exact"/>
              <w:rPr>
                <w:sz w:val="20"/>
                <w:szCs w:val="20"/>
                <w:color w:val="auto"/>
              </w:rPr>
            </w:pPr>
            <w:r>
              <w:rPr>
                <w:rFonts w:ascii="Arial" w:cs="Arial" w:eastAsia="Arial" w:hAnsi="Arial"/>
                <w:sz w:val="11"/>
                <w:szCs w:val="11"/>
                <w:color w:val="auto"/>
              </w:rPr>
              <w:t>1,729</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jc w:val="right"/>
              <w:spacing w:after="0" w:line="104" w:lineRule="exact"/>
              <w:rPr>
                <w:sz w:val="20"/>
                <w:szCs w:val="20"/>
                <w:color w:val="auto"/>
              </w:rPr>
            </w:pPr>
            <w:r>
              <w:rPr>
                <w:rFonts w:ascii="Arial" w:cs="Arial" w:eastAsia="Arial" w:hAnsi="Arial"/>
                <w:sz w:val="11"/>
                <w:szCs w:val="11"/>
                <w:color w:val="auto"/>
              </w:rPr>
              <w:t>2,870</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3260" w:type="dxa"/>
            <w:vAlign w:val="bottom"/>
            <w:gridSpan w:val="2"/>
          </w:tcPr>
          <w:p>
            <w:pPr>
              <w:ind w:left="20"/>
              <w:spacing w:after="0" w:line="139" w:lineRule="exact"/>
              <w:rPr>
                <w:sz w:val="20"/>
                <w:szCs w:val="20"/>
                <w:color w:val="auto"/>
              </w:rPr>
            </w:pPr>
            <w:r>
              <w:rPr>
                <w:rFonts w:ascii="Arial" w:cs="Arial" w:eastAsia="Arial" w:hAnsi="Arial"/>
                <w:sz w:val="16"/>
                <w:szCs w:val="16"/>
                <w:color w:val="auto"/>
                <w:vertAlign w:val="subscript"/>
              </w:rPr>
              <w:t>LLC)</w:t>
            </w:r>
            <w:r>
              <w:rPr>
                <w:rFonts w:ascii="Arial" w:cs="Arial" w:eastAsia="Arial" w:hAnsi="Arial"/>
                <w:sz w:val="6"/>
                <w:szCs w:val="6"/>
                <w:color w:val="auto"/>
              </w:rPr>
              <w:t xml:space="preserve"> (7), (8)</w:t>
            </w: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260" w:type="dxa"/>
            <w:vAlign w:val="bottom"/>
            <w:gridSpan w:val="2"/>
          </w:tcPr>
          <w:p>
            <w:pPr>
              <w:ind w:left="20"/>
              <w:spacing w:after="0"/>
              <w:rPr>
                <w:sz w:val="20"/>
                <w:szCs w:val="20"/>
                <w:color w:val="auto"/>
              </w:rPr>
            </w:pPr>
            <w:r>
              <w:rPr>
                <w:rFonts w:ascii="Arial" w:cs="Arial" w:eastAsia="Arial" w:hAnsi="Arial"/>
                <w:sz w:val="14"/>
                <w:szCs w:val="14"/>
                <w:color w:val="auto"/>
                <w:w w:val="90"/>
                <w:vertAlign w:val="subscript"/>
              </w:rPr>
              <w:t>(7)</w:t>
            </w:r>
            <w:r>
              <w:rPr>
                <w:rFonts w:ascii="Arial" w:cs="Arial" w:eastAsia="Arial" w:hAnsi="Arial"/>
                <w:sz w:val="11"/>
                <w:szCs w:val="11"/>
                <w:color w:val="auto"/>
                <w:w w:val="90"/>
              </w:rPr>
              <w:t>Oral</w:t>
            </w:r>
            <w:r>
              <w:rPr>
                <w:rFonts w:ascii="Arial" w:cs="Arial" w:eastAsia="Arial" w:hAnsi="Arial"/>
                <w:sz w:val="14"/>
                <w:szCs w:val="14"/>
                <w:color w:val="auto"/>
                <w:w w:val="90"/>
                <w:vertAlign w:val="subscript"/>
              </w:rPr>
              <w:t>,(8)</w:t>
            </w:r>
            <w:r>
              <w:rPr>
                <w:rFonts w:ascii="Arial" w:cs="Arial" w:eastAsia="Arial" w:hAnsi="Arial"/>
                <w:sz w:val="11"/>
                <w:szCs w:val="11"/>
                <w:color w:val="auto"/>
                <w:w w:val="90"/>
              </w:rPr>
              <w:t xml:space="preserve"> Surgery (ITC) Holdings, LLC (OIS Management Services, LLC)</w:t>
            </w:r>
          </w:p>
        </w:tc>
        <w:tc>
          <w:tcPr>
            <w:tcW w:w="680" w:type="dxa"/>
            <w:vAlign w:val="bottom"/>
          </w:tcPr>
          <w:p>
            <w:pPr>
              <w:ind w:left="56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5"/>
                <w:szCs w:val="15"/>
                <w:color w:val="auto"/>
              </w:rPr>
            </w:pPr>
          </w:p>
        </w:tc>
        <w:tc>
          <w:tcPr>
            <w:tcW w:w="2200" w:type="dxa"/>
            <w:vAlign w:val="bottom"/>
          </w:tcPr>
          <w:p>
            <w:pPr>
              <w:jc w:val="center"/>
              <w:spacing w:after="0"/>
              <w:rPr>
                <w:sz w:val="20"/>
                <w:szCs w:val="20"/>
                <w:color w:val="auto"/>
              </w:rPr>
            </w:pPr>
            <w:r>
              <w:rPr>
                <w:rFonts w:ascii="Arial" w:cs="Arial" w:eastAsia="Arial" w:hAnsi="Arial"/>
                <w:sz w:val="11"/>
                <w:szCs w:val="11"/>
                <w:color w:val="auto"/>
                <w:w w:val="88"/>
              </w:rPr>
              <w:t>Healthcare Equipment and Supplies</w:t>
            </w:r>
          </w:p>
        </w:tc>
        <w:tc>
          <w:tcPr>
            <w:tcW w:w="120" w:type="dxa"/>
            <w:vAlign w:val="bottom"/>
          </w:tcPr>
          <w:p>
            <w:pPr>
              <w:spacing w:after="0"/>
              <w:rPr>
                <w:sz w:val="15"/>
                <w:szCs w:val="15"/>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Pr>
          <w:p>
            <w:pPr>
              <w:ind w:left="800"/>
              <w:spacing w:after="0"/>
              <w:rPr>
                <w:sz w:val="20"/>
                <w:szCs w:val="20"/>
                <w:color w:val="auto"/>
              </w:rPr>
            </w:pPr>
            <w:r>
              <w:rPr>
                <w:rFonts w:ascii="Arial" w:cs="Arial" w:eastAsia="Arial" w:hAnsi="Arial"/>
                <w:sz w:val="11"/>
                <w:szCs w:val="11"/>
                <w:color w:val="auto"/>
                <w:w w:val="90"/>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3,872</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83</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83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3260" w:type="dxa"/>
            <w:vAlign w:val="bottom"/>
            <w:gridSpan w:val="2"/>
          </w:tcPr>
          <w:p>
            <w:pPr>
              <w:ind w:left="20"/>
              <w:spacing w:after="0" w:line="135" w:lineRule="exact"/>
              <w:rPr>
                <w:sz w:val="20"/>
                <w:szCs w:val="20"/>
                <w:color w:val="auto"/>
              </w:rPr>
            </w:pPr>
            <w:r>
              <w:rPr>
                <w:rFonts w:ascii="Arial" w:cs="Arial" w:eastAsia="Arial" w:hAnsi="Arial"/>
                <w:sz w:val="11"/>
                <w:szCs w:val="11"/>
                <w:color w:val="auto"/>
              </w:rPr>
              <w:t xml:space="preserve">ORL Holdco, Inc. </w:t>
            </w:r>
            <w:r>
              <w:rPr>
                <w:rFonts w:ascii="Arial" w:cs="Arial" w:eastAsia="Arial" w:hAnsi="Arial"/>
                <w:sz w:val="14"/>
                <w:szCs w:val="14"/>
                <w:color w:val="auto"/>
                <w:vertAlign w:val="superscript"/>
              </w:rPr>
              <w:t>(7)</w:t>
            </w:r>
          </w:p>
        </w:tc>
        <w:tc>
          <w:tcPr>
            <w:tcW w:w="680" w:type="dxa"/>
            <w:vAlign w:val="bottom"/>
          </w:tcPr>
          <w:p>
            <w:pPr>
              <w:ind w:left="56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1"/>
                <w:szCs w:val="11"/>
                <w:color w:val="auto"/>
              </w:rPr>
            </w:pPr>
          </w:p>
        </w:tc>
        <w:tc>
          <w:tcPr>
            <w:tcW w:w="2200" w:type="dxa"/>
            <w:vAlign w:val="bottom"/>
          </w:tcPr>
          <w:p>
            <w:pPr>
              <w:jc w:val="center"/>
              <w:spacing w:after="0"/>
              <w:rPr>
                <w:sz w:val="20"/>
                <w:szCs w:val="20"/>
                <w:color w:val="auto"/>
              </w:rPr>
            </w:pPr>
            <w:r>
              <w:rPr>
                <w:rFonts w:ascii="Arial" w:cs="Arial" w:eastAsia="Arial" w:hAnsi="Arial"/>
                <w:sz w:val="11"/>
                <w:szCs w:val="11"/>
                <w:color w:val="auto"/>
                <w:w w:val="86"/>
              </w:rPr>
              <w:t>Consumer Finance</w:t>
            </w:r>
          </w:p>
        </w:tc>
        <w:tc>
          <w:tcPr>
            <w:tcW w:w="120" w:type="dxa"/>
            <w:vAlign w:val="bottom"/>
          </w:tcPr>
          <w:p>
            <w:pPr>
              <w:spacing w:after="0"/>
              <w:rPr>
                <w:sz w:val="11"/>
                <w:szCs w:val="11"/>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Pr>
          <w:p>
            <w:pPr>
              <w:ind w:left="800"/>
              <w:spacing w:after="0"/>
              <w:rPr>
                <w:sz w:val="20"/>
                <w:szCs w:val="20"/>
                <w:color w:val="auto"/>
              </w:rPr>
            </w:pPr>
            <w:r>
              <w:rPr>
                <w:rFonts w:ascii="Arial" w:cs="Arial" w:eastAsia="Arial" w:hAnsi="Arial"/>
                <w:sz w:val="11"/>
                <w:szCs w:val="11"/>
                <w:color w:val="auto"/>
                <w:w w:val="90"/>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1,474</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15</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60" w:type="dxa"/>
            <w:vAlign w:val="bottom"/>
            <w:gridSpan w:val="2"/>
          </w:tcPr>
          <w:p>
            <w:pPr>
              <w:ind w:left="20"/>
              <w:spacing w:after="0" w:line="135" w:lineRule="exact"/>
              <w:rPr>
                <w:sz w:val="20"/>
                <w:szCs w:val="20"/>
                <w:color w:val="auto"/>
              </w:rPr>
            </w:pPr>
            <w:r>
              <w:rPr>
                <w:rFonts w:ascii="Arial" w:cs="Arial" w:eastAsia="Arial" w:hAnsi="Arial"/>
                <w:sz w:val="11"/>
                <w:szCs w:val="11"/>
                <w:color w:val="auto"/>
              </w:rPr>
              <w:t xml:space="preserve">PennantPark-TSO Senior Loan Fund, LP </w:t>
            </w:r>
            <w:r>
              <w:rPr>
                <w:rFonts w:ascii="Arial" w:cs="Arial" w:eastAsia="Arial" w:hAnsi="Arial"/>
                <w:sz w:val="14"/>
                <w:szCs w:val="14"/>
                <w:color w:val="auto"/>
                <w:vertAlign w:val="superscript"/>
              </w:rPr>
              <w:t>(7)</w:t>
            </w:r>
          </w:p>
        </w:tc>
        <w:tc>
          <w:tcPr>
            <w:tcW w:w="680" w:type="dxa"/>
            <w:vAlign w:val="bottom"/>
          </w:tcPr>
          <w:p>
            <w:pPr>
              <w:ind w:left="56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1"/>
                <w:szCs w:val="11"/>
                <w:color w:val="auto"/>
              </w:rPr>
            </w:pPr>
          </w:p>
        </w:tc>
        <w:tc>
          <w:tcPr>
            <w:tcW w:w="2200" w:type="dxa"/>
            <w:vAlign w:val="bottom"/>
          </w:tcPr>
          <w:p>
            <w:pPr>
              <w:jc w:val="center"/>
              <w:spacing w:after="0"/>
              <w:rPr>
                <w:sz w:val="20"/>
                <w:szCs w:val="20"/>
                <w:color w:val="auto"/>
              </w:rPr>
            </w:pPr>
            <w:r>
              <w:rPr>
                <w:rFonts w:ascii="Arial" w:cs="Arial" w:eastAsia="Arial" w:hAnsi="Arial"/>
                <w:sz w:val="11"/>
                <w:szCs w:val="11"/>
                <w:color w:val="auto"/>
                <w:w w:val="89"/>
              </w:rPr>
              <w:t>Financial Services</w:t>
            </w:r>
          </w:p>
        </w:tc>
        <w:tc>
          <w:tcPr>
            <w:tcW w:w="120" w:type="dxa"/>
            <w:vAlign w:val="bottom"/>
          </w:tcPr>
          <w:p>
            <w:pPr>
              <w:spacing w:after="0"/>
              <w:rPr>
                <w:sz w:val="11"/>
                <w:szCs w:val="11"/>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Pr>
          <w:p>
            <w:pPr>
              <w:ind w:left="800"/>
              <w:spacing w:after="0"/>
              <w:rPr>
                <w:sz w:val="20"/>
                <w:szCs w:val="20"/>
                <w:color w:val="auto"/>
              </w:rPr>
            </w:pPr>
            <w:r>
              <w:rPr>
                <w:rFonts w:ascii="Arial" w:cs="Arial" w:eastAsia="Arial" w:hAnsi="Arial"/>
                <w:sz w:val="11"/>
                <w:szCs w:val="11"/>
                <w:color w:val="auto"/>
                <w:w w:val="90"/>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15,321,693</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15,322</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15,574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60" w:type="dxa"/>
            <w:vAlign w:val="bottom"/>
            <w:gridSpan w:val="2"/>
          </w:tcPr>
          <w:p>
            <w:pPr>
              <w:ind w:left="20"/>
              <w:spacing w:after="0" w:line="135" w:lineRule="exact"/>
              <w:rPr>
                <w:sz w:val="20"/>
                <w:szCs w:val="20"/>
                <w:color w:val="auto"/>
              </w:rPr>
            </w:pPr>
            <w:r>
              <w:rPr>
                <w:rFonts w:ascii="Arial" w:cs="Arial" w:eastAsia="Arial" w:hAnsi="Arial"/>
                <w:sz w:val="11"/>
                <w:szCs w:val="11"/>
                <w:color w:val="auto"/>
              </w:rPr>
              <w:t xml:space="preserve">PT Network Intermediate Holdings, LLC </w:t>
            </w:r>
            <w:r>
              <w:rPr>
                <w:rFonts w:ascii="Arial" w:cs="Arial" w:eastAsia="Arial" w:hAnsi="Arial"/>
                <w:sz w:val="14"/>
                <w:szCs w:val="14"/>
                <w:color w:val="auto"/>
                <w:vertAlign w:val="superscript"/>
              </w:rPr>
              <w:t>(7),(8)</w:t>
            </w:r>
          </w:p>
        </w:tc>
        <w:tc>
          <w:tcPr>
            <w:tcW w:w="680" w:type="dxa"/>
            <w:vAlign w:val="bottom"/>
          </w:tcPr>
          <w:p>
            <w:pPr>
              <w:ind w:left="56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1"/>
                <w:szCs w:val="11"/>
                <w:color w:val="auto"/>
              </w:rPr>
            </w:pPr>
          </w:p>
        </w:tc>
        <w:tc>
          <w:tcPr>
            <w:tcW w:w="2200" w:type="dxa"/>
            <w:vAlign w:val="bottom"/>
          </w:tcPr>
          <w:p>
            <w:pPr>
              <w:jc w:val="center"/>
              <w:spacing w:after="0"/>
              <w:rPr>
                <w:sz w:val="20"/>
                <w:szCs w:val="20"/>
                <w:color w:val="auto"/>
              </w:rPr>
            </w:pPr>
            <w:r>
              <w:rPr>
                <w:rFonts w:ascii="Arial" w:cs="Arial" w:eastAsia="Arial" w:hAnsi="Arial"/>
                <w:sz w:val="11"/>
                <w:szCs w:val="11"/>
                <w:color w:val="auto"/>
                <w:w w:val="88"/>
              </w:rPr>
              <w:t>Healthcare and Pharmaceuticals</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25</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295</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2,485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60" w:type="dxa"/>
            <w:vAlign w:val="bottom"/>
            <w:gridSpan w:val="2"/>
          </w:tcPr>
          <w:p>
            <w:pPr>
              <w:ind w:left="20"/>
              <w:spacing w:after="0" w:line="135" w:lineRule="exact"/>
              <w:rPr>
                <w:sz w:val="20"/>
                <w:szCs w:val="20"/>
                <w:color w:val="auto"/>
              </w:rPr>
            </w:pPr>
            <w:r>
              <w:rPr>
                <w:rFonts w:ascii="Arial" w:cs="Arial" w:eastAsia="Arial" w:hAnsi="Arial"/>
                <w:sz w:val="11"/>
                <w:szCs w:val="11"/>
                <w:color w:val="auto"/>
              </w:rPr>
              <w:t xml:space="preserve">QuantiTech InvestCo LP </w:t>
            </w:r>
            <w:r>
              <w:rPr>
                <w:rFonts w:ascii="Arial" w:cs="Arial" w:eastAsia="Arial" w:hAnsi="Arial"/>
                <w:sz w:val="14"/>
                <w:szCs w:val="14"/>
                <w:color w:val="auto"/>
                <w:vertAlign w:val="superscript"/>
              </w:rPr>
              <w:t>(7), (8)</w:t>
            </w:r>
          </w:p>
        </w:tc>
        <w:tc>
          <w:tcPr>
            <w:tcW w:w="680" w:type="dxa"/>
            <w:vAlign w:val="bottom"/>
          </w:tcPr>
          <w:p>
            <w:pPr>
              <w:ind w:left="56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1"/>
                <w:szCs w:val="11"/>
                <w:color w:val="auto"/>
              </w:rPr>
            </w:pPr>
          </w:p>
        </w:tc>
        <w:tc>
          <w:tcPr>
            <w:tcW w:w="2200" w:type="dxa"/>
            <w:vAlign w:val="bottom"/>
          </w:tcPr>
          <w:p>
            <w:pPr>
              <w:jc w:val="center"/>
              <w:spacing w:after="0"/>
              <w:rPr>
                <w:sz w:val="20"/>
                <w:szCs w:val="20"/>
                <w:color w:val="auto"/>
              </w:rPr>
            </w:pPr>
            <w:r>
              <w:rPr>
                <w:rFonts w:ascii="Arial" w:cs="Arial" w:eastAsia="Arial" w:hAnsi="Arial"/>
                <w:sz w:val="11"/>
                <w:szCs w:val="11"/>
                <w:color w:val="auto"/>
                <w:w w:val="84"/>
              </w:rPr>
              <w:t>Aerospace and Defense</w:t>
            </w:r>
          </w:p>
        </w:tc>
        <w:tc>
          <w:tcPr>
            <w:tcW w:w="120" w:type="dxa"/>
            <w:vAlign w:val="bottom"/>
          </w:tcPr>
          <w:p>
            <w:pPr>
              <w:spacing w:after="0"/>
              <w:rPr>
                <w:sz w:val="11"/>
                <w:szCs w:val="11"/>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Pr>
          <w:p>
            <w:pPr>
              <w:ind w:left="800"/>
              <w:spacing w:after="0"/>
              <w:rPr>
                <w:sz w:val="20"/>
                <w:szCs w:val="20"/>
                <w:color w:val="auto"/>
              </w:rPr>
            </w:pPr>
            <w:r>
              <w:rPr>
                <w:rFonts w:ascii="Arial" w:cs="Arial" w:eastAsia="Arial" w:hAnsi="Arial"/>
                <w:sz w:val="11"/>
                <w:szCs w:val="11"/>
                <w:color w:val="auto"/>
                <w:w w:val="90"/>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700</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66</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365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60" w:type="dxa"/>
            <w:vAlign w:val="bottom"/>
            <w:gridSpan w:val="2"/>
          </w:tcPr>
          <w:p>
            <w:pPr>
              <w:ind w:left="20"/>
              <w:spacing w:after="0" w:line="135" w:lineRule="exact"/>
              <w:rPr>
                <w:sz w:val="20"/>
                <w:szCs w:val="20"/>
                <w:color w:val="auto"/>
              </w:rPr>
            </w:pPr>
            <w:r>
              <w:rPr>
                <w:rFonts w:ascii="Arial" w:cs="Arial" w:eastAsia="Arial" w:hAnsi="Arial"/>
                <w:sz w:val="11"/>
                <w:szCs w:val="11"/>
                <w:color w:val="auto"/>
              </w:rPr>
              <w:t xml:space="preserve">QuantiTech InvestCo LP </w:t>
            </w:r>
            <w:r>
              <w:rPr>
                <w:rFonts w:ascii="Arial" w:cs="Arial" w:eastAsia="Arial" w:hAnsi="Arial"/>
                <w:sz w:val="14"/>
                <w:szCs w:val="14"/>
                <w:color w:val="auto"/>
                <w:vertAlign w:val="superscript"/>
              </w:rPr>
              <w:t>(7), (8), (9)</w:t>
            </w:r>
          </w:p>
        </w:tc>
        <w:tc>
          <w:tcPr>
            <w:tcW w:w="680" w:type="dxa"/>
            <w:vAlign w:val="bottom"/>
          </w:tcPr>
          <w:p>
            <w:pPr>
              <w:ind w:left="56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1"/>
                <w:szCs w:val="11"/>
                <w:color w:val="auto"/>
              </w:rPr>
            </w:pPr>
          </w:p>
        </w:tc>
        <w:tc>
          <w:tcPr>
            <w:tcW w:w="2200" w:type="dxa"/>
            <w:vAlign w:val="bottom"/>
          </w:tcPr>
          <w:p>
            <w:pPr>
              <w:jc w:val="center"/>
              <w:spacing w:after="0"/>
              <w:rPr>
                <w:sz w:val="20"/>
                <w:szCs w:val="20"/>
                <w:color w:val="auto"/>
              </w:rPr>
            </w:pPr>
            <w:r>
              <w:rPr>
                <w:rFonts w:ascii="Arial" w:cs="Arial" w:eastAsia="Arial" w:hAnsi="Arial"/>
                <w:sz w:val="11"/>
                <w:szCs w:val="11"/>
                <w:color w:val="auto"/>
                <w:w w:val="84"/>
              </w:rPr>
              <w:t>Aerospace and Defense</w:t>
            </w:r>
          </w:p>
        </w:tc>
        <w:tc>
          <w:tcPr>
            <w:tcW w:w="120" w:type="dxa"/>
            <w:vAlign w:val="bottom"/>
          </w:tcPr>
          <w:p>
            <w:pPr>
              <w:spacing w:after="0"/>
              <w:rPr>
                <w:sz w:val="11"/>
                <w:szCs w:val="11"/>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Pr>
          <w:p>
            <w:pPr>
              <w:ind w:left="800"/>
              <w:spacing w:after="0"/>
              <w:rPr>
                <w:sz w:val="20"/>
                <w:szCs w:val="20"/>
                <w:color w:val="auto"/>
              </w:rPr>
            </w:pPr>
            <w:r>
              <w:rPr>
                <w:rFonts w:ascii="Arial" w:cs="Arial" w:eastAsia="Arial" w:hAnsi="Arial"/>
                <w:sz w:val="11"/>
                <w:szCs w:val="11"/>
                <w:color w:val="auto"/>
                <w:w w:val="90"/>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967</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3260" w:type="dxa"/>
            <w:vAlign w:val="bottom"/>
            <w:gridSpan w:val="2"/>
          </w:tcPr>
          <w:p>
            <w:pPr>
              <w:ind w:left="20"/>
              <w:spacing w:after="0" w:line="135" w:lineRule="exact"/>
              <w:rPr>
                <w:sz w:val="20"/>
                <w:szCs w:val="20"/>
                <w:color w:val="auto"/>
              </w:rPr>
            </w:pPr>
            <w:r>
              <w:rPr>
                <w:rFonts w:ascii="Arial" w:cs="Arial" w:eastAsia="Arial" w:hAnsi="Arial"/>
                <w:sz w:val="11"/>
                <w:szCs w:val="11"/>
                <w:color w:val="auto"/>
              </w:rPr>
              <w:t xml:space="preserve">QuantiTech InvestCo II LP </w:t>
            </w:r>
            <w:r>
              <w:rPr>
                <w:rFonts w:ascii="Arial" w:cs="Arial" w:eastAsia="Arial" w:hAnsi="Arial"/>
                <w:sz w:val="14"/>
                <w:szCs w:val="14"/>
                <w:color w:val="auto"/>
                <w:vertAlign w:val="superscript"/>
              </w:rPr>
              <w:t>(7), (8),</w:t>
            </w:r>
          </w:p>
        </w:tc>
        <w:tc>
          <w:tcPr>
            <w:tcW w:w="680" w:type="dxa"/>
            <w:vAlign w:val="bottom"/>
          </w:tcPr>
          <w:p>
            <w:pPr>
              <w:ind w:left="56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1"/>
                <w:szCs w:val="11"/>
                <w:color w:val="auto"/>
              </w:rPr>
            </w:pPr>
          </w:p>
        </w:tc>
        <w:tc>
          <w:tcPr>
            <w:tcW w:w="2200" w:type="dxa"/>
            <w:vAlign w:val="bottom"/>
          </w:tcPr>
          <w:p>
            <w:pPr>
              <w:jc w:val="center"/>
              <w:spacing w:after="0"/>
              <w:rPr>
                <w:sz w:val="20"/>
                <w:szCs w:val="20"/>
                <w:color w:val="auto"/>
              </w:rPr>
            </w:pPr>
            <w:r>
              <w:rPr>
                <w:rFonts w:ascii="Arial" w:cs="Arial" w:eastAsia="Arial" w:hAnsi="Arial"/>
                <w:sz w:val="11"/>
                <w:szCs w:val="11"/>
                <w:color w:val="auto"/>
                <w:w w:val="84"/>
              </w:rPr>
              <w:t>Aerospace and Defense</w:t>
            </w:r>
          </w:p>
        </w:tc>
        <w:tc>
          <w:tcPr>
            <w:tcW w:w="120" w:type="dxa"/>
            <w:vAlign w:val="bottom"/>
          </w:tcPr>
          <w:p>
            <w:pPr>
              <w:spacing w:after="0"/>
              <w:rPr>
                <w:sz w:val="11"/>
                <w:szCs w:val="11"/>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Pr>
          <w:p>
            <w:pPr>
              <w:ind w:left="800"/>
              <w:spacing w:after="0"/>
              <w:rPr>
                <w:sz w:val="20"/>
                <w:szCs w:val="20"/>
                <w:color w:val="auto"/>
              </w:rPr>
            </w:pPr>
            <w:r>
              <w:rPr>
                <w:rFonts w:ascii="Arial" w:cs="Arial" w:eastAsia="Arial" w:hAnsi="Arial"/>
                <w:sz w:val="11"/>
                <w:szCs w:val="11"/>
                <w:color w:val="auto"/>
                <w:w w:val="90"/>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40</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24</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21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60" w:type="dxa"/>
            <w:vAlign w:val="bottom"/>
            <w:gridSpan w:val="2"/>
          </w:tcPr>
          <w:p>
            <w:pPr>
              <w:ind w:left="20"/>
              <w:spacing w:after="0" w:line="135" w:lineRule="exact"/>
              <w:rPr>
                <w:sz w:val="20"/>
                <w:szCs w:val="20"/>
                <w:color w:val="auto"/>
              </w:rPr>
            </w:pPr>
            <w:r>
              <w:rPr>
                <w:rFonts w:ascii="Arial" w:cs="Arial" w:eastAsia="Arial" w:hAnsi="Arial"/>
                <w:sz w:val="11"/>
                <w:szCs w:val="11"/>
                <w:color w:val="auto"/>
              </w:rPr>
              <w:t xml:space="preserve">RFMG Parent, LP (Rancho Health MSO, Inc.) </w:t>
            </w:r>
            <w:r>
              <w:rPr>
                <w:rFonts w:ascii="Arial" w:cs="Arial" w:eastAsia="Arial" w:hAnsi="Arial"/>
                <w:sz w:val="14"/>
                <w:szCs w:val="14"/>
                <w:color w:val="auto"/>
                <w:vertAlign w:val="superscript"/>
              </w:rPr>
              <w:t>(7)</w:t>
            </w:r>
          </w:p>
        </w:tc>
        <w:tc>
          <w:tcPr>
            <w:tcW w:w="680" w:type="dxa"/>
            <w:vAlign w:val="bottom"/>
          </w:tcPr>
          <w:p>
            <w:pPr>
              <w:ind w:left="56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1"/>
                <w:szCs w:val="11"/>
                <w:color w:val="auto"/>
              </w:rPr>
            </w:pPr>
          </w:p>
        </w:tc>
        <w:tc>
          <w:tcPr>
            <w:tcW w:w="2200" w:type="dxa"/>
            <w:vAlign w:val="bottom"/>
          </w:tcPr>
          <w:p>
            <w:pPr>
              <w:jc w:val="center"/>
              <w:spacing w:after="0"/>
              <w:rPr>
                <w:sz w:val="20"/>
                <w:szCs w:val="20"/>
                <w:color w:val="auto"/>
              </w:rPr>
            </w:pPr>
            <w:r>
              <w:rPr>
                <w:rFonts w:ascii="Arial" w:cs="Arial" w:eastAsia="Arial" w:hAnsi="Arial"/>
                <w:sz w:val="11"/>
                <w:szCs w:val="11"/>
                <w:color w:val="auto"/>
                <w:w w:val="88"/>
              </w:rPr>
              <w:t>Healthcare Equipment and Supplies</w:t>
            </w:r>
          </w:p>
        </w:tc>
        <w:tc>
          <w:tcPr>
            <w:tcW w:w="120" w:type="dxa"/>
            <w:vAlign w:val="bottom"/>
          </w:tcPr>
          <w:p>
            <w:pPr>
              <w:spacing w:after="0"/>
              <w:rPr>
                <w:sz w:val="11"/>
                <w:szCs w:val="11"/>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Pr>
          <w:p>
            <w:pPr>
              <w:ind w:left="800"/>
              <w:spacing w:after="0"/>
              <w:rPr>
                <w:sz w:val="20"/>
                <w:szCs w:val="20"/>
                <w:color w:val="auto"/>
              </w:rPr>
            </w:pPr>
            <w:r>
              <w:rPr>
                <w:rFonts w:ascii="Arial" w:cs="Arial" w:eastAsia="Arial" w:hAnsi="Arial"/>
                <w:sz w:val="11"/>
                <w:szCs w:val="11"/>
                <w:color w:val="auto"/>
                <w:w w:val="90"/>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1,050,000</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1,050</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1,253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60" w:type="dxa"/>
            <w:vAlign w:val="bottom"/>
            <w:gridSpan w:val="2"/>
          </w:tcPr>
          <w:p>
            <w:pPr>
              <w:ind w:left="20"/>
              <w:spacing w:after="0" w:line="135" w:lineRule="exact"/>
              <w:rPr>
                <w:sz w:val="20"/>
                <w:szCs w:val="20"/>
                <w:color w:val="auto"/>
              </w:rPr>
            </w:pPr>
            <w:r>
              <w:rPr>
                <w:rFonts w:ascii="Arial" w:cs="Arial" w:eastAsia="Arial" w:hAnsi="Arial"/>
                <w:sz w:val="11"/>
                <w:szCs w:val="11"/>
                <w:color w:val="auto"/>
                <w:w w:val="97"/>
              </w:rPr>
              <w:t xml:space="preserve">SBI Holdings Investments LLC (Sales Benchmark Index LLC) </w:t>
            </w:r>
            <w:r>
              <w:rPr>
                <w:rFonts w:ascii="Arial" w:cs="Arial" w:eastAsia="Arial" w:hAnsi="Arial"/>
                <w:sz w:val="14"/>
                <w:szCs w:val="14"/>
                <w:color w:val="auto"/>
                <w:w w:val="97"/>
                <w:vertAlign w:val="superscript"/>
              </w:rPr>
              <w:t>(7), (8)</w:t>
            </w:r>
          </w:p>
        </w:tc>
        <w:tc>
          <w:tcPr>
            <w:tcW w:w="680" w:type="dxa"/>
            <w:vAlign w:val="bottom"/>
          </w:tcPr>
          <w:p>
            <w:pPr>
              <w:ind w:left="56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1"/>
                <w:szCs w:val="11"/>
                <w:color w:val="auto"/>
              </w:rPr>
            </w:pPr>
          </w:p>
        </w:tc>
        <w:tc>
          <w:tcPr>
            <w:tcW w:w="2200" w:type="dxa"/>
            <w:vAlign w:val="bottom"/>
          </w:tcPr>
          <w:p>
            <w:pPr>
              <w:jc w:val="center"/>
              <w:spacing w:after="0"/>
              <w:rPr>
                <w:sz w:val="20"/>
                <w:szCs w:val="20"/>
                <w:color w:val="auto"/>
              </w:rPr>
            </w:pPr>
            <w:r>
              <w:rPr>
                <w:rFonts w:ascii="Arial" w:cs="Arial" w:eastAsia="Arial" w:hAnsi="Arial"/>
                <w:sz w:val="11"/>
                <w:szCs w:val="11"/>
                <w:color w:val="auto"/>
                <w:w w:val="86"/>
              </w:rPr>
              <w:t>Professional Services</w:t>
            </w:r>
          </w:p>
        </w:tc>
        <w:tc>
          <w:tcPr>
            <w:tcW w:w="120" w:type="dxa"/>
            <w:vAlign w:val="bottom"/>
          </w:tcPr>
          <w:p>
            <w:pPr>
              <w:spacing w:after="0"/>
              <w:rPr>
                <w:sz w:val="11"/>
                <w:szCs w:val="11"/>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Pr>
          <w:p>
            <w:pPr>
              <w:ind w:left="800"/>
              <w:spacing w:after="0"/>
              <w:rPr>
                <w:sz w:val="20"/>
                <w:szCs w:val="20"/>
                <w:color w:val="auto"/>
              </w:rPr>
            </w:pPr>
            <w:r>
              <w:rPr>
                <w:rFonts w:ascii="Arial" w:cs="Arial" w:eastAsia="Arial" w:hAnsi="Arial"/>
                <w:sz w:val="11"/>
                <w:szCs w:val="11"/>
                <w:color w:val="auto"/>
                <w:w w:val="90"/>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64,634</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646</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492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260" w:type="dxa"/>
            <w:vAlign w:val="bottom"/>
            <w:gridSpan w:val="2"/>
          </w:tcPr>
          <w:p>
            <w:pPr>
              <w:ind w:left="20"/>
              <w:spacing w:after="0" w:line="155" w:lineRule="exact"/>
              <w:rPr>
                <w:sz w:val="20"/>
                <w:szCs w:val="20"/>
                <w:color w:val="auto"/>
              </w:rPr>
            </w:pPr>
            <w:r>
              <w:rPr>
                <w:rFonts w:ascii="Arial" w:cs="Arial" w:eastAsia="Arial" w:hAnsi="Arial"/>
                <w:sz w:val="11"/>
                <w:szCs w:val="11"/>
                <w:color w:val="auto"/>
              </w:rPr>
              <w:t xml:space="preserve">Signature CR Intermediate Holdco, Inc. </w:t>
            </w:r>
            <w:r>
              <w:rPr>
                <w:rFonts w:ascii="Arial" w:cs="Arial" w:eastAsia="Arial" w:hAnsi="Arial"/>
                <w:sz w:val="14"/>
                <w:szCs w:val="14"/>
                <w:color w:val="auto"/>
                <w:vertAlign w:val="superscript"/>
              </w:rPr>
              <w:t>(7)</w:t>
            </w:r>
          </w:p>
        </w:tc>
        <w:tc>
          <w:tcPr>
            <w:tcW w:w="680" w:type="dxa"/>
            <w:vAlign w:val="bottom"/>
          </w:tcPr>
          <w:p>
            <w:pPr>
              <w:ind w:left="56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3"/>
                <w:szCs w:val="13"/>
                <w:color w:val="auto"/>
              </w:rPr>
            </w:pPr>
          </w:p>
        </w:tc>
        <w:tc>
          <w:tcPr>
            <w:tcW w:w="2200" w:type="dxa"/>
            <w:vAlign w:val="bottom"/>
          </w:tcPr>
          <w:p>
            <w:pPr>
              <w:jc w:val="center"/>
              <w:spacing w:after="0"/>
              <w:rPr>
                <w:sz w:val="20"/>
                <w:szCs w:val="20"/>
                <w:color w:val="auto"/>
              </w:rPr>
            </w:pPr>
            <w:r>
              <w:rPr>
                <w:rFonts w:ascii="Arial" w:cs="Arial" w:eastAsia="Arial" w:hAnsi="Arial"/>
                <w:sz w:val="11"/>
                <w:szCs w:val="11"/>
                <w:color w:val="auto"/>
                <w:w w:val="90"/>
              </w:rPr>
              <w:t>Commercial Services &amp; Supplies</w:t>
            </w:r>
          </w:p>
        </w:tc>
        <w:tc>
          <w:tcPr>
            <w:tcW w:w="120" w:type="dxa"/>
            <w:vAlign w:val="bottom"/>
          </w:tcPr>
          <w:p>
            <w:pPr>
              <w:spacing w:after="0"/>
              <w:rPr>
                <w:sz w:val="13"/>
                <w:szCs w:val="13"/>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Pr>
          <w:p>
            <w:pPr>
              <w:ind w:left="800"/>
              <w:spacing w:after="0"/>
              <w:rPr>
                <w:sz w:val="20"/>
                <w:szCs w:val="20"/>
                <w:color w:val="auto"/>
              </w:rPr>
            </w:pPr>
            <w:r>
              <w:rPr>
                <w:rFonts w:ascii="Arial" w:cs="Arial" w:eastAsia="Arial" w:hAnsi="Arial"/>
                <w:sz w:val="11"/>
                <w:szCs w:val="11"/>
                <w:color w:val="auto"/>
                <w:w w:val="90"/>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70</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70</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5"/>
        </w:trPr>
        <w:tc>
          <w:tcPr>
            <w:tcW w:w="3140" w:type="dxa"/>
            <w:vAlign w:val="bottom"/>
            <w:shd w:val="clear" w:color="auto" w:fill="CCECFF"/>
          </w:tcPr>
          <w:p>
            <w:pPr>
              <w:ind w:left="20"/>
              <w:spacing w:after="0" w:line="115" w:lineRule="exact"/>
              <w:rPr>
                <w:sz w:val="20"/>
                <w:szCs w:val="20"/>
                <w:color w:val="auto"/>
              </w:rPr>
            </w:pPr>
            <w:r>
              <w:rPr>
                <w:rFonts w:ascii="Arial" w:cs="Arial" w:eastAsia="Arial" w:hAnsi="Arial"/>
                <w:sz w:val="11"/>
                <w:szCs w:val="11"/>
                <w:color w:val="auto"/>
              </w:rPr>
              <w:t>SSC Dominion Holdings, LLC</w:t>
            </w:r>
          </w:p>
        </w:tc>
        <w:tc>
          <w:tcPr>
            <w:tcW w:w="120" w:type="dxa"/>
            <w:vAlign w:val="bottom"/>
          </w:tcPr>
          <w:p>
            <w:pPr>
              <w:spacing w:after="0"/>
              <w:rPr>
                <w:sz w:val="9"/>
                <w:szCs w:val="9"/>
                <w:color w:val="auto"/>
              </w:rPr>
            </w:pPr>
          </w:p>
        </w:tc>
        <w:tc>
          <w:tcPr>
            <w:tcW w:w="680" w:type="dxa"/>
            <w:vAlign w:val="bottom"/>
          </w:tcPr>
          <w:p>
            <w:pPr>
              <w:ind w:left="560"/>
              <w:spacing w:after="0" w:line="115" w:lineRule="exact"/>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9"/>
                <w:szCs w:val="9"/>
                <w:color w:val="auto"/>
              </w:rPr>
            </w:pPr>
          </w:p>
        </w:tc>
        <w:tc>
          <w:tcPr>
            <w:tcW w:w="2200" w:type="dxa"/>
            <w:vAlign w:val="bottom"/>
          </w:tcPr>
          <w:p>
            <w:pPr>
              <w:jc w:val="center"/>
              <w:spacing w:after="0" w:line="115" w:lineRule="exact"/>
              <w:rPr>
                <w:sz w:val="20"/>
                <w:szCs w:val="20"/>
                <w:color w:val="auto"/>
              </w:rPr>
            </w:pPr>
            <w:r>
              <w:rPr>
                <w:rFonts w:ascii="Arial" w:cs="Arial" w:eastAsia="Arial" w:hAnsi="Arial"/>
                <w:sz w:val="11"/>
                <w:szCs w:val="11"/>
                <w:color w:val="auto"/>
                <w:w w:val="88"/>
              </w:rPr>
              <w:t>Capital Equipment</w:t>
            </w:r>
          </w:p>
        </w:tc>
        <w:tc>
          <w:tcPr>
            <w:tcW w:w="120" w:type="dxa"/>
            <w:vAlign w:val="bottom"/>
          </w:tcPr>
          <w:p>
            <w:pPr>
              <w:spacing w:after="0"/>
              <w:rPr>
                <w:sz w:val="9"/>
                <w:szCs w:val="9"/>
                <w:color w:val="auto"/>
              </w:rPr>
            </w:pPr>
          </w:p>
        </w:tc>
        <w:tc>
          <w:tcPr>
            <w:tcW w:w="960" w:type="dxa"/>
            <w:vAlign w:val="bottom"/>
            <w:gridSpan w:val="2"/>
          </w:tcPr>
          <w:p>
            <w:pPr>
              <w:jc w:val="right"/>
              <w:ind w:right="260"/>
              <w:spacing w:after="0" w:line="115" w:lineRule="exact"/>
              <w:rPr>
                <w:sz w:val="20"/>
                <w:szCs w:val="20"/>
                <w:color w:val="auto"/>
              </w:rPr>
            </w:pPr>
            <w:r>
              <w:rPr>
                <w:rFonts w:ascii="Arial" w:cs="Arial" w:eastAsia="Arial" w:hAnsi="Arial"/>
                <w:sz w:val="11"/>
                <w:szCs w:val="11"/>
                <w:color w:val="auto"/>
              </w:rPr>
              <w:t>—</w:t>
            </w:r>
          </w:p>
        </w:tc>
        <w:tc>
          <w:tcPr>
            <w:tcW w:w="920" w:type="dxa"/>
            <w:vAlign w:val="bottom"/>
          </w:tcPr>
          <w:p>
            <w:pPr>
              <w:ind w:left="800"/>
              <w:spacing w:after="0" w:line="115" w:lineRule="exact"/>
              <w:rPr>
                <w:sz w:val="20"/>
                <w:szCs w:val="20"/>
                <w:color w:val="auto"/>
              </w:rPr>
            </w:pPr>
            <w:r>
              <w:rPr>
                <w:rFonts w:ascii="Arial" w:cs="Arial" w:eastAsia="Arial" w:hAnsi="Arial"/>
                <w:sz w:val="11"/>
                <w:szCs w:val="11"/>
                <w:color w:val="auto"/>
                <w:w w:val="90"/>
              </w:rPr>
              <w:t>—</w:t>
            </w:r>
          </w:p>
        </w:tc>
        <w:tc>
          <w:tcPr>
            <w:tcW w:w="90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500</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jc w:val="right"/>
              <w:spacing w:after="0" w:line="115" w:lineRule="exact"/>
              <w:rPr>
                <w:sz w:val="20"/>
                <w:szCs w:val="20"/>
                <w:color w:val="auto"/>
              </w:rPr>
            </w:pPr>
            <w:r>
              <w:rPr>
                <w:rFonts w:ascii="Arial" w:cs="Arial" w:eastAsia="Arial" w:hAnsi="Arial"/>
                <w:sz w:val="11"/>
                <w:szCs w:val="11"/>
                <w:color w:val="auto"/>
              </w:rPr>
              <w:t>500</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jc w:val="right"/>
              <w:spacing w:after="0" w:line="115" w:lineRule="exact"/>
              <w:rPr>
                <w:sz w:val="20"/>
                <w:szCs w:val="20"/>
                <w:color w:val="auto"/>
              </w:rPr>
            </w:pPr>
            <w:r>
              <w:rPr>
                <w:rFonts w:ascii="Arial" w:cs="Arial" w:eastAsia="Arial" w:hAnsi="Arial"/>
                <w:sz w:val="11"/>
                <w:szCs w:val="11"/>
                <w:color w:val="auto"/>
              </w:rPr>
              <w:t>630</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3140" w:type="dxa"/>
            <w:vAlign w:val="bottom"/>
            <w:vMerge w:val="restart"/>
            <w:shd w:val="clear" w:color="auto" w:fill="CCECFF"/>
          </w:tcPr>
          <w:p>
            <w:pPr>
              <w:ind w:left="100"/>
              <w:spacing w:after="0"/>
              <w:rPr>
                <w:sz w:val="20"/>
                <w:szCs w:val="20"/>
                <w:color w:val="auto"/>
              </w:rPr>
            </w:pPr>
            <w:r>
              <w:rPr>
                <w:rFonts w:ascii="Arial" w:cs="Arial" w:eastAsia="Arial" w:hAnsi="Arial"/>
                <w:sz w:val="11"/>
                <w:szCs w:val="11"/>
                <w:color w:val="auto"/>
              </w:rPr>
              <w:t xml:space="preserve">Class A (US Dominion, Inc.) </w:t>
            </w:r>
            <w:r>
              <w:rPr>
                <w:rFonts w:ascii="Arial" w:cs="Arial" w:eastAsia="Arial" w:hAnsi="Arial"/>
                <w:sz w:val="14"/>
                <w:szCs w:val="14"/>
                <w:color w:val="auto"/>
                <w:vertAlign w:val="superscript"/>
              </w:rPr>
              <w:t>(7)</w:t>
            </w: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3140" w:type="dxa"/>
            <w:vAlign w:val="bottom"/>
            <w:vMerge w:val="continue"/>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22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9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3140" w:type="dxa"/>
            <w:vAlign w:val="bottom"/>
          </w:tcPr>
          <w:p>
            <w:pPr>
              <w:ind w:left="20"/>
              <w:spacing w:after="0" w:line="105" w:lineRule="exact"/>
              <w:rPr>
                <w:sz w:val="20"/>
                <w:szCs w:val="20"/>
                <w:color w:val="auto"/>
              </w:rPr>
            </w:pPr>
            <w:r>
              <w:rPr>
                <w:rFonts w:ascii="Arial" w:cs="Arial" w:eastAsia="Arial" w:hAnsi="Arial"/>
                <w:sz w:val="11"/>
                <w:szCs w:val="11"/>
                <w:color w:val="auto"/>
              </w:rPr>
              <w:t>SSC Dominion Holdings, LLC</w:t>
            </w:r>
          </w:p>
        </w:tc>
        <w:tc>
          <w:tcPr>
            <w:tcW w:w="120" w:type="dxa"/>
            <w:vAlign w:val="bottom"/>
          </w:tcPr>
          <w:p>
            <w:pPr>
              <w:spacing w:after="0"/>
              <w:rPr>
                <w:sz w:val="9"/>
                <w:szCs w:val="9"/>
                <w:color w:val="auto"/>
              </w:rPr>
            </w:pPr>
          </w:p>
        </w:tc>
        <w:tc>
          <w:tcPr>
            <w:tcW w:w="680" w:type="dxa"/>
            <w:vAlign w:val="bottom"/>
          </w:tcPr>
          <w:p>
            <w:pPr>
              <w:ind w:left="560"/>
              <w:spacing w:after="0" w:line="105" w:lineRule="exact"/>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9"/>
                <w:szCs w:val="9"/>
                <w:color w:val="auto"/>
              </w:rPr>
            </w:pPr>
          </w:p>
        </w:tc>
        <w:tc>
          <w:tcPr>
            <w:tcW w:w="2200" w:type="dxa"/>
            <w:vAlign w:val="bottom"/>
          </w:tcPr>
          <w:p>
            <w:pPr>
              <w:jc w:val="center"/>
              <w:spacing w:after="0" w:line="105" w:lineRule="exact"/>
              <w:rPr>
                <w:sz w:val="20"/>
                <w:szCs w:val="20"/>
                <w:color w:val="auto"/>
              </w:rPr>
            </w:pPr>
            <w:r>
              <w:rPr>
                <w:rFonts w:ascii="Arial" w:cs="Arial" w:eastAsia="Arial" w:hAnsi="Arial"/>
                <w:sz w:val="11"/>
                <w:szCs w:val="11"/>
                <w:color w:val="auto"/>
                <w:w w:val="88"/>
              </w:rPr>
              <w:t>Capital Equipment</w:t>
            </w:r>
          </w:p>
        </w:tc>
        <w:tc>
          <w:tcPr>
            <w:tcW w:w="120" w:type="dxa"/>
            <w:vAlign w:val="bottom"/>
          </w:tcPr>
          <w:p>
            <w:pPr>
              <w:spacing w:after="0"/>
              <w:rPr>
                <w:sz w:val="9"/>
                <w:szCs w:val="9"/>
                <w:color w:val="auto"/>
              </w:rPr>
            </w:pPr>
          </w:p>
        </w:tc>
        <w:tc>
          <w:tcPr>
            <w:tcW w:w="960" w:type="dxa"/>
            <w:vAlign w:val="bottom"/>
            <w:gridSpan w:val="2"/>
          </w:tcPr>
          <w:p>
            <w:pPr>
              <w:jc w:val="right"/>
              <w:ind w:right="260"/>
              <w:spacing w:after="0" w:line="105" w:lineRule="exact"/>
              <w:rPr>
                <w:sz w:val="20"/>
                <w:szCs w:val="20"/>
                <w:color w:val="auto"/>
              </w:rPr>
            </w:pPr>
            <w:r>
              <w:rPr>
                <w:rFonts w:ascii="Arial" w:cs="Arial" w:eastAsia="Arial" w:hAnsi="Arial"/>
                <w:sz w:val="11"/>
                <w:szCs w:val="11"/>
                <w:color w:val="auto"/>
              </w:rPr>
              <w:t>—</w:t>
            </w:r>
          </w:p>
        </w:tc>
        <w:tc>
          <w:tcPr>
            <w:tcW w:w="920" w:type="dxa"/>
            <w:vAlign w:val="bottom"/>
          </w:tcPr>
          <w:p>
            <w:pPr>
              <w:ind w:left="800"/>
              <w:spacing w:after="0" w:line="105" w:lineRule="exact"/>
              <w:rPr>
                <w:sz w:val="20"/>
                <w:szCs w:val="20"/>
                <w:color w:val="auto"/>
              </w:rPr>
            </w:pPr>
            <w:r>
              <w:rPr>
                <w:rFonts w:ascii="Arial" w:cs="Arial" w:eastAsia="Arial" w:hAnsi="Arial"/>
                <w:sz w:val="11"/>
                <w:szCs w:val="11"/>
                <w:color w:val="auto"/>
                <w:w w:val="90"/>
              </w:rPr>
              <w:t>—</w:t>
            </w:r>
          </w:p>
        </w:tc>
        <w:tc>
          <w:tcPr>
            <w:tcW w:w="900" w:type="dxa"/>
            <w:vAlign w:val="bottom"/>
            <w:gridSpan w:val="2"/>
          </w:tcPr>
          <w:p>
            <w:pPr>
              <w:jc w:val="right"/>
              <w:spacing w:after="0" w:line="105" w:lineRule="exact"/>
              <w:rPr>
                <w:sz w:val="20"/>
                <w:szCs w:val="20"/>
                <w:color w:val="auto"/>
              </w:rPr>
            </w:pPr>
            <w:r>
              <w:rPr>
                <w:rFonts w:ascii="Arial" w:cs="Arial" w:eastAsia="Arial" w:hAnsi="Arial"/>
                <w:sz w:val="11"/>
                <w:szCs w:val="11"/>
                <w:color w:val="auto"/>
              </w:rPr>
              <w:t>500</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jc w:val="right"/>
              <w:spacing w:after="0" w:line="105" w:lineRule="exact"/>
              <w:rPr>
                <w:sz w:val="20"/>
                <w:szCs w:val="20"/>
                <w:color w:val="auto"/>
              </w:rPr>
            </w:pPr>
            <w:r>
              <w:rPr>
                <w:rFonts w:ascii="Arial" w:cs="Arial" w:eastAsia="Arial" w:hAnsi="Arial"/>
                <w:sz w:val="11"/>
                <w:szCs w:val="11"/>
                <w:color w:val="auto"/>
              </w:rPr>
              <w:t>—</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jc w:val="right"/>
              <w:spacing w:after="0" w:line="105" w:lineRule="exact"/>
              <w:rPr>
                <w:sz w:val="20"/>
                <w:szCs w:val="20"/>
                <w:color w:val="auto"/>
              </w:rPr>
            </w:pPr>
            <w:r>
              <w:rPr>
                <w:rFonts w:ascii="Arial" w:cs="Arial" w:eastAsia="Arial" w:hAnsi="Arial"/>
                <w:sz w:val="11"/>
                <w:szCs w:val="11"/>
                <w:color w:val="auto"/>
              </w:rPr>
              <w:t>1,178</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60" w:type="dxa"/>
            <w:vAlign w:val="bottom"/>
            <w:gridSpan w:val="2"/>
          </w:tcPr>
          <w:p>
            <w:pPr>
              <w:ind w:left="100"/>
              <w:spacing w:after="0" w:line="135" w:lineRule="exact"/>
              <w:rPr>
                <w:sz w:val="20"/>
                <w:szCs w:val="20"/>
                <w:color w:val="auto"/>
              </w:rPr>
            </w:pPr>
            <w:r>
              <w:rPr>
                <w:rFonts w:ascii="Arial" w:cs="Arial" w:eastAsia="Arial" w:hAnsi="Arial"/>
                <w:sz w:val="11"/>
                <w:szCs w:val="11"/>
                <w:color w:val="auto"/>
              </w:rPr>
              <w:t xml:space="preserve">Class B (US Dominion, Inc.) </w:t>
            </w:r>
            <w:r>
              <w:rPr>
                <w:rFonts w:ascii="Arial" w:cs="Arial" w:eastAsia="Arial" w:hAnsi="Arial"/>
                <w:sz w:val="14"/>
                <w:szCs w:val="14"/>
                <w:color w:val="auto"/>
                <w:vertAlign w:val="superscript"/>
              </w:rPr>
              <w:t>(7)</w:t>
            </w: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60" w:type="dxa"/>
            <w:vAlign w:val="bottom"/>
            <w:gridSpan w:val="2"/>
          </w:tcPr>
          <w:p>
            <w:pPr>
              <w:ind w:left="20"/>
              <w:spacing w:after="0" w:line="135" w:lineRule="exact"/>
              <w:rPr>
                <w:sz w:val="20"/>
                <w:szCs w:val="20"/>
                <w:color w:val="auto"/>
              </w:rPr>
            </w:pPr>
            <w:r>
              <w:rPr>
                <w:rFonts w:ascii="Arial" w:cs="Arial" w:eastAsia="Arial" w:hAnsi="Arial"/>
                <w:sz w:val="11"/>
                <w:szCs w:val="11"/>
                <w:color w:val="auto"/>
              </w:rPr>
              <w:t xml:space="preserve">StellPen Holdings, LLC (CF512, Inc.) </w:t>
            </w:r>
            <w:r>
              <w:rPr>
                <w:rFonts w:ascii="Arial" w:cs="Arial" w:eastAsia="Arial" w:hAnsi="Arial"/>
                <w:sz w:val="14"/>
                <w:szCs w:val="14"/>
                <w:color w:val="auto"/>
                <w:vertAlign w:val="superscript"/>
              </w:rPr>
              <w:t>(7)</w:t>
            </w:r>
          </w:p>
        </w:tc>
        <w:tc>
          <w:tcPr>
            <w:tcW w:w="680" w:type="dxa"/>
            <w:vAlign w:val="bottom"/>
          </w:tcPr>
          <w:p>
            <w:pPr>
              <w:ind w:left="56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1"/>
                <w:szCs w:val="11"/>
                <w:color w:val="auto"/>
              </w:rPr>
            </w:pPr>
          </w:p>
        </w:tc>
        <w:tc>
          <w:tcPr>
            <w:tcW w:w="220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120" w:type="dxa"/>
            <w:vAlign w:val="bottom"/>
          </w:tcPr>
          <w:p>
            <w:pPr>
              <w:spacing w:after="0"/>
              <w:rPr>
                <w:sz w:val="11"/>
                <w:szCs w:val="11"/>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Pr>
          <w:p>
            <w:pPr>
              <w:ind w:left="800"/>
              <w:spacing w:after="0"/>
              <w:rPr>
                <w:sz w:val="20"/>
                <w:szCs w:val="20"/>
                <w:color w:val="auto"/>
              </w:rPr>
            </w:pPr>
            <w:r>
              <w:rPr>
                <w:rFonts w:ascii="Arial" w:cs="Arial" w:eastAsia="Arial" w:hAnsi="Arial"/>
                <w:sz w:val="11"/>
                <w:szCs w:val="11"/>
                <w:color w:val="auto"/>
                <w:w w:val="90"/>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161,538</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162</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162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60" w:type="dxa"/>
            <w:vAlign w:val="bottom"/>
            <w:gridSpan w:val="2"/>
          </w:tcPr>
          <w:p>
            <w:pPr>
              <w:ind w:left="20"/>
              <w:spacing w:after="0" w:line="135" w:lineRule="exact"/>
              <w:rPr>
                <w:sz w:val="20"/>
                <w:szCs w:val="20"/>
                <w:color w:val="auto"/>
              </w:rPr>
            </w:pPr>
            <w:r>
              <w:rPr>
                <w:rFonts w:ascii="Arial" w:cs="Arial" w:eastAsia="Arial" w:hAnsi="Arial"/>
                <w:sz w:val="11"/>
                <w:szCs w:val="11"/>
                <w:color w:val="auto"/>
              </w:rPr>
              <w:t xml:space="preserve">TAC LifePort Holdings, LLC </w:t>
            </w:r>
            <w:r>
              <w:rPr>
                <w:rFonts w:ascii="Arial" w:cs="Arial" w:eastAsia="Arial" w:hAnsi="Arial"/>
                <w:sz w:val="14"/>
                <w:szCs w:val="14"/>
                <w:color w:val="auto"/>
                <w:vertAlign w:val="superscript"/>
              </w:rPr>
              <w:t>(7),(8)</w:t>
            </w:r>
          </w:p>
        </w:tc>
        <w:tc>
          <w:tcPr>
            <w:tcW w:w="680" w:type="dxa"/>
            <w:vAlign w:val="bottom"/>
          </w:tcPr>
          <w:p>
            <w:pPr>
              <w:ind w:left="56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1"/>
                <w:szCs w:val="11"/>
                <w:color w:val="auto"/>
              </w:rPr>
            </w:pPr>
          </w:p>
        </w:tc>
        <w:tc>
          <w:tcPr>
            <w:tcW w:w="2200" w:type="dxa"/>
            <w:vAlign w:val="bottom"/>
          </w:tcPr>
          <w:p>
            <w:pPr>
              <w:jc w:val="center"/>
              <w:spacing w:after="0"/>
              <w:rPr>
                <w:sz w:val="20"/>
                <w:szCs w:val="20"/>
                <w:color w:val="auto"/>
              </w:rPr>
            </w:pPr>
            <w:r>
              <w:rPr>
                <w:rFonts w:ascii="Arial" w:cs="Arial" w:eastAsia="Arial" w:hAnsi="Arial"/>
                <w:sz w:val="11"/>
                <w:szCs w:val="11"/>
                <w:color w:val="auto"/>
                <w:w w:val="84"/>
              </w:rPr>
              <w:t>Aerospace and Defense</w:t>
            </w:r>
          </w:p>
        </w:tc>
        <w:tc>
          <w:tcPr>
            <w:tcW w:w="120" w:type="dxa"/>
            <w:vAlign w:val="bottom"/>
          </w:tcPr>
          <w:p>
            <w:pPr>
              <w:spacing w:after="0"/>
              <w:rPr>
                <w:sz w:val="11"/>
                <w:szCs w:val="11"/>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Pr>
          <w:p>
            <w:pPr>
              <w:ind w:left="800"/>
              <w:spacing w:after="0"/>
              <w:rPr>
                <w:sz w:val="20"/>
                <w:szCs w:val="20"/>
                <w:color w:val="auto"/>
              </w:rPr>
            </w:pPr>
            <w:r>
              <w:rPr>
                <w:rFonts w:ascii="Arial" w:cs="Arial" w:eastAsia="Arial" w:hAnsi="Arial"/>
                <w:sz w:val="11"/>
                <w:szCs w:val="11"/>
                <w:color w:val="auto"/>
                <w:w w:val="90"/>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488,372</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488</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545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60" w:type="dxa"/>
            <w:vAlign w:val="bottom"/>
            <w:gridSpan w:val="2"/>
          </w:tcPr>
          <w:p>
            <w:pPr>
              <w:ind w:left="20"/>
              <w:spacing w:after="0" w:line="135" w:lineRule="exact"/>
              <w:rPr>
                <w:sz w:val="20"/>
                <w:szCs w:val="20"/>
                <w:color w:val="auto"/>
              </w:rPr>
            </w:pPr>
            <w:r>
              <w:rPr>
                <w:rFonts w:ascii="Arial" w:cs="Arial" w:eastAsia="Arial" w:hAnsi="Arial"/>
                <w:sz w:val="11"/>
                <w:szCs w:val="11"/>
                <w:color w:val="auto"/>
              </w:rPr>
              <w:t xml:space="preserve">TPC Holding Company, LP </w:t>
            </w:r>
            <w:r>
              <w:rPr>
                <w:rFonts w:ascii="Arial" w:cs="Arial" w:eastAsia="Arial" w:hAnsi="Arial"/>
                <w:sz w:val="14"/>
                <w:szCs w:val="14"/>
                <w:color w:val="auto"/>
                <w:vertAlign w:val="superscript"/>
              </w:rPr>
              <w:t>(5), (7), (10)</w:t>
            </w:r>
          </w:p>
        </w:tc>
        <w:tc>
          <w:tcPr>
            <w:tcW w:w="680" w:type="dxa"/>
            <w:vAlign w:val="bottom"/>
          </w:tcPr>
          <w:p>
            <w:pPr>
              <w:ind w:left="56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1"/>
                <w:szCs w:val="11"/>
                <w:color w:val="auto"/>
              </w:rPr>
            </w:pPr>
          </w:p>
        </w:tc>
        <w:tc>
          <w:tcPr>
            <w:tcW w:w="2200" w:type="dxa"/>
            <w:vAlign w:val="bottom"/>
          </w:tcPr>
          <w:p>
            <w:pPr>
              <w:jc w:val="center"/>
              <w:spacing w:after="0"/>
              <w:rPr>
                <w:sz w:val="20"/>
                <w:szCs w:val="20"/>
                <w:color w:val="auto"/>
              </w:rPr>
            </w:pPr>
            <w:r>
              <w:rPr>
                <w:rFonts w:ascii="Arial" w:cs="Arial" w:eastAsia="Arial" w:hAnsi="Arial"/>
                <w:sz w:val="11"/>
                <w:szCs w:val="11"/>
                <w:color w:val="auto"/>
                <w:w w:val="89"/>
              </w:rPr>
              <w:t>Food Products</w:t>
            </w:r>
          </w:p>
        </w:tc>
        <w:tc>
          <w:tcPr>
            <w:tcW w:w="120" w:type="dxa"/>
            <w:vAlign w:val="bottom"/>
          </w:tcPr>
          <w:p>
            <w:pPr>
              <w:spacing w:after="0"/>
              <w:rPr>
                <w:sz w:val="11"/>
                <w:szCs w:val="11"/>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Pr>
          <w:p>
            <w:pPr>
              <w:ind w:left="800"/>
              <w:spacing w:after="0"/>
              <w:rPr>
                <w:sz w:val="20"/>
                <w:szCs w:val="20"/>
                <w:color w:val="auto"/>
              </w:rPr>
            </w:pPr>
            <w:r>
              <w:rPr>
                <w:rFonts w:ascii="Arial" w:cs="Arial" w:eastAsia="Arial" w:hAnsi="Arial"/>
                <w:sz w:val="11"/>
                <w:szCs w:val="11"/>
                <w:color w:val="auto"/>
                <w:w w:val="90"/>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21,527</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22</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62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60" w:type="dxa"/>
            <w:vAlign w:val="bottom"/>
            <w:gridSpan w:val="2"/>
          </w:tcPr>
          <w:p>
            <w:pPr>
              <w:ind w:left="20"/>
              <w:spacing w:after="0" w:line="135" w:lineRule="exact"/>
              <w:rPr>
                <w:sz w:val="20"/>
                <w:szCs w:val="20"/>
                <w:color w:val="auto"/>
              </w:rPr>
            </w:pPr>
            <w:r>
              <w:rPr>
                <w:rFonts w:ascii="Arial" w:cs="Arial" w:eastAsia="Arial" w:hAnsi="Arial"/>
                <w:sz w:val="11"/>
                <w:szCs w:val="11"/>
                <w:color w:val="auto"/>
              </w:rPr>
              <w:t xml:space="preserve">TWD Parent Holdings, LLC (The Vertex Companies, LLC) </w:t>
            </w:r>
            <w:r>
              <w:rPr>
                <w:rFonts w:ascii="Arial" w:cs="Arial" w:eastAsia="Arial" w:hAnsi="Arial"/>
                <w:sz w:val="14"/>
                <w:szCs w:val="14"/>
                <w:color w:val="auto"/>
                <w:vertAlign w:val="superscript"/>
              </w:rPr>
              <w:t>(7)</w:t>
            </w:r>
          </w:p>
        </w:tc>
        <w:tc>
          <w:tcPr>
            <w:tcW w:w="680" w:type="dxa"/>
            <w:vAlign w:val="bottom"/>
          </w:tcPr>
          <w:p>
            <w:pPr>
              <w:ind w:left="56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1"/>
                <w:szCs w:val="11"/>
                <w:color w:val="auto"/>
              </w:rPr>
            </w:pPr>
          </w:p>
        </w:tc>
        <w:tc>
          <w:tcPr>
            <w:tcW w:w="2200" w:type="dxa"/>
            <w:vAlign w:val="bottom"/>
          </w:tcPr>
          <w:p>
            <w:pPr>
              <w:jc w:val="center"/>
              <w:spacing w:after="0"/>
              <w:rPr>
                <w:sz w:val="20"/>
                <w:szCs w:val="20"/>
                <w:color w:val="auto"/>
              </w:rPr>
            </w:pPr>
            <w:r>
              <w:rPr>
                <w:rFonts w:ascii="Arial" w:cs="Arial" w:eastAsia="Arial" w:hAnsi="Arial"/>
                <w:sz w:val="11"/>
                <w:szCs w:val="11"/>
                <w:color w:val="auto"/>
                <w:w w:val="92"/>
              </w:rPr>
              <w:t>Construction &amp; Engineering</w:t>
            </w:r>
          </w:p>
        </w:tc>
        <w:tc>
          <w:tcPr>
            <w:tcW w:w="120" w:type="dxa"/>
            <w:vAlign w:val="bottom"/>
          </w:tcPr>
          <w:p>
            <w:pPr>
              <w:spacing w:after="0"/>
              <w:rPr>
                <w:sz w:val="11"/>
                <w:szCs w:val="11"/>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Pr>
          <w:p>
            <w:pPr>
              <w:ind w:left="800"/>
              <w:spacing w:after="0"/>
              <w:rPr>
                <w:sz w:val="20"/>
                <w:szCs w:val="20"/>
                <w:color w:val="auto"/>
              </w:rPr>
            </w:pPr>
            <w:r>
              <w:rPr>
                <w:rFonts w:ascii="Arial" w:cs="Arial" w:eastAsia="Arial" w:hAnsi="Arial"/>
                <w:sz w:val="11"/>
                <w:szCs w:val="11"/>
                <w:color w:val="auto"/>
                <w:w w:val="90"/>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749</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60" w:type="dxa"/>
            <w:vAlign w:val="bottom"/>
            <w:gridSpan w:val="2"/>
          </w:tcPr>
          <w:p>
            <w:pPr>
              <w:ind w:left="20"/>
              <w:spacing w:after="0" w:line="135" w:lineRule="exact"/>
              <w:rPr>
                <w:sz w:val="20"/>
                <w:szCs w:val="20"/>
                <w:color w:val="auto"/>
              </w:rPr>
            </w:pPr>
            <w:r>
              <w:rPr>
                <w:rFonts w:ascii="Arial" w:cs="Arial" w:eastAsia="Arial" w:hAnsi="Arial"/>
                <w:sz w:val="11"/>
                <w:szCs w:val="11"/>
                <w:color w:val="auto"/>
              </w:rPr>
              <w:t xml:space="preserve">UniTek Global Services, Inc. </w:t>
            </w:r>
            <w:r>
              <w:rPr>
                <w:rFonts w:ascii="Arial" w:cs="Arial" w:eastAsia="Arial" w:hAnsi="Arial"/>
                <w:sz w:val="14"/>
                <w:szCs w:val="14"/>
                <w:color w:val="auto"/>
                <w:vertAlign w:val="superscript"/>
              </w:rPr>
              <w:t>(7)</w:t>
            </w:r>
          </w:p>
        </w:tc>
        <w:tc>
          <w:tcPr>
            <w:tcW w:w="680" w:type="dxa"/>
            <w:vAlign w:val="bottom"/>
          </w:tcPr>
          <w:p>
            <w:pPr>
              <w:ind w:left="56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1"/>
                <w:szCs w:val="11"/>
                <w:color w:val="auto"/>
              </w:rPr>
            </w:pPr>
          </w:p>
        </w:tc>
        <w:tc>
          <w:tcPr>
            <w:tcW w:w="2200" w:type="dxa"/>
            <w:vAlign w:val="bottom"/>
          </w:tcPr>
          <w:p>
            <w:pPr>
              <w:jc w:val="center"/>
              <w:spacing w:after="0"/>
              <w:rPr>
                <w:sz w:val="20"/>
                <w:szCs w:val="20"/>
                <w:color w:val="auto"/>
              </w:rPr>
            </w:pPr>
            <w:r>
              <w:rPr>
                <w:rFonts w:ascii="Arial" w:cs="Arial" w:eastAsia="Arial" w:hAnsi="Arial"/>
                <w:sz w:val="11"/>
                <w:szCs w:val="11"/>
                <w:color w:val="auto"/>
                <w:w w:val="87"/>
              </w:rPr>
              <w:t>Telecommunications</w:t>
            </w:r>
          </w:p>
        </w:tc>
        <w:tc>
          <w:tcPr>
            <w:tcW w:w="120" w:type="dxa"/>
            <w:vAlign w:val="bottom"/>
          </w:tcPr>
          <w:p>
            <w:pPr>
              <w:spacing w:after="0"/>
              <w:rPr>
                <w:sz w:val="11"/>
                <w:szCs w:val="11"/>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Pr>
          <w:p>
            <w:pPr>
              <w:ind w:left="800"/>
              <w:spacing w:after="0"/>
              <w:rPr>
                <w:sz w:val="20"/>
                <w:szCs w:val="20"/>
                <w:color w:val="auto"/>
              </w:rPr>
            </w:pPr>
            <w:r>
              <w:rPr>
                <w:rFonts w:ascii="Arial" w:cs="Arial" w:eastAsia="Arial" w:hAnsi="Arial"/>
                <w:sz w:val="11"/>
                <w:szCs w:val="11"/>
                <w:color w:val="auto"/>
                <w:w w:val="90"/>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213,739</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3260" w:type="dxa"/>
            <w:vAlign w:val="bottom"/>
            <w:gridSpan w:val="2"/>
          </w:tcPr>
          <w:p>
            <w:pPr>
              <w:ind w:left="20"/>
              <w:spacing w:after="0" w:line="135" w:lineRule="exact"/>
              <w:rPr>
                <w:sz w:val="20"/>
                <w:szCs w:val="20"/>
                <w:color w:val="auto"/>
              </w:rPr>
            </w:pPr>
            <w:r>
              <w:rPr>
                <w:rFonts w:ascii="Arial" w:cs="Arial" w:eastAsia="Arial" w:hAnsi="Arial"/>
                <w:sz w:val="11"/>
                <w:szCs w:val="11"/>
                <w:color w:val="auto"/>
              </w:rPr>
              <w:t xml:space="preserve">UniTek Global Services, Inc. (Warrants) </w:t>
            </w:r>
            <w:r>
              <w:rPr>
                <w:rFonts w:ascii="Arial" w:cs="Arial" w:eastAsia="Arial" w:hAnsi="Arial"/>
                <w:sz w:val="14"/>
                <w:szCs w:val="14"/>
                <w:color w:val="auto"/>
                <w:vertAlign w:val="superscript"/>
              </w:rPr>
              <w:t>(7)</w:t>
            </w:r>
          </w:p>
        </w:tc>
        <w:tc>
          <w:tcPr>
            <w:tcW w:w="680" w:type="dxa"/>
            <w:vAlign w:val="bottom"/>
          </w:tcPr>
          <w:p>
            <w:pPr>
              <w:ind w:left="56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1"/>
                <w:szCs w:val="11"/>
                <w:color w:val="auto"/>
              </w:rPr>
            </w:pPr>
          </w:p>
        </w:tc>
        <w:tc>
          <w:tcPr>
            <w:tcW w:w="2200" w:type="dxa"/>
            <w:vAlign w:val="bottom"/>
          </w:tcPr>
          <w:p>
            <w:pPr>
              <w:jc w:val="center"/>
              <w:spacing w:after="0"/>
              <w:rPr>
                <w:sz w:val="20"/>
                <w:szCs w:val="20"/>
                <w:color w:val="auto"/>
              </w:rPr>
            </w:pPr>
            <w:r>
              <w:rPr>
                <w:rFonts w:ascii="Arial" w:cs="Arial" w:eastAsia="Arial" w:hAnsi="Arial"/>
                <w:sz w:val="11"/>
                <w:szCs w:val="11"/>
                <w:color w:val="auto"/>
                <w:w w:val="87"/>
              </w:rPr>
              <w:t>Telecommunications</w:t>
            </w:r>
          </w:p>
        </w:tc>
        <w:tc>
          <w:tcPr>
            <w:tcW w:w="120" w:type="dxa"/>
            <w:vAlign w:val="bottom"/>
          </w:tcPr>
          <w:p>
            <w:pPr>
              <w:spacing w:after="0"/>
              <w:rPr>
                <w:sz w:val="11"/>
                <w:szCs w:val="11"/>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Pr>
          <w:p>
            <w:pPr>
              <w:ind w:left="800"/>
              <w:spacing w:after="0"/>
              <w:rPr>
                <w:sz w:val="20"/>
                <w:szCs w:val="20"/>
                <w:color w:val="auto"/>
              </w:rPr>
            </w:pPr>
            <w:r>
              <w:rPr>
                <w:rFonts w:ascii="Arial" w:cs="Arial" w:eastAsia="Arial" w:hAnsi="Arial"/>
                <w:sz w:val="11"/>
                <w:szCs w:val="11"/>
                <w:color w:val="auto"/>
                <w:w w:val="90"/>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23,889</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3260" w:type="dxa"/>
            <w:vAlign w:val="bottom"/>
            <w:gridSpan w:val="2"/>
          </w:tcPr>
          <w:p>
            <w:pPr>
              <w:ind w:left="20"/>
              <w:spacing w:after="0" w:line="135" w:lineRule="exact"/>
              <w:rPr>
                <w:sz w:val="20"/>
                <w:szCs w:val="20"/>
                <w:color w:val="auto"/>
              </w:rPr>
            </w:pPr>
            <w:r>
              <w:rPr>
                <w:rFonts w:ascii="Arial" w:cs="Arial" w:eastAsia="Arial" w:hAnsi="Arial"/>
                <w:sz w:val="11"/>
                <w:szCs w:val="11"/>
                <w:color w:val="auto"/>
              </w:rPr>
              <w:t xml:space="preserve">UniVista Insurance </w:t>
            </w:r>
            <w:r>
              <w:rPr>
                <w:rFonts w:ascii="Arial" w:cs="Arial" w:eastAsia="Arial" w:hAnsi="Arial"/>
                <w:sz w:val="14"/>
                <w:szCs w:val="14"/>
                <w:color w:val="auto"/>
                <w:vertAlign w:val="superscript"/>
              </w:rPr>
              <w:t>(7),(8)</w:t>
            </w:r>
          </w:p>
        </w:tc>
        <w:tc>
          <w:tcPr>
            <w:tcW w:w="680" w:type="dxa"/>
            <w:vAlign w:val="bottom"/>
          </w:tcPr>
          <w:p>
            <w:pPr>
              <w:ind w:left="56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1"/>
                <w:szCs w:val="11"/>
                <w:color w:val="auto"/>
              </w:rPr>
            </w:pPr>
          </w:p>
        </w:tc>
        <w:tc>
          <w:tcPr>
            <w:tcW w:w="2200" w:type="dxa"/>
            <w:vAlign w:val="bottom"/>
          </w:tcPr>
          <w:p>
            <w:pPr>
              <w:jc w:val="center"/>
              <w:spacing w:after="0"/>
              <w:rPr>
                <w:sz w:val="20"/>
                <w:szCs w:val="20"/>
                <w:color w:val="auto"/>
              </w:rPr>
            </w:pPr>
            <w:r>
              <w:rPr>
                <w:rFonts w:ascii="Arial" w:cs="Arial" w:eastAsia="Arial" w:hAnsi="Arial"/>
                <w:sz w:val="11"/>
                <w:szCs w:val="11"/>
                <w:color w:val="auto"/>
                <w:w w:val="86"/>
              </w:rPr>
              <w:t>Insurance</w:t>
            </w:r>
          </w:p>
        </w:tc>
        <w:tc>
          <w:tcPr>
            <w:tcW w:w="120" w:type="dxa"/>
            <w:vAlign w:val="bottom"/>
          </w:tcPr>
          <w:p>
            <w:pPr>
              <w:spacing w:after="0"/>
              <w:rPr>
                <w:sz w:val="11"/>
                <w:szCs w:val="11"/>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Pr>
          <w:p>
            <w:pPr>
              <w:ind w:left="800"/>
              <w:spacing w:after="0"/>
              <w:rPr>
                <w:sz w:val="20"/>
                <w:szCs w:val="20"/>
                <w:color w:val="auto"/>
              </w:rPr>
            </w:pPr>
            <w:r>
              <w:rPr>
                <w:rFonts w:ascii="Arial" w:cs="Arial" w:eastAsia="Arial" w:hAnsi="Arial"/>
                <w:sz w:val="11"/>
                <w:szCs w:val="11"/>
                <w:color w:val="auto"/>
                <w:w w:val="90"/>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400</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400</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405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260" w:type="dxa"/>
            <w:vAlign w:val="bottom"/>
            <w:gridSpan w:val="2"/>
          </w:tcPr>
          <w:p>
            <w:pPr>
              <w:ind w:left="20"/>
              <w:spacing w:after="0" w:line="129" w:lineRule="exact"/>
              <w:rPr>
                <w:sz w:val="20"/>
                <w:szCs w:val="20"/>
                <w:color w:val="auto"/>
              </w:rPr>
            </w:pPr>
            <w:r>
              <w:rPr>
                <w:rFonts w:ascii="Arial" w:cs="Arial" w:eastAsia="Arial" w:hAnsi="Arial"/>
                <w:sz w:val="11"/>
                <w:szCs w:val="11"/>
                <w:color w:val="auto"/>
              </w:rPr>
              <w:t xml:space="preserve">Wildcat Parent, LP (Wildcat Buyerco, Inc.) </w:t>
            </w:r>
            <w:r>
              <w:rPr>
                <w:rFonts w:ascii="Arial" w:cs="Arial" w:eastAsia="Arial" w:hAnsi="Arial"/>
                <w:sz w:val="14"/>
                <w:szCs w:val="14"/>
                <w:color w:val="auto"/>
                <w:vertAlign w:val="superscript"/>
              </w:rPr>
              <w:t>(7), (8)</w:t>
            </w:r>
          </w:p>
        </w:tc>
        <w:tc>
          <w:tcPr>
            <w:tcW w:w="680" w:type="dxa"/>
            <w:vAlign w:val="bottom"/>
          </w:tcPr>
          <w:p>
            <w:pPr>
              <w:ind w:left="56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1"/>
                <w:szCs w:val="11"/>
                <w:color w:val="auto"/>
              </w:rPr>
            </w:pPr>
          </w:p>
        </w:tc>
        <w:tc>
          <w:tcPr>
            <w:tcW w:w="2200" w:type="dxa"/>
            <w:vAlign w:val="bottom"/>
          </w:tcPr>
          <w:p>
            <w:pPr>
              <w:jc w:val="center"/>
              <w:spacing w:after="0"/>
              <w:rPr>
                <w:sz w:val="20"/>
                <w:szCs w:val="20"/>
                <w:color w:val="auto"/>
              </w:rPr>
            </w:pPr>
            <w:r>
              <w:rPr>
                <w:rFonts w:ascii="Arial" w:cs="Arial" w:eastAsia="Arial" w:hAnsi="Arial"/>
                <w:sz w:val="11"/>
                <w:szCs w:val="11"/>
                <w:color w:val="auto"/>
                <w:w w:val="89"/>
              </w:rPr>
              <w:t>Electronic Equipment, Instruments, and</w:t>
            </w:r>
          </w:p>
        </w:tc>
        <w:tc>
          <w:tcPr>
            <w:tcW w:w="120" w:type="dxa"/>
            <w:vAlign w:val="bottom"/>
          </w:tcPr>
          <w:p>
            <w:pPr>
              <w:spacing w:after="0"/>
              <w:rPr>
                <w:sz w:val="11"/>
                <w:szCs w:val="11"/>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Pr>
          <w:p>
            <w:pPr>
              <w:ind w:left="800"/>
              <w:spacing w:after="0"/>
              <w:rPr>
                <w:sz w:val="20"/>
                <w:szCs w:val="20"/>
                <w:color w:val="auto"/>
              </w:rPr>
            </w:pPr>
            <w:r>
              <w:rPr>
                <w:rFonts w:ascii="Arial" w:cs="Arial" w:eastAsia="Arial" w:hAnsi="Arial"/>
                <w:sz w:val="11"/>
                <w:szCs w:val="11"/>
                <w:color w:val="auto"/>
                <w:w w:val="90"/>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2,240</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224</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398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0" w:type="dxa"/>
            <w:vAlign w:val="bottom"/>
          </w:tcPr>
          <w:p>
            <w:pPr>
              <w:jc w:val="center"/>
              <w:spacing w:after="0"/>
              <w:rPr>
                <w:sz w:val="20"/>
                <w:szCs w:val="20"/>
                <w:color w:val="auto"/>
              </w:rPr>
            </w:pPr>
            <w:r>
              <w:rPr>
                <w:rFonts w:ascii="Arial" w:cs="Arial" w:eastAsia="Arial" w:hAnsi="Arial"/>
                <w:sz w:val="11"/>
                <w:szCs w:val="11"/>
                <w:color w:val="auto"/>
                <w:w w:val="89"/>
              </w:rPr>
              <w:t>Components</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260" w:type="dxa"/>
            <w:vAlign w:val="bottom"/>
            <w:tcBorders>
              <w:bottom w:val="single" w:sz="8" w:color="CCECFF"/>
            </w:tcBorders>
            <w:gridSpan w:val="2"/>
            <w:shd w:val="clear" w:color="auto" w:fill="CCECFF"/>
          </w:tcPr>
          <w:p>
            <w:pPr>
              <w:ind w:left="20"/>
              <w:spacing w:after="0"/>
              <w:rPr>
                <w:sz w:val="20"/>
                <w:szCs w:val="20"/>
                <w:color w:val="auto"/>
              </w:rPr>
            </w:pPr>
            <w:r>
              <w:rPr>
                <w:rFonts w:ascii="Arial" w:cs="Arial" w:eastAsia="Arial" w:hAnsi="Arial"/>
                <w:sz w:val="11"/>
                <w:szCs w:val="11"/>
                <w:b w:val="1"/>
                <w:bCs w:val="1"/>
                <w:color w:val="auto"/>
              </w:rPr>
              <w:t>Total Common Equity/Warrants</w:t>
            </w:r>
          </w:p>
        </w:tc>
        <w:tc>
          <w:tcPr>
            <w:tcW w:w="680" w:type="dxa"/>
            <w:vAlign w:val="bottom"/>
            <w:tcBorders>
              <w:bottom w:val="single" w:sz="8" w:color="CCECFF"/>
            </w:tcBorders>
            <w:shd w:val="clear" w:color="auto" w:fill="CCECFF"/>
          </w:tcPr>
          <w:p>
            <w:pPr>
              <w:spacing w:after="0"/>
              <w:rPr>
                <w:sz w:val="11"/>
                <w:szCs w:val="11"/>
                <w:color w:val="auto"/>
              </w:rPr>
            </w:pPr>
          </w:p>
        </w:tc>
        <w:tc>
          <w:tcPr>
            <w:tcW w:w="260" w:type="dxa"/>
            <w:vAlign w:val="bottom"/>
            <w:tcBorders>
              <w:bottom w:val="single" w:sz="8" w:color="CCECFF"/>
            </w:tcBorders>
            <w:shd w:val="clear" w:color="auto" w:fill="CCECFF"/>
          </w:tcPr>
          <w:p>
            <w:pPr>
              <w:spacing w:after="0"/>
              <w:rPr>
                <w:sz w:val="11"/>
                <w:szCs w:val="11"/>
                <w:color w:val="auto"/>
              </w:rPr>
            </w:pPr>
          </w:p>
        </w:tc>
        <w:tc>
          <w:tcPr>
            <w:tcW w:w="220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720" w:type="dxa"/>
            <w:vAlign w:val="bottom"/>
            <w:tcBorders>
              <w:bottom w:val="single" w:sz="8" w:color="CCECFF"/>
            </w:tcBorders>
            <w:shd w:val="clear" w:color="auto" w:fill="CCECFF"/>
          </w:tcPr>
          <w:p>
            <w:pPr>
              <w:spacing w:after="0"/>
              <w:rPr>
                <w:sz w:val="11"/>
                <w:szCs w:val="11"/>
                <w:color w:val="auto"/>
              </w:rPr>
            </w:pPr>
          </w:p>
        </w:tc>
        <w:tc>
          <w:tcPr>
            <w:tcW w:w="240" w:type="dxa"/>
            <w:vAlign w:val="bottom"/>
            <w:tcBorders>
              <w:bottom w:val="single" w:sz="8" w:color="CCECFF"/>
            </w:tcBorders>
            <w:shd w:val="clear" w:color="auto" w:fill="CCECFF"/>
          </w:tcPr>
          <w:p>
            <w:pPr>
              <w:spacing w:after="0"/>
              <w:rPr>
                <w:sz w:val="11"/>
                <w:szCs w:val="11"/>
                <w:color w:val="auto"/>
              </w:rPr>
            </w:pPr>
          </w:p>
        </w:tc>
        <w:tc>
          <w:tcPr>
            <w:tcW w:w="92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68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auto"/>
            </w:tcBorders>
            <w:shd w:val="clear" w:color="auto" w:fill="CCECFF"/>
          </w:tcPr>
          <w:p>
            <w:pPr>
              <w:spacing w:after="0"/>
              <w:rPr>
                <w:sz w:val="11"/>
                <w:szCs w:val="11"/>
                <w:color w:val="auto"/>
              </w:rPr>
            </w:pPr>
          </w:p>
        </w:tc>
        <w:tc>
          <w:tcPr>
            <w:tcW w:w="5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41,384</w:t>
            </w:r>
          </w:p>
        </w:tc>
        <w:tc>
          <w:tcPr>
            <w:tcW w:w="220" w:type="dxa"/>
            <w:vAlign w:val="bottom"/>
            <w:tcBorders>
              <w:bottom w:val="single" w:sz="8" w:color="CCECFF"/>
            </w:tcBorders>
            <w:shd w:val="clear" w:color="auto" w:fill="CCECFF"/>
          </w:tcPr>
          <w:p>
            <w:pPr>
              <w:spacing w:after="0"/>
              <w:rPr>
                <w:sz w:val="11"/>
                <w:szCs w:val="11"/>
                <w:color w:val="auto"/>
              </w:rPr>
            </w:pPr>
          </w:p>
        </w:tc>
        <w:tc>
          <w:tcPr>
            <w:tcW w:w="200" w:type="dxa"/>
            <w:vAlign w:val="bottom"/>
            <w:tcBorders>
              <w:bottom w:val="single" w:sz="8" w:color="auto"/>
            </w:tcBorders>
            <w:shd w:val="clear" w:color="auto" w:fill="CCECFF"/>
          </w:tcPr>
          <w:p>
            <w:pPr>
              <w:spacing w:after="0"/>
              <w:rPr>
                <w:sz w:val="11"/>
                <w:szCs w:val="11"/>
                <w:color w:val="auto"/>
              </w:rPr>
            </w:pPr>
          </w:p>
        </w:tc>
        <w:tc>
          <w:tcPr>
            <w:tcW w:w="5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82,342</w:t>
            </w:r>
          </w:p>
        </w:tc>
        <w:tc>
          <w:tcPr>
            <w:tcW w:w="10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3940" w:type="dxa"/>
            <w:vAlign w:val="bottom"/>
            <w:gridSpan w:val="3"/>
          </w:tcPr>
          <w:p>
            <w:pPr>
              <w:ind w:left="20"/>
              <w:spacing w:after="0" w:line="110" w:lineRule="exact"/>
              <w:rPr>
                <w:sz w:val="20"/>
                <w:szCs w:val="20"/>
                <w:color w:val="auto"/>
              </w:rPr>
            </w:pPr>
            <w:r>
              <w:rPr>
                <w:rFonts w:ascii="Arial" w:cs="Arial" w:eastAsia="Arial" w:hAnsi="Arial"/>
                <w:sz w:val="11"/>
                <w:szCs w:val="11"/>
                <w:b w:val="1"/>
                <w:bCs w:val="1"/>
                <w:color w:val="auto"/>
              </w:rPr>
              <w:t>Total Investments in Non-Controlled, Non-Affiliated Portfolio Companies</w:t>
            </w:r>
          </w:p>
        </w:tc>
        <w:tc>
          <w:tcPr>
            <w:tcW w:w="26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spacing w:after="0" w:line="110" w:lineRule="exact"/>
              <w:rPr>
                <w:sz w:val="20"/>
                <w:szCs w:val="20"/>
                <w:color w:val="auto"/>
              </w:rPr>
            </w:pPr>
            <w:r>
              <w:rPr>
                <w:rFonts w:ascii="Arial" w:cs="Arial" w:eastAsia="Arial" w:hAnsi="Arial"/>
                <w:sz w:val="11"/>
                <w:szCs w:val="11"/>
                <w:color w:val="auto"/>
              </w:rPr>
              <w:t>824,542</w:t>
            </w:r>
          </w:p>
        </w:tc>
        <w:tc>
          <w:tcPr>
            <w:tcW w:w="22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spacing w:after="0" w:line="110" w:lineRule="exact"/>
              <w:rPr>
                <w:sz w:val="20"/>
                <w:szCs w:val="20"/>
                <w:color w:val="auto"/>
              </w:rPr>
            </w:pPr>
            <w:r>
              <w:rPr>
                <w:rFonts w:ascii="Arial" w:cs="Arial" w:eastAsia="Arial" w:hAnsi="Arial"/>
                <w:sz w:val="11"/>
                <w:szCs w:val="11"/>
                <w:color w:val="auto"/>
              </w:rPr>
              <w:t>856,806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940" w:type="dxa"/>
            <w:vAlign w:val="bottom"/>
            <w:gridSpan w:val="3"/>
          </w:tcPr>
          <w:p>
            <w:pPr>
              <w:ind w:left="20"/>
              <w:spacing w:after="0" w:line="121" w:lineRule="exact"/>
              <w:rPr>
                <w:sz w:val="20"/>
                <w:szCs w:val="20"/>
                <w:color w:val="auto"/>
              </w:rPr>
            </w:pPr>
            <w:r>
              <w:rPr>
                <w:rFonts w:ascii="Arial" w:cs="Arial" w:eastAsia="Arial" w:hAnsi="Arial"/>
                <w:sz w:val="11"/>
                <w:szCs w:val="11"/>
                <w:b w:val="1"/>
                <w:bCs w:val="1"/>
                <w:color w:val="auto"/>
                <w:w w:val="99"/>
              </w:rPr>
              <w:t xml:space="preserve">Investments in Non-Controlled, Affiliated Portfolio Companies—1.5% </w:t>
            </w:r>
            <w:r>
              <w:rPr>
                <w:rFonts w:ascii="Arial" w:cs="Arial" w:eastAsia="Arial" w:hAnsi="Arial"/>
                <w:sz w:val="14"/>
                <w:szCs w:val="14"/>
                <w:b w:val="1"/>
                <w:bCs w:val="1"/>
                <w:color w:val="auto"/>
                <w:w w:val="99"/>
                <w:vertAlign w:val="superscript"/>
              </w:rPr>
              <w:t>(3), (4)</w:t>
            </w:r>
          </w:p>
        </w:tc>
        <w:tc>
          <w:tcPr>
            <w:tcW w:w="26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260" w:type="dxa"/>
            <w:vAlign w:val="bottom"/>
            <w:gridSpan w:val="2"/>
          </w:tcPr>
          <w:p>
            <w:pPr>
              <w:ind w:left="20"/>
              <w:spacing w:after="0"/>
              <w:rPr>
                <w:sz w:val="20"/>
                <w:szCs w:val="20"/>
                <w:color w:val="auto"/>
              </w:rPr>
            </w:pPr>
            <w:r>
              <w:rPr>
                <w:rFonts w:ascii="Arial" w:cs="Arial" w:eastAsia="Arial" w:hAnsi="Arial"/>
                <w:sz w:val="11"/>
                <w:szCs w:val="11"/>
                <w:b w:val="1"/>
                <w:bCs w:val="1"/>
                <w:color w:val="auto"/>
              </w:rPr>
              <w:t>Second Lien Secured Debt—1.1%</w:t>
            </w: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140" w:type="dxa"/>
            <w:vAlign w:val="bottom"/>
            <w:shd w:val="clear" w:color="auto" w:fill="CCECFF"/>
          </w:tcPr>
          <w:p>
            <w:pPr>
              <w:ind w:left="20"/>
              <w:spacing w:after="0"/>
              <w:rPr>
                <w:sz w:val="20"/>
                <w:szCs w:val="20"/>
                <w:color w:val="auto"/>
              </w:rPr>
            </w:pPr>
            <w:r>
              <w:rPr>
                <w:rFonts w:ascii="Arial" w:cs="Arial" w:eastAsia="Arial" w:hAnsi="Arial"/>
                <w:sz w:val="11"/>
                <w:szCs w:val="11"/>
                <w:color w:val="auto"/>
              </w:rPr>
              <w:t>DBI Holdings, LLC, Term Loan B</w:t>
            </w: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ind w:left="100"/>
              <w:spacing w:after="0"/>
              <w:rPr>
                <w:sz w:val="20"/>
                <w:szCs w:val="20"/>
                <w:color w:val="auto"/>
              </w:rPr>
            </w:pPr>
            <w:r>
              <w:rPr>
                <w:rFonts w:ascii="Arial" w:cs="Arial" w:eastAsia="Arial" w:hAnsi="Arial"/>
                <w:sz w:val="11"/>
                <w:szCs w:val="11"/>
                <w:color w:val="auto"/>
              </w:rPr>
              <w:t>02/02/2026</w:t>
            </w:r>
          </w:p>
        </w:tc>
        <w:tc>
          <w:tcPr>
            <w:tcW w:w="260" w:type="dxa"/>
            <w:vAlign w:val="bottom"/>
            <w:shd w:val="clear" w:color="auto" w:fill="CCECFF"/>
          </w:tcPr>
          <w:p>
            <w:pPr>
              <w:spacing w:after="0"/>
              <w:rPr>
                <w:sz w:val="12"/>
                <w:szCs w:val="12"/>
                <w:color w:val="auto"/>
              </w:rPr>
            </w:pPr>
          </w:p>
        </w:tc>
        <w:tc>
          <w:tcPr>
            <w:tcW w:w="22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4"/>
              </w:rPr>
              <w:t>Business Services</w:t>
            </w:r>
          </w:p>
        </w:tc>
        <w:tc>
          <w:tcPr>
            <w:tcW w:w="108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11.00 %</w:t>
            </w:r>
          </w:p>
        </w:tc>
        <w:tc>
          <w:tcPr>
            <w:tcW w:w="920" w:type="dxa"/>
            <w:vAlign w:val="bottom"/>
            <w:shd w:val="clear" w:color="auto" w:fill="CCECFF"/>
          </w:tcPr>
          <w:p>
            <w:pPr>
              <w:ind w:left="800"/>
              <w:spacing w:after="0"/>
              <w:rPr>
                <w:sz w:val="20"/>
                <w:szCs w:val="20"/>
                <w:color w:val="auto"/>
              </w:rPr>
            </w:pPr>
            <w:r>
              <w:rPr>
                <w:rFonts w:ascii="Arial" w:cs="Arial" w:eastAsia="Arial" w:hAnsi="Arial"/>
                <w:sz w:val="11"/>
                <w:szCs w:val="11"/>
                <w:color w:val="auto"/>
                <w:w w:val="90"/>
              </w:rPr>
              <w:t>—</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3,405</w:t>
            </w:r>
          </w:p>
        </w:tc>
        <w:tc>
          <w:tcPr>
            <w:tcW w:w="2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3,405</w:t>
            </w:r>
          </w:p>
        </w:tc>
        <w:tc>
          <w:tcPr>
            <w:tcW w:w="22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3,405</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140" w:type="dxa"/>
            <w:vAlign w:val="bottom"/>
            <w:vMerge w:val="restart"/>
          </w:tcPr>
          <w:p>
            <w:pPr>
              <w:ind w:left="20"/>
              <w:spacing w:after="0"/>
              <w:rPr>
                <w:sz w:val="20"/>
                <w:szCs w:val="20"/>
                <w:color w:val="auto"/>
              </w:rPr>
            </w:pPr>
            <w:r>
              <w:rPr>
                <w:rFonts w:ascii="Arial" w:cs="Arial" w:eastAsia="Arial" w:hAnsi="Arial"/>
                <w:sz w:val="11"/>
                <w:szCs w:val="11"/>
                <w:color w:val="auto"/>
              </w:rPr>
              <w:t xml:space="preserve">DBI Holding, LLC - 1.5 Lien Term Loan </w:t>
            </w:r>
            <w:r>
              <w:rPr>
                <w:rFonts w:ascii="Arial" w:cs="Arial" w:eastAsia="Arial" w:hAnsi="Arial"/>
                <w:sz w:val="14"/>
                <w:szCs w:val="14"/>
                <w:color w:val="auto"/>
                <w:vertAlign w:val="superscript"/>
              </w:rPr>
              <w:t>(7)</w:t>
            </w: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22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(PIK 3.00%)</w:t>
            </w:r>
          </w:p>
        </w:tc>
        <w:tc>
          <w:tcPr>
            <w:tcW w:w="9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1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ind w:left="100"/>
              <w:spacing w:after="0"/>
              <w:rPr>
                <w:sz w:val="20"/>
                <w:szCs w:val="20"/>
                <w:color w:val="auto"/>
              </w:rPr>
            </w:pPr>
            <w:r>
              <w:rPr>
                <w:rFonts w:ascii="Arial" w:cs="Arial" w:eastAsia="Arial" w:hAnsi="Arial"/>
                <w:sz w:val="11"/>
                <w:szCs w:val="11"/>
                <w:color w:val="auto"/>
              </w:rPr>
              <w:t>05/01/2023</w:t>
            </w:r>
          </w:p>
        </w:tc>
        <w:tc>
          <w:tcPr>
            <w:tcW w:w="260" w:type="dxa"/>
            <w:vAlign w:val="bottom"/>
          </w:tcPr>
          <w:p>
            <w:pPr>
              <w:spacing w:after="0"/>
              <w:rPr>
                <w:sz w:val="12"/>
                <w:szCs w:val="12"/>
                <w:color w:val="auto"/>
              </w:rPr>
            </w:pPr>
          </w:p>
        </w:tc>
        <w:tc>
          <w:tcPr>
            <w:tcW w:w="2200" w:type="dxa"/>
            <w:vAlign w:val="bottom"/>
          </w:tcPr>
          <w:p>
            <w:pPr>
              <w:jc w:val="center"/>
              <w:spacing w:after="0"/>
              <w:rPr>
                <w:sz w:val="20"/>
                <w:szCs w:val="20"/>
                <w:color w:val="auto"/>
              </w:rPr>
            </w:pPr>
            <w:r>
              <w:rPr>
                <w:rFonts w:ascii="Arial" w:cs="Arial" w:eastAsia="Arial" w:hAnsi="Arial"/>
                <w:sz w:val="11"/>
                <w:szCs w:val="11"/>
                <w:color w:val="auto"/>
                <w:w w:val="84"/>
              </w:rPr>
              <w:t>Business Services</w:t>
            </w:r>
          </w:p>
        </w:tc>
        <w:tc>
          <w:tcPr>
            <w:tcW w:w="1080" w:type="dxa"/>
            <w:vAlign w:val="bottom"/>
            <w:gridSpan w:val="3"/>
          </w:tcPr>
          <w:p>
            <w:pPr>
              <w:jc w:val="right"/>
              <w:ind w:right="140"/>
              <w:spacing w:after="0"/>
              <w:rPr>
                <w:sz w:val="20"/>
                <w:szCs w:val="20"/>
                <w:color w:val="auto"/>
              </w:rPr>
            </w:pPr>
            <w:r>
              <w:rPr>
                <w:rFonts w:ascii="Arial" w:cs="Arial" w:eastAsia="Arial" w:hAnsi="Arial"/>
                <w:sz w:val="11"/>
                <w:szCs w:val="11"/>
                <w:color w:val="auto"/>
              </w:rPr>
              <w:t>14.00 %</w:t>
            </w:r>
          </w:p>
        </w:tc>
        <w:tc>
          <w:tcPr>
            <w:tcW w:w="920" w:type="dxa"/>
            <w:vAlign w:val="bottom"/>
          </w:tcPr>
          <w:p>
            <w:pPr>
              <w:ind w:left="800"/>
              <w:spacing w:after="0"/>
              <w:rPr>
                <w:sz w:val="20"/>
                <w:szCs w:val="20"/>
                <w:color w:val="auto"/>
              </w:rPr>
            </w:pPr>
            <w:r>
              <w:rPr>
                <w:rFonts w:ascii="Arial" w:cs="Arial" w:eastAsia="Arial" w:hAnsi="Arial"/>
                <w:sz w:val="11"/>
                <w:szCs w:val="11"/>
                <w:color w:val="auto"/>
                <w:w w:val="90"/>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2,190</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2,190</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2,190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32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Total Second Lien Secured Debt</w:t>
            </w: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1"/>
                <w:szCs w:val="11"/>
                <w:color w:val="auto"/>
              </w:rPr>
              <w:t>(PIK 14.00%)</w:t>
            </w: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3260" w:type="dxa"/>
            <w:vAlign w:val="bottom"/>
            <w:gridSpan w:val="2"/>
            <w:vMerge w:val="continue"/>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spacing w:after="0" w:line="110" w:lineRule="exact"/>
              <w:rPr>
                <w:sz w:val="20"/>
                <w:szCs w:val="20"/>
                <w:color w:val="auto"/>
              </w:rPr>
            </w:pPr>
            <w:r>
              <w:rPr>
                <w:rFonts w:ascii="Arial" w:cs="Arial" w:eastAsia="Arial" w:hAnsi="Arial"/>
                <w:sz w:val="11"/>
                <w:szCs w:val="11"/>
                <w:color w:val="auto"/>
              </w:rPr>
              <w:t>5,594</w:t>
            </w:r>
          </w:p>
        </w:tc>
        <w:tc>
          <w:tcPr>
            <w:tcW w:w="22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spacing w:after="0" w:line="110" w:lineRule="exact"/>
              <w:rPr>
                <w:sz w:val="20"/>
                <w:szCs w:val="20"/>
                <w:color w:val="auto"/>
              </w:rPr>
            </w:pPr>
            <w:r>
              <w:rPr>
                <w:rFonts w:ascii="Arial" w:cs="Arial" w:eastAsia="Arial" w:hAnsi="Arial"/>
                <w:sz w:val="11"/>
                <w:szCs w:val="11"/>
                <w:color w:val="auto"/>
              </w:rPr>
              <w:t>5,594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3260" w:type="dxa"/>
            <w:vAlign w:val="bottom"/>
            <w:gridSpan w:val="2"/>
          </w:tcPr>
          <w:p>
            <w:pPr>
              <w:ind w:left="20"/>
              <w:spacing w:after="0" w:line="105" w:lineRule="exact"/>
              <w:rPr>
                <w:sz w:val="20"/>
                <w:szCs w:val="20"/>
                <w:color w:val="auto"/>
              </w:rPr>
            </w:pPr>
            <w:r>
              <w:rPr>
                <w:rFonts w:ascii="Arial" w:cs="Arial" w:eastAsia="Arial" w:hAnsi="Arial"/>
                <w:sz w:val="9"/>
                <w:szCs w:val="9"/>
                <w:b w:val="1"/>
                <w:bCs w:val="1"/>
                <w:color w:val="auto"/>
              </w:rPr>
              <w:t xml:space="preserve">Preferred Equity— 0.4% </w:t>
            </w:r>
            <w:r>
              <w:rPr>
                <w:rFonts w:ascii="Arial" w:cs="Arial" w:eastAsia="Arial" w:hAnsi="Arial"/>
                <w:sz w:val="12"/>
                <w:szCs w:val="12"/>
                <w:b w:val="1"/>
                <w:bCs w:val="1"/>
                <w:color w:val="auto"/>
                <w:vertAlign w:val="superscript"/>
              </w:rPr>
              <w:t>(6)</w:t>
            </w: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60" w:type="dxa"/>
            <w:vAlign w:val="bottom"/>
            <w:gridSpan w:val="2"/>
          </w:tcPr>
          <w:p>
            <w:pPr>
              <w:ind w:left="20"/>
              <w:spacing w:after="0" w:line="135" w:lineRule="exact"/>
              <w:rPr>
                <w:sz w:val="20"/>
                <w:szCs w:val="20"/>
                <w:color w:val="auto"/>
              </w:rPr>
            </w:pPr>
            <w:r>
              <w:rPr>
                <w:rFonts w:ascii="Arial" w:cs="Arial" w:eastAsia="Arial" w:hAnsi="Arial"/>
                <w:sz w:val="11"/>
                <w:szCs w:val="11"/>
                <w:color w:val="auto"/>
              </w:rPr>
              <w:t xml:space="preserve">DBI Intermediate HoldCo LLC, Series A-1 </w:t>
            </w:r>
            <w:r>
              <w:rPr>
                <w:rFonts w:ascii="Arial" w:cs="Arial" w:eastAsia="Arial" w:hAnsi="Arial"/>
                <w:sz w:val="14"/>
                <w:szCs w:val="14"/>
                <w:color w:val="auto"/>
                <w:vertAlign w:val="superscript"/>
              </w:rPr>
              <w:t>(8)</w:t>
            </w:r>
          </w:p>
        </w:tc>
        <w:tc>
          <w:tcPr>
            <w:tcW w:w="680" w:type="dxa"/>
            <w:vAlign w:val="bottom"/>
          </w:tcPr>
          <w:p>
            <w:pPr>
              <w:ind w:left="56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1"/>
                <w:szCs w:val="11"/>
                <w:color w:val="auto"/>
              </w:rPr>
            </w:pPr>
          </w:p>
        </w:tc>
        <w:tc>
          <w:tcPr>
            <w:tcW w:w="2200" w:type="dxa"/>
            <w:vAlign w:val="bottom"/>
          </w:tcPr>
          <w:p>
            <w:pPr>
              <w:jc w:val="center"/>
              <w:spacing w:after="0"/>
              <w:rPr>
                <w:sz w:val="20"/>
                <w:szCs w:val="20"/>
                <w:color w:val="auto"/>
              </w:rPr>
            </w:pPr>
            <w:r>
              <w:rPr>
                <w:rFonts w:ascii="Arial" w:cs="Arial" w:eastAsia="Arial" w:hAnsi="Arial"/>
                <w:sz w:val="11"/>
                <w:szCs w:val="11"/>
                <w:color w:val="auto"/>
                <w:w w:val="84"/>
              </w:rPr>
              <w:t>Business Services</w:t>
            </w:r>
          </w:p>
        </w:tc>
        <w:tc>
          <w:tcPr>
            <w:tcW w:w="1080" w:type="dxa"/>
            <w:vAlign w:val="bottom"/>
            <w:gridSpan w:val="3"/>
          </w:tcPr>
          <w:p>
            <w:pPr>
              <w:jc w:val="right"/>
              <w:ind w:right="140"/>
              <w:spacing w:after="0"/>
              <w:rPr>
                <w:sz w:val="20"/>
                <w:szCs w:val="20"/>
                <w:color w:val="auto"/>
              </w:rPr>
            </w:pPr>
            <w:r>
              <w:rPr>
                <w:rFonts w:ascii="Arial" w:cs="Arial" w:eastAsia="Arial" w:hAnsi="Arial"/>
                <w:sz w:val="11"/>
                <w:szCs w:val="11"/>
                <w:color w:val="auto"/>
              </w:rPr>
              <w:t>14.00 %</w:t>
            </w:r>
          </w:p>
        </w:tc>
        <w:tc>
          <w:tcPr>
            <w:tcW w:w="920" w:type="dxa"/>
            <w:vAlign w:val="bottom"/>
          </w:tcPr>
          <w:p>
            <w:pPr>
              <w:ind w:left="800"/>
              <w:spacing w:after="0"/>
              <w:rPr>
                <w:sz w:val="20"/>
                <w:szCs w:val="20"/>
                <w:color w:val="auto"/>
              </w:rPr>
            </w:pPr>
            <w:r>
              <w:rPr>
                <w:rFonts w:ascii="Arial" w:cs="Arial" w:eastAsia="Arial" w:hAnsi="Arial"/>
                <w:sz w:val="11"/>
                <w:szCs w:val="11"/>
                <w:color w:val="auto"/>
                <w:w w:val="90"/>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9,488</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7,041</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3260" w:type="dxa"/>
            <w:vAlign w:val="bottom"/>
            <w:gridSpan w:val="2"/>
          </w:tcPr>
          <w:p>
            <w:pPr>
              <w:ind w:left="20"/>
              <w:spacing w:after="0"/>
              <w:rPr>
                <w:sz w:val="20"/>
                <w:szCs w:val="20"/>
                <w:color w:val="auto"/>
              </w:rPr>
            </w:pPr>
            <w:r>
              <w:rPr>
                <w:rFonts w:ascii="Arial" w:cs="Arial" w:eastAsia="Arial" w:hAnsi="Arial"/>
                <w:sz w:val="11"/>
                <w:szCs w:val="11"/>
                <w:color w:val="auto"/>
              </w:rPr>
              <w:t xml:space="preserve">DBI Intermediate HoldCo LLC, Series AA </w:t>
            </w:r>
            <w:r>
              <w:rPr>
                <w:rFonts w:ascii="Arial" w:cs="Arial" w:eastAsia="Arial" w:hAnsi="Arial"/>
                <w:sz w:val="14"/>
                <w:szCs w:val="14"/>
                <w:color w:val="auto"/>
                <w:vertAlign w:val="superscript"/>
              </w:rPr>
              <w:t>(8)</w:t>
            </w:r>
          </w:p>
        </w:tc>
        <w:tc>
          <w:tcPr>
            <w:tcW w:w="680" w:type="dxa"/>
            <w:vAlign w:val="bottom"/>
          </w:tcPr>
          <w:p>
            <w:pPr>
              <w:ind w:left="56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4"/>
                <w:szCs w:val="14"/>
                <w:color w:val="auto"/>
              </w:rPr>
            </w:pPr>
          </w:p>
        </w:tc>
        <w:tc>
          <w:tcPr>
            <w:tcW w:w="2200" w:type="dxa"/>
            <w:vAlign w:val="bottom"/>
          </w:tcPr>
          <w:p>
            <w:pPr>
              <w:jc w:val="center"/>
              <w:spacing w:after="0"/>
              <w:rPr>
                <w:sz w:val="20"/>
                <w:szCs w:val="20"/>
                <w:color w:val="auto"/>
              </w:rPr>
            </w:pPr>
            <w:r>
              <w:rPr>
                <w:rFonts w:ascii="Arial" w:cs="Arial" w:eastAsia="Arial" w:hAnsi="Arial"/>
                <w:sz w:val="11"/>
                <w:szCs w:val="11"/>
                <w:color w:val="auto"/>
                <w:w w:val="84"/>
              </w:rPr>
              <w:t>Business Services</w:t>
            </w:r>
          </w:p>
        </w:tc>
        <w:tc>
          <w:tcPr>
            <w:tcW w:w="120" w:type="dxa"/>
            <w:vAlign w:val="bottom"/>
          </w:tcPr>
          <w:p>
            <w:pPr>
              <w:spacing w:after="0"/>
              <w:rPr>
                <w:sz w:val="14"/>
                <w:szCs w:val="14"/>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Pr>
          <w:p>
            <w:pPr>
              <w:ind w:left="800"/>
              <w:spacing w:after="0"/>
              <w:rPr>
                <w:sz w:val="20"/>
                <w:szCs w:val="20"/>
                <w:color w:val="auto"/>
              </w:rPr>
            </w:pPr>
            <w:r>
              <w:rPr>
                <w:rFonts w:ascii="Arial" w:cs="Arial" w:eastAsia="Arial" w:hAnsi="Arial"/>
                <w:sz w:val="11"/>
                <w:szCs w:val="11"/>
                <w:color w:val="auto"/>
                <w:w w:val="90"/>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9,800</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9,414</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1,839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60" w:type="dxa"/>
            <w:vAlign w:val="bottom"/>
            <w:gridSpan w:val="2"/>
          </w:tcPr>
          <w:p>
            <w:pPr>
              <w:ind w:left="20"/>
              <w:spacing w:after="0" w:line="110" w:lineRule="exact"/>
              <w:rPr>
                <w:sz w:val="20"/>
                <w:szCs w:val="20"/>
                <w:color w:val="auto"/>
              </w:rPr>
            </w:pPr>
            <w:r>
              <w:rPr>
                <w:rFonts w:ascii="Arial" w:cs="Arial" w:eastAsia="Arial" w:hAnsi="Arial"/>
                <w:sz w:val="11"/>
                <w:szCs w:val="11"/>
                <w:b w:val="1"/>
                <w:bCs w:val="1"/>
                <w:color w:val="auto"/>
              </w:rPr>
              <w:t>Total Preferred Equity</w:t>
            </w: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spacing w:after="0" w:line="110" w:lineRule="exact"/>
              <w:rPr>
                <w:sz w:val="20"/>
                <w:szCs w:val="20"/>
                <w:color w:val="auto"/>
              </w:rPr>
            </w:pPr>
            <w:r>
              <w:rPr>
                <w:rFonts w:ascii="Arial" w:cs="Arial" w:eastAsia="Arial" w:hAnsi="Arial"/>
                <w:sz w:val="11"/>
                <w:szCs w:val="11"/>
                <w:color w:val="auto"/>
              </w:rPr>
              <w:t>16,455</w:t>
            </w:r>
          </w:p>
        </w:tc>
        <w:tc>
          <w:tcPr>
            <w:tcW w:w="22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spacing w:after="0" w:line="110" w:lineRule="exact"/>
              <w:rPr>
                <w:sz w:val="20"/>
                <w:szCs w:val="20"/>
                <w:color w:val="auto"/>
              </w:rPr>
            </w:pPr>
            <w:r>
              <w:rPr>
                <w:rFonts w:ascii="Arial" w:cs="Arial" w:eastAsia="Arial" w:hAnsi="Arial"/>
                <w:sz w:val="11"/>
                <w:szCs w:val="11"/>
                <w:color w:val="auto"/>
              </w:rPr>
              <w:t>1,839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3260" w:type="dxa"/>
            <w:vAlign w:val="bottom"/>
            <w:gridSpan w:val="2"/>
          </w:tcPr>
          <w:p>
            <w:pPr>
              <w:ind w:left="20"/>
              <w:spacing w:after="0" w:line="105" w:lineRule="exact"/>
              <w:rPr>
                <w:sz w:val="20"/>
                <w:szCs w:val="20"/>
                <w:color w:val="auto"/>
              </w:rPr>
            </w:pPr>
            <w:r>
              <w:rPr>
                <w:rFonts w:ascii="Arial" w:cs="Arial" w:eastAsia="Arial" w:hAnsi="Arial"/>
                <w:sz w:val="9"/>
                <w:szCs w:val="9"/>
                <w:b w:val="1"/>
                <w:bCs w:val="1"/>
                <w:color w:val="auto"/>
              </w:rPr>
              <w:t xml:space="preserve">Common Equity— 0.0% </w:t>
            </w:r>
            <w:r>
              <w:rPr>
                <w:rFonts w:ascii="Arial" w:cs="Arial" w:eastAsia="Arial" w:hAnsi="Arial"/>
                <w:sz w:val="12"/>
                <w:szCs w:val="12"/>
                <w:b w:val="1"/>
                <w:bCs w:val="1"/>
                <w:color w:val="auto"/>
                <w:vertAlign w:val="superscript"/>
              </w:rPr>
              <w:t>(6)</w:t>
            </w: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3260" w:type="dxa"/>
            <w:vAlign w:val="bottom"/>
            <w:gridSpan w:val="2"/>
          </w:tcPr>
          <w:p>
            <w:pPr>
              <w:ind w:left="20"/>
              <w:spacing w:after="0"/>
              <w:rPr>
                <w:sz w:val="20"/>
                <w:szCs w:val="20"/>
                <w:color w:val="auto"/>
              </w:rPr>
            </w:pPr>
            <w:r>
              <w:rPr>
                <w:rFonts w:ascii="Arial" w:cs="Arial" w:eastAsia="Arial" w:hAnsi="Arial"/>
                <w:sz w:val="11"/>
                <w:szCs w:val="11"/>
                <w:color w:val="auto"/>
              </w:rPr>
              <w:t xml:space="preserve">DBI Intermediate HoldCo LLC, Series B </w:t>
            </w:r>
            <w:r>
              <w:rPr>
                <w:rFonts w:ascii="Arial" w:cs="Arial" w:eastAsia="Arial" w:hAnsi="Arial"/>
                <w:sz w:val="14"/>
                <w:szCs w:val="14"/>
                <w:color w:val="auto"/>
                <w:vertAlign w:val="superscript"/>
              </w:rPr>
              <w:t>(8)</w:t>
            </w:r>
          </w:p>
        </w:tc>
        <w:tc>
          <w:tcPr>
            <w:tcW w:w="680" w:type="dxa"/>
            <w:vAlign w:val="bottom"/>
          </w:tcPr>
          <w:p>
            <w:pPr>
              <w:ind w:left="56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4"/>
                <w:szCs w:val="14"/>
                <w:color w:val="auto"/>
              </w:rPr>
            </w:pPr>
          </w:p>
        </w:tc>
        <w:tc>
          <w:tcPr>
            <w:tcW w:w="2200" w:type="dxa"/>
            <w:vAlign w:val="bottom"/>
          </w:tcPr>
          <w:p>
            <w:pPr>
              <w:jc w:val="center"/>
              <w:spacing w:after="0"/>
              <w:rPr>
                <w:sz w:val="20"/>
                <w:szCs w:val="20"/>
                <w:color w:val="auto"/>
              </w:rPr>
            </w:pPr>
            <w:r>
              <w:rPr>
                <w:rFonts w:ascii="Arial" w:cs="Arial" w:eastAsia="Arial" w:hAnsi="Arial"/>
                <w:sz w:val="11"/>
                <w:szCs w:val="11"/>
                <w:color w:val="auto"/>
                <w:w w:val="84"/>
              </w:rPr>
              <w:t>Business Services</w:t>
            </w:r>
          </w:p>
        </w:tc>
        <w:tc>
          <w:tcPr>
            <w:tcW w:w="120" w:type="dxa"/>
            <w:vAlign w:val="bottom"/>
          </w:tcPr>
          <w:p>
            <w:pPr>
              <w:spacing w:after="0"/>
              <w:rPr>
                <w:sz w:val="14"/>
                <w:szCs w:val="14"/>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Pr>
          <w:p>
            <w:pPr>
              <w:ind w:left="800"/>
              <w:spacing w:after="0"/>
              <w:rPr>
                <w:sz w:val="20"/>
                <w:szCs w:val="20"/>
                <w:color w:val="auto"/>
              </w:rPr>
            </w:pPr>
            <w:r>
              <w:rPr>
                <w:rFonts w:ascii="Arial" w:cs="Arial" w:eastAsia="Arial" w:hAnsi="Arial"/>
                <w:sz w:val="11"/>
                <w:szCs w:val="11"/>
                <w:color w:val="auto"/>
                <w:w w:val="90"/>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1,489,508</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331</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26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Total Common Equity</w:t>
            </w: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331</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9"/>
        </w:trPr>
        <w:tc>
          <w:tcPr>
            <w:tcW w:w="3260" w:type="dxa"/>
            <w:vAlign w:val="bottom"/>
            <w:gridSpan w:val="2"/>
            <w:shd w:val="clear" w:color="auto" w:fill="CCECFF"/>
          </w:tcPr>
          <w:p>
            <w:pPr>
              <w:ind w:left="20"/>
              <w:spacing w:after="0"/>
              <w:rPr>
                <w:sz w:val="20"/>
                <w:szCs w:val="20"/>
                <w:color w:val="auto"/>
              </w:rPr>
            </w:pPr>
            <w:r>
              <w:rPr>
                <w:rFonts w:ascii="Arial" w:cs="Arial" w:eastAsia="Arial" w:hAnsi="Arial"/>
                <w:sz w:val="11"/>
                <w:szCs w:val="11"/>
                <w:b w:val="1"/>
                <w:bCs w:val="1"/>
                <w:color w:val="auto"/>
                <w:w w:val="91"/>
              </w:rPr>
              <w:t>Total Investments in Non-Controlled, Affiliated Portfolio Companies</w:t>
            </w: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22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9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60" w:type="dxa"/>
            <w:vAlign w:val="bottom"/>
            <w:tcBorders>
              <w:top w:val="single" w:sz="8" w:color="auto"/>
            </w:tcBorders>
            <w:shd w:val="clear" w:color="auto" w:fill="CCECFF"/>
          </w:tcPr>
          <w:p>
            <w:pPr>
              <w:spacing w:after="0"/>
              <w:rPr>
                <w:sz w:val="11"/>
                <w:szCs w:val="11"/>
                <w:color w:val="auto"/>
              </w:rPr>
            </w:pPr>
          </w:p>
        </w:tc>
        <w:tc>
          <w:tcPr>
            <w:tcW w:w="54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22,380</w:t>
            </w:r>
          </w:p>
        </w:tc>
        <w:tc>
          <w:tcPr>
            <w:tcW w:w="220" w:type="dxa"/>
            <w:vAlign w:val="bottom"/>
            <w:shd w:val="clear" w:color="auto" w:fill="CCECFF"/>
          </w:tcPr>
          <w:p>
            <w:pPr>
              <w:spacing w:after="0"/>
              <w:rPr>
                <w:sz w:val="11"/>
                <w:szCs w:val="11"/>
                <w:color w:val="auto"/>
              </w:rPr>
            </w:pPr>
          </w:p>
        </w:tc>
        <w:tc>
          <w:tcPr>
            <w:tcW w:w="200" w:type="dxa"/>
            <w:vAlign w:val="bottom"/>
            <w:tcBorders>
              <w:top w:val="single" w:sz="8" w:color="auto"/>
            </w:tcBorders>
            <w:shd w:val="clear" w:color="auto" w:fill="CCECFF"/>
          </w:tcPr>
          <w:p>
            <w:pPr>
              <w:spacing w:after="0"/>
              <w:rPr>
                <w:sz w:val="11"/>
                <w:szCs w:val="11"/>
                <w:color w:val="auto"/>
              </w:rPr>
            </w:pPr>
          </w:p>
        </w:tc>
        <w:tc>
          <w:tcPr>
            <w:tcW w:w="50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7,433</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-6497320</wp:posOffset>
            </wp:positionV>
            <wp:extent cx="198882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9888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-6402705</wp:posOffset>
            </wp:positionV>
            <wp:extent cx="7132320" cy="8572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-6162675</wp:posOffset>
            </wp:positionV>
            <wp:extent cx="7132320" cy="8572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-5991225</wp:posOffset>
            </wp:positionV>
            <wp:extent cx="7132320" cy="8572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-5734050</wp:posOffset>
            </wp:positionV>
            <wp:extent cx="7132320" cy="8572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-5562600</wp:posOffset>
            </wp:positionV>
            <wp:extent cx="7132320" cy="8572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-5391150</wp:posOffset>
            </wp:positionV>
            <wp:extent cx="7132320" cy="8572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-5133975</wp:posOffset>
            </wp:positionV>
            <wp:extent cx="7132320" cy="8572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-4876800</wp:posOffset>
            </wp:positionV>
            <wp:extent cx="7132320" cy="8572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-4705350</wp:posOffset>
            </wp:positionV>
            <wp:extent cx="7132320" cy="8572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-4448175</wp:posOffset>
            </wp:positionV>
            <wp:extent cx="7132320" cy="8572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-4276725</wp:posOffset>
            </wp:positionV>
            <wp:extent cx="7132320" cy="8572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-4105275</wp:posOffset>
            </wp:positionV>
            <wp:extent cx="7132320" cy="8572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-3933825</wp:posOffset>
            </wp:positionV>
            <wp:extent cx="7132320" cy="8572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-3762375</wp:posOffset>
            </wp:positionV>
            <wp:extent cx="7132320" cy="8572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-3522345</wp:posOffset>
            </wp:positionV>
            <wp:extent cx="7132320" cy="12890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-3308350</wp:posOffset>
            </wp:positionV>
            <wp:extent cx="7132320" cy="8572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-3136900</wp:posOffset>
            </wp:positionV>
            <wp:extent cx="7132320" cy="8572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-2965450</wp:posOffset>
            </wp:positionV>
            <wp:extent cx="7132320" cy="8572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-2794000</wp:posOffset>
            </wp:positionV>
            <wp:extent cx="7132320" cy="8572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-2622550</wp:posOffset>
            </wp:positionV>
            <wp:extent cx="7132320" cy="8572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-2279650</wp:posOffset>
            </wp:positionV>
            <wp:extent cx="7132320" cy="8572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-2108200</wp:posOffset>
            </wp:positionV>
            <wp:extent cx="7132320" cy="8572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-1936750</wp:posOffset>
            </wp:positionV>
            <wp:extent cx="7132320" cy="8572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-1765300</wp:posOffset>
            </wp:positionV>
            <wp:extent cx="7132320" cy="8572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-1436370</wp:posOffset>
            </wp:positionV>
            <wp:extent cx="68580" cy="571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-1436370</wp:posOffset>
            </wp:positionV>
            <wp:extent cx="68580" cy="571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-1336675</wp:posOffset>
            </wp:positionV>
            <wp:extent cx="7132320" cy="8572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-1165225</wp:posOffset>
            </wp:positionV>
            <wp:extent cx="1988820" cy="17145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9888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-814070</wp:posOffset>
            </wp:positionV>
            <wp:extent cx="7132320" cy="9461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-633730</wp:posOffset>
            </wp:positionV>
            <wp:extent cx="7132320" cy="8572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-453390</wp:posOffset>
            </wp:positionV>
            <wp:extent cx="7132320" cy="9461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-273685</wp:posOffset>
            </wp:positionV>
            <wp:extent cx="7132320" cy="9461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32320" cy="94615"/>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SCHEDULE OF INVESTMENTS—(Continued)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SEPTEMBER 30, 2021</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data)</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jc w:val="center"/>
              <w:spacing w:after="0"/>
              <w:rPr>
                <w:sz w:val="20"/>
                <w:szCs w:val="20"/>
                <w:color w:val="auto"/>
              </w:rPr>
            </w:pPr>
            <w:r>
              <w:rPr>
                <w:rFonts w:ascii="Arial" w:cs="Arial" w:eastAsia="Arial" w:hAnsi="Arial"/>
                <w:sz w:val="11"/>
                <w:szCs w:val="11"/>
                <w:b w:val="1"/>
                <w:bCs w:val="1"/>
                <w:color w:val="auto"/>
                <w:w w:val="86"/>
              </w:rPr>
              <w:t>Basis Point</w:t>
            </w: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gridSpan w:val="2"/>
            <w:vMerge w:val="restart"/>
          </w:tcPr>
          <w:p>
            <w:pPr>
              <w:jc w:val="right"/>
              <w:ind w:right="280"/>
              <w:spacing w:after="0"/>
              <w:rPr>
                <w:sz w:val="20"/>
                <w:szCs w:val="20"/>
                <w:color w:val="auto"/>
              </w:rPr>
            </w:pPr>
            <w:r>
              <w:rPr>
                <w:rFonts w:ascii="Arial" w:cs="Arial" w:eastAsia="Arial" w:hAnsi="Arial"/>
                <w:sz w:val="11"/>
                <w:szCs w:val="11"/>
                <w:b w:val="1"/>
                <w:bCs w:val="1"/>
                <w:color w:val="auto"/>
              </w:rPr>
              <w:t>Current</w:t>
            </w:r>
          </w:p>
        </w:tc>
        <w:tc>
          <w:tcPr>
            <w:tcW w:w="160" w:type="dxa"/>
            <w:vAlign w:val="bottom"/>
          </w:tcPr>
          <w:p>
            <w:pPr>
              <w:spacing w:after="0"/>
              <w:rPr>
                <w:sz w:val="9"/>
                <w:szCs w:val="9"/>
                <w:color w:val="auto"/>
              </w:rPr>
            </w:pPr>
          </w:p>
        </w:tc>
        <w:tc>
          <w:tcPr>
            <w:tcW w:w="90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85"/>
              </w:rPr>
              <w:t>Spread</w:t>
            </w:r>
          </w:p>
        </w:tc>
        <w:tc>
          <w:tcPr>
            <w:tcW w:w="200" w:type="dxa"/>
            <w:vAlign w:val="bottom"/>
          </w:tcPr>
          <w:p>
            <w:pPr>
              <w:spacing w:after="0"/>
              <w:rPr>
                <w:sz w:val="9"/>
                <w:szCs w:val="9"/>
                <w:color w:val="auto"/>
              </w:rPr>
            </w:pPr>
          </w:p>
        </w:tc>
        <w:tc>
          <w:tcPr>
            <w:tcW w:w="700" w:type="dxa"/>
            <w:vAlign w:val="bottom"/>
            <w:vMerge w:val="restart"/>
          </w:tcPr>
          <w:p>
            <w:pPr>
              <w:jc w:val="right"/>
              <w:ind w:right="166"/>
              <w:spacing w:after="0"/>
              <w:rPr>
                <w:sz w:val="20"/>
                <w:szCs w:val="20"/>
                <w:color w:val="auto"/>
              </w:rPr>
            </w:pPr>
            <w:r>
              <w:rPr>
                <w:rFonts w:ascii="Arial" w:cs="Arial" w:eastAsia="Arial" w:hAnsi="Arial"/>
                <w:sz w:val="11"/>
                <w:szCs w:val="11"/>
                <w:b w:val="1"/>
                <w:bCs w:val="1"/>
                <w:color w:val="auto"/>
              </w:rPr>
              <w:t>Par /</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34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Issuer Name</w:t>
            </w:r>
          </w:p>
        </w:tc>
        <w:tc>
          <w:tcPr>
            <w:tcW w:w="600" w:type="dxa"/>
            <w:vAlign w:val="bottom"/>
            <w:vMerge w:val="restart"/>
          </w:tcPr>
          <w:p>
            <w:pPr>
              <w:jc w:val="center"/>
              <w:ind w:right="6"/>
              <w:spacing w:after="0"/>
              <w:rPr>
                <w:sz w:val="20"/>
                <w:szCs w:val="20"/>
                <w:color w:val="auto"/>
              </w:rPr>
            </w:pPr>
            <w:r>
              <w:rPr>
                <w:rFonts w:ascii="Arial" w:cs="Arial" w:eastAsia="Arial" w:hAnsi="Arial"/>
                <w:sz w:val="11"/>
                <w:szCs w:val="11"/>
                <w:b w:val="1"/>
                <w:bCs w:val="1"/>
                <w:color w:val="auto"/>
                <w:w w:val="98"/>
              </w:rPr>
              <w:t>Maturity</w:t>
            </w:r>
          </w:p>
        </w:tc>
        <w:tc>
          <w:tcPr>
            <w:tcW w:w="260" w:type="dxa"/>
            <w:vAlign w:val="bottom"/>
          </w:tcPr>
          <w:p>
            <w:pPr>
              <w:spacing w:after="0"/>
              <w:rPr>
                <w:sz w:val="9"/>
                <w:szCs w:val="9"/>
                <w:color w:val="auto"/>
              </w:rPr>
            </w:pPr>
          </w:p>
        </w:tc>
        <w:tc>
          <w:tcPr>
            <w:tcW w:w="220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2"/>
              </w:rPr>
              <w:t>Industry</w:t>
            </w:r>
          </w:p>
        </w:tc>
        <w:tc>
          <w:tcPr>
            <w:tcW w:w="12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89"/>
              </w:rPr>
              <w:t>Above</w:t>
            </w:r>
          </w:p>
        </w:tc>
        <w:tc>
          <w:tcPr>
            <w:tcW w:w="2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vMerge w:val="restart"/>
          </w:tcPr>
          <w:p>
            <w:pPr>
              <w:jc w:val="right"/>
              <w:ind w:right="186"/>
              <w:spacing w:after="0"/>
              <w:rPr>
                <w:sz w:val="20"/>
                <w:szCs w:val="20"/>
                <w:color w:val="auto"/>
              </w:rPr>
            </w:pPr>
            <w:r>
              <w:rPr>
                <w:rFonts w:ascii="Arial" w:cs="Arial" w:eastAsia="Arial" w:hAnsi="Arial"/>
                <w:sz w:val="11"/>
                <w:szCs w:val="11"/>
                <w:b w:val="1"/>
                <w:bCs w:val="1"/>
                <w:color w:val="auto"/>
              </w:rPr>
              <w:t>Cost</w:t>
            </w:r>
          </w:p>
        </w:tc>
        <w:tc>
          <w:tcPr>
            <w:tcW w:w="220" w:type="dxa"/>
            <w:vAlign w:val="bottom"/>
          </w:tcPr>
          <w:p>
            <w:pPr>
              <w:spacing w:after="0"/>
              <w:rPr>
                <w:sz w:val="9"/>
                <w:szCs w:val="9"/>
                <w:color w:val="auto"/>
              </w:rPr>
            </w:pPr>
          </w:p>
        </w:tc>
        <w:tc>
          <w:tcPr>
            <w:tcW w:w="800" w:type="dxa"/>
            <w:vAlign w:val="bottom"/>
            <w:gridSpan w:val="3"/>
            <w:vMerge w:val="restart"/>
          </w:tcPr>
          <w:p>
            <w:pPr>
              <w:jc w:val="right"/>
              <w:ind w:right="122"/>
              <w:spacing w:after="0"/>
              <w:rPr>
                <w:sz w:val="20"/>
                <w:szCs w:val="20"/>
                <w:color w:val="auto"/>
              </w:rPr>
            </w:pPr>
            <w:r>
              <w:rPr>
                <w:rFonts w:ascii="Arial" w:cs="Arial" w:eastAsia="Arial" w:hAnsi="Arial"/>
                <w:sz w:val="11"/>
                <w:szCs w:val="11"/>
                <w:b w:val="1"/>
                <w:bCs w:val="1"/>
                <w:color w:val="auto"/>
                <w:w w:val="92"/>
              </w:rPr>
              <w:t xml:space="preserve">Fair Value </w:t>
            </w:r>
            <w:r>
              <w:rPr>
                <w:rFonts w:ascii="Arial" w:cs="Arial" w:eastAsia="Arial" w:hAnsi="Arial"/>
                <w:sz w:val="14"/>
                <w:szCs w:val="14"/>
                <w:b w:val="1"/>
                <w:bCs w:val="1"/>
                <w:color w:val="auto"/>
                <w:w w:val="92"/>
                <w:vertAlign w:val="superscript"/>
              </w:rPr>
              <w:t>(2)</w:t>
            </w:r>
          </w:p>
        </w:tc>
        <w:tc>
          <w:tcPr>
            <w:tcW w:w="0" w:type="dxa"/>
            <w:vAlign w:val="bottom"/>
          </w:tcPr>
          <w:p>
            <w:pPr>
              <w:spacing w:after="0"/>
              <w:rPr>
                <w:sz w:val="1"/>
                <w:szCs w:val="1"/>
                <w:color w:val="auto"/>
              </w:rPr>
            </w:pPr>
          </w:p>
        </w:tc>
      </w:tr>
      <w:tr>
        <w:trPr>
          <w:trHeight w:val="142"/>
        </w:trPr>
        <w:tc>
          <w:tcPr>
            <w:tcW w:w="3340" w:type="dxa"/>
            <w:vAlign w:val="bottom"/>
            <w:gridSpan w:val="3"/>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22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1"/>
                <w:szCs w:val="11"/>
                <w:b w:val="1"/>
                <w:bCs w:val="1"/>
                <w:color w:val="auto"/>
              </w:rPr>
              <w:t>Coupon</w:t>
            </w:r>
          </w:p>
        </w:tc>
        <w:tc>
          <w:tcPr>
            <w:tcW w:w="160" w:type="dxa"/>
            <w:vAlign w:val="bottom"/>
          </w:tcPr>
          <w:p>
            <w:pPr>
              <w:spacing w:after="0"/>
              <w:rPr>
                <w:sz w:val="12"/>
                <w:szCs w:val="12"/>
                <w:color w:val="auto"/>
              </w:rPr>
            </w:pPr>
          </w:p>
        </w:tc>
        <w:tc>
          <w:tcPr>
            <w:tcW w:w="900" w:type="dxa"/>
            <w:vAlign w:val="bottom"/>
          </w:tcPr>
          <w:p>
            <w:pPr>
              <w:jc w:val="center"/>
              <w:spacing w:after="0" w:line="130" w:lineRule="exact"/>
              <w:rPr>
                <w:sz w:val="20"/>
                <w:szCs w:val="20"/>
                <w:color w:val="auto"/>
              </w:rPr>
            </w:pPr>
            <w:r>
              <w:rPr>
                <w:rFonts w:ascii="Arial" w:cs="Arial" w:eastAsia="Arial" w:hAnsi="Arial"/>
                <w:sz w:val="11"/>
                <w:szCs w:val="11"/>
                <w:b w:val="1"/>
                <w:bCs w:val="1"/>
                <w:color w:val="auto"/>
                <w:w w:val="83"/>
              </w:rPr>
              <w:t xml:space="preserve">Index </w:t>
            </w:r>
            <w:r>
              <w:rPr>
                <w:rFonts w:ascii="Arial" w:cs="Arial" w:eastAsia="Arial" w:hAnsi="Arial"/>
                <w:sz w:val="14"/>
                <w:szCs w:val="14"/>
                <w:b w:val="1"/>
                <w:bCs w:val="1"/>
                <w:color w:val="auto"/>
                <w:w w:val="83"/>
                <w:vertAlign w:val="superscript"/>
              </w:rPr>
              <w:t>(1)</w:t>
            </w:r>
          </w:p>
        </w:tc>
        <w:tc>
          <w:tcPr>
            <w:tcW w:w="200" w:type="dxa"/>
            <w:vAlign w:val="bottom"/>
          </w:tcPr>
          <w:p>
            <w:pPr>
              <w:spacing w:after="0"/>
              <w:rPr>
                <w:sz w:val="12"/>
                <w:szCs w:val="12"/>
                <w:color w:val="auto"/>
              </w:rPr>
            </w:pPr>
          </w:p>
        </w:tc>
        <w:tc>
          <w:tcPr>
            <w:tcW w:w="700" w:type="dxa"/>
            <w:vAlign w:val="bottom"/>
          </w:tcPr>
          <w:p>
            <w:pPr>
              <w:jc w:val="right"/>
              <w:ind w:right="126"/>
              <w:spacing w:after="0"/>
              <w:rPr>
                <w:sz w:val="20"/>
                <w:szCs w:val="20"/>
                <w:color w:val="auto"/>
              </w:rPr>
            </w:pPr>
            <w:r>
              <w:rPr>
                <w:rFonts w:ascii="Arial" w:cs="Arial" w:eastAsia="Arial" w:hAnsi="Arial"/>
                <w:sz w:val="11"/>
                <w:szCs w:val="11"/>
                <w:b w:val="1"/>
                <w:bCs w:val="1"/>
                <w:color w:val="auto"/>
              </w:rPr>
              <w:t>Shares</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140" w:type="dxa"/>
            <w:vAlign w:val="bottom"/>
            <w:tcBorders>
              <w:top w:val="single" w:sz="8" w:color="auto"/>
            </w:tcBorders>
          </w:tcPr>
          <w:p>
            <w:pPr>
              <w:ind w:left="20"/>
              <w:spacing w:after="0" w:line="122" w:lineRule="exact"/>
              <w:rPr>
                <w:sz w:val="20"/>
                <w:szCs w:val="20"/>
                <w:color w:val="auto"/>
              </w:rPr>
            </w:pPr>
            <w:r>
              <w:rPr>
                <w:rFonts w:ascii="Arial" w:cs="Arial" w:eastAsia="Arial" w:hAnsi="Arial"/>
                <w:sz w:val="11"/>
                <w:szCs w:val="11"/>
                <w:b w:val="1"/>
                <w:bCs w:val="1"/>
                <w:color w:val="auto"/>
                <w:w w:val="90"/>
              </w:rPr>
              <w:t>Investments in Controlled, Affiliated Portfolio Companies—44.3%</w:t>
            </w:r>
          </w:p>
        </w:tc>
        <w:tc>
          <w:tcPr>
            <w:tcW w:w="120" w:type="dxa"/>
            <w:vAlign w:val="bottom"/>
          </w:tcPr>
          <w:p>
            <w:pPr>
              <w:jc w:val="right"/>
              <w:ind w:right="16"/>
              <w:spacing w:after="0"/>
              <w:rPr>
                <w:sz w:val="20"/>
                <w:szCs w:val="20"/>
                <w:color w:val="auto"/>
              </w:rPr>
            </w:pPr>
            <w:r>
              <w:rPr>
                <w:rFonts w:ascii="Arial" w:cs="Arial" w:eastAsia="Arial" w:hAnsi="Arial"/>
                <w:sz w:val="5"/>
                <w:szCs w:val="5"/>
                <w:b w:val="1"/>
                <w:bCs w:val="1"/>
                <w:color w:val="auto"/>
                <w:w w:val="79"/>
              </w:rPr>
              <w:t>(3),</w:t>
            </w:r>
          </w:p>
        </w:tc>
        <w:tc>
          <w:tcPr>
            <w:tcW w:w="80" w:type="dxa"/>
            <w:vAlign w:val="bottom"/>
          </w:tcPr>
          <w:p>
            <w:pPr>
              <w:jc w:val="right"/>
              <w:ind w:right="2"/>
              <w:spacing w:after="0"/>
              <w:rPr>
                <w:sz w:val="20"/>
                <w:szCs w:val="20"/>
                <w:color w:val="auto"/>
              </w:rPr>
            </w:pPr>
            <w:r>
              <w:rPr>
                <w:rFonts w:ascii="Arial" w:cs="Arial" w:eastAsia="Arial" w:hAnsi="Arial"/>
                <w:sz w:val="4"/>
                <w:szCs w:val="4"/>
                <w:b w:val="1"/>
                <w:bCs w:val="1"/>
                <w:color w:val="auto"/>
                <w:w w:val="80"/>
              </w:rPr>
              <w:t>(4)</w:t>
            </w: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3340" w:type="dxa"/>
            <w:vAlign w:val="bottom"/>
            <w:gridSpan w:val="3"/>
          </w:tcPr>
          <w:p>
            <w:pPr>
              <w:ind w:left="20"/>
              <w:spacing w:after="0" w:line="119" w:lineRule="exact"/>
              <w:rPr>
                <w:sz w:val="20"/>
                <w:szCs w:val="20"/>
                <w:color w:val="auto"/>
              </w:rPr>
            </w:pPr>
            <w:r>
              <w:rPr>
                <w:rFonts w:ascii="Arial" w:cs="Arial" w:eastAsia="Arial" w:hAnsi="Arial"/>
                <w:sz w:val="11"/>
                <w:szCs w:val="11"/>
                <w:b w:val="1"/>
                <w:bCs w:val="1"/>
                <w:color w:val="auto"/>
              </w:rPr>
              <w:t>First Lien Secured Debt—34.6%</w:t>
            </w: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140" w:type="dxa"/>
            <w:vAlign w:val="bottom"/>
          </w:tcPr>
          <w:p>
            <w:pPr>
              <w:ind w:left="20"/>
              <w:spacing w:after="0"/>
              <w:rPr>
                <w:sz w:val="20"/>
                <w:szCs w:val="20"/>
                <w:color w:val="auto"/>
              </w:rPr>
            </w:pPr>
            <w:r>
              <w:rPr>
                <w:rFonts w:ascii="Arial" w:cs="Arial" w:eastAsia="Arial" w:hAnsi="Arial"/>
                <w:sz w:val="11"/>
                <w:szCs w:val="11"/>
                <w:color w:val="auto"/>
                <w:w w:val="97"/>
              </w:rPr>
              <w:t xml:space="preserve">Marketplace Events, LLC - Super Priority First Lien Term Loan </w:t>
            </w:r>
            <w:r>
              <w:rPr>
                <w:rFonts w:ascii="Arial" w:cs="Arial" w:eastAsia="Arial" w:hAnsi="Arial"/>
                <w:sz w:val="14"/>
                <w:szCs w:val="14"/>
                <w:color w:val="auto"/>
                <w:w w:val="97"/>
                <w:vertAlign w:val="superscript"/>
              </w:rPr>
              <w:t>(7)</w:t>
            </w:r>
          </w:p>
        </w:tc>
        <w:tc>
          <w:tcPr>
            <w:tcW w:w="200" w:type="dxa"/>
            <w:vAlign w:val="bottom"/>
            <w:gridSpan w:val="2"/>
          </w:tcPr>
          <w:p>
            <w:pPr>
              <w:spacing w:after="0"/>
              <w:rPr>
                <w:sz w:val="14"/>
                <w:szCs w:val="14"/>
                <w:color w:val="auto"/>
              </w:rPr>
            </w:pPr>
          </w:p>
        </w:tc>
        <w:tc>
          <w:tcPr>
            <w:tcW w:w="600" w:type="dxa"/>
            <w:vAlign w:val="bottom"/>
          </w:tcPr>
          <w:p>
            <w:pPr>
              <w:jc w:val="center"/>
              <w:ind w:right="6"/>
              <w:spacing w:after="0"/>
              <w:rPr>
                <w:sz w:val="20"/>
                <w:szCs w:val="20"/>
                <w:color w:val="auto"/>
              </w:rPr>
            </w:pPr>
            <w:r>
              <w:rPr>
                <w:rFonts w:ascii="Arial" w:cs="Arial" w:eastAsia="Arial" w:hAnsi="Arial"/>
                <w:sz w:val="11"/>
                <w:szCs w:val="11"/>
                <w:color w:val="auto"/>
                <w:w w:val="90"/>
              </w:rPr>
              <w:t>09/30/2025</w:t>
            </w:r>
          </w:p>
        </w:tc>
        <w:tc>
          <w:tcPr>
            <w:tcW w:w="260" w:type="dxa"/>
            <w:vAlign w:val="bottom"/>
          </w:tcPr>
          <w:p>
            <w:pPr>
              <w:spacing w:after="0"/>
              <w:rPr>
                <w:sz w:val="14"/>
                <w:szCs w:val="14"/>
                <w:color w:val="auto"/>
              </w:rPr>
            </w:pPr>
          </w:p>
        </w:tc>
        <w:tc>
          <w:tcPr>
            <w:tcW w:w="2200" w:type="dxa"/>
            <w:vAlign w:val="bottom"/>
          </w:tcPr>
          <w:p>
            <w:pPr>
              <w:jc w:val="center"/>
              <w:spacing w:after="0"/>
              <w:rPr>
                <w:sz w:val="20"/>
                <w:szCs w:val="20"/>
                <w:color w:val="auto"/>
              </w:rPr>
            </w:pPr>
            <w:r>
              <w:rPr>
                <w:rFonts w:ascii="Arial" w:cs="Arial" w:eastAsia="Arial" w:hAnsi="Arial"/>
                <w:sz w:val="11"/>
                <w:szCs w:val="11"/>
                <w:color w:val="auto"/>
                <w:w w:val="92"/>
              </w:rPr>
              <w:t>Media: Diversified and Production</w:t>
            </w:r>
          </w:p>
        </w:tc>
        <w:tc>
          <w:tcPr>
            <w:tcW w:w="940" w:type="dxa"/>
            <w:vAlign w:val="bottom"/>
            <w:gridSpan w:val="3"/>
          </w:tcPr>
          <w:p>
            <w:pPr>
              <w:jc w:val="right"/>
              <w:spacing w:after="0"/>
              <w:rPr>
                <w:sz w:val="20"/>
                <w:szCs w:val="20"/>
                <w:color w:val="auto"/>
              </w:rPr>
            </w:pPr>
            <w:r>
              <w:rPr>
                <w:rFonts w:ascii="Arial" w:cs="Arial" w:eastAsia="Arial" w:hAnsi="Arial"/>
                <w:sz w:val="11"/>
                <w:szCs w:val="11"/>
                <w:color w:val="auto"/>
              </w:rPr>
              <w:t>6.25 %</w:t>
            </w: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3M L+525</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3,417</w:t>
            </w:r>
          </w:p>
        </w:tc>
        <w:tc>
          <w:tcPr>
            <w:tcW w:w="380" w:type="dxa"/>
            <w:vAlign w:val="bottom"/>
            <w:gridSpan w:val="2"/>
          </w:tcPr>
          <w:p>
            <w:pPr>
              <w:jc w:val="right"/>
              <w:ind w:right="26"/>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3,417</w:t>
            </w:r>
          </w:p>
        </w:tc>
        <w:tc>
          <w:tcPr>
            <w:tcW w:w="380" w:type="dxa"/>
            <w:vAlign w:val="bottom"/>
            <w:gridSpan w:val="2"/>
          </w:tcPr>
          <w:p>
            <w:pPr>
              <w:jc w:val="right"/>
              <w:ind w:right="26"/>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3,417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140" w:type="dxa"/>
            <w:vAlign w:val="bottom"/>
            <w:vMerge w:val="restart"/>
          </w:tcPr>
          <w:p>
            <w:pPr>
              <w:ind w:left="20"/>
              <w:spacing w:after="0"/>
              <w:rPr>
                <w:sz w:val="20"/>
                <w:szCs w:val="20"/>
                <w:color w:val="auto"/>
              </w:rPr>
            </w:pPr>
            <w:r>
              <w:rPr>
                <w:rFonts w:ascii="Arial" w:cs="Arial" w:eastAsia="Arial" w:hAnsi="Arial"/>
                <w:sz w:val="11"/>
                <w:szCs w:val="11"/>
                <w:color w:val="auto"/>
              </w:rPr>
              <w:t xml:space="preserve">Marketplace Events, LLC - Super Priority First Lien </w:t>
            </w:r>
            <w:r>
              <w:rPr>
                <w:rFonts w:ascii="Arial" w:cs="Arial" w:eastAsia="Arial" w:hAnsi="Arial"/>
                <w:sz w:val="14"/>
                <w:szCs w:val="14"/>
                <w:color w:val="auto"/>
                <w:vertAlign w:val="superscript"/>
              </w:rPr>
              <w:t>(7), (9)</w:t>
            </w:r>
          </w:p>
        </w:tc>
        <w:tc>
          <w:tcPr>
            <w:tcW w:w="1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22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82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(PIK 6.25%)</w:t>
            </w:r>
          </w:p>
        </w:tc>
        <w:tc>
          <w:tcPr>
            <w:tcW w:w="160" w:type="dxa"/>
            <w:vAlign w:val="bottom"/>
            <w:shd w:val="clear" w:color="auto" w:fill="CCECFF"/>
          </w:tcPr>
          <w:p>
            <w:pPr>
              <w:spacing w:after="0"/>
              <w:rPr>
                <w:sz w:val="11"/>
                <w:szCs w:val="11"/>
                <w:color w:val="auto"/>
              </w:rPr>
            </w:pPr>
          </w:p>
        </w:tc>
        <w:tc>
          <w:tcPr>
            <w:tcW w:w="90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3140" w:type="dxa"/>
            <w:vAlign w:val="bottom"/>
            <w:vMerge w:val="continue"/>
          </w:tcPr>
          <w:p>
            <w:pPr>
              <w:spacing w:after="0"/>
              <w:rPr>
                <w:sz w:val="10"/>
                <w:szCs w:val="10"/>
                <w:color w:val="auto"/>
              </w:rPr>
            </w:pPr>
          </w:p>
        </w:tc>
        <w:tc>
          <w:tcPr>
            <w:tcW w:w="200" w:type="dxa"/>
            <w:vAlign w:val="bottom"/>
            <w:gridSpan w:val="2"/>
          </w:tcPr>
          <w:p>
            <w:pPr>
              <w:spacing w:after="0"/>
              <w:rPr>
                <w:sz w:val="10"/>
                <w:szCs w:val="10"/>
                <w:color w:val="auto"/>
              </w:rPr>
            </w:pPr>
          </w:p>
        </w:tc>
        <w:tc>
          <w:tcPr>
            <w:tcW w:w="600" w:type="dxa"/>
            <w:vAlign w:val="bottom"/>
          </w:tcPr>
          <w:p>
            <w:pPr>
              <w:jc w:val="center"/>
              <w:ind w:right="6"/>
              <w:spacing w:after="0" w:line="125" w:lineRule="exact"/>
              <w:rPr>
                <w:sz w:val="20"/>
                <w:szCs w:val="20"/>
                <w:color w:val="auto"/>
              </w:rPr>
            </w:pPr>
            <w:r>
              <w:rPr>
                <w:rFonts w:ascii="Arial" w:cs="Arial" w:eastAsia="Arial" w:hAnsi="Arial"/>
                <w:sz w:val="11"/>
                <w:szCs w:val="11"/>
                <w:color w:val="auto"/>
                <w:w w:val="90"/>
              </w:rPr>
              <w:t>09/30/2025</w:t>
            </w:r>
          </w:p>
        </w:tc>
        <w:tc>
          <w:tcPr>
            <w:tcW w:w="260" w:type="dxa"/>
            <w:vAlign w:val="bottom"/>
          </w:tcPr>
          <w:p>
            <w:pPr>
              <w:spacing w:after="0"/>
              <w:rPr>
                <w:sz w:val="10"/>
                <w:szCs w:val="10"/>
                <w:color w:val="auto"/>
              </w:rPr>
            </w:pPr>
          </w:p>
        </w:tc>
        <w:tc>
          <w:tcPr>
            <w:tcW w:w="2200" w:type="dxa"/>
            <w:vAlign w:val="bottom"/>
          </w:tcPr>
          <w:p>
            <w:pPr>
              <w:jc w:val="center"/>
              <w:spacing w:after="0" w:line="125" w:lineRule="exact"/>
              <w:rPr>
                <w:sz w:val="20"/>
                <w:szCs w:val="20"/>
                <w:color w:val="auto"/>
              </w:rPr>
            </w:pPr>
            <w:r>
              <w:rPr>
                <w:rFonts w:ascii="Arial" w:cs="Arial" w:eastAsia="Arial" w:hAnsi="Arial"/>
                <w:sz w:val="11"/>
                <w:szCs w:val="11"/>
                <w:color w:val="auto"/>
                <w:w w:val="92"/>
              </w:rPr>
              <w:t>Media: Diversified and Production</w:t>
            </w:r>
          </w:p>
        </w:tc>
        <w:tc>
          <w:tcPr>
            <w:tcW w:w="120" w:type="dxa"/>
            <w:vAlign w:val="bottom"/>
          </w:tcPr>
          <w:p>
            <w:pPr>
              <w:spacing w:after="0"/>
              <w:rPr>
                <w:sz w:val="10"/>
                <w:szCs w:val="10"/>
                <w:color w:val="auto"/>
              </w:rPr>
            </w:pPr>
          </w:p>
        </w:tc>
        <w:tc>
          <w:tcPr>
            <w:tcW w:w="820" w:type="dxa"/>
            <w:vAlign w:val="bottom"/>
            <w:gridSpan w:val="2"/>
          </w:tcPr>
          <w:p>
            <w:pPr>
              <w:jc w:val="right"/>
              <w:ind w:right="120"/>
              <w:spacing w:after="0" w:line="125" w:lineRule="exact"/>
              <w:rPr>
                <w:sz w:val="20"/>
                <w:szCs w:val="20"/>
                <w:color w:val="auto"/>
              </w:rPr>
            </w:pPr>
            <w:r>
              <w:rPr>
                <w:rFonts w:ascii="Arial" w:cs="Arial" w:eastAsia="Arial" w:hAnsi="Arial"/>
                <w:sz w:val="11"/>
                <w:szCs w:val="11"/>
                <w:color w:val="auto"/>
              </w:rPr>
              <w:t>—</w:t>
            </w:r>
          </w:p>
        </w:tc>
        <w:tc>
          <w:tcPr>
            <w:tcW w:w="160" w:type="dxa"/>
            <w:vAlign w:val="bottom"/>
            <w:vMerge w:val="restart"/>
          </w:tcPr>
          <w:p>
            <w:pPr>
              <w:jc w:val="right"/>
              <w:ind w:right="24"/>
              <w:spacing w:after="0"/>
              <w:rPr>
                <w:sz w:val="20"/>
                <w:szCs w:val="20"/>
                <w:color w:val="auto"/>
              </w:rPr>
            </w:pPr>
            <w:r>
              <w:rPr>
                <w:rFonts w:ascii="Arial" w:cs="Arial" w:eastAsia="Arial" w:hAnsi="Arial"/>
                <w:sz w:val="7"/>
                <w:szCs w:val="7"/>
                <w:color w:val="auto"/>
                <w:w w:val="92"/>
              </w:rPr>
              <w:t>(6)</w:t>
            </w:r>
          </w:p>
        </w:tc>
        <w:tc>
          <w:tcPr>
            <w:tcW w:w="900" w:type="dxa"/>
            <w:vAlign w:val="bottom"/>
          </w:tcPr>
          <w:p>
            <w:pPr>
              <w:jc w:val="right"/>
              <w:spacing w:after="0" w:line="125" w:lineRule="exact"/>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line="125" w:lineRule="exact"/>
              <w:rPr>
                <w:sz w:val="20"/>
                <w:szCs w:val="20"/>
                <w:color w:val="auto"/>
              </w:rPr>
            </w:pPr>
            <w:r>
              <w:rPr>
                <w:rFonts w:ascii="Arial" w:cs="Arial" w:eastAsia="Arial" w:hAnsi="Arial"/>
                <w:sz w:val="11"/>
                <w:szCs w:val="11"/>
                <w:color w:val="auto"/>
              </w:rPr>
              <w:t>3,261</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jc w:val="right"/>
              <w:spacing w:after="0" w:line="125" w:lineRule="exact"/>
              <w:rPr>
                <w:sz w:val="20"/>
                <w:szCs w:val="20"/>
                <w:color w:val="auto"/>
              </w:rPr>
            </w:pPr>
            <w:r>
              <w:rPr>
                <w:rFonts w:ascii="Arial" w:cs="Arial" w:eastAsia="Arial" w:hAnsi="Arial"/>
                <w:sz w:val="11"/>
                <w:szCs w:val="11"/>
                <w:color w:val="auto"/>
              </w:rPr>
              <w:t>—</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gridSpan w:val="2"/>
          </w:tcPr>
          <w:p>
            <w:pPr>
              <w:jc w:val="right"/>
              <w:ind w:right="82"/>
              <w:spacing w:after="0" w:line="125"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5"/>
        </w:trPr>
        <w:tc>
          <w:tcPr>
            <w:tcW w:w="3340" w:type="dxa"/>
            <w:vAlign w:val="bottom"/>
            <w:gridSpan w:val="3"/>
          </w:tcPr>
          <w:p>
            <w:pPr>
              <w:ind w:left="20"/>
              <w:spacing w:after="0" w:line="115" w:lineRule="exact"/>
              <w:rPr>
                <w:sz w:val="20"/>
                <w:szCs w:val="20"/>
                <w:color w:val="auto"/>
              </w:rPr>
            </w:pPr>
            <w:r>
              <w:rPr>
                <w:rFonts w:ascii="Arial" w:cs="Arial" w:eastAsia="Arial" w:hAnsi="Arial"/>
                <w:sz w:val="11"/>
                <w:szCs w:val="11"/>
                <w:color w:val="auto"/>
              </w:rPr>
              <w:t>Marketplace Events, LLC</w:t>
            </w:r>
          </w:p>
        </w:tc>
        <w:tc>
          <w:tcPr>
            <w:tcW w:w="600" w:type="dxa"/>
            <w:vAlign w:val="bottom"/>
          </w:tcPr>
          <w:p>
            <w:pPr>
              <w:jc w:val="center"/>
              <w:ind w:right="6"/>
              <w:spacing w:after="0" w:line="115" w:lineRule="exact"/>
              <w:rPr>
                <w:sz w:val="20"/>
                <w:szCs w:val="20"/>
                <w:color w:val="auto"/>
              </w:rPr>
            </w:pPr>
            <w:r>
              <w:rPr>
                <w:rFonts w:ascii="Arial" w:cs="Arial" w:eastAsia="Arial" w:hAnsi="Arial"/>
                <w:sz w:val="11"/>
                <w:szCs w:val="11"/>
                <w:color w:val="auto"/>
                <w:w w:val="90"/>
              </w:rPr>
              <w:t>09/30/2026</w:t>
            </w:r>
          </w:p>
        </w:tc>
        <w:tc>
          <w:tcPr>
            <w:tcW w:w="260" w:type="dxa"/>
            <w:vAlign w:val="bottom"/>
          </w:tcPr>
          <w:p>
            <w:pPr>
              <w:spacing w:after="0"/>
              <w:rPr>
                <w:sz w:val="9"/>
                <w:szCs w:val="9"/>
                <w:color w:val="auto"/>
              </w:rPr>
            </w:pPr>
          </w:p>
        </w:tc>
        <w:tc>
          <w:tcPr>
            <w:tcW w:w="2200" w:type="dxa"/>
            <w:vAlign w:val="bottom"/>
          </w:tcPr>
          <w:p>
            <w:pPr>
              <w:jc w:val="center"/>
              <w:spacing w:after="0" w:line="115" w:lineRule="exact"/>
              <w:rPr>
                <w:sz w:val="20"/>
                <w:szCs w:val="20"/>
                <w:color w:val="auto"/>
              </w:rPr>
            </w:pPr>
            <w:r>
              <w:rPr>
                <w:rFonts w:ascii="Arial" w:cs="Arial" w:eastAsia="Arial" w:hAnsi="Arial"/>
                <w:sz w:val="11"/>
                <w:szCs w:val="11"/>
                <w:color w:val="auto"/>
                <w:w w:val="92"/>
              </w:rPr>
              <w:t>Media: Diversified and Production</w:t>
            </w:r>
          </w:p>
        </w:tc>
        <w:tc>
          <w:tcPr>
            <w:tcW w:w="940" w:type="dxa"/>
            <w:vAlign w:val="bottom"/>
            <w:gridSpan w:val="3"/>
          </w:tcPr>
          <w:p>
            <w:pPr>
              <w:jc w:val="right"/>
              <w:spacing w:after="0" w:line="115" w:lineRule="exact"/>
              <w:rPr>
                <w:sz w:val="20"/>
                <w:szCs w:val="20"/>
                <w:color w:val="auto"/>
              </w:rPr>
            </w:pPr>
            <w:r>
              <w:rPr>
                <w:rFonts w:ascii="Arial" w:cs="Arial" w:eastAsia="Arial" w:hAnsi="Arial"/>
                <w:sz w:val="11"/>
                <w:szCs w:val="11"/>
                <w:color w:val="auto"/>
              </w:rPr>
              <w:t>0.00 %</w:t>
            </w:r>
          </w:p>
        </w:tc>
        <w:tc>
          <w:tcPr>
            <w:tcW w:w="160" w:type="dxa"/>
            <w:vAlign w:val="bottom"/>
            <w:vMerge w:val="continue"/>
          </w:tcPr>
          <w:p>
            <w:pPr>
              <w:spacing w:after="0"/>
              <w:rPr>
                <w:sz w:val="9"/>
                <w:szCs w:val="9"/>
                <w:color w:val="auto"/>
              </w:rPr>
            </w:pPr>
          </w:p>
        </w:tc>
        <w:tc>
          <w:tcPr>
            <w:tcW w:w="900" w:type="dxa"/>
            <w:vAlign w:val="bottom"/>
          </w:tcPr>
          <w:p>
            <w:pPr>
              <w:jc w:val="right"/>
              <w:spacing w:after="0" w:line="115" w:lineRule="exact"/>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25,542</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jc w:val="right"/>
              <w:spacing w:after="0" w:line="115" w:lineRule="exact"/>
              <w:rPr>
                <w:sz w:val="20"/>
                <w:szCs w:val="20"/>
                <w:color w:val="auto"/>
              </w:rPr>
            </w:pPr>
            <w:r>
              <w:rPr>
                <w:rFonts w:ascii="Arial" w:cs="Arial" w:eastAsia="Arial" w:hAnsi="Arial"/>
                <w:sz w:val="11"/>
                <w:szCs w:val="11"/>
                <w:color w:val="auto"/>
              </w:rPr>
              <w:t>19,047</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jc w:val="right"/>
              <w:spacing w:after="0" w:line="115" w:lineRule="exact"/>
              <w:rPr>
                <w:sz w:val="20"/>
                <w:szCs w:val="20"/>
                <w:color w:val="auto"/>
              </w:rPr>
            </w:pPr>
            <w:r>
              <w:rPr>
                <w:rFonts w:ascii="Arial" w:cs="Arial" w:eastAsia="Arial" w:hAnsi="Arial"/>
                <w:sz w:val="11"/>
                <w:szCs w:val="11"/>
                <w:color w:val="auto"/>
              </w:rPr>
              <w:t>25,542</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3340" w:type="dxa"/>
            <w:vAlign w:val="bottom"/>
            <w:gridSpan w:val="3"/>
          </w:tcPr>
          <w:p>
            <w:pPr>
              <w:ind w:left="20"/>
              <w:spacing w:after="0"/>
              <w:rPr>
                <w:sz w:val="20"/>
                <w:szCs w:val="20"/>
                <w:color w:val="auto"/>
              </w:rPr>
            </w:pPr>
            <w:r>
              <w:rPr>
                <w:rFonts w:ascii="Arial" w:cs="Arial" w:eastAsia="Arial" w:hAnsi="Arial"/>
                <w:sz w:val="11"/>
                <w:szCs w:val="11"/>
                <w:color w:val="auto"/>
              </w:rPr>
              <w:t xml:space="preserve">PennantPark Senior Secured Loan Fund I LLC </w:t>
            </w:r>
            <w:r>
              <w:rPr>
                <w:rFonts w:ascii="Arial" w:cs="Arial" w:eastAsia="Arial" w:hAnsi="Arial"/>
                <w:sz w:val="14"/>
                <w:szCs w:val="14"/>
                <w:color w:val="auto"/>
                <w:vertAlign w:val="superscript"/>
              </w:rPr>
              <w:t>(7), (9), (10)</w:t>
            </w:r>
          </w:p>
        </w:tc>
        <w:tc>
          <w:tcPr>
            <w:tcW w:w="600" w:type="dxa"/>
            <w:vAlign w:val="bottom"/>
          </w:tcPr>
          <w:p>
            <w:pPr>
              <w:jc w:val="center"/>
              <w:ind w:right="6"/>
              <w:spacing w:after="0"/>
              <w:rPr>
                <w:sz w:val="20"/>
                <w:szCs w:val="20"/>
                <w:color w:val="auto"/>
              </w:rPr>
            </w:pPr>
            <w:r>
              <w:rPr>
                <w:rFonts w:ascii="Arial" w:cs="Arial" w:eastAsia="Arial" w:hAnsi="Arial"/>
                <w:sz w:val="11"/>
                <w:szCs w:val="11"/>
                <w:color w:val="auto"/>
                <w:w w:val="90"/>
              </w:rPr>
              <w:t>05/06/2024</w:t>
            </w:r>
          </w:p>
        </w:tc>
        <w:tc>
          <w:tcPr>
            <w:tcW w:w="260" w:type="dxa"/>
            <w:vAlign w:val="bottom"/>
          </w:tcPr>
          <w:p>
            <w:pPr>
              <w:spacing w:after="0"/>
              <w:rPr>
                <w:sz w:val="14"/>
                <w:szCs w:val="14"/>
                <w:color w:val="auto"/>
              </w:rPr>
            </w:pPr>
          </w:p>
        </w:tc>
        <w:tc>
          <w:tcPr>
            <w:tcW w:w="2200" w:type="dxa"/>
            <w:vAlign w:val="bottom"/>
          </w:tcPr>
          <w:p>
            <w:pPr>
              <w:jc w:val="center"/>
              <w:spacing w:after="0"/>
              <w:rPr>
                <w:sz w:val="20"/>
                <w:szCs w:val="20"/>
                <w:color w:val="auto"/>
              </w:rPr>
            </w:pPr>
            <w:r>
              <w:rPr>
                <w:rFonts w:ascii="Arial" w:cs="Arial" w:eastAsia="Arial" w:hAnsi="Arial"/>
                <w:sz w:val="11"/>
                <w:szCs w:val="11"/>
                <w:color w:val="auto"/>
                <w:w w:val="89"/>
              </w:rPr>
              <w:t>Financial Services</w:t>
            </w:r>
          </w:p>
        </w:tc>
        <w:tc>
          <w:tcPr>
            <w:tcW w:w="940" w:type="dxa"/>
            <w:vAlign w:val="bottom"/>
            <w:gridSpan w:val="3"/>
          </w:tcPr>
          <w:p>
            <w:pPr>
              <w:jc w:val="right"/>
              <w:spacing w:after="0"/>
              <w:rPr>
                <w:sz w:val="20"/>
                <w:szCs w:val="20"/>
                <w:color w:val="auto"/>
              </w:rPr>
            </w:pPr>
            <w:r>
              <w:rPr>
                <w:rFonts w:ascii="Arial" w:cs="Arial" w:eastAsia="Arial" w:hAnsi="Arial"/>
                <w:sz w:val="11"/>
                <w:szCs w:val="11"/>
                <w:color w:val="auto"/>
              </w:rPr>
              <w:t>8.13 %</w:t>
            </w: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3M L+800</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140,875</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140,875</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140,875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3340" w:type="dxa"/>
            <w:vAlign w:val="bottom"/>
            <w:tcBorders>
              <w:bottom w:val="single" w:sz="8" w:color="CCECFF"/>
            </w:tcBorders>
            <w:gridSpan w:val="3"/>
            <w:shd w:val="clear" w:color="auto" w:fill="CCECFF"/>
          </w:tcPr>
          <w:p>
            <w:pPr>
              <w:ind w:left="20"/>
              <w:spacing w:after="0"/>
              <w:rPr>
                <w:sz w:val="20"/>
                <w:szCs w:val="20"/>
                <w:color w:val="auto"/>
              </w:rPr>
            </w:pPr>
            <w:r>
              <w:rPr>
                <w:rFonts w:ascii="Arial" w:cs="Arial" w:eastAsia="Arial" w:hAnsi="Arial"/>
                <w:sz w:val="11"/>
                <w:szCs w:val="11"/>
                <w:b w:val="1"/>
                <w:bCs w:val="1"/>
                <w:color w:val="auto"/>
              </w:rPr>
              <w:t>Total First Lien Secured Debt</w:t>
            </w:r>
          </w:p>
        </w:tc>
        <w:tc>
          <w:tcPr>
            <w:tcW w:w="600" w:type="dxa"/>
            <w:vAlign w:val="bottom"/>
            <w:tcBorders>
              <w:bottom w:val="single" w:sz="8" w:color="CCECFF"/>
            </w:tcBorders>
            <w:shd w:val="clear" w:color="auto" w:fill="CCECFF"/>
          </w:tcPr>
          <w:p>
            <w:pPr>
              <w:spacing w:after="0"/>
              <w:rPr>
                <w:sz w:val="11"/>
                <w:szCs w:val="11"/>
                <w:color w:val="auto"/>
              </w:rPr>
            </w:pPr>
          </w:p>
        </w:tc>
        <w:tc>
          <w:tcPr>
            <w:tcW w:w="260" w:type="dxa"/>
            <w:vAlign w:val="bottom"/>
            <w:tcBorders>
              <w:bottom w:val="single" w:sz="8" w:color="CCECFF"/>
            </w:tcBorders>
            <w:shd w:val="clear" w:color="auto" w:fill="CCECFF"/>
          </w:tcPr>
          <w:p>
            <w:pPr>
              <w:spacing w:after="0"/>
              <w:rPr>
                <w:sz w:val="11"/>
                <w:szCs w:val="11"/>
                <w:color w:val="auto"/>
              </w:rPr>
            </w:pPr>
          </w:p>
        </w:tc>
        <w:tc>
          <w:tcPr>
            <w:tcW w:w="220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720" w:type="dxa"/>
            <w:vAlign w:val="bottom"/>
            <w:tcBorders>
              <w:bottom w:val="single" w:sz="8" w:color="CCECFF"/>
            </w:tcBorders>
            <w:shd w:val="clear" w:color="auto" w:fill="CCECFF"/>
          </w:tcPr>
          <w:p>
            <w:pPr>
              <w:spacing w:after="0"/>
              <w:rPr>
                <w:sz w:val="11"/>
                <w:szCs w:val="11"/>
                <w:color w:val="auto"/>
              </w:rPr>
            </w:pPr>
          </w:p>
        </w:tc>
        <w:tc>
          <w:tcPr>
            <w:tcW w:w="10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CCECFF"/>
            </w:tcBorders>
            <w:shd w:val="clear" w:color="auto" w:fill="CCECFF"/>
          </w:tcPr>
          <w:p>
            <w:pPr>
              <w:spacing w:after="0"/>
              <w:rPr>
                <w:sz w:val="11"/>
                <w:szCs w:val="11"/>
                <w:color w:val="auto"/>
              </w:rPr>
            </w:pPr>
          </w:p>
        </w:tc>
        <w:tc>
          <w:tcPr>
            <w:tcW w:w="900" w:type="dxa"/>
            <w:vAlign w:val="bottom"/>
            <w:tcBorders>
              <w:bottom w:val="single" w:sz="8" w:color="CCECFF"/>
            </w:tcBorders>
            <w:shd w:val="clear" w:color="auto" w:fill="CCECFF"/>
          </w:tcPr>
          <w:p>
            <w:pPr>
              <w:spacing w:after="0"/>
              <w:rPr>
                <w:sz w:val="11"/>
                <w:szCs w:val="11"/>
                <w:color w:val="auto"/>
              </w:rPr>
            </w:pPr>
          </w:p>
        </w:tc>
        <w:tc>
          <w:tcPr>
            <w:tcW w:w="200" w:type="dxa"/>
            <w:vAlign w:val="bottom"/>
            <w:tcBorders>
              <w:bottom w:val="single" w:sz="8" w:color="CCECFF"/>
            </w:tcBorders>
            <w:shd w:val="clear" w:color="auto" w:fill="CCECFF"/>
          </w:tcPr>
          <w:p>
            <w:pPr>
              <w:spacing w:after="0"/>
              <w:rPr>
                <w:sz w:val="11"/>
                <w:szCs w:val="11"/>
                <w:color w:val="auto"/>
              </w:rPr>
            </w:pPr>
          </w:p>
        </w:tc>
        <w:tc>
          <w:tcPr>
            <w:tcW w:w="70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auto"/>
            </w:tcBorders>
            <w:shd w:val="clear" w:color="auto" w:fill="CCECFF"/>
          </w:tcPr>
          <w:p>
            <w:pPr>
              <w:spacing w:after="0"/>
              <w:rPr>
                <w:sz w:val="11"/>
                <w:szCs w:val="11"/>
                <w:color w:val="auto"/>
              </w:rPr>
            </w:pPr>
          </w:p>
        </w:tc>
        <w:tc>
          <w:tcPr>
            <w:tcW w:w="5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163,339</w:t>
            </w:r>
          </w:p>
        </w:tc>
        <w:tc>
          <w:tcPr>
            <w:tcW w:w="22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auto"/>
            </w:tcBorders>
            <w:shd w:val="clear" w:color="auto" w:fill="CCECFF"/>
          </w:tcPr>
          <w:p>
            <w:pPr>
              <w:spacing w:after="0"/>
              <w:rPr>
                <w:sz w:val="11"/>
                <w:szCs w:val="11"/>
                <w:color w:val="auto"/>
              </w:rPr>
            </w:pPr>
          </w:p>
        </w:tc>
        <w:tc>
          <w:tcPr>
            <w:tcW w:w="5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169,834</w:t>
            </w:r>
          </w:p>
        </w:tc>
        <w:tc>
          <w:tcPr>
            <w:tcW w:w="10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3340" w:type="dxa"/>
            <w:vAlign w:val="bottom"/>
            <w:gridSpan w:val="3"/>
          </w:tcPr>
          <w:p>
            <w:pPr>
              <w:ind w:left="20"/>
              <w:spacing w:after="0" w:line="99" w:lineRule="exact"/>
              <w:rPr>
                <w:sz w:val="20"/>
                <w:szCs w:val="20"/>
                <w:color w:val="auto"/>
              </w:rPr>
            </w:pPr>
            <w:r>
              <w:rPr>
                <w:rFonts w:ascii="Arial" w:cs="Arial" w:eastAsia="Arial" w:hAnsi="Arial"/>
                <w:sz w:val="11"/>
                <w:szCs w:val="11"/>
                <w:b w:val="1"/>
                <w:bCs w:val="1"/>
                <w:color w:val="auto"/>
              </w:rPr>
              <w:t>Equity Interests—9.7%</w:t>
            </w: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3340" w:type="dxa"/>
            <w:vAlign w:val="bottom"/>
            <w:gridSpan w:val="3"/>
          </w:tcPr>
          <w:p>
            <w:pPr>
              <w:ind w:left="20"/>
              <w:spacing w:after="0" w:line="135" w:lineRule="exact"/>
              <w:rPr>
                <w:sz w:val="20"/>
                <w:szCs w:val="20"/>
                <w:color w:val="auto"/>
              </w:rPr>
            </w:pPr>
            <w:r>
              <w:rPr>
                <w:rFonts w:ascii="Arial" w:cs="Arial" w:eastAsia="Arial" w:hAnsi="Arial"/>
                <w:sz w:val="11"/>
                <w:szCs w:val="11"/>
                <w:color w:val="auto"/>
              </w:rPr>
              <w:t xml:space="preserve">New MPE Holdings, LLC (Marketplace Events, LLC) </w:t>
            </w:r>
            <w:r>
              <w:rPr>
                <w:rFonts w:ascii="Arial" w:cs="Arial" w:eastAsia="Arial" w:hAnsi="Arial"/>
                <w:sz w:val="14"/>
                <w:szCs w:val="14"/>
                <w:color w:val="auto"/>
                <w:vertAlign w:val="superscript"/>
              </w:rPr>
              <w:t>(7),(8)</w:t>
            </w:r>
          </w:p>
        </w:tc>
        <w:tc>
          <w:tcPr>
            <w:tcW w:w="600" w:type="dxa"/>
            <w:vAlign w:val="bottom"/>
          </w:tcPr>
          <w:p>
            <w:pPr>
              <w:ind w:left="48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1"/>
                <w:szCs w:val="11"/>
                <w:color w:val="auto"/>
              </w:rPr>
            </w:pPr>
          </w:p>
        </w:tc>
        <w:tc>
          <w:tcPr>
            <w:tcW w:w="2200" w:type="dxa"/>
            <w:vAlign w:val="bottom"/>
          </w:tcPr>
          <w:p>
            <w:pPr>
              <w:jc w:val="center"/>
              <w:spacing w:after="0"/>
              <w:rPr>
                <w:sz w:val="20"/>
                <w:szCs w:val="20"/>
                <w:color w:val="auto"/>
              </w:rPr>
            </w:pPr>
            <w:r>
              <w:rPr>
                <w:rFonts w:ascii="Arial" w:cs="Arial" w:eastAsia="Arial" w:hAnsi="Arial"/>
                <w:sz w:val="11"/>
                <w:szCs w:val="11"/>
                <w:color w:val="auto"/>
                <w:w w:val="92"/>
              </w:rPr>
              <w:t>Media: Diversified and Production</w:t>
            </w:r>
          </w:p>
        </w:tc>
        <w:tc>
          <w:tcPr>
            <w:tcW w:w="120" w:type="dxa"/>
            <w:vAlign w:val="bottom"/>
          </w:tcPr>
          <w:p>
            <w:pPr>
              <w:spacing w:after="0"/>
              <w:rPr>
                <w:sz w:val="11"/>
                <w:szCs w:val="11"/>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349</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2,690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3340" w:type="dxa"/>
            <w:vAlign w:val="bottom"/>
            <w:gridSpan w:val="3"/>
          </w:tcPr>
          <w:p>
            <w:pPr>
              <w:ind w:left="20"/>
              <w:spacing w:after="0"/>
              <w:rPr>
                <w:sz w:val="20"/>
                <w:szCs w:val="20"/>
                <w:color w:val="auto"/>
              </w:rPr>
            </w:pPr>
            <w:r>
              <w:rPr>
                <w:rFonts w:ascii="Arial" w:cs="Arial" w:eastAsia="Arial" w:hAnsi="Arial"/>
                <w:sz w:val="11"/>
                <w:szCs w:val="11"/>
                <w:color w:val="auto"/>
              </w:rPr>
              <w:t xml:space="preserve">PennantPark Senior Secured Loan Fund I LLC </w:t>
            </w:r>
            <w:r>
              <w:rPr>
                <w:rFonts w:ascii="Arial" w:cs="Arial" w:eastAsia="Arial" w:hAnsi="Arial"/>
                <w:sz w:val="14"/>
                <w:szCs w:val="14"/>
                <w:color w:val="auto"/>
                <w:vertAlign w:val="superscript"/>
              </w:rPr>
              <w:t>(7), (9), (10)</w:t>
            </w:r>
          </w:p>
        </w:tc>
        <w:tc>
          <w:tcPr>
            <w:tcW w:w="600" w:type="dxa"/>
            <w:vAlign w:val="bottom"/>
          </w:tcPr>
          <w:p>
            <w:pPr>
              <w:ind w:left="48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4"/>
                <w:szCs w:val="14"/>
                <w:color w:val="auto"/>
              </w:rPr>
            </w:pPr>
          </w:p>
        </w:tc>
        <w:tc>
          <w:tcPr>
            <w:tcW w:w="2200" w:type="dxa"/>
            <w:vAlign w:val="bottom"/>
          </w:tcPr>
          <w:p>
            <w:pPr>
              <w:jc w:val="center"/>
              <w:spacing w:after="0"/>
              <w:rPr>
                <w:sz w:val="20"/>
                <w:szCs w:val="20"/>
                <w:color w:val="auto"/>
              </w:rPr>
            </w:pPr>
            <w:r>
              <w:rPr>
                <w:rFonts w:ascii="Arial" w:cs="Arial" w:eastAsia="Arial" w:hAnsi="Arial"/>
                <w:sz w:val="11"/>
                <w:szCs w:val="11"/>
                <w:color w:val="auto"/>
                <w:w w:val="89"/>
              </w:rPr>
              <w:t>Financial Services</w:t>
            </w:r>
          </w:p>
        </w:tc>
        <w:tc>
          <w:tcPr>
            <w:tcW w:w="12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60,375</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60,375</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44,856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340" w:type="dxa"/>
            <w:vAlign w:val="bottom"/>
            <w:tcBorders>
              <w:bottom w:val="single" w:sz="8" w:color="CCECFF"/>
            </w:tcBorders>
            <w:gridSpan w:val="3"/>
            <w:shd w:val="clear" w:color="auto" w:fill="CCECFF"/>
          </w:tcPr>
          <w:p>
            <w:pPr>
              <w:ind w:left="20"/>
              <w:spacing w:after="0"/>
              <w:rPr>
                <w:sz w:val="20"/>
                <w:szCs w:val="20"/>
                <w:color w:val="auto"/>
              </w:rPr>
            </w:pPr>
            <w:r>
              <w:rPr>
                <w:rFonts w:ascii="Arial" w:cs="Arial" w:eastAsia="Arial" w:hAnsi="Arial"/>
                <w:sz w:val="11"/>
                <w:szCs w:val="11"/>
                <w:b w:val="1"/>
                <w:bCs w:val="1"/>
                <w:color w:val="auto"/>
              </w:rPr>
              <w:t>Total Equity Interests</w:t>
            </w:r>
          </w:p>
        </w:tc>
        <w:tc>
          <w:tcPr>
            <w:tcW w:w="600" w:type="dxa"/>
            <w:vAlign w:val="bottom"/>
            <w:tcBorders>
              <w:bottom w:val="single" w:sz="8" w:color="CCECFF"/>
            </w:tcBorders>
            <w:shd w:val="clear" w:color="auto" w:fill="CCECFF"/>
          </w:tcPr>
          <w:p>
            <w:pPr>
              <w:spacing w:after="0"/>
              <w:rPr>
                <w:sz w:val="11"/>
                <w:szCs w:val="11"/>
                <w:color w:val="auto"/>
              </w:rPr>
            </w:pPr>
          </w:p>
        </w:tc>
        <w:tc>
          <w:tcPr>
            <w:tcW w:w="260" w:type="dxa"/>
            <w:vAlign w:val="bottom"/>
            <w:tcBorders>
              <w:bottom w:val="single" w:sz="8" w:color="CCECFF"/>
            </w:tcBorders>
            <w:shd w:val="clear" w:color="auto" w:fill="CCECFF"/>
          </w:tcPr>
          <w:p>
            <w:pPr>
              <w:spacing w:after="0"/>
              <w:rPr>
                <w:sz w:val="11"/>
                <w:szCs w:val="11"/>
                <w:color w:val="auto"/>
              </w:rPr>
            </w:pPr>
          </w:p>
        </w:tc>
        <w:tc>
          <w:tcPr>
            <w:tcW w:w="220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720" w:type="dxa"/>
            <w:vAlign w:val="bottom"/>
            <w:tcBorders>
              <w:bottom w:val="single" w:sz="8" w:color="CCECFF"/>
            </w:tcBorders>
            <w:shd w:val="clear" w:color="auto" w:fill="CCECFF"/>
          </w:tcPr>
          <w:p>
            <w:pPr>
              <w:spacing w:after="0"/>
              <w:rPr>
                <w:sz w:val="11"/>
                <w:szCs w:val="11"/>
                <w:color w:val="auto"/>
              </w:rPr>
            </w:pPr>
          </w:p>
        </w:tc>
        <w:tc>
          <w:tcPr>
            <w:tcW w:w="10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CCECFF"/>
            </w:tcBorders>
            <w:shd w:val="clear" w:color="auto" w:fill="CCECFF"/>
          </w:tcPr>
          <w:p>
            <w:pPr>
              <w:spacing w:after="0"/>
              <w:rPr>
                <w:sz w:val="11"/>
                <w:szCs w:val="11"/>
                <w:color w:val="auto"/>
              </w:rPr>
            </w:pPr>
          </w:p>
        </w:tc>
        <w:tc>
          <w:tcPr>
            <w:tcW w:w="900" w:type="dxa"/>
            <w:vAlign w:val="bottom"/>
            <w:tcBorders>
              <w:bottom w:val="single" w:sz="8" w:color="CCECFF"/>
            </w:tcBorders>
            <w:shd w:val="clear" w:color="auto" w:fill="CCECFF"/>
          </w:tcPr>
          <w:p>
            <w:pPr>
              <w:spacing w:after="0"/>
              <w:rPr>
                <w:sz w:val="11"/>
                <w:szCs w:val="11"/>
                <w:color w:val="auto"/>
              </w:rPr>
            </w:pPr>
          </w:p>
        </w:tc>
        <w:tc>
          <w:tcPr>
            <w:tcW w:w="200" w:type="dxa"/>
            <w:vAlign w:val="bottom"/>
            <w:tcBorders>
              <w:bottom w:val="single" w:sz="8" w:color="CCECFF"/>
            </w:tcBorders>
            <w:shd w:val="clear" w:color="auto" w:fill="CCECFF"/>
          </w:tcPr>
          <w:p>
            <w:pPr>
              <w:spacing w:after="0"/>
              <w:rPr>
                <w:sz w:val="11"/>
                <w:szCs w:val="11"/>
                <w:color w:val="auto"/>
              </w:rPr>
            </w:pPr>
          </w:p>
        </w:tc>
        <w:tc>
          <w:tcPr>
            <w:tcW w:w="70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auto"/>
            </w:tcBorders>
            <w:shd w:val="clear" w:color="auto" w:fill="CCECFF"/>
          </w:tcPr>
          <w:p>
            <w:pPr>
              <w:spacing w:after="0"/>
              <w:rPr>
                <w:sz w:val="11"/>
                <w:szCs w:val="11"/>
                <w:color w:val="auto"/>
              </w:rPr>
            </w:pPr>
          </w:p>
        </w:tc>
        <w:tc>
          <w:tcPr>
            <w:tcW w:w="5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60,375</w:t>
            </w:r>
          </w:p>
        </w:tc>
        <w:tc>
          <w:tcPr>
            <w:tcW w:w="22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auto"/>
            </w:tcBorders>
            <w:shd w:val="clear" w:color="auto" w:fill="CCECFF"/>
          </w:tcPr>
          <w:p>
            <w:pPr>
              <w:spacing w:after="0"/>
              <w:rPr>
                <w:sz w:val="11"/>
                <w:szCs w:val="11"/>
                <w:color w:val="auto"/>
              </w:rPr>
            </w:pPr>
          </w:p>
        </w:tc>
        <w:tc>
          <w:tcPr>
            <w:tcW w:w="5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47,546</w:t>
            </w:r>
          </w:p>
        </w:tc>
        <w:tc>
          <w:tcPr>
            <w:tcW w:w="10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340" w:type="dxa"/>
            <w:vAlign w:val="bottom"/>
            <w:gridSpan w:val="3"/>
          </w:tcPr>
          <w:p>
            <w:pPr>
              <w:ind w:left="20"/>
              <w:spacing w:after="0"/>
              <w:rPr>
                <w:sz w:val="20"/>
                <w:szCs w:val="20"/>
                <w:color w:val="auto"/>
              </w:rPr>
            </w:pPr>
            <w:r>
              <w:rPr>
                <w:rFonts w:ascii="Arial" w:cs="Arial" w:eastAsia="Arial" w:hAnsi="Arial"/>
                <w:sz w:val="11"/>
                <w:szCs w:val="11"/>
                <w:b w:val="1"/>
                <w:bCs w:val="1"/>
                <w:color w:val="auto"/>
              </w:rPr>
              <w:t>Total Investments in Controlled, Affiliated Portfolio Companies</w:t>
            </w: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223,714</w:t>
            </w:r>
          </w:p>
        </w:tc>
        <w:tc>
          <w:tcPr>
            <w:tcW w:w="2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217,380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340" w:type="dxa"/>
            <w:vAlign w:val="bottom"/>
            <w:tcBorders>
              <w:bottom w:val="single" w:sz="8" w:color="CCECFF"/>
            </w:tcBorders>
            <w:gridSpan w:val="3"/>
            <w:shd w:val="clear" w:color="auto" w:fill="CCECFF"/>
          </w:tcPr>
          <w:p>
            <w:pPr>
              <w:ind w:left="20"/>
              <w:spacing w:after="0"/>
              <w:rPr>
                <w:sz w:val="20"/>
                <w:szCs w:val="20"/>
                <w:color w:val="auto"/>
              </w:rPr>
            </w:pPr>
            <w:r>
              <w:rPr>
                <w:rFonts w:ascii="Arial" w:cs="Arial" w:eastAsia="Arial" w:hAnsi="Arial"/>
                <w:sz w:val="11"/>
                <w:szCs w:val="11"/>
                <w:b w:val="1"/>
                <w:bCs w:val="1"/>
                <w:color w:val="auto"/>
              </w:rPr>
              <w:t>Total Investments—220.5%</w:t>
            </w:r>
          </w:p>
        </w:tc>
        <w:tc>
          <w:tcPr>
            <w:tcW w:w="600" w:type="dxa"/>
            <w:vAlign w:val="bottom"/>
            <w:tcBorders>
              <w:bottom w:val="single" w:sz="8" w:color="CCECFF"/>
            </w:tcBorders>
            <w:shd w:val="clear" w:color="auto" w:fill="CCECFF"/>
          </w:tcPr>
          <w:p>
            <w:pPr>
              <w:spacing w:after="0"/>
              <w:rPr>
                <w:sz w:val="11"/>
                <w:szCs w:val="11"/>
                <w:color w:val="auto"/>
              </w:rPr>
            </w:pPr>
          </w:p>
        </w:tc>
        <w:tc>
          <w:tcPr>
            <w:tcW w:w="260" w:type="dxa"/>
            <w:vAlign w:val="bottom"/>
            <w:tcBorders>
              <w:bottom w:val="single" w:sz="8" w:color="CCECFF"/>
            </w:tcBorders>
            <w:shd w:val="clear" w:color="auto" w:fill="CCECFF"/>
          </w:tcPr>
          <w:p>
            <w:pPr>
              <w:spacing w:after="0"/>
              <w:rPr>
                <w:sz w:val="11"/>
                <w:szCs w:val="11"/>
                <w:color w:val="auto"/>
              </w:rPr>
            </w:pPr>
          </w:p>
        </w:tc>
        <w:tc>
          <w:tcPr>
            <w:tcW w:w="220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720" w:type="dxa"/>
            <w:vAlign w:val="bottom"/>
            <w:tcBorders>
              <w:bottom w:val="single" w:sz="8" w:color="CCECFF"/>
            </w:tcBorders>
            <w:shd w:val="clear" w:color="auto" w:fill="CCECFF"/>
          </w:tcPr>
          <w:p>
            <w:pPr>
              <w:spacing w:after="0"/>
              <w:rPr>
                <w:sz w:val="11"/>
                <w:szCs w:val="11"/>
                <w:color w:val="auto"/>
              </w:rPr>
            </w:pPr>
          </w:p>
        </w:tc>
        <w:tc>
          <w:tcPr>
            <w:tcW w:w="10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CCECFF"/>
            </w:tcBorders>
            <w:shd w:val="clear" w:color="auto" w:fill="CCECFF"/>
          </w:tcPr>
          <w:p>
            <w:pPr>
              <w:spacing w:after="0"/>
              <w:rPr>
                <w:sz w:val="11"/>
                <w:szCs w:val="11"/>
                <w:color w:val="auto"/>
              </w:rPr>
            </w:pPr>
          </w:p>
        </w:tc>
        <w:tc>
          <w:tcPr>
            <w:tcW w:w="900" w:type="dxa"/>
            <w:vAlign w:val="bottom"/>
            <w:tcBorders>
              <w:bottom w:val="single" w:sz="8" w:color="CCECFF"/>
            </w:tcBorders>
            <w:shd w:val="clear" w:color="auto" w:fill="CCECFF"/>
          </w:tcPr>
          <w:p>
            <w:pPr>
              <w:spacing w:after="0"/>
              <w:rPr>
                <w:sz w:val="11"/>
                <w:szCs w:val="11"/>
                <w:color w:val="auto"/>
              </w:rPr>
            </w:pPr>
          </w:p>
        </w:tc>
        <w:tc>
          <w:tcPr>
            <w:tcW w:w="200" w:type="dxa"/>
            <w:vAlign w:val="bottom"/>
            <w:tcBorders>
              <w:bottom w:val="single" w:sz="8" w:color="CCECFF"/>
            </w:tcBorders>
            <w:shd w:val="clear" w:color="auto" w:fill="CCECFF"/>
          </w:tcPr>
          <w:p>
            <w:pPr>
              <w:spacing w:after="0"/>
              <w:rPr>
                <w:sz w:val="11"/>
                <w:szCs w:val="11"/>
                <w:color w:val="auto"/>
              </w:rPr>
            </w:pPr>
          </w:p>
        </w:tc>
        <w:tc>
          <w:tcPr>
            <w:tcW w:w="70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auto"/>
            </w:tcBorders>
            <w:shd w:val="clear" w:color="auto" w:fill="CCECFF"/>
          </w:tcPr>
          <w:p>
            <w:pPr>
              <w:spacing w:after="0"/>
              <w:rPr>
                <w:sz w:val="11"/>
                <w:szCs w:val="11"/>
                <w:color w:val="auto"/>
              </w:rPr>
            </w:pPr>
          </w:p>
        </w:tc>
        <w:tc>
          <w:tcPr>
            <w:tcW w:w="5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1,070,636</w:t>
            </w:r>
          </w:p>
        </w:tc>
        <w:tc>
          <w:tcPr>
            <w:tcW w:w="22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auto"/>
            </w:tcBorders>
            <w:shd w:val="clear" w:color="auto" w:fill="CCECFF"/>
          </w:tcPr>
          <w:p>
            <w:pPr>
              <w:spacing w:after="0"/>
              <w:rPr>
                <w:sz w:val="11"/>
                <w:szCs w:val="11"/>
                <w:color w:val="auto"/>
              </w:rPr>
            </w:pPr>
          </w:p>
        </w:tc>
        <w:tc>
          <w:tcPr>
            <w:tcW w:w="5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1,081,619</w:t>
            </w:r>
          </w:p>
        </w:tc>
        <w:tc>
          <w:tcPr>
            <w:tcW w:w="10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340" w:type="dxa"/>
            <w:vAlign w:val="bottom"/>
            <w:gridSpan w:val="3"/>
          </w:tcPr>
          <w:p>
            <w:pPr>
              <w:ind w:left="20"/>
              <w:spacing w:after="0"/>
              <w:rPr>
                <w:sz w:val="20"/>
                <w:szCs w:val="20"/>
                <w:color w:val="auto"/>
              </w:rPr>
            </w:pPr>
            <w:r>
              <w:rPr>
                <w:rFonts w:ascii="Arial" w:cs="Arial" w:eastAsia="Arial" w:hAnsi="Arial"/>
                <w:sz w:val="11"/>
                <w:szCs w:val="11"/>
                <w:b w:val="1"/>
                <w:bCs w:val="1"/>
                <w:color w:val="auto"/>
              </w:rPr>
              <w:t>Cash and Cash Equivalents—10.2%</w:t>
            </w: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40" w:type="dxa"/>
            <w:vAlign w:val="bottom"/>
            <w:gridSpan w:val="3"/>
            <w:shd w:val="clear" w:color="auto" w:fill="CCECFF"/>
          </w:tcPr>
          <w:p>
            <w:pPr>
              <w:ind w:left="20"/>
              <w:spacing w:after="0"/>
              <w:rPr>
                <w:sz w:val="20"/>
                <w:szCs w:val="20"/>
                <w:color w:val="auto"/>
              </w:rPr>
            </w:pPr>
            <w:r>
              <w:rPr>
                <w:rFonts w:ascii="Arial" w:cs="Arial" w:eastAsia="Arial" w:hAnsi="Arial"/>
                <w:sz w:val="11"/>
                <w:szCs w:val="11"/>
                <w:color w:val="auto"/>
              </w:rPr>
              <w:t>BlackRock Federal FD Institutional 30</w:t>
            </w:r>
          </w:p>
        </w:tc>
        <w:tc>
          <w:tcPr>
            <w:tcW w:w="60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22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90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7,433</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7,433</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40" w:type="dxa"/>
            <w:vAlign w:val="bottom"/>
            <w:gridSpan w:val="3"/>
          </w:tcPr>
          <w:p>
            <w:pPr>
              <w:ind w:left="20"/>
              <w:spacing w:after="0"/>
              <w:rPr>
                <w:sz w:val="20"/>
                <w:szCs w:val="20"/>
                <w:color w:val="auto"/>
              </w:rPr>
            </w:pPr>
            <w:r>
              <w:rPr>
                <w:rFonts w:ascii="Arial" w:cs="Arial" w:eastAsia="Arial" w:hAnsi="Arial"/>
                <w:sz w:val="11"/>
                <w:szCs w:val="11"/>
                <w:color w:val="auto"/>
              </w:rPr>
              <w:t>BNY Mellon Cash</w:t>
            </w: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42,392</w:t>
            </w:r>
          </w:p>
        </w:tc>
        <w:tc>
          <w:tcPr>
            <w:tcW w:w="2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42,392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340" w:type="dxa"/>
            <w:vAlign w:val="bottom"/>
            <w:tcBorders>
              <w:bottom w:val="single" w:sz="8" w:color="CCECFF"/>
            </w:tcBorders>
            <w:gridSpan w:val="3"/>
            <w:shd w:val="clear" w:color="auto" w:fill="CCECFF"/>
          </w:tcPr>
          <w:p>
            <w:pPr>
              <w:ind w:left="20"/>
              <w:spacing w:after="0"/>
              <w:rPr>
                <w:sz w:val="20"/>
                <w:szCs w:val="20"/>
                <w:color w:val="auto"/>
              </w:rPr>
            </w:pPr>
            <w:r>
              <w:rPr>
                <w:rFonts w:ascii="Arial" w:cs="Arial" w:eastAsia="Arial" w:hAnsi="Arial"/>
                <w:sz w:val="11"/>
                <w:szCs w:val="11"/>
                <w:b w:val="1"/>
                <w:bCs w:val="1"/>
                <w:color w:val="auto"/>
              </w:rPr>
              <w:t>Total Cash and Cash Equivalents</w:t>
            </w:r>
          </w:p>
        </w:tc>
        <w:tc>
          <w:tcPr>
            <w:tcW w:w="600" w:type="dxa"/>
            <w:vAlign w:val="bottom"/>
            <w:tcBorders>
              <w:bottom w:val="single" w:sz="8" w:color="CCECFF"/>
            </w:tcBorders>
            <w:shd w:val="clear" w:color="auto" w:fill="CCECFF"/>
          </w:tcPr>
          <w:p>
            <w:pPr>
              <w:spacing w:after="0"/>
              <w:rPr>
                <w:sz w:val="11"/>
                <w:szCs w:val="11"/>
                <w:color w:val="auto"/>
              </w:rPr>
            </w:pPr>
          </w:p>
        </w:tc>
        <w:tc>
          <w:tcPr>
            <w:tcW w:w="260" w:type="dxa"/>
            <w:vAlign w:val="bottom"/>
            <w:tcBorders>
              <w:bottom w:val="single" w:sz="8" w:color="CCECFF"/>
            </w:tcBorders>
            <w:shd w:val="clear" w:color="auto" w:fill="CCECFF"/>
          </w:tcPr>
          <w:p>
            <w:pPr>
              <w:spacing w:after="0"/>
              <w:rPr>
                <w:sz w:val="11"/>
                <w:szCs w:val="11"/>
                <w:color w:val="auto"/>
              </w:rPr>
            </w:pPr>
          </w:p>
        </w:tc>
        <w:tc>
          <w:tcPr>
            <w:tcW w:w="220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720" w:type="dxa"/>
            <w:vAlign w:val="bottom"/>
            <w:tcBorders>
              <w:bottom w:val="single" w:sz="8" w:color="CCECFF"/>
            </w:tcBorders>
            <w:shd w:val="clear" w:color="auto" w:fill="CCECFF"/>
          </w:tcPr>
          <w:p>
            <w:pPr>
              <w:spacing w:after="0"/>
              <w:rPr>
                <w:sz w:val="11"/>
                <w:szCs w:val="11"/>
                <w:color w:val="auto"/>
              </w:rPr>
            </w:pPr>
          </w:p>
        </w:tc>
        <w:tc>
          <w:tcPr>
            <w:tcW w:w="10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CCECFF"/>
            </w:tcBorders>
            <w:shd w:val="clear" w:color="auto" w:fill="CCECFF"/>
          </w:tcPr>
          <w:p>
            <w:pPr>
              <w:spacing w:after="0"/>
              <w:rPr>
                <w:sz w:val="11"/>
                <w:szCs w:val="11"/>
                <w:color w:val="auto"/>
              </w:rPr>
            </w:pPr>
          </w:p>
        </w:tc>
        <w:tc>
          <w:tcPr>
            <w:tcW w:w="900" w:type="dxa"/>
            <w:vAlign w:val="bottom"/>
            <w:tcBorders>
              <w:bottom w:val="single" w:sz="8" w:color="CCECFF"/>
            </w:tcBorders>
            <w:shd w:val="clear" w:color="auto" w:fill="CCECFF"/>
          </w:tcPr>
          <w:p>
            <w:pPr>
              <w:spacing w:after="0"/>
              <w:rPr>
                <w:sz w:val="11"/>
                <w:szCs w:val="11"/>
                <w:color w:val="auto"/>
              </w:rPr>
            </w:pPr>
          </w:p>
        </w:tc>
        <w:tc>
          <w:tcPr>
            <w:tcW w:w="200" w:type="dxa"/>
            <w:vAlign w:val="bottom"/>
            <w:tcBorders>
              <w:bottom w:val="single" w:sz="8" w:color="CCECFF"/>
            </w:tcBorders>
            <w:shd w:val="clear" w:color="auto" w:fill="CCECFF"/>
          </w:tcPr>
          <w:p>
            <w:pPr>
              <w:spacing w:after="0"/>
              <w:rPr>
                <w:sz w:val="11"/>
                <w:szCs w:val="11"/>
                <w:color w:val="auto"/>
              </w:rPr>
            </w:pPr>
          </w:p>
        </w:tc>
        <w:tc>
          <w:tcPr>
            <w:tcW w:w="70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auto"/>
            </w:tcBorders>
            <w:shd w:val="clear" w:color="auto" w:fill="CCECFF"/>
          </w:tcPr>
          <w:p>
            <w:pPr>
              <w:spacing w:after="0"/>
              <w:rPr>
                <w:sz w:val="11"/>
                <w:szCs w:val="11"/>
                <w:color w:val="auto"/>
              </w:rPr>
            </w:pPr>
          </w:p>
        </w:tc>
        <w:tc>
          <w:tcPr>
            <w:tcW w:w="5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49,825</w:t>
            </w:r>
          </w:p>
        </w:tc>
        <w:tc>
          <w:tcPr>
            <w:tcW w:w="22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auto"/>
            </w:tcBorders>
            <w:shd w:val="clear" w:color="auto" w:fill="CCECFF"/>
          </w:tcPr>
          <w:p>
            <w:pPr>
              <w:spacing w:after="0"/>
              <w:rPr>
                <w:sz w:val="11"/>
                <w:szCs w:val="11"/>
                <w:color w:val="auto"/>
              </w:rPr>
            </w:pPr>
          </w:p>
        </w:tc>
        <w:tc>
          <w:tcPr>
            <w:tcW w:w="5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49,825</w:t>
            </w:r>
          </w:p>
        </w:tc>
        <w:tc>
          <w:tcPr>
            <w:tcW w:w="10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340" w:type="dxa"/>
            <w:vAlign w:val="bottom"/>
            <w:gridSpan w:val="3"/>
          </w:tcPr>
          <w:p>
            <w:pPr>
              <w:ind w:left="20"/>
              <w:spacing w:after="0"/>
              <w:rPr>
                <w:sz w:val="20"/>
                <w:szCs w:val="20"/>
                <w:color w:val="auto"/>
              </w:rPr>
            </w:pPr>
            <w:r>
              <w:rPr>
                <w:rFonts w:ascii="Arial" w:cs="Arial" w:eastAsia="Arial" w:hAnsi="Arial"/>
                <w:sz w:val="11"/>
                <w:szCs w:val="11"/>
                <w:b w:val="1"/>
                <w:bCs w:val="1"/>
                <w:color w:val="auto"/>
              </w:rPr>
              <w:t>Total Investments and Cash Equivalents—230.6%</w:t>
            </w: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w w:val="97"/>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1,120,461</w:t>
            </w:r>
          </w:p>
        </w:tc>
        <w:tc>
          <w:tcPr>
            <w:tcW w:w="220" w:type="dxa"/>
            <w:vAlign w:val="bottom"/>
          </w:tcPr>
          <w:p>
            <w:pPr>
              <w:spacing w:after="0"/>
              <w:rPr>
                <w:sz w:val="11"/>
                <w:szCs w:val="11"/>
                <w:color w:val="auto"/>
              </w:rPr>
            </w:pPr>
          </w:p>
        </w:tc>
        <w:tc>
          <w:tcPr>
            <w:tcW w:w="16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w w:val="97"/>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1,131,444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34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3340" w:type="dxa"/>
            <w:vAlign w:val="bottom"/>
            <w:tcBorders>
              <w:bottom w:val="single" w:sz="8" w:color="CCECFF"/>
            </w:tcBorders>
            <w:gridSpan w:val="3"/>
            <w:shd w:val="clear" w:color="auto" w:fill="CCECFF"/>
          </w:tcPr>
          <w:p>
            <w:pPr>
              <w:ind w:left="20"/>
              <w:spacing w:after="0" w:line="116" w:lineRule="exact"/>
              <w:rPr>
                <w:sz w:val="20"/>
                <w:szCs w:val="20"/>
                <w:color w:val="auto"/>
              </w:rPr>
            </w:pPr>
            <w:r>
              <w:rPr>
                <w:rFonts w:ascii="Arial" w:cs="Arial" w:eastAsia="Arial" w:hAnsi="Arial"/>
                <w:sz w:val="11"/>
                <w:szCs w:val="11"/>
                <w:b w:val="1"/>
                <w:bCs w:val="1"/>
                <w:color w:val="auto"/>
              </w:rPr>
              <w:t>Liabilities in Excess of Other Assets—(130.6)%</w:t>
            </w:r>
          </w:p>
        </w:tc>
        <w:tc>
          <w:tcPr>
            <w:tcW w:w="600" w:type="dxa"/>
            <w:vAlign w:val="bottom"/>
            <w:tcBorders>
              <w:bottom w:val="single" w:sz="8" w:color="CCECFF"/>
            </w:tcBorders>
            <w:shd w:val="clear" w:color="auto" w:fill="CCECFF"/>
          </w:tcPr>
          <w:p>
            <w:pPr>
              <w:spacing w:after="0"/>
              <w:rPr>
                <w:sz w:val="10"/>
                <w:szCs w:val="10"/>
                <w:color w:val="auto"/>
              </w:rPr>
            </w:pPr>
          </w:p>
        </w:tc>
        <w:tc>
          <w:tcPr>
            <w:tcW w:w="260" w:type="dxa"/>
            <w:vAlign w:val="bottom"/>
            <w:tcBorders>
              <w:bottom w:val="single" w:sz="8" w:color="CCECFF"/>
            </w:tcBorders>
            <w:shd w:val="clear" w:color="auto" w:fill="CCECFF"/>
          </w:tcPr>
          <w:p>
            <w:pPr>
              <w:spacing w:after="0"/>
              <w:rPr>
                <w:sz w:val="10"/>
                <w:szCs w:val="10"/>
                <w:color w:val="auto"/>
              </w:rPr>
            </w:pPr>
          </w:p>
        </w:tc>
        <w:tc>
          <w:tcPr>
            <w:tcW w:w="2200" w:type="dxa"/>
            <w:vAlign w:val="bottom"/>
            <w:tcBorders>
              <w:bottom w:val="single" w:sz="8" w:color="CCECFF"/>
            </w:tcBorders>
            <w:shd w:val="clear" w:color="auto" w:fill="CCECFF"/>
          </w:tcPr>
          <w:p>
            <w:pPr>
              <w:spacing w:after="0"/>
              <w:rPr>
                <w:sz w:val="10"/>
                <w:szCs w:val="10"/>
                <w:color w:val="auto"/>
              </w:rPr>
            </w:pPr>
          </w:p>
        </w:tc>
        <w:tc>
          <w:tcPr>
            <w:tcW w:w="120" w:type="dxa"/>
            <w:vAlign w:val="bottom"/>
            <w:tcBorders>
              <w:bottom w:val="single" w:sz="8" w:color="CCECFF"/>
            </w:tcBorders>
            <w:shd w:val="clear" w:color="auto" w:fill="CCECFF"/>
          </w:tcPr>
          <w:p>
            <w:pPr>
              <w:spacing w:after="0"/>
              <w:rPr>
                <w:sz w:val="10"/>
                <w:szCs w:val="10"/>
                <w:color w:val="auto"/>
              </w:rPr>
            </w:pPr>
          </w:p>
        </w:tc>
        <w:tc>
          <w:tcPr>
            <w:tcW w:w="720" w:type="dxa"/>
            <w:vAlign w:val="bottom"/>
            <w:tcBorders>
              <w:bottom w:val="single" w:sz="8" w:color="CCECFF"/>
            </w:tcBorders>
            <w:shd w:val="clear" w:color="auto" w:fill="CCECFF"/>
          </w:tcPr>
          <w:p>
            <w:pPr>
              <w:spacing w:after="0"/>
              <w:rPr>
                <w:sz w:val="10"/>
                <w:szCs w:val="10"/>
                <w:color w:val="auto"/>
              </w:rPr>
            </w:pPr>
          </w:p>
        </w:tc>
        <w:tc>
          <w:tcPr>
            <w:tcW w:w="100" w:type="dxa"/>
            <w:vAlign w:val="bottom"/>
            <w:tcBorders>
              <w:bottom w:val="single" w:sz="8" w:color="CCECFF"/>
            </w:tcBorders>
            <w:shd w:val="clear" w:color="auto" w:fill="CCECFF"/>
          </w:tcPr>
          <w:p>
            <w:pPr>
              <w:spacing w:after="0"/>
              <w:rPr>
                <w:sz w:val="10"/>
                <w:szCs w:val="10"/>
                <w:color w:val="auto"/>
              </w:rPr>
            </w:pPr>
          </w:p>
        </w:tc>
        <w:tc>
          <w:tcPr>
            <w:tcW w:w="160" w:type="dxa"/>
            <w:vAlign w:val="bottom"/>
            <w:tcBorders>
              <w:bottom w:val="single" w:sz="8" w:color="CCECFF"/>
            </w:tcBorders>
            <w:shd w:val="clear" w:color="auto" w:fill="CCECFF"/>
          </w:tcPr>
          <w:p>
            <w:pPr>
              <w:spacing w:after="0"/>
              <w:rPr>
                <w:sz w:val="10"/>
                <w:szCs w:val="10"/>
                <w:color w:val="auto"/>
              </w:rPr>
            </w:pPr>
          </w:p>
        </w:tc>
        <w:tc>
          <w:tcPr>
            <w:tcW w:w="900" w:type="dxa"/>
            <w:vAlign w:val="bottom"/>
            <w:tcBorders>
              <w:bottom w:val="single" w:sz="8" w:color="CCECFF"/>
            </w:tcBorders>
            <w:shd w:val="clear" w:color="auto" w:fill="CCECFF"/>
          </w:tcPr>
          <w:p>
            <w:pPr>
              <w:spacing w:after="0"/>
              <w:rPr>
                <w:sz w:val="10"/>
                <w:szCs w:val="10"/>
                <w:color w:val="auto"/>
              </w:rPr>
            </w:pPr>
          </w:p>
        </w:tc>
        <w:tc>
          <w:tcPr>
            <w:tcW w:w="200" w:type="dxa"/>
            <w:vAlign w:val="bottom"/>
            <w:tcBorders>
              <w:bottom w:val="single" w:sz="8" w:color="CCECFF"/>
            </w:tcBorders>
            <w:shd w:val="clear" w:color="auto" w:fill="CCECFF"/>
          </w:tcPr>
          <w:p>
            <w:pPr>
              <w:spacing w:after="0"/>
              <w:rPr>
                <w:sz w:val="10"/>
                <w:szCs w:val="10"/>
                <w:color w:val="auto"/>
              </w:rPr>
            </w:pPr>
          </w:p>
        </w:tc>
        <w:tc>
          <w:tcPr>
            <w:tcW w:w="700" w:type="dxa"/>
            <w:vAlign w:val="bottom"/>
            <w:tcBorders>
              <w:bottom w:val="single" w:sz="8" w:color="CCECFF"/>
            </w:tcBorders>
            <w:shd w:val="clear" w:color="auto" w:fill="CCECFF"/>
          </w:tcPr>
          <w:p>
            <w:pPr>
              <w:spacing w:after="0"/>
              <w:rPr>
                <w:sz w:val="10"/>
                <w:szCs w:val="10"/>
                <w:color w:val="auto"/>
              </w:rPr>
            </w:pPr>
          </w:p>
        </w:tc>
        <w:tc>
          <w:tcPr>
            <w:tcW w:w="220" w:type="dxa"/>
            <w:vAlign w:val="bottom"/>
            <w:tcBorders>
              <w:bottom w:val="single" w:sz="8" w:color="CCECFF"/>
            </w:tcBorders>
            <w:shd w:val="clear" w:color="auto" w:fill="CCECFF"/>
          </w:tcPr>
          <w:p>
            <w:pPr>
              <w:spacing w:after="0"/>
              <w:rPr>
                <w:sz w:val="10"/>
                <w:szCs w:val="10"/>
                <w:color w:val="auto"/>
              </w:rPr>
            </w:pPr>
          </w:p>
        </w:tc>
        <w:tc>
          <w:tcPr>
            <w:tcW w:w="160" w:type="dxa"/>
            <w:vAlign w:val="bottom"/>
            <w:tcBorders>
              <w:top w:val="single" w:sz="8" w:color="auto"/>
              <w:bottom w:val="single" w:sz="8" w:color="CCECFF"/>
            </w:tcBorders>
            <w:shd w:val="clear" w:color="auto" w:fill="CCECFF"/>
          </w:tcPr>
          <w:p>
            <w:pPr>
              <w:spacing w:after="0"/>
              <w:rPr>
                <w:sz w:val="10"/>
                <w:szCs w:val="10"/>
                <w:color w:val="auto"/>
              </w:rPr>
            </w:pPr>
          </w:p>
        </w:tc>
        <w:tc>
          <w:tcPr>
            <w:tcW w:w="540" w:type="dxa"/>
            <w:vAlign w:val="bottom"/>
            <w:tcBorders>
              <w:top w:val="single" w:sz="8" w:color="auto"/>
              <w:bottom w:val="single" w:sz="8" w:color="CCECFF"/>
            </w:tcBorders>
            <w:shd w:val="clear" w:color="auto" w:fill="CCECFF"/>
          </w:tcPr>
          <w:p>
            <w:pPr>
              <w:spacing w:after="0"/>
              <w:rPr>
                <w:sz w:val="10"/>
                <w:szCs w:val="10"/>
                <w:color w:val="auto"/>
              </w:rPr>
            </w:pPr>
          </w:p>
        </w:tc>
        <w:tc>
          <w:tcPr>
            <w:tcW w:w="220" w:type="dxa"/>
            <w:vAlign w:val="bottom"/>
            <w:tcBorders>
              <w:bottom w:val="single" w:sz="8" w:color="CCECFF"/>
            </w:tcBorders>
            <w:shd w:val="clear" w:color="auto" w:fill="CCECFF"/>
          </w:tcPr>
          <w:p>
            <w:pPr>
              <w:spacing w:after="0"/>
              <w:rPr>
                <w:sz w:val="10"/>
                <w:szCs w:val="10"/>
                <w:color w:val="auto"/>
              </w:rPr>
            </w:pPr>
          </w:p>
        </w:tc>
        <w:tc>
          <w:tcPr>
            <w:tcW w:w="160" w:type="dxa"/>
            <w:vAlign w:val="bottom"/>
            <w:tcBorders>
              <w:top w:val="single" w:sz="8" w:color="auto"/>
              <w:bottom w:val="single" w:sz="8" w:color="auto"/>
            </w:tcBorders>
            <w:shd w:val="clear" w:color="auto" w:fill="CCECFF"/>
          </w:tcPr>
          <w:p>
            <w:pPr>
              <w:spacing w:after="0"/>
              <w:rPr>
                <w:sz w:val="10"/>
                <w:szCs w:val="10"/>
                <w:color w:val="auto"/>
              </w:rPr>
            </w:pPr>
          </w:p>
        </w:tc>
        <w:tc>
          <w:tcPr>
            <w:tcW w:w="540" w:type="dxa"/>
            <w:vAlign w:val="bottom"/>
            <w:tcBorders>
              <w:top w:val="single" w:sz="8" w:color="auto"/>
              <w:bottom w:val="single" w:sz="8" w:color="auto"/>
            </w:tcBorders>
            <w:shd w:val="clear" w:color="auto" w:fill="CCECFF"/>
          </w:tcPr>
          <w:p>
            <w:pPr>
              <w:jc w:val="right"/>
              <w:spacing w:after="0" w:line="116" w:lineRule="exact"/>
              <w:rPr>
                <w:sz w:val="20"/>
                <w:szCs w:val="20"/>
                <w:color w:val="auto"/>
              </w:rPr>
            </w:pPr>
            <w:r>
              <w:rPr>
                <w:rFonts w:ascii="Arial" w:cs="Arial" w:eastAsia="Arial" w:hAnsi="Arial"/>
                <w:sz w:val="11"/>
                <w:szCs w:val="11"/>
                <w:color w:val="auto"/>
              </w:rPr>
              <w:t>(640,833</w:t>
            </w:r>
          </w:p>
        </w:tc>
        <w:tc>
          <w:tcPr>
            <w:tcW w:w="100" w:type="dxa"/>
            <w:vAlign w:val="bottom"/>
            <w:tcBorders>
              <w:bottom w:val="single" w:sz="8" w:color="CCECFF"/>
            </w:tcBorders>
            <w:shd w:val="clear" w:color="auto" w:fill="CCECFF"/>
          </w:tcPr>
          <w:p>
            <w:pPr>
              <w:jc w:val="right"/>
              <w:ind w:right="22"/>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28"/>
        </w:trPr>
        <w:tc>
          <w:tcPr>
            <w:tcW w:w="3340" w:type="dxa"/>
            <w:vAlign w:val="bottom"/>
            <w:gridSpan w:val="3"/>
          </w:tcPr>
          <w:p>
            <w:pPr>
              <w:ind w:left="20"/>
              <w:spacing w:after="0"/>
              <w:rPr>
                <w:sz w:val="20"/>
                <w:szCs w:val="20"/>
                <w:color w:val="auto"/>
              </w:rPr>
            </w:pPr>
            <w:r>
              <w:rPr>
                <w:rFonts w:ascii="Arial" w:cs="Arial" w:eastAsia="Arial" w:hAnsi="Arial"/>
                <w:sz w:val="11"/>
                <w:szCs w:val="11"/>
                <w:b w:val="1"/>
                <w:bCs w:val="1"/>
                <w:color w:val="auto"/>
              </w:rPr>
              <w:t>Net Assets—100.0%</w:t>
            </w: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gridSpan w:val="2"/>
          </w:tcPr>
          <w:p>
            <w:pPr>
              <w:jc w:val="right"/>
              <w:ind w:right="26"/>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490,611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-1936750</wp:posOffset>
            </wp:positionV>
            <wp:extent cx="7132320" cy="9398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-1757045</wp:posOffset>
            </wp:positionV>
            <wp:extent cx="7132320" cy="17145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-1499870</wp:posOffset>
            </wp:positionV>
            <wp:extent cx="7132320" cy="8572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-1230630</wp:posOffset>
            </wp:positionV>
            <wp:extent cx="68580" cy="571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-1230630</wp:posOffset>
            </wp:positionV>
            <wp:extent cx="68580" cy="571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-1139825</wp:posOffset>
            </wp:positionV>
            <wp:extent cx="7132320" cy="8572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-870585</wp:posOffset>
            </wp:positionV>
            <wp:extent cx="68580" cy="571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-870585</wp:posOffset>
            </wp:positionV>
            <wp:extent cx="68580" cy="571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-681990</wp:posOffset>
            </wp:positionV>
            <wp:extent cx="68580" cy="571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-681990</wp:posOffset>
            </wp:positionV>
            <wp:extent cx="68580" cy="571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-321945</wp:posOffset>
            </wp:positionV>
            <wp:extent cx="68580" cy="571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-321945</wp:posOffset>
            </wp:positionV>
            <wp:extent cx="68580" cy="571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-116205</wp:posOffset>
            </wp:positionV>
            <wp:extent cx="68580" cy="571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522605</wp:posOffset>
            </wp:positionV>
            <wp:extent cx="171450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80" w:right="20" w:hanging="372"/>
        <w:spacing w:after="0" w:line="247" w:lineRule="auto"/>
        <w:tabs>
          <w:tab w:leader="none" w:pos="380" w:val="left"/>
        </w:tabs>
        <w:numPr>
          <w:ilvl w:val="0"/>
          <w:numId w:val="4"/>
        </w:numPr>
        <w:rPr>
          <w:rFonts w:ascii="Arial" w:cs="Arial" w:eastAsia="Arial" w:hAnsi="Arial"/>
          <w:sz w:val="13"/>
          <w:szCs w:val="13"/>
          <w:color w:val="auto"/>
          <w:vertAlign w:val="superscript"/>
        </w:rPr>
      </w:pPr>
      <w:r>
        <w:rPr>
          <w:rFonts w:ascii="Arial" w:cs="Arial" w:eastAsia="Arial" w:hAnsi="Arial"/>
          <w:sz w:val="10"/>
          <w:szCs w:val="10"/>
          <w:color w:val="auto"/>
        </w:rPr>
        <w:t>Represents floating rate instruments that accrue interest at a predetermined spread relative to an index, typically the applicable LIBOR or “L” or Prime rate, or “P.” The spread may change based on the type of rate used. The terms in the Schedule of Investments disclose the actual interest rate in effect as of the reporting period. LIBOR loans are typically indexed to a 30-day, 60-day, 90-day or 180-day LIBOR rate (1M L, 2M L, 3M L, or 6M L, respectively), at the borrower’s option. All securities are subject to a LIBOR or Prime rate floor where a spread is provided, unless noted. The spread provided includes payment-in-kind, or PIK, interest and other fee rates, if any.</w:t>
      </w:r>
    </w:p>
    <w:p>
      <w:pPr>
        <w:ind w:left="380" w:hanging="372"/>
        <w:spacing w:after="0" w:line="189" w:lineRule="auto"/>
        <w:tabs>
          <w:tab w:leader="none" w:pos="380" w:val="left"/>
        </w:tabs>
        <w:numPr>
          <w:ilvl w:val="0"/>
          <w:numId w:val="4"/>
        </w:numPr>
        <w:rPr>
          <w:rFonts w:ascii="Arial" w:cs="Arial" w:eastAsia="Arial" w:hAnsi="Arial"/>
          <w:sz w:val="16"/>
          <w:szCs w:val="16"/>
          <w:color w:val="auto"/>
          <w:vertAlign w:val="superscript"/>
        </w:rPr>
      </w:pPr>
      <w:r>
        <w:rPr>
          <w:rFonts w:ascii="Arial" w:cs="Arial" w:eastAsia="Arial" w:hAnsi="Arial"/>
          <w:sz w:val="12"/>
          <w:szCs w:val="12"/>
          <w:color w:val="auto"/>
        </w:rPr>
        <w:t>Valued based on our accounting policy (See Note 2). The value of all securities was determined using significant unobservable inputs (See Note 5).</w:t>
      </w:r>
    </w:p>
    <w:p>
      <w:pPr>
        <w:ind w:left="380" w:right="220" w:hanging="372"/>
        <w:spacing w:after="0" w:line="191" w:lineRule="auto"/>
        <w:tabs>
          <w:tab w:leader="none" w:pos="380" w:val="left"/>
        </w:tabs>
        <w:numPr>
          <w:ilvl w:val="0"/>
          <w:numId w:val="4"/>
        </w:numPr>
        <w:rPr>
          <w:rFonts w:ascii="Arial" w:cs="Arial" w:eastAsia="Arial" w:hAnsi="Arial"/>
          <w:sz w:val="16"/>
          <w:szCs w:val="16"/>
          <w:color w:val="auto"/>
          <w:vertAlign w:val="superscript"/>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ind w:left="380" w:hanging="372"/>
        <w:spacing w:after="0" w:line="193" w:lineRule="auto"/>
        <w:tabs>
          <w:tab w:leader="none" w:pos="380" w:val="left"/>
        </w:tabs>
        <w:numPr>
          <w:ilvl w:val="0"/>
          <w:numId w:val="4"/>
        </w:numPr>
        <w:rPr>
          <w:rFonts w:ascii="Arial" w:cs="Arial" w:eastAsia="Arial" w:hAnsi="Arial"/>
          <w:sz w:val="16"/>
          <w:szCs w:val="16"/>
          <w:color w:val="auto"/>
          <w:vertAlign w:val="superscript"/>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w:t>
      </w:r>
    </w:p>
    <w:p>
      <w:pPr>
        <w:ind w:left="380" w:hanging="372"/>
        <w:spacing w:after="0" w:line="189" w:lineRule="auto"/>
        <w:tabs>
          <w:tab w:leader="none" w:pos="380" w:val="left"/>
        </w:tabs>
        <w:numPr>
          <w:ilvl w:val="0"/>
          <w:numId w:val="4"/>
        </w:numPr>
        <w:rPr>
          <w:rFonts w:ascii="Arial" w:cs="Arial" w:eastAsia="Arial" w:hAnsi="Arial"/>
          <w:sz w:val="16"/>
          <w:szCs w:val="16"/>
          <w:color w:val="auto"/>
          <w:vertAlign w:val="superscript"/>
        </w:rPr>
      </w:pPr>
      <w:r>
        <w:rPr>
          <w:rFonts w:ascii="Arial" w:cs="Arial" w:eastAsia="Arial" w:hAnsi="Arial"/>
          <w:sz w:val="12"/>
          <w:szCs w:val="12"/>
          <w:color w:val="auto"/>
        </w:rPr>
        <w:t>Non-U.S. company or principal place of business outside the United States.</w:t>
      </w:r>
    </w:p>
    <w:p>
      <w:pPr>
        <w:ind w:left="380" w:hanging="372"/>
        <w:spacing w:after="0" w:line="187" w:lineRule="auto"/>
        <w:tabs>
          <w:tab w:leader="none" w:pos="380" w:val="left"/>
        </w:tabs>
        <w:numPr>
          <w:ilvl w:val="0"/>
          <w:numId w:val="4"/>
        </w:numPr>
        <w:rPr>
          <w:rFonts w:ascii="Arial" w:cs="Arial" w:eastAsia="Arial" w:hAnsi="Arial"/>
          <w:sz w:val="15"/>
          <w:szCs w:val="15"/>
          <w:color w:val="auto"/>
          <w:vertAlign w:val="superscript"/>
        </w:rPr>
      </w:pPr>
      <w:r>
        <w:rPr>
          <w:rFonts w:ascii="Arial" w:cs="Arial" w:eastAsia="Arial" w:hAnsi="Arial"/>
          <w:sz w:val="11"/>
          <w:szCs w:val="11"/>
          <w:color w:val="auto"/>
        </w:rPr>
        <w:t>Non-income producing securities.</w:t>
      </w:r>
    </w:p>
    <w:p>
      <w:pPr>
        <w:ind w:left="380" w:hanging="372"/>
        <w:spacing w:after="0" w:line="192" w:lineRule="auto"/>
        <w:tabs>
          <w:tab w:leader="none" w:pos="380" w:val="left"/>
        </w:tabs>
        <w:numPr>
          <w:ilvl w:val="0"/>
          <w:numId w:val="4"/>
        </w:numPr>
        <w:rPr>
          <w:rFonts w:ascii="Arial" w:cs="Arial" w:eastAsia="Arial" w:hAnsi="Arial"/>
          <w:sz w:val="15"/>
          <w:szCs w:val="15"/>
          <w:color w:val="auto"/>
          <w:vertAlign w:val="superscript"/>
        </w:rPr>
      </w:pPr>
      <w:r>
        <w:rPr>
          <w:rFonts w:ascii="Arial" w:cs="Arial" w:eastAsia="Arial" w:hAnsi="Arial"/>
          <w:sz w:val="11"/>
          <w:szCs w:val="11"/>
          <w:color w:val="auto"/>
        </w:rPr>
        <w:t>The securities, or a portion thereof, are not 1) pledged as collateral under the Credit Facility and held through Funding I; or, 2) securing the 2031 Asset-Backed Debt (See Note 10) and held through PennantPark CLO I, Ltd.</w:t>
      </w:r>
    </w:p>
    <w:p>
      <w:pPr>
        <w:spacing w:after="0" w:line="10" w:lineRule="exact"/>
        <w:rPr>
          <w:rFonts w:ascii="Arial" w:cs="Arial" w:eastAsia="Arial" w:hAnsi="Arial"/>
          <w:sz w:val="15"/>
          <w:szCs w:val="15"/>
          <w:color w:val="auto"/>
          <w:vertAlign w:val="superscript"/>
        </w:rPr>
      </w:pPr>
    </w:p>
    <w:p>
      <w:pPr>
        <w:ind w:left="380" w:hanging="372"/>
        <w:spacing w:after="0" w:line="187" w:lineRule="auto"/>
        <w:tabs>
          <w:tab w:leader="none" w:pos="380" w:val="left"/>
        </w:tabs>
        <w:numPr>
          <w:ilvl w:val="0"/>
          <w:numId w:val="4"/>
        </w:numPr>
        <w:rPr>
          <w:rFonts w:ascii="Arial" w:cs="Arial" w:eastAsia="Arial" w:hAnsi="Arial"/>
          <w:sz w:val="15"/>
          <w:szCs w:val="15"/>
          <w:color w:val="auto"/>
          <w:vertAlign w:val="superscript"/>
        </w:rPr>
      </w:pPr>
      <w:r>
        <w:rPr>
          <w:rFonts w:ascii="Arial" w:cs="Arial" w:eastAsia="Arial" w:hAnsi="Arial"/>
          <w:sz w:val="11"/>
          <w:szCs w:val="11"/>
          <w:color w:val="auto"/>
        </w:rPr>
        <w:t>Investment is held through our Taxable Subsidiary (See Note 1).</w:t>
      </w:r>
    </w:p>
    <w:p>
      <w:pPr>
        <w:ind w:left="380" w:hanging="372"/>
        <w:spacing w:after="0" w:line="187" w:lineRule="auto"/>
        <w:tabs>
          <w:tab w:leader="none" w:pos="380" w:val="left"/>
        </w:tabs>
        <w:numPr>
          <w:ilvl w:val="0"/>
          <w:numId w:val="4"/>
        </w:numPr>
        <w:rPr>
          <w:rFonts w:ascii="Arial" w:cs="Arial" w:eastAsia="Arial" w:hAnsi="Arial"/>
          <w:sz w:val="15"/>
          <w:szCs w:val="15"/>
          <w:color w:val="auto"/>
          <w:vertAlign w:val="superscript"/>
        </w:rPr>
      </w:pPr>
      <w:r>
        <w:rPr>
          <w:rFonts w:ascii="Arial" w:cs="Arial" w:eastAsia="Arial" w:hAnsi="Arial"/>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ind w:left="380" w:right="20" w:hanging="372"/>
        <w:spacing w:after="0" w:line="193" w:lineRule="auto"/>
        <w:tabs>
          <w:tab w:leader="none" w:pos="380" w:val="left"/>
        </w:tabs>
        <w:numPr>
          <w:ilvl w:val="0"/>
          <w:numId w:val="4"/>
        </w:numPr>
        <w:rPr>
          <w:rFonts w:ascii="Arial" w:cs="Arial" w:eastAsia="Arial" w:hAnsi="Arial"/>
          <w:sz w:val="16"/>
          <w:szCs w:val="16"/>
          <w:color w:val="auto"/>
          <w:vertAlign w:val="superscript"/>
        </w:rPr>
      </w:pPr>
      <w:r>
        <w:rPr>
          <w:rFonts w:ascii="Arial" w:cs="Arial" w:eastAsia="Arial" w:hAnsi="Arial"/>
          <w:sz w:val="12"/>
          <w:szCs w:val="12"/>
          <w:color w:val="auto"/>
        </w:rPr>
        <w:t>The investment is treated as a non-qualifying asset under Section 55(a) of the 1940 Act. Under the 1940 Act, we may not acquire any non-qualifying asset unless, at the time the acquisition is made, qualifying assets represent at least 70% of our total assets. As of September 30, 2021, qualifying assets represent 81% of our total assets and non-qualifying assets represent 19% of our total assets.</w:t>
      </w:r>
    </w:p>
    <w:p>
      <w:pPr>
        <w:ind w:left="380" w:hanging="372"/>
        <w:spacing w:after="0" w:line="187" w:lineRule="auto"/>
        <w:tabs>
          <w:tab w:leader="none" w:pos="380" w:val="left"/>
        </w:tabs>
        <w:numPr>
          <w:ilvl w:val="0"/>
          <w:numId w:val="4"/>
        </w:numPr>
        <w:rPr>
          <w:rFonts w:ascii="Arial" w:cs="Arial" w:eastAsia="Arial" w:hAnsi="Arial"/>
          <w:sz w:val="15"/>
          <w:szCs w:val="15"/>
          <w:color w:val="auto"/>
          <w:vertAlign w:val="superscript"/>
        </w:rPr>
      </w:pPr>
      <w:r>
        <w:rPr>
          <w:rFonts w:ascii="Arial" w:cs="Arial" w:eastAsia="Arial" w:hAnsi="Arial"/>
          <w:sz w:val="11"/>
          <w:szCs w:val="11"/>
          <w:color w:val="auto"/>
        </w:rPr>
        <w:t>Par amount is denominated in Canadian Dollars (C$) as denoted.</w:t>
      </w: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JUNE 30, 2022</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3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 ORGANIZATION</w:t>
      </w:r>
    </w:p>
    <w:p>
      <w:pPr>
        <w:spacing w:after="0" w:line="208" w:lineRule="exact"/>
        <w:rPr>
          <w:sz w:val="20"/>
          <w:szCs w:val="20"/>
          <w:color w:val="auto"/>
        </w:rPr>
      </w:pPr>
    </w:p>
    <w:p>
      <w:pPr>
        <w:jc w:val="both"/>
        <w:ind w:firstLine="449"/>
        <w:spacing w:after="0" w:line="257" w:lineRule="auto"/>
        <w:rPr>
          <w:sz w:val="20"/>
          <w:szCs w:val="20"/>
          <w:color w:val="auto"/>
        </w:rPr>
      </w:pPr>
      <w:r>
        <w:rPr>
          <w:rFonts w:ascii="Arial" w:cs="Arial" w:eastAsia="Arial" w:hAnsi="Arial"/>
          <w:sz w:val="14"/>
          <w:szCs w:val="14"/>
          <w:color w:val="auto"/>
        </w:rPr>
        <w:t>PennantPark Floating Rate Capital Ltd. was organized as a Maryland corporation in October 2010. We are a closed-end, externally managed, non-diversified investment company that has elected to be treated as a BDC under the 1940 Act. On April 14, 2022, listing and trading of the Company's common stock commenced on the New York Stock Exchange after the Company voluntarily withdrew the principal listing of its common stock from the Nasdaq Stock Market LLC effective at market close on April 13, 2022.</w:t>
      </w:r>
    </w:p>
    <w:p>
      <w:pPr>
        <w:spacing w:after="0" w:line="171" w:lineRule="exact"/>
        <w:rPr>
          <w:sz w:val="20"/>
          <w:szCs w:val="20"/>
          <w:color w:val="auto"/>
        </w:rPr>
      </w:pPr>
    </w:p>
    <w:p>
      <w:pPr>
        <w:jc w:val="both"/>
        <w:ind w:firstLine="449"/>
        <w:spacing w:after="0" w:line="270" w:lineRule="auto"/>
        <w:rPr>
          <w:sz w:val="20"/>
          <w:szCs w:val="20"/>
          <w:color w:val="auto"/>
        </w:rPr>
      </w:pPr>
      <w:r>
        <w:rPr>
          <w:rFonts w:ascii="Arial" w:cs="Arial" w:eastAsia="Arial" w:hAnsi="Arial"/>
          <w:sz w:val="13"/>
          <w:szCs w:val="13"/>
          <w:color w:val="auto"/>
        </w:rPr>
        <w:t>Our investment objectives are to generate both current income and capital appreciation while seeking to preserve capital. We seek to achieve our investment objective by investing primarily in Floating Rate Loans, and other investments made to U.S. middle-market private companies whose debt is rated below investment grade. Floating Rate Loans pay interest at variable rates, which are determined periodically, on the basis of a floating base lending rate such as LIBOR, with or without a floor, plus a fixed spread. Under normal market conditions, we generally expect that at least 80% of the value of our managed assets will be invested in Floating Rate Loans and other investments bearing a variable rate of interest, which may include, from time to time, variable rate derivative instruments. We generally expect that first lien secured debt will represent at least 65% of our overall portfolio. We generally expect to invest up to 35% of our overall portfolio opportunistically in other types of investments, including second lien secured debt, subordinated debt, and, to a lesser extent, equity investments.</w:t>
      </w:r>
    </w:p>
    <w:p>
      <w:pPr>
        <w:spacing w:after="0" w:line="165" w:lineRule="exact"/>
        <w:rPr>
          <w:sz w:val="20"/>
          <w:szCs w:val="20"/>
          <w:color w:val="auto"/>
        </w:rPr>
      </w:pPr>
    </w:p>
    <w:p>
      <w:pPr>
        <w:jc w:val="both"/>
        <w:ind w:firstLine="449"/>
        <w:spacing w:after="0" w:line="257" w:lineRule="auto"/>
        <w:rPr>
          <w:sz w:val="20"/>
          <w:szCs w:val="20"/>
          <w:color w:val="auto"/>
        </w:rPr>
      </w:pPr>
      <w:r>
        <w:rPr>
          <w:rFonts w:ascii="Arial" w:cs="Arial" w:eastAsia="Arial" w:hAnsi="Arial"/>
          <w:sz w:val="14"/>
          <w:szCs w:val="14"/>
          <w:color w:val="auto"/>
        </w:rPr>
        <w:t>We have entered into an investment management agreement, or the Investment Management Agreement, with the Investment Adviser, an external adviser that manages our day-to-day operations. We have also entered into an administration agreement, or the Administration Agreement, with the Administrator, which provides the administrative services necessary for us to operate.</w:t>
      </w:r>
    </w:p>
    <w:p>
      <w:pPr>
        <w:spacing w:after="0" w:line="171" w:lineRule="exact"/>
        <w:rPr>
          <w:sz w:val="20"/>
          <w:szCs w:val="20"/>
          <w:color w:val="auto"/>
        </w:rPr>
      </w:pPr>
    </w:p>
    <w:p>
      <w:pPr>
        <w:jc w:val="both"/>
        <w:ind w:firstLine="449"/>
        <w:spacing w:after="0" w:line="249" w:lineRule="auto"/>
        <w:rPr>
          <w:sz w:val="20"/>
          <w:szCs w:val="20"/>
          <w:color w:val="auto"/>
        </w:rPr>
      </w:pPr>
      <w:r>
        <w:rPr>
          <w:rFonts w:ascii="Arial" w:cs="Arial" w:eastAsia="Arial" w:hAnsi="Arial"/>
          <w:sz w:val="14"/>
          <w:szCs w:val="14"/>
          <w:color w:val="auto"/>
        </w:rPr>
        <w:t>Funding I, our wholly-owned subsidiary and a special purpose entity, was organized in Delaware as a limited liability company in May 2011. We formed Funding I in order to establish the Credit Facility. The Investment Adviser serves as the collateral manager to Funding I and has irrevocably directed that any management fee owed with respect to such services is to be paid to us so long as the Investment Adviser remains the collateral manager. This arrangement does not increase our consolidated management fee. The Credit Facility allows Funding I to borrow up to $300 million at LIBOR (or an alternative risk-free floating interest rate index) plus 225 basis points during the revolving period. The Credit Facility is secured by all of the assets held by Funding I. See Note 10.</w:t>
      </w:r>
    </w:p>
    <w:p>
      <w:pPr>
        <w:spacing w:after="0" w:line="177" w:lineRule="exact"/>
        <w:rPr>
          <w:sz w:val="20"/>
          <w:szCs w:val="20"/>
          <w:color w:val="auto"/>
        </w:rPr>
      </w:pPr>
    </w:p>
    <w:p>
      <w:pPr>
        <w:jc w:val="both"/>
        <w:ind w:firstLine="449"/>
        <w:spacing w:after="0" w:line="312" w:lineRule="auto"/>
        <w:rPr>
          <w:sz w:val="20"/>
          <w:szCs w:val="20"/>
          <w:color w:val="auto"/>
        </w:rPr>
      </w:pPr>
      <w:r>
        <w:rPr>
          <w:rFonts w:ascii="Arial" w:cs="Arial" w:eastAsia="Arial" w:hAnsi="Arial"/>
          <w:sz w:val="13"/>
          <w:szCs w:val="13"/>
          <w:color w:val="auto"/>
        </w:rPr>
        <w:t>We have formed and expect to continue to form certain taxable subsidiaries, including the Taxable Subsidiary, which are subject to tax as corporations. These taxable subsidiaries allow us to hold equity securities of certain portfolio companies treated as pass-through entities for U.S. federal income tax purposes while facilitating our ability to qualify as a RIC under the Code.</w:t>
      </w:r>
    </w:p>
    <w:p>
      <w:pPr>
        <w:spacing w:after="0" w:line="138" w:lineRule="exact"/>
        <w:rPr>
          <w:sz w:val="20"/>
          <w:szCs w:val="20"/>
          <w:color w:val="auto"/>
        </w:rPr>
      </w:pPr>
    </w:p>
    <w:p>
      <w:pPr>
        <w:jc w:val="both"/>
        <w:ind w:right="20" w:firstLine="449"/>
        <w:spacing w:after="0" w:line="273" w:lineRule="auto"/>
        <w:rPr>
          <w:sz w:val="20"/>
          <w:szCs w:val="20"/>
          <w:color w:val="auto"/>
        </w:rPr>
      </w:pPr>
      <w:r>
        <w:rPr>
          <w:rFonts w:ascii="Arial" w:cs="Arial" w:eastAsia="Arial" w:hAnsi="Arial"/>
          <w:sz w:val="14"/>
          <w:szCs w:val="14"/>
          <w:color w:val="auto"/>
        </w:rPr>
        <w:t>In May 2017, we and a subsidiary of Kemper Corporation (NYSE: KMPR), Trinity Universal Insurance Company, or Kemper, formed PSSL, an unconsolidated joint venture. PSSL invests primarily in middle-market and other corporate debt securities consistent with our strategy. PSSL was formed as a Delaware limited liability company. See Note 4.</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In connection with the issuance of the 2023 Notes, we have dual listed our common stock on the Tel Aviv Stock Exchange or TASE.</w:t>
      </w:r>
    </w:p>
    <w:p>
      <w:pPr>
        <w:spacing w:after="0" w:line="204" w:lineRule="exact"/>
        <w:rPr>
          <w:sz w:val="20"/>
          <w:szCs w:val="20"/>
          <w:color w:val="auto"/>
        </w:rPr>
      </w:pPr>
    </w:p>
    <w:p>
      <w:pPr>
        <w:jc w:val="both"/>
        <w:ind w:firstLine="449"/>
        <w:spacing w:after="0" w:line="273" w:lineRule="auto"/>
        <w:rPr>
          <w:sz w:val="20"/>
          <w:szCs w:val="20"/>
          <w:color w:val="auto"/>
        </w:rPr>
      </w:pPr>
      <w:r>
        <w:rPr>
          <w:rFonts w:ascii="Arial" w:cs="Arial" w:eastAsia="Arial" w:hAnsi="Arial"/>
          <w:sz w:val="14"/>
          <w:szCs w:val="14"/>
          <w:color w:val="auto"/>
        </w:rPr>
        <w:t>In September 2019, the Securitization Issuers completed the Debt Securitization. The 2031 Asset-Backed Debt is secured by a diversified portfolio of the Securitization Issuer consisting primarily of middle market loans and participation interests in middle market loans.</w:t>
      </w:r>
    </w:p>
    <w:p>
      <w:pPr>
        <w:spacing w:after="0" w:line="160" w:lineRule="exact"/>
        <w:rPr>
          <w:sz w:val="20"/>
          <w:szCs w:val="20"/>
          <w:color w:val="auto"/>
        </w:rPr>
      </w:pPr>
    </w:p>
    <w:p>
      <w:pPr>
        <w:jc w:val="both"/>
        <w:ind w:firstLine="449"/>
        <w:spacing w:after="0" w:line="270" w:lineRule="auto"/>
        <w:rPr>
          <w:sz w:val="20"/>
          <w:szCs w:val="20"/>
          <w:color w:val="auto"/>
        </w:rPr>
      </w:pPr>
      <w:r>
        <w:rPr>
          <w:rFonts w:ascii="Arial" w:cs="Arial" w:eastAsia="Arial" w:hAnsi="Arial"/>
          <w:sz w:val="13"/>
          <w:szCs w:val="13"/>
          <w:color w:val="auto"/>
        </w:rPr>
        <w:t>In March 2021 and in October 2021, we issued $100.0 million and $85.0 million, respectively, in aggregate principal amount of $185 million of our 2026 Notes at a public offering price per note of 99.4% and 101.5%, respectively. Interest on the 2026 Notes is paid semi-annually on April 1 and October 1 of each year, at a rate of 4.25% per year, commencing October 1, 2021. The 2026 Notes mature on April 1, 2026 and may be redeemed in whole or in part at our option subject to a make-whole premium if redeemed more than three months prior to maturity. The 2026 Notes are general, unsecured obligations and rank equal in right of payment with all existing and future senior unsecured indebtedness. The 2026 Notes are effectively subordinated to our existing and future secured indebtedness to the extent of the value of the assets securing such indebtedness and structurally subordinated to all existing and future indebtedness and other obligations of any of our subsidiaries, financing vehicles, or similar facilities. We do not intend to list the 2026 Notes on any securities exchange or automated dealer quotation system.</w:t>
      </w:r>
    </w:p>
    <w:p>
      <w:pPr>
        <w:spacing w:after="0" w:line="165" w:lineRule="exact"/>
        <w:rPr>
          <w:sz w:val="20"/>
          <w:szCs w:val="20"/>
          <w:color w:val="auto"/>
        </w:rPr>
      </w:pPr>
    </w:p>
    <w:p>
      <w:pPr>
        <w:jc w:val="both"/>
        <w:ind w:firstLine="468"/>
        <w:spacing w:after="0" w:line="252" w:lineRule="auto"/>
        <w:rPr>
          <w:sz w:val="20"/>
          <w:szCs w:val="20"/>
          <w:color w:val="auto"/>
        </w:rPr>
      </w:pPr>
      <w:r>
        <w:rPr>
          <w:rFonts w:ascii="Arial" w:cs="Arial" w:eastAsia="Arial" w:hAnsi="Arial"/>
          <w:sz w:val="14"/>
          <w:szCs w:val="14"/>
          <w:color w:val="auto"/>
        </w:rPr>
        <w:t>In April 2021, we formed PTSF, an unconsolidated limited partnership, organized as a Delaware limited liability partnership. We sold $81.4 million in investments to a wholly-owned subsidiary of PTSF in exchange for cash in the amount of $69.5 million and an $11.9 million equity interest in PTSF representing 23.08% of the total outstanding Class A Units of PTSF. We recognized $0.4 million of realized gain upon the formation of PTSF. As of June 30, 2022, our capital commitment of $15.3 million is fully funded and we hold 23.08% of the total outstanding Class A Units of PTSF and a 4.99% voting interest in the general partner which manages PTSF.</w:t>
      </w:r>
    </w:p>
    <w:p>
      <w:pPr>
        <w:spacing w:after="0" w:line="174" w:lineRule="exact"/>
        <w:rPr>
          <w:sz w:val="20"/>
          <w:szCs w:val="20"/>
          <w:color w:val="auto"/>
        </w:rPr>
      </w:pPr>
    </w:p>
    <w:p>
      <w:pPr>
        <w:jc w:val="both"/>
        <w:ind w:firstLine="383"/>
        <w:spacing w:after="0" w:line="247" w:lineRule="auto"/>
        <w:rPr>
          <w:sz w:val="20"/>
          <w:szCs w:val="20"/>
          <w:color w:val="auto"/>
        </w:rPr>
      </w:pPr>
      <w:r>
        <w:rPr>
          <w:rFonts w:ascii="Arial" w:cs="Arial" w:eastAsia="Arial" w:hAnsi="Arial"/>
          <w:sz w:val="14"/>
          <w:szCs w:val="14"/>
          <w:color w:val="auto"/>
        </w:rPr>
        <w:t>On August 20, 2021, we entered into equity distribution agreements (together, the “Equity Distribution Agreements”) with each of JMP Securities LLC and Raymond James &amp; Associates, Inc., as the sales agents, in connection with the sale of shares of our common stock, par value $0.001 per share (the “Common Stock”), with an aggregate offering price of up to $75 million under an at-the-market offering (the “ATM Program”). On May 5, 2022, we amended the Equity Distribution Agreements to update references from NASDAQ to NYSE and reflect that the agents are now represented by Kirkland &amp; Ellis LLP. The Equity Distribution Agreements, as amended, provide that we may offer and sell shares of our Common Stock from time to time through a Sales Agent in amounts and at times to be determined by us. Actual sales will depend on a variety of factors to be determined by us from time to time, including, market conditions and the trading price of our Common Stock.</w:t>
      </w:r>
    </w:p>
    <w:p>
      <w:pPr>
        <w:spacing w:after="0" w:line="180" w:lineRule="exact"/>
        <w:rPr>
          <w:sz w:val="20"/>
          <w:szCs w:val="20"/>
          <w:color w:val="auto"/>
        </w:rPr>
      </w:pPr>
    </w:p>
    <w:p>
      <w:pPr>
        <w:jc w:val="both"/>
        <w:ind w:firstLine="470"/>
        <w:spacing w:after="0" w:line="252" w:lineRule="auto"/>
        <w:rPr>
          <w:sz w:val="20"/>
          <w:szCs w:val="20"/>
          <w:color w:val="auto"/>
        </w:rPr>
      </w:pPr>
      <w:r>
        <w:rPr>
          <w:rFonts w:ascii="Arial" w:cs="Arial" w:eastAsia="Arial" w:hAnsi="Arial"/>
          <w:sz w:val="14"/>
          <w:szCs w:val="14"/>
          <w:color w:val="auto"/>
        </w:rPr>
        <w:t>During the three months ended June 30, 2022, we issued 136,072 shares of our Common Stock under the ATM Program at a weighted-average price of $13.38 per share, raising $1.8 million of gross proceeds. Net proceeds were $1.8 million after commissions to the Sales Agents on shares sold. During the nine months ended June 30, 2022, we issued 2,464,910 shares of our Common Stock under the ATM Program at a weighted-average price of $13.12 per share, raising $32.3 million of gross proceeds. Net proceeds were $31.9 million after commissions to the Sales Agents on shares sold. As of June 30, 2022, we had $41.3 million available under the ATM Program.</w:t>
      </w:r>
    </w:p>
    <w:p>
      <w:pPr>
        <w:spacing w:after="0" w:line="174" w:lineRule="exact"/>
        <w:rPr>
          <w:sz w:val="20"/>
          <w:szCs w:val="20"/>
          <w:color w:val="auto"/>
        </w:rPr>
      </w:pPr>
    </w:p>
    <w:p>
      <w:pPr>
        <w:jc w:val="both"/>
        <w:ind w:firstLine="372"/>
        <w:spacing w:after="0" w:line="257" w:lineRule="auto"/>
        <w:rPr>
          <w:sz w:val="20"/>
          <w:szCs w:val="20"/>
          <w:color w:val="auto"/>
        </w:rPr>
      </w:pPr>
      <w:r>
        <w:rPr>
          <w:rFonts w:ascii="Arial" w:cs="Arial" w:eastAsia="Arial" w:hAnsi="Arial"/>
          <w:sz w:val="14"/>
          <w:szCs w:val="14"/>
          <w:color w:val="auto"/>
        </w:rPr>
        <w:t>Since inception of the ATM Program through June 30, 2022, we have issued 2,573,564 shares of our Common Stock at a weighted-average price of $13.11, raising $33.7 million of gross proceeds. Net proceeds were $33.2 million after commissions to the Sales Agents on shares sold. We incurred $0.5 million of legal and other offering costs associated with establishing the ATM Program.</w:t>
      </w:r>
    </w:p>
    <w:p>
      <w:pPr>
        <w:spacing w:after="0" w:line="171" w:lineRule="exact"/>
        <w:rPr>
          <w:sz w:val="20"/>
          <w:szCs w:val="20"/>
          <w:color w:val="auto"/>
        </w:rPr>
      </w:pPr>
    </w:p>
    <w:p>
      <w:pPr>
        <w:jc w:val="both"/>
        <w:ind w:right="20" w:firstLine="449"/>
        <w:spacing w:after="0" w:line="273" w:lineRule="auto"/>
        <w:rPr>
          <w:sz w:val="20"/>
          <w:szCs w:val="20"/>
          <w:color w:val="auto"/>
        </w:rPr>
      </w:pPr>
      <w:r>
        <w:rPr>
          <w:rFonts w:ascii="Arial" w:cs="Arial" w:eastAsia="Arial" w:hAnsi="Arial"/>
          <w:sz w:val="14"/>
          <w:szCs w:val="14"/>
          <w:color w:val="auto"/>
        </w:rPr>
        <w:t>We are operated by a person who has claimed an exclusion from the definition of the term “commodity pool operator” under the Commodity Exchange Act of 1936, as amended, or the Commodity Exchange Act, and therefore, is not subject to registration or regulation as a commodity pool operator under the Commodity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169545</wp:posOffset>
            </wp:positionV>
            <wp:extent cx="715772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June 30, 2022</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3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 SIGNIFICANT ACCOUNTING POLICIES</w:t>
      </w:r>
    </w:p>
    <w:p>
      <w:pPr>
        <w:spacing w:after="0" w:line="208" w:lineRule="exact"/>
        <w:rPr>
          <w:sz w:val="20"/>
          <w:szCs w:val="20"/>
          <w:color w:val="auto"/>
        </w:rPr>
      </w:pPr>
    </w:p>
    <w:p>
      <w:pPr>
        <w:jc w:val="both"/>
        <w:ind w:firstLine="449"/>
        <w:spacing w:after="0" w:line="246" w:lineRule="auto"/>
        <w:rPr>
          <w:sz w:val="20"/>
          <w:szCs w:val="20"/>
          <w:color w:val="auto"/>
        </w:rPr>
      </w:pPr>
      <w:r>
        <w:rPr>
          <w:rFonts w:ascii="Arial" w:cs="Arial" w:eastAsia="Arial" w:hAnsi="Arial"/>
          <w:sz w:val="14"/>
          <w:szCs w:val="14"/>
          <w:color w:val="auto"/>
        </w:rPr>
        <w:t>The preparation of our Consolidated Financial Statements in conformity with U.S. generally accepted accounting principles, or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Changes in the economic and regulatory environment, financial markets, the credit worthiness of our portfolio companies, the novel coronavirus (“COVID-19”), and any other parameters used in determining these estimates and assumptions could cause actual results to differ from these estimates and assumptions. We may reclassify certain prior period amounts to conform to the current period presentation. We have eliminated all intercompany balances and transactions. References to the Financial Accounting Standards Board’s, or FASB’s, Accounting Standards Codification, as amended, or ASC, serve as a single source of accounting literature. Subsequent events are evaluated and disclosed as appropriate for events occurring through the date the Consolidated Financial Statements are issued.</w:t>
      </w:r>
    </w:p>
    <w:p>
      <w:pPr>
        <w:spacing w:after="0" w:line="178" w:lineRule="exact"/>
        <w:rPr>
          <w:sz w:val="20"/>
          <w:szCs w:val="20"/>
          <w:color w:val="auto"/>
        </w:rPr>
      </w:pPr>
    </w:p>
    <w:p>
      <w:pPr>
        <w:jc w:val="both"/>
        <w:ind w:firstLine="449"/>
        <w:spacing w:after="0" w:line="257" w:lineRule="auto"/>
        <w:rPr>
          <w:sz w:val="20"/>
          <w:szCs w:val="20"/>
          <w:color w:val="auto"/>
        </w:rPr>
      </w:pPr>
      <w:r>
        <w:rPr>
          <w:rFonts w:ascii="Arial" w:cs="Arial" w:eastAsia="Arial" w:hAnsi="Arial"/>
          <w:sz w:val="14"/>
          <w:szCs w:val="14"/>
          <w:color w:val="auto"/>
        </w:rPr>
        <w:t>Our Consolidated Financial Statements are prepared in accordance with GAAP, consistent with ASC Topic 946, Financial Services – Investment Companies, and pursuant to the requirements for reporting on Form 10-K/Q and Articles 6, 10 and 12 of Regulation S-X, as appropriate. In accordance with Article 6-09 of Regulation S-X, we have provided a Consolidated Statement of Changes in Net Assets in lieu of a Consolidated Statement of Changes in Stockholders’ Equity.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Our significant accounting policies consistently applied are as follows:</w:t>
      </w:r>
    </w:p>
    <w:p>
      <w:pPr>
        <w:spacing w:after="0" w:line="200" w:lineRule="exact"/>
        <w:rPr>
          <w:sz w:val="20"/>
          <w:szCs w:val="20"/>
          <w:color w:val="auto"/>
        </w:rPr>
      </w:pPr>
    </w:p>
    <w:p>
      <w:pPr>
        <w:spacing w:after="0" w:line="206"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(a) Investment Valuations</w:t>
      </w:r>
    </w:p>
    <w:p>
      <w:pPr>
        <w:spacing w:after="0" w:line="204" w:lineRule="exact"/>
        <w:rPr>
          <w:sz w:val="20"/>
          <w:szCs w:val="20"/>
          <w:color w:val="auto"/>
        </w:rPr>
      </w:pPr>
    </w:p>
    <w:p>
      <w:pPr>
        <w:jc w:val="both"/>
        <w:ind w:firstLine="449"/>
        <w:spacing w:after="0" w:line="268" w:lineRule="auto"/>
        <w:rPr>
          <w:sz w:val="20"/>
          <w:szCs w:val="20"/>
          <w:color w:val="auto"/>
        </w:rPr>
      </w:pPr>
      <w:r>
        <w:rPr>
          <w:rFonts w:ascii="Arial" w:cs="Arial" w:eastAsia="Arial" w:hAnsi="Arial"/>
          <w:sz w:val="13"/>
          <w:szCs w:val="13"/>
          <w:color w:val="auto"/>
        </w:rPr>
        <w:t>We expect that there may not be readily available market values for many of the investments, which are or will be in our portfolio, and we value such investments at fair value as determined in good faith by or under the direction of our board of directors using a documented valuation policy and a consistently applied valuation process, as described in this Report.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 See Note 5.</w:t>
      </w:r>
    </w:p>
    <w:p>
      <w:pPr>
        <w:spacing w:after="0" w:line="168" w:lineRule="exact"/>
        <w:rPr>
          <w:sz w:val="20"/>
          <w:szCs w:val="20"/>
          <w:color w:val="auto"/>
        </w:rPr>
      </w:pPr>
    </w:p>
    <w:p>
      <w:pPr>
        <w:jc w:val="both"/>
        <w:ind w:right="20" w:firstLine="449"/>
        <w:spacing w:after="0" w:line="273" w:lineRule="auto"/>
        <w:rPr>
          <w:sz w:val="20"/>
          <w:szCs w:val="20"/>
          <w:color w:val="auto"/>
        </w:rPr>
      </w:pPr>
      <w:r>
        <w:rPr>
          <w:rFonts w:ascii="Arial" w:cs="Arial" w:eastAsia="Arial" w:hAnsi="Arial"/>
          <w:sz w:val="14"/>
          <w:szCs w:val="14"/>
          <w:color w:val="auto"/>
        </w:rPr>
        <w:t>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160" w:lineRule="exact"/>
        <w:rPr>
          <w:sz w:val="20"/>
          <w:szCs w:val="20"/>
          <w:color w:val="auto"/>
        </w:rPr>
      </w:pPr>
    </w:p>
    <w:p>
      <w:pPr>
        <w:ind w:left="840" w:right="20" w:hanging="383"/>
        <w:spacing w:after="0" w:line="273" w:lineRule="auto"/>
        <w:tabs>
          <w:tab w:leader="none" w:pos="840" w:val="left"/>
        </w:tabs>
        <w:numPr>
          <w:ilvl w:val="0"/>
          <w:numId w:val="5"/>
        </w:numPr>
        <w:rPr>
          <w:rFonts w:ascii="Arial" w:cs="Arial" w:eastAsia="Arial" w:hAnsi="Arial"/>
          <w:sz w:val="14"/>
          <w:szCs w:val="14"/>
          <w:color w:val="auto"/>
        </w:rPr>
      </w:pPr>
      <w:r>
        <w:rPr>
          <w:rFonts w:ascii="Arial" w:cs="Arial" w:eastAsia="Arial" w:hAnsi="Arial"/>
          <w:sz w:val="14"/>
          <w:szCs w:val="14"/>
          <w:color w:val="auto"/>
        </w:rPr>
        <w:t>Our quarterly valuation process begins with each portfolio company or investment being initially valued by the investment professionals of our Investment Adviser responsible for the portfolio investment;</w:t>
      </w:r>
    </w:p>
    <w:p>
      <w:pPr>
        <w:spacing w:after="0" w:line="160" w:lineRule="exact"/>
        <w:rPr>
          <w:rFonts w:ascii="Arial" w:cs="Arial" w:eastAsia="Arial" w:hAnsi="Arial"/>
          <w:sz w:val="14"/>
          <w:szCs w:val="14"/>
          <w:color w:val="auto"/>
        </w:rPr>
      </w:pPr>
    </w:p>
    <w:p>
      <w:pPr>
        <w:ind w:left="840" w:hanging="383"/>
        <w:spacing w:after="0"/>
        <w:tabs>
          <w:tab w:leader="none" w:pos="840" w:val="left"/>
        </w:tabs>
        <w:numPr>
          <w:ilvl w:val="0"/>
          <w:numId w:val="5"/>
        </w:numPr>
        <w:rPr>
          <w:rFonts w:ascii="Arial" w:cs="Arial" w:eastAsia="Arial" w:hAnsi="Arial"/>
          <w:sz w:val="14"/>
          <w:szCs w:val="14"/>
          <w:color w:val="auto"/>
        </w:rPr>
      </w:pPr>
      <w:r>
        <w:rPr>
          <w:rFonts w:ascii="Arial" w:cs="Arial" w:eastAsia="Arial" w:hAnsi="Arial"/>
          <w:sz w:val="14"/>
          <w:szCs w:val="14"/>
          <w:color w:val="auto"/>
        </w:rPr>
        <w:t>Preliminary valuation conclusions are then documented and discussed with the management of the Investment Adviser;</w:t>
      </w:r>
    </w:p>
    <w:p>
      <w:pPr>
        <w:spacing w:after="0" w:line="203" w:lineRule="exact"/>
        <w:rPr>
          <w:rFonts w:ascii="Arial" w:cs="Arial" w:eastAsia="Arial" w:hAnsi="Arial"/>
          <w:sz w:val="14"/>
          <w:szCs w:val="14"/>
          <w:color w:val="auto"/>
        </w:rPr>
      </w:pPr>
    </w:p>
    <w:p>
      <w:pPr>
        <w:jc w:val="both"/>
        <w:ind w:left="840" w:hanging="383"/>
        <w:spacing w:after="0" w:line="286" w:lineRule="auto"/>
        <w:tabs>
          <w:tab w:leader="none" w:pos="840" w:val="left"/>
        </w:tabs>
        <w:numPr>
          <w:ilvl w:val="0"/>
          <w:numId w:val="5"/>
        </w:numPr>
        <w:rPr>
          <w:rFonts w:ascii="Arial" w:cs="Arial" w:eastAsia="Arial" w:hAnsi="Arial"/>
          <w:sz w:val="13"/>
          <w:szCs w:val="13"/>
          <w:color w:val="auto"/>
        </w:rPr>
      </w:pPr>
      <w:r>
        <w:rPr>
          <w:rFonts w:ascii="Arial" w:cs="Arial" w:eastAsia="Arial" w:hAnsi="Arial"/>
          <w:sz w:val="13"/>
          <w:szCs w:val="13"/>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154" w:lineRule="exact"/>
        <w:rPr>
          <w:rFonts w:ascii="Arial" w:cs="Arial" w:eastAsia="Arial" w:hAnsi="Arial"/>
          <w:sz w:val="13"/>
          <w:szCs w:val="13"/>
          <w:color w:val="auto"/>
        </w:rPr>
      </w:pPr>
    </w:p>
    <w:p>
      <w:pPr>
        <w:jc w:val="both"/>
        <w:ind w:left="840" w:hanging="383"/>
        <w:spacing w:after="0" w:line="257" w:lineRule="auto"/>
        <w:tabs>
          <w:tab w:leader="none" w:pos="84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audit committee of our board of directors reviews the preliminary valuations of our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171" w:lineRule="exact"/>
        <w:rPr>
          <w:rFonts w:ascii="Arial" w:cs="Arial" w:eastAsia="Arial" w:hAnsi="Arial"/>
          <w:sz w:val="14"/>
          <w:szCs w:val="14"/>
          <w:color w:val="auto"/>
        </w:rPr>
      </w:pPr>
    </w:p>
    <w:p>
      <w:pPr>
        <w:ind w:left="840" w:hanging="383"/>
        <w:spacing w:after="0" w:line="273" w:lineRule="auto"/>
        <w:tabs>
          <w:tab w:leader="none" w:pos="840" w:val="left"/>
        </w:tabs>
        <w:numPr>
          <w:ilvl w:val="0"/>
          <w:numId w:val="5"/>
        </w:numPr>
        <w:rPr>
          <w:rFonts w:ascii="Arial" w:cs="Arial" w:eastAsia="Arial" w:hAnsi="Arial"/>
          <w:sz w:val="14"/>
          <w:szCs w:val="14"/>
          <w:color w:val="auto"/>
        </w:rPr>
      </w:pPr>
      <w:r>
        <w:rPr>
          <w:rFonts w:ascii="Arial" w:cs="Arial" w:eastAsia="Arial" w:hAnsi="Arial"/>
          <w:sz w:val="14"/>
          <w:szCs w:val="14"/>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60" w:lineRule="exact"/>
        <w:rPr>
          <w:sz w:val="20"/>
          <w:szCs w:val="20"/>
          <w:color w:val="auto"/>
        </w:rPr>
      </w:pPr>
    </w:p>
    <w:p>
      <w:pPr>
        <w:jc w:val="both"/>
        <w:ind w:firstLine="449"/>
        <w:spacing w:after="0" w:line="277" w:lineRule="auto"/>
        <w:rPr>
          <w:sz w:val="20"/>
          <w:szCs w:val="20"/>
          <w:color w:val="auto"/>
        </w:rPr>
      </w:pPr>
      <w:r>
        <w:rPr>
          <w:rFonts w:ascii="Arial" w:cs="Arial" w:eastAsia="Arial" w:hAnsi="Arial"/>
          <w:sz w:val="13"/>
          <w:szCs w:val="13"/>
          <w:color w:val="auto"/>
        </w:rPr>
        <w:t>Our board of directors generally uses market quotations to assess the value of our investments for which market quotations are readily available. We obtain these market values from independent pricing services or at bid prices obtained from at least two brokers or dealers, if available, or otherwise from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60"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(b) Security Transactions, Revenue Recognition, and Realized/Unrealized Gains or Losses</w:t>
      </w:r>
    </w:p>
    <w:p>
      <w:pPr>
        <w:spacing w:after="0" w:line="204" w:lineRule="exact"/>
        <w:rPr>
          <w:sz w:val="20"/>
          <w:szCs w:val="20"/>
          <w:color w:val="auto"/>
        </w:rPr>
      </w:pPr>
    </w:p>
    <w:p>
      <w:pPr>
        <w:jc w:val="both"/>
        <w:ind w:firstLine="449"/>
        <w:spacing w:after="0" w:line="252" w:lineRule="auto"/>
        <w:rPr>
          <w:sz w:val="20"/>
          <w:szCs w:val="20"/>
          <w:color w:val="auto"/>
        </w:rPr>
      </w:pPr>
      <w:r>
        <w:rPr>
          <w:rFonts w:ascii="Arial" w:cs="Arial" w:eastAsia="Arial" w:hAnsi="Arial"/>
          <w:sz w:val="14"/>
          <w:szCs w:val="14"/>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prepayment penalties. Net change in unrealized appreciation or depreciation reflects the change in the fair values of our portfolio investments, the Credit Facility and the 2023 Notes during the reporting period, including any reversal of previously recorded unrealized appreciation or depreciation, when gains or losses are realized.</w:t>
      </w:r>
    </w:p>
    <w:p>
      <w:pPr>
        <w:spacing w:after="0" w:line="174" w:lineRule="exact"/>
        <w:rPr>
          <w:sz w:val="20"/>
          <w:szCs w:val="20"/>
          <w:color w:val="auto"/>
        </w:rPr>
      </w:pPr>
    </w:p>
    <w:p>
      <w:pPr>
        <w:jc w:val="both"/>
        <w:ind w:firstLine="449"/>
        <w:spacing w:after="0" w:line="267" w:lineRule="auto"/>
        <w:rPr>
          <w:sz w:val="20"/>
          <w:szCs w:val="20"/>
          <w:color w:val="auto"/>
        </w:rPr>
      </w:pPr>
      <w:r>
        <w:rPr>
          <w:rFonts w:ascii="Arial" w:cs="Arial" w:eastAsia="Arial" w:hAnsi="Arial"/>
          <w:sz w:val="13"/>
          <w:szCs w:val="13"/>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original issue discount, or OID, market discount or premium and deferred financing costs on liabilities, which we do not fair value, are capitalized and then accreted or amortized using the effective interest method as interest income or, in the case of deferred financing costs, as interest expense. We record prepayment penalties earned on loans and debt investments as income.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 Litigation settlements are accounted for in accordance with the gain contingency provisions of ASC Subtopic 450-30, Gain Contingencies, or ASC 450-30.</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June 30, 2022</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92" w:lineRule="exact"/>
        <w:rPr>
          <w:sz w:val="20"/>
          <w:szCs w:val="20"/>
          <w:color w:val="auto"/>
        </w:rPr>
      </w:pPr>
    </w:p>
    <w:p>
      <w:pPr>
        <w:jc w:val="both"/>
        <w:ind w:firstLine="449"/>
        <w:spacing w:after="0" w:line="273" w:lineRule="auto"/>
        <w:rPr>
          <w:sz w:val="20"/>
          <w:szCs w:val="20"/>
          <w:color w:val="auto"/>
        </w:rPr>
      </w:pPr>
      <w:r>
        <w:rPr>
          <w:rFonts w:ascii="Arial" w:cs="Arial" w:eastAsia="Arial" w:hAnsi="Arial"/>
          <w:sz w:val="13"/>
          <w:szCs w:val="13"/>
          <w:color w:val="auto"/>
        </w:rPr>
        <w:t>Loans are placed on non-accrual status when principal or interest payments are past due 30 days or more and/or if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 As of June 30, 2022, we had two portfolio companies on non-accrual, representing 0.9% and 0.1% of our overall portfolio on a cost and fair value basis, respectively. As of September 30, 2021, we had two portfolio companies on non-accrual, representing 2.7% and 2.6% of our overall portfolio on a cost and fair value basis, respectively.</w:t>
      </w:r>
    </w:p>
    <w:p>
      <w:pPr>
        <w:spacing w:after="0" w:line="162"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(c) Income Taxes</w:t>
      </w:r>
    </w:p>
    <w:p>
      <w:pPr>
        <w:spacing w:after="0" w:line="204" w:lineRule="exact"/>
        <w:rPr>
          <w:sz w:val="20"/>
          <w:szCs w:val="20"/>
          <w:color w:val="auto"/>
        </w:rPr>
      </w:pPr>
    </w:p>
    <w:p>
      <w:pPr>
        <w:jc w:val="both"/>
        <w:ind w:firstLine="449"/>
        <w:spacing w:after="0" w:line="270" w:lineRule="auto"/>
        <w:rPr>
          <w:sz w:val="20"/>
          <w:szCs w:val="20"/>
          <w:color w:val="auto"/>
        </w:rPr>
      </w:pPr>
      <w:r>
        <w:rPr>
          <w:rFonts w:ascii="Arial" w:cs="Arial" w:eastAsia="Arial" w:hAnsi="Arial"/>
          <w:sz w:val="13"/>
          <w:szCs w:val="13"/>
          <w:color w:val="auto"/>
        </w:rPr>
        <w:t>We have complied with the requirements of Subchapter M of the Code and have qualified to be treated as a RIC for federal income tax purposes. In this regard, we account for income taxes using the asset and liability method prescribed by ASC Topic 740, Income Taxes, or ASC 740. Under this method, income taxes are provided for amounts currently payable and for amounts deferred as tax assets and liabilities based on differences between the financial statement carrying amounts and the tax basis of existing assets and liabilities. Based upon our qualification and election to be treated as a RIC for U.S. federal income tax purposes, we typically do not incur material U.S. federal income taxes. However, we may choose to retain a portion of our calendar year income, which may result in the imposition of a federal excise tax, or we may incur taxes through our taxable subsidiaries, including the Taxable Subsidiary. For both the three and nine months ended June 30, 2022 and 2021, we recorded a provision for taxes on net investment income of $0.1 million and $0.3 million, respectively, pertaining to federal excise tax.</w:t>
      </w:r>
    </w:p>
    <w:p>
      <w:pPr>
        <w:spacing w:after="0" w:line="165" w:lineRule="exact"/>
        <w:rPr>
          <w:sz w:val="20"/>
          <w:szCs w:val="20"/>
          <w:color w:val="auto"/>
        </w:rPr>
      </w:pPr>
    </w:p>
    <w:p>
      <w:pPr>
        <w:jc w:val="both"/>
        <w:ind w:firstLine="449"/>
        <w:spacing w:after="0" w:line="247" w:lineRule="auto"/>
        <w:rPr>
          <w:sz w:val="20"/>
          <w:szCs w:val="20"/>
          <w:color w:val="auto"/>
        </w:rPr>
      </w:pPr>
      <w:r>
        <w:rPr>
          <w:rFonts w:ascii="Arial" w:cs="Arial" w:eastAsia="Arial" w:hAnsi="Arial"/>
          <w:sz w:val="14"/>
          <w:szCs w:val="14"/>
          <w:color w:val="auto"/>
        </w:rPr>
        <w:t>We recognize the effect of a tax position in our Consolidated Financial Statements in accordance with ASC 740 when it is more likely than not, based on the technical merits, that the position will be sustained upon examination by the applicable tax authority. Tax positions not considered to satisfy the “more-likely-than-not” threshold would be recorded as a tax expense or benefit. Penalties or interest, if applicable, that may be assessed relating to income taxes would be classified as other operating expenses in the financial statements. There were no tax accruals relating to uncertain tax positions and no amounts accrued for any related interest or penalties with respect to the periods presented herein. The Company’s determinations regarding ASC 740 may be subject to review and adjustment at a later date based upon factors including, but not limited to, an ongoing analysis of tax laws, regulations and interpretations thereof. Although the Company files both federal and state income tax returns, the Company’s major tax jurisdiction is federal.</w:t>
      </w:r>
    </w:p>
    <w:p>
      <w:pPr>
        <w:spacing w:after="0" w:line="180" w:lineRule="exact"/>
        <w:rPr>
          <w:sz w:val="20"/>
          <w:szCs w:val="20"/>
          <w:color w:val="auto"/>
        </w:rPr>
      </w:pPr>
    </w:p>
    <w:p>
      <w:pPr>
        <w:jc w:val="both"/>
        <w:ind w:firstLine="449"/>
        <w:spacing w:after="0" w:line="273" w:lineRule="auto"/>
        <w:rPr>
          <w:sz w:val="20"/>
          <w:szCs w:val="20"/>
          <w:color w:val="auto"/>
        </w:rPr>
      </w:pPr>
      <w:r>
        <w:rPr>
          <w:rFonts w:ascii="Arial" w:cs="Arial" w:eastAsia="Arial" w:hAnsi="Arial"/>
          <w:sz w:val="14"/>
          <w:szCs w:val="14"/>
          <w:color w:val="auto"/>
        </w:rPr>
        <w:t>PFLT Investment Holdings, LLC, a wholly-owned subsidiary of the Company (the “Taxable Subsidiary”), is subject to U.S. federal, state and local corporate income taxes. The income tax expense and related tax liabilities of the Taxable Subsidiary are reflected in the Company’s consolidated financial statements.</w:t>
      </w:r>
    </w:p>
    <w:p>
      <w:pPr>
        <w:spacing w:after="0" w:line="160" w:lineRule="exact"/>
        <w:rPr>
          <w:sz w:val="20"/>
          <w:szCs w:val="20"/>
          <w:color w:val="auto"/>
        </w:rPr>
      </w:pPr>
    </w:p>
    <w:p>
      <w:pPr>
        <w:jc w:val="both"/>
        <w:ind w:firstLine="449"/>
        <w:spacing w:after="0" w:line="246" w:lineRule="auto"/>
        <w:rPr>
          <w:sz w:val="20"/>
          <w:szCs w:val="20"/>
          <w:color w:val="auto"/>
        </w:rPr>
      </w:pPr>
      <w:r>
        <w:rPr>
          <w:rFonts w:ascii="Arial" w:cs="Arial" w:eastAsia="Arial" w:hAnsi="Arial"/>
          <w:sz w:val="14"/>
          <w:szCs w:val="14"/>
          <w:color w:val="auto"/>
        </w:rPr>
        <w:t>For the three and nine months ended June 30, 2022, the Company recognized a provision for taxes of zero and $5.3 million, respectively, on unrealized appreciation on investments by the Taxable Subsidiary. For the three and nine months ended June 30, 2021, the Company recognized a provision for taxes of zero on unrealized appreciation on investments by the Taxable Subsidiary. The provision for taxes on unrealized appreciation on investments is the result of netting (i) the expected tax liability on gains from sales of investments and (ii) the expected tax benefit from the use of losses in the current year. As of June 30, 2022 and September 30, 2021, $5.3 million and zero, respectively, was accrued as a deferred tax liability on the Consolidated Statements of Assets and Liabilities relating to unrealized gain on investments. During the three and nine months ended June 30, 2022, the Company paid zero and $1.2 million, respectively, in taxes on realized gains on the sale of investments held by the Taxable Subsidiary, resulting in a $1.2 million prepaid tax asset as of June 30, 2022 included under prepaid expenses and other assets in the consolidated statement of assets and liabilities.</w:t>
      </w:r>
    </w:p>
    <w:p>
      <w:pPr>
        <w:spacing w:after="0" w:line="181" w:lineRule="exact"/>
        <w:rPr>
          <w:sz w:val="20"/>
          <w:szCs w:val="20"/>
          <w:color w:val="auto"/>
        </w:rPr>
      </w:pPr>
    </w:p>
    <w:p>
      <w:pPr>
        <w:jc w:val="both"/>
        <w:ind w:firstLine="449"/>
        <w:spacing w:after="0" w:line="286" w:lineRule="auto"/>
        <w:rPr>
          <w:sz w:val="20"/>
          <w:szCs w:val="20"/>
          <w:color w:val="auto"/>
        </w:rPr>
      </w:pPr>
      <w:r>
        <w:rPr>
          <w:rFonts w:ascii="Arial" w:cs="Arial" w:eastAsia="Arial" w:hAnsi="Arial"/>
          <w:sz w:val="13"/>
          <w:szCs w:val="13"/>
          <w:color w:val="auto"/>
        </w:rPr>
        <w:t>Because federal income tax regulations differ from GAAP, distributions in accordance with tax regulations may differ from net investment income and net realized gains recognized for financial reporting purposes. Differences between tax regulations and GAAP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p>
    <w:p>
      <w:pPr>
        <w:spacing w:after="0" w:line="154"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(d) Distributions and Capital Transactions</w:t>
      </w:r>
    </w:p>
    <w:p>
      <w:pPr>
        <w:spacing w:after="0" w:line="204" w:lineRule="exact"/>
        <w:rPr>
          <w:sz w:val="20"/>
          <w:szCs w:val="20"/>
          <w:color w:val="auto"/>
        </w:rPr>
      </w:pPr>
    </w:p>
    <w:p>
      <w:pPr>
        <w:jc w:val="both"/>
        <w:ind w:firstLine="449"/>
        <w:spacing w:after="0" w:line="257" w:lineRule="auto"/>
        <w:rPr>
          <w:sz w:val="20"/>
          <w:szCs w:val="20"/>
          <w:color w:val="auto"/>
        </w:rPr>
      </w:pPr>
      <w:r>
        <w:rPr>
          <w:rFonts w:ascii="Arial" w:cs="Arial" w:eastAsia="Arial" w:hAnsi="Arial"/>
          <w:sz w:val="14"/>
          <w:szCs w:val="14"/>
          <w:color w:val="auto"/>
        </w:rPr>
        <w:t>Distributions to common stockholders are recorded on the ex-dividend date. The amount to be paid, if any, as a distribution is determined by the board of directors each quarter and is generally based upon the earnings estimated by management. Net realized capital gains, if any, may be distributed at least annually. The tax attributes for distributions will generally include ordinary income and capital gains but may also include certain tax-qualified dividends and/or a return of capital.</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3"/>
          <w:szCs w:val="13"/>
          <w:color w:val="auto"/>
        </w:rPr>
        <w:t>Capital transactions through offerings of our common stock are recorded when issued and offering costs are charged as a reduction of capital upon issuance of our common stock.</w:t>
      </w:r>
    </w:p>
    <w:p>
      <w:pPr>
        <w:spacing w:after="0" w:line="215" w:lineRule="exact"/>
        <w:rPr>
          <w:sz w:val="20"/>
          <w:szCs w:val="20"/>
          <w:color w:val="auto"/>
        </w:rPr>
      </w:pPr>
    </w:p>
    <w:p>
      <w:pPr>
        <w:ind w:left="460" w:hanging="197"/>
        <w:spacing w:after="0"/>
        <w:tabs>
          <w:tab w:leader="none" w:pos="460" w:val="left"/>
        </w:tabs>
        <w:numPr>
          <w:ilvl w:val="0"/>
          <w:numId w:val="6"/>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Foreign Currency Translation</w:t>
      </w:r>
    </w:p>
    <w:p>
      <w:pPr>
        <w:spacing w:after="0" w:line="203" w:lineRule="exact"/>
        <w:rPr>
          <w:rFonts w:ascii="Arial" w:cs="Arial" w:eastAsia="Arial" w:hAnsi="Arial"/>
          <w:sz w:val="14"/>
          <w:szCs w:val="14"/>
          <w:b w:val="1"/>
          <w:bCs w:val="1"/>
          <w:i w:val="1"/>
          <w:iCs w:val="1"/>
          <w:color w:val="auto"/>
        </w:rPr>
      </w:pPr>
    </w:p>
    <w:p>
      <w:pPr>
        <w:ind w:left="460"/>
        <w:spacing w:after="0"/>
        <w:rPr>
          <w:rFonts w:ascii="Arial" w:cs="Arial" w:eastAsia="Arial" w:hAnsi="Arial"/>
          <w:sz w:val="14"/>
          <w:szCs w:val="14"/>
          <w:b w:val="1"/>
          <w:bCs w:val="1"/>
          <w:i w:val="1"/>
          <w:iCs w:val="1"/>
          <w:color w:val="auto"/>
        </w:rPr>
      </w:pPr>
      <w:r>
        <w:rPr>
          <w:rFonts w:ascii="Arial" w:cs="Arial" w:eastAsia="Arial" w:hAnsi="Arial"/>
          <w:sz w:val="14"/>
          <w:szCs w:val="14"/>
          <w:color w:val="auto"/>
        </w:rPr>
        <w:t>Our books and records are maintained in U.S. dollars. Any foreign currency amounts are translated into U.S. dollars on the following basis:</w:t>
      </w:r>
    </w:p>
    <w:p>
      <w:pPr>
        <w:spacing w:after="0" w:line="203" w:lineRule="exact"/>
        <w:rPr>
          <w:rFonts w:ascii="Arial" w:cs="Arial" w:eastAsia="Arial" w:hAnsi="Arial"/>
          <w:sz w:val="14"/>
          <w:szCs w:val="14"/>
          <w:b w:val="1"/>
          <w:bCs w:val="1"/>
          <w:i w:val="1"/>
          <w:iCs w:val="1"/>
          <w:color w:val="auto"/>
        </w:rPr>
      </w:pPr>
    </w:p>
    <w:p>
      <w:pPr>
        <w:ind w:left="860" w:hanging="384"/>
        <w:spacing w:after="0"/>
        <w:tabs>
          <w:tab w:leader="none" w:pos="860" w:val="left"/>
        </w:tabs>
        <w:numPr>
          <w:ilvl w:val="1"/>
          <w:numId w:val="6"/>
        </w:numPr>
        <w:rPr>
          <w:rFonts w:ascii="Arial" w:cs="Arial" w:eastAsia="Arial" w:hAnsi="Arial"/>
          <w:sz w:val="14"/>
          <w:szCs w:val="14"/>
          <w:color w:val="auto"/>
        </w:rPr>
      </w:pPr>
      <w:r>
        <w:rPr>
          <w:rFonts w:ascii="Arial" w:cs="Arial" w:eastAsia="Arial" w:hAnsi="Arial"/>
          <w:sz w:val="14"/>
          <w:szCs w:val="14"/>
          <w:color w:val="auto"/>
        </w:rPr>
        <w:t>Fair value of investment securities, other assets and liabilities – at the exchange rates prevailing at the end of the applicable period; and</w:t>
      </w:r>
    </w:p>
    <w:p>
      <w:pPr>
        <w:spacing w:after="0" w:line="203" w:lineRule="exact"/>
        <w:rPr>
          <w:rFonts w:ascii="Arial" w:cs="Arial" w:eastAsia="Arial" w:hAnsi="Arial"/>
          <w:sz w:val="14"/>
          <w:szCs w:val="14"/>
          <w:color w:val="auto"/>
        </w:rPr>
      </w:pPr>
    </w:p>
    <w:p>
      <w:pPr>
        <w:ind w:left="860" w:hanging="384"/>
        <w:spacing w:after="0"/>
        <w:tabs>
          <w:tab w:leader="none" w:pos="860" w:val="left"/>
        </w:tabs>
        <w:numPr>
          <w:ilvl w:val="1"/>
          <w:numId w:val="6"/>
        </w:numPr>
        <w:rPr>
          <w:rFonts w:ascii="Arial" w:cs="Arial" w:eastAsia="Arial" w:hAnsi="Arial"/>
          <w:sz w:val="14"/>
          <w:szCs w:val="14"/>
          <w:color w:val="auto"/>
        </w:rPr>
      </w:pPr>
      <w:r>
        <w:rPr>
          <w:rFonts w:ascii="Arial" w:cs="Arial" w:eastAsia="Arial" w:hAnsi="Arial"/>
          <w:sz w:val="14"/>
          <w:szCs w:val="14"/>
          <w:color w:val="auto"/>
        </w:rPr>
        <w:t>Purchases and sales of investment securities, income and expenses – at the exchange rates prevailing on the respective dates of such transactions.</w:t>
      </w:r>
    </w:p>
    <w:p>
      <w:pPr>
        <w:spacing w:after="0" w:line="204" w:lineRule="exact"/>
        <w:rPr>
          <w:sz w:val="20"/>
          <w:szCs w:val="20"/>
          <w:color w:val="auto"/>
        </w:rPr>
      </w:pPr>
    </w:p>
    <w:p>
      <w:pPr>
        <w:jc w:val="both"/>
        <w:ind w:firstLine="449"/>
        <w:spacing w:after="0" w:line="257" w:lineRule="auto"/>
        <w:rPr>
          <w:sz w:val="20"/>
          <w:szCs w:val="20"/>
          <w:color w:val="auto"/>
        </w:rPr>
      </w:pPr>
      <w:r>
        <w:rPr>
          <w:rFonts w:ascii="Arial" w:cs="Arial" w:eastAsia="Arial" w:hAnsi="Arial"/>
          <w:sz w:val="14"/>
          <w:szCs w:val="14"/>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 of investments and liabilities held. Such fluctuations are included with the net realized and unrealized gain or loss from investments and liabilities.</w:t>
      </w:r>
    </w:p>
    <w:p>
      <w:pPr>
        <w:spacing w:after="0" w:line="171" w:lineRule="exact"/>
        <w:rPr>
          <w:sz w:val="20"/>
          <w:szCs w:val="20"/>
          <w:color w:val="auto"/>
        </w:rPr>
      </w:pPr>
    </w:p>
    <w:p>
      <w:pPr>
        <w:jc w:val="both"/>
        <w:ind w:firstLine="449"/>
        <w:spacing w:after="0" w:line="257" w:lineRule="auto"/>
        <w:rPr>
          <w:sz w:val="20"/>
          <w:szCs w:val="20"/>
          <w:color w:val="auto"/>
        </w:rPr>
      </w:pPr>
      <w:r>
        <w:rPr>
          <w:rFonts w:ascii="Arial" w:cs="Arial" w:eastAsia="Arial" w:hAnsi="Arial"/>
          <w:sz w:val="14"/>
          <w:szCs w:val="14"/>
          <w:color w:val="auto"/>
        </w:rPr>
        <w:t>Foreign security and currency translations may involve certain considerations and risks not typically associated with investing in U.S. companies and U.S. government securities. These risks include, but are not limited to, currency fluctuations and revaluations and future adverse political, social and economic developments, which could cause investments in foreign markets to be less liquid and prices to be more volatile than those of comparable U.S. companies or U.S. government securities.</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(f) Consolidation</w:t>
      </w:r>
    </w:p>
    <w:p>
      <w:pPr>
        <w:spacing w:after="0" w:line="204" w:lineRule="exact"/>
        <w:rPr>
          <w:sz w:val="20"/>
          <w:szCs w:val="20"/>
          <w:color w:val="auto"/>
        </w:rPr>
      </w:pPr>
    </w:p>
    <w:p>
      <w:pPr>
        <w:jc w:val="both"/>
        <w:ind w:firstLine="449"/>
        <w:spacing w:after="0" w:line="245" w:lineRule="auto"/>
        <w:rPr>
          <w:sz w:val="20"/>
          <w:szCs w:val="20"/>
          <w:color w:val="auto"/>
        </w:rPr>
      </w:pPr>
      <w:r>
        <w:rPr>
          <w:rFonts w:ascii="Arial" w:cs="Arial" w:eastAsia="Arial" w:hAnsi="Arial"/>
          <w:sz w:val="14"/>
          <w:szCs w:val="14"/>
          <w:color w:val="auto"/>
        </w:rPr>
        <w:t>As permitted under Regulation S-X and as explained by ASC paragraph 946-810-45-3, PennantPark Floating Rate Capital Ltd. will generally not consolidate its investment in a company other than an investment company wholly-owned subsidiary or a controlled operating company whose business consists of providing services to us. Accordingly, we have consolidated the results of our taxable subsidiaries, including the Taxable Subsidiary, Funding I and the Securitization Issuer in our Consolidated Financial Statements. We do not consolidate our non-controlling interest in PSSL or PTSF. See further description of our investment in PSSL in Note 4.</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June 30, 2022</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394"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(g) Asset Transfers and Servicing</w:t>
      </w:r>
    </w:p>
    <w:p>
      <w:pPr>
        <w:spacing w:after="0" w:line="204" w:lineRule="exact"/>
        <w:rPr>
          <w:sz w:val="20"/>
          <w:szCs w:val="20"/>
          <w:color w:val="auto"/>
        </w:rPr>
      </w:pPr>
    </w:p>
    <w:p>
      <w:pPr>
        <w:jc w:val="both"/>
        <w:ind w:firstLine="449"/>
        <w:spacing w:after="0" w:line="257" w:lineRule="auto"/>
        <w:rPr>
          <w:sz w:val="20"/>
          <w:szCs w:val="20"/>
          <w:color w:val="auto"/>
        </w:rPr>
      </w:pPr>
      <w:r>
        <w:rPr>
          <w:rFonts w:ascii="Arial" w:cs="Arial" w:eastAsia="Arial" w:hAnsi="Arial"/>
          <w:sz w:val="14"/>
          <w:szCs w:val="14"/>
          <w:color w:val="auto"/>
        </w:rPr>
        <w:t>Asset transfers that do not meet ASC Topic 860, Transfers and Servicing, requirements for sale accounting treatment are reflected in the Consolidated Statements of Assets and Liabilities and the Consolidated Schedules of Investments as investments. The creditors of Funding I have received a security interest in all of its assets and such assets are not intended to be available to the creditors of PennantPark Floating Rate Capital Ltd. or any of its affiliates.</w:t>
      </w:r>
    </w:p>
    <w:p>
      <w:pPr>
        <w:spacing w:after="0" w:line="171"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(h) Recent Accounting Pronouncements</w:t>
      </w:r>
    </w:p>
    <w:p>
      <w:pPr>
        <w:spacing w:after="0" w:line="204" w:lineRule="exact"/>
        <w:rPr>
          <w:sz w:val="20"/>
          <w:szCs w:val="20"/>
          <w:color w:val="auto"/>
        </w:rPr>
      </w:pPr>
    </w:p>
    <w:p>
      <w:pPr>
        <w:jc w:val="both"/>
        <w:ind w:firstLine="479"/>
        <w:spacing w:after="0" w:line="249" w:lineRule="auto"/>
        <w:rPr>
          <w:sz w:val="20"/>
          <w:szCs w:val="20"/>
          <w:color w:val="auto"/>
        </w:rPr>
      </w:pPr>
      <w:r>
        <w:rPr>
          <w:rFonts w:ascii="Arial" w:cs="Arial" w:eastAsia="Arial" w:hAnsi="Arial"/>
          <w:sz w:val="14"/>
          <w:szCs w:val="14"/>
          <w:color w:val="auto"/>
        </w:rPr>
        <w:t>In March 2020, the FASB issued Accounting Standards Update No. 2020-04, “Reference Rate Reform (Topic 848): Facilitation of the Effects of Reference Rate Reform on Financial Reporting.” The guidance provides optional expedients and exceptions for applying GAAP to contract modifications, hedging relationships and other transactions, subject to meeting certain criteria, that reference LIBOR or another reference rate expected to be discontinued because of the reference rate reform. ASU 2020-04 is effective for all entities as of March 12, 2020 through December 31, 2022. The Company is currently evaluating the impact the adoption of this new accounting standard will have on its consolidated financial statements, but the impact of the adoption is not expected to be material.</w:t>
      </w:r>
    </w:p>
    <w:p>
      <w:pPr>
        <w:spacing w:after="0" w:line="177" w:lineRule="exact"/>
        <w:rPr>
          <w:sz w:val="20"/>
          <w:szCs w:val="20"/>
          <w:color w:val="auto"/>
        </w:rPr>
      </w:pPr>
    </w:p>
    <w:p>
      <w:pPr>
        <w:jc w:val="both"/>
        <w:ind w:firstLine="449"/>
        <w:spacing w:after="0" w:line="247" w:lineRule="auto"/>
        <w:rPr>
          <w:sz w:val="20"/>
          <w:szCs w:val="20"/>
          <w:color w:val="auto"/>
        </w:rPr>
      </w:pPr>
      <w:r>
        <w:rPr>
          <w:rFonts w:ascii="Arial" w:cs="Arial" w:eastAsia="Arial" w:hAnsi="Arial"/>
          <w:sz w:val="14"/>
          <w:szCs w:val="14"/>
          <w:color w:val="auto"/>
        </w:rPr>
        <w:t>In June 2022, the FASB issued Accounting Standards Update, or ASU, 2022-03, Fair Value Measurement (Topic 820): Fair Value Measurement of Equity Securities Subject to Contractual Sale Restrictions, or ASU 2022-03, which changed the fair value measurement disclosure requirements of ASC Topic 820, Fair Value Measurements and Disclosures, or ASC 820. The amendments clarify that a contractual restriction on the sale of an equity security is not considered part of the unit of account of the equity security and, therefore, is not considered in measuring fair value. The amendments also clarify that an entity cannot, as a separate unit of account, recognize and measure a contractual sale restriction. The new guidance is effective for fiscal years beginning after December 15, 2023, including interim periods therein. Early application is permitted. The Company is currently evaluating the impact the adoption of this new accounting standard will have on its consolidated financial statements, but the impact of the adoption is not expected to be material.</w:t>
      </w:r>
    </w:p>
    <w:p>
      <w:pPr>
        <w:spacing w:after="0" w:line="176" w:lineRule="exact"/>
        <w:rPr>
          <w:sz w:val="20"/>
          <w:szCs w:val="20"/>
          <w:color w:val="auto"/>
        </w:rPr>
      </w:pPr>
    </w:p>
    <w:p>
      <w:pPr>
        <w:ind w:left="160" w:hanging="152"/>
        <w:spacing w:after="0"/>
        <w:tabs>
          <w:tab w:leader="none" w:pos="160" w:val="left"/>
        </w:tabs>
        <w:numPr>
          <w:ilvl w:val="0"/>
          <w:numId w:val="7"/>
        </w:numPr>
        <w:rPr>
          <w:rFonts w:ascii="Arial" w:cs="Arial" w:eastAsia="Arial" w:hAnsi="Arial"/>
          <w:sz w:val="14"/>
          <w:szCs w:val="14"/>
          <w:b w:val="1"/>
          <w:bCs w:val="1"/>
          <w:color w:val="auto"/>
        </w:rPr>
      </w:pPr>
      <w:r>
        <w:rPr>
          <w:rFonts w:ascii="Arial" w:cs="Arial" w:eastAsia="Arial" w:hAnsi="Arial"/>
          <w:sz w:val="14"/>
          <w:szCs w:val="14"/>
          <w:b w:val="1"/>
          <w:bCs w:val="1"/>
          <w:color w:val="auto"/>
        </w:rPr>
        <w:t>AGREEMENTS AND RELATED PARTY TRANSACTIONS</w:t>
      </w:r>
    </w:p>
    <w:p>
      <w:pPr>
        <w:spacing w:after="0" w:line="207" w:lineRule="exact"/>
        <w:rPr>
          <w:rFonts w:ascii="Arial" w:cs="Arial" w:eastAsia="Arial" w:hAnsi="Arial"/>
          <w:sz w:val="14"/>
          <w:szCs w:val="14"/>
          <w:b w:val="1"/>
          <w:bCs w:val="1"/>
          <w:color w:val="auto"/>
        </w:rPr>
      </w:pPr>
    </w:p>
    <w:p>
      <w:pPr>
        <w:ind w:left="580" w:hanging="272"/>
        <w:spacing w:after="0"/>
        <w:tabs>
          <w:tab w:leader="none" w:pos="580" w:val="left"/>
        </w:tabs>
        <w:numPr>
          <w:ilvl w:val="1"/>
          <w:numId w:val="7"/>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Investment Management Agreement</w:t>
      </w:r>
    </w:p>
    <w:p>
      <w:pPr>
        <w:spacing w:after="0" w:line="204" w:lineRule="exact"/>
        <w:rPr>
          <w:sz w:val="20"/>
          <w:szCs w:val="20"/>
          <w:color w:val="auto"/>
        </w:rPr>
      </w:pPr>
    </w:p>
    <w:p>
      <w:pPr>
        <w:jc w:val="both"/>
        <w:ind w:firstLine="449"/>
        <w:spacing w:after="0" w:line="273" w:lineRule="auto"/>
        <w:rPr>
          <w:sz w:val="20"/>
          <w:szCs w:val="20"/>
          <w:color w:val="auto"/>
        </w:rPr>
      </w:pPr>
      <w:r>
        <w:rPr>
          <w:rFonts w:ascii="Arial" w:cs="Arial" w:eastAsia="Arial" w:hAnsi="Arial"/>
          <w:sz w:val="13"/>
          <w:szCs w:val="13"/>
          <w:color w:val="auto"/>
        </w:rPr>
        <w:t>The Investment Management Agreement with the Investment Adviser was reapproved by our board of directors, including a majority of our directors who are not interested persons of us or the Investment Adviser, in February 2022. Under the Investment Management Agreement, the Investment Adviser, subject to the overall supervision of our board of directors, manages the day-to-day operations of and provides investment advisory services to us. The Investment Adviser serves as the collateral manager to Funding I and has irrevocably directed that any management fee owed with respect to such services is to be paid to the Company so long as the Investment Adviser remains the collateral manager. This arrangement does not increase our consolidated management fee. For providing these services, the Investment Adviser receives a fee from us consisting of two components— a base management fee and an incentive fee.</w:t>
      </w:r>
    </w:p>
    <w:p>
      <w:pPr>
        <w:spacing w:after="0" w:line="162"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Base Management Fee</w:t>
      </w:r>
    </w:p>
    <w:p>
      <w:pPr>
        <w:spacing w:after="0" w:line="204" w:lineRule="exact"/>
        <w:rPr>
          <w:sz w:val="20"/>
          <w:szCs w:val="20"/>
          <w:color w:val="auto"/>
        </w:rPr>
      </w:pPr>
    </w:p>
    <w:p>
      <w:pPr>
        <w:jc w:val="both"/>
        <w:ind w:firstLine="449"/>
        <w:spacing w:after="0" w:line="246" w:lineRule="auto"/>
        <w:rPr>
          <w:sz w:val="20"/>
          <w:szCs w:val="20"/>
          <w:color w:val="auto"/>
        </w:rPr>
      </w:pPr>
      <w:r>
        <w:rPr>
          <w:rFonts w:ascii="Arial" w:cs="Arial" w:eastAsia="Arial" w:hAnsi="Arial"/>
          <w:sz w:val="14"/>
          <w:szCs w:val="14"/>
          <w:color w:val="auto"/>
        </w:rPr>
        <w:t>The base management fee is calculated at an annual rate of 1.00% of our “average adjusted gross assets,” which equals our gross assets (net of U.S. Treasury Bills, temporary draws under any credit facility, cash and cash equivalents, repurchase agreements or other balance sheet transactions undertaken at the end of a fiscal quarter for purposes of preserving investment flexibility for the next quarter and unfunded commitments, if any) and is payable quarterly in arrears. The base management fee is calculated based on the average adjusted gross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For the three and nine months ended June 30, 2022, the Investment Adviser earned a base management fee of $3.1 million and $8.9 million respectively, from us. For the three and nine months ended June 30, 2021, the Investment Adviser earned a base management fee of $2.6 million and $7.9 million, respectively, from us.</w:t>
      </w:r>
    </w:p>
    <w:p>
      <w:pPr>
        <w:spacing w:after="0" w:line="165"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Incentive Fee</w:t>
      </w:r>
    </w:p>
    <w:p>
      <w:pPr>
        <w:spacing w:after="0" w:line="204"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incentive fee has two parts, as follows:</w:t>
      </w:r>
    </w:p>
    <w:p>
      <w:pPr>
        <w:spacing w:after="0" w:line="177" w:lineRule="exact"/>
        <w:rPr>
          <w:sz w:val="20"/>
          <w:szCs w:val="20"/>
          <w:color w:val="auto"/>
        </w:rPr>
      </w:pPr>
    </w:p>
    <w:p>
      <w:pPr>
        <w:jc w:val="both"/>
        <w:ind w:firstLine="449"/>
        <w:spacing w:after="0" w:line="263" w:lineRule="auto"/>
        <w:rPr>
          <w:sz w:val="20"/>
          <w:szCs w:val="20"/>
          <w:color w:val="auto"/>
        </w:rPr>
      </w:pPr>
      <w:r>
        <w:rPr>
          <w:rFonts w:ascii="Arial" w:cs="Arial" w:eastAsia="Arial" w:hAnsi="Arial"/>
          <w:sz w:val="13"/>
          <w:szCs w:val="13"/>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amendment, commitment, origination, prepayment penalties,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or amendment fees under any credit facility and distribution paid on any issued and outstanding preferred stock, but excluding the incentive fee). Pre-Incentive Fee Net Investment Income includes, in the case of investments with a deferred interest feature (such as OID, debt instruments with PIK interest and zero-coupon securities), accrued income not yet received in cash. Pre-Incentive Fee Net Investment Income does not include any realized capital gains, computed net of all realized capital losses or unrealized capital appreciation or depreciation. Pre-Incentive Fee Net Investment Income, expressed as a percentage of the value of our net assets at the end of the immediately preceding calendar quarter, is compared to the hurdle rate of 1.75% per quarter (7.00% annualized). We pay the Investment Adviser an incentive fee with respect to our Pre-Incentive Fee Net Investment Income in each calendar quarter as follows: (1) no incentive fee in any calendar quarter in which our Pre-Incentive Fee Net Investment Income does not exceed the hurdle rate of 1.75%, (2) 50% of our Pre-Incentive Fee Net Investment Income with respect to that portion of such Pre-Incentive Fee Net Investment Income, if any, that exceeds the hurdle rate but is less than 2.9167% in any calendar quarter (11.67% annualized) (we refer to this portion of our Pre-Incentive Fee Net Investment Income (which exceeds the hurdle but is less than 2.9167%) as the “catch-up,” which is meant to provide our Investment Adviser with 20% of our Pre-Incentive Fee Net Investment Income, as if a hurdle did not apply, if this net investment income exceeds 2.9167% in any calendar quarter), and (3) 20% of the amount of our Pre-Incentive Fee Net Investment Income, if any, that exceeds 2.9167% in any calendar quarter. These calculations are pro-rated for any share issuances or repurchases during the relevant quarter, if applicable. For the three and nine months ended June 30, 2022, the Investment Adviser earned $2.6 million and $8.5 million, respectively, in incentive fees on net investment income from us. For the three and nine months ended June 30, 2021, the Investment Adviser earned $1.7 million and $4.7 million, respectively, in incentive fees on net investment income from us.</w:t>
      </w:r>
    </w:p>
    <w:p>
      <w:pPr>
        <w:spacing w:after="0" w:line="160" w:lineRule="exact"/>
        <w:rPr>
          <w:sz w:val="20"/>
          <w:szCs w:val="20"/>
          <w:color w:val="auto"/>
        </w:rPr>
      </w:pPr>
    </w:p>
    <w:p>
      <w:pPr>
        <w:jc w:val="both"/>
        <w:ind w:firstLine="449"/>
        <w:spacing w:after="0" w:line="247" w:lineRule="auto"/>
        <w:rPr>
          <w:sz w:val="20"/>
          <w:szCs w:val="20"/>
          <w:color w:val="auto"/>
        </w:rPr>
      </w:pPr>
      <w:r>
        <w:rPr>
          <w:rFonts w:ascii="Arial" w:cs="Arial" w:eastAsia="Arial" w:hAnsi="Arial"/>
          <w:sz w:val="14"/>
          <w:szCs w:val="14"/>
          <w:color w:val="auto"/>
        </w:rPr>
        <w:t>The second part of the incentive fee is determined and payable in arrears as of the end of each calendar year (or upon termination of the Investment Management Agreement, as of the termination date) and equals 20%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June 30, 2022</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92" w:lineRule="exact"/>
        <w:rPr>
          <w:sz w:val="20"/>
          <w:szCs w:val="20"/>
          <w:color w:val="auto"/>
        </w:rPr>
      </w:pPr>
    </w:p>
    <w:p>
      <w:pPr>
        <w:jc w:val="both"/>
        <w:spacing w:after="0" w:line="273" w:lineRule="auto"/>
        <w:rPr>
          <w:sz w:val="20"/>
          <w:szCs w:val="20"/>
          <w:color w:val="auto"/>
        </w:rPr>
      </w:pPr>
      <w:r>
        <w:rPr>
          <w:rFonts w:ascii="Arial" w:cs="Arial" w:eastAsia="Arial" w:hAnsi="Arial"/>
          <w:sz w:val="14"/>
          <w:szCs w:val="14"/>
          <w:color w:val="auto"/>
        </w:rPr>
        <w:t>fees. For the three and nine months ended June 30, 2022 and 2021, the Investment Adviser did not accrue an incentive fee on capital gains, as calculated under the Investment Management Agreement (as described above).</w:t>
      </w:r>
    </w:p>
    <w:p>
      <w:pPr>
        <w:spacing w:after="0" w:line="160" w:lineRule="exact"/>
        <w:rPr>
          <w:sz w:val="20"/>
          <w:szCs w:val="20"/>
          <w:color w:val="auto"/>
        </w:rPr>
      </w:pPr>
    </w:p>
    <w:p>
      <w:pPr>
        <w:jc w:val="both"/>
        <w:ind w:firstLine="449"/>
        <w:spacing w:after="0" w:line="246" w:lineRule="auto"/>
        <w:rPr>
          <w:sz w:val="20"/>
          <w:szCs w:val="20"/>
          <w:color w:val="auto"/>
        </w:rPr>
      </w:pPr>
      <w:r>
        <w:rPr>
          <w:rFonts w:ascii="Arial" w:cs="Arial" w:eastAsia="Arial" w:hAnsi="Arial"/>
          <w:sz w:val="14"/>
          <w:szCs w:val="14"/>
          <w:color w:val="auto"/>
        </w:rPr>
        <w:t>Under GAAP, we are required to accrue a capital gains incentive fee based upon net realized capital gains and net unrealized capital appreciation and depreciation on investments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20% of such amount, less the aggregate amount of actual capital gains related to incentive fees paid in all prior years, if any. If such amount is negative, then there is no accrual for such year. There can be no assurance that such unrealized capital appreciation will be realized in the future. The incentive fee accrued for, but not payable, under GAAP on our unrealized and realized capital gains for the three and nine months ended June 30, 2022 and 2021, was zero.</w:t>
      </w:r>
    </w:p>
    <w:p>
      <w:pPr>
        <w:spacing w:after="0" w:line="178" w:lineRule="exact"/>
        <w:rPr>
          <w:sz w:val="20"/>
          <w:szCs w:val="20"/>
          <w:color w:val="auto"/>
        </w:rPr>
      </w:pPr>
    </w:p>
    <w:p>
      <w:pPr>
        <w:ind w:left="300"/>
        <w:spacing w:after="0"/>
        <w:rPr>
          <w:sz w:val="20"/>
          <w:szCs w:val="20"/>
          <w:color w:val="auto"/>
        </w:rPr>
      </w:pPr>
      <w:r>
        <w:rPr>
          <w:rFonts w:ascii="Arial" w:cs="Arial" w:eastAsia="Arial" w:hAnsi="Arial"/>
          <w:sz w:val="14"/>
          <w:szCs w:val="14"/>
          <w:b w:val="1"/>
          <w:bCs w:val="1"/>
          <w:i w:val="1"/>
          <w:iCs w:val="1"/>
          <w:color w:val="auto"/>
        </w:rPr>
        <w:t>(b)  Administration Agreement</w:t>
      </w:r>
    </w:p>
    <w:p>
      <w:pPr>
        <w:spacing w:after="0" w:line="204" w:lineRule="exact"/>
        <w:rPr>
          <w:sz w:val="20"/>
          <w:szCs w:val="20"/>
          <w:color w:val="auto"/>
        </w:rPr>
      </w:pPr>
    </w:p>
    <w:p>
      <w:pPr>
        <w:jc w:val="both"/>
        <w:ind w:firstLine="449"/>
        <w:spacing w:after="0" w:line="267" w:lineRule="auto"/>
        <w:rPr>
          <w:sz w:val="20"/>
          <w:szCs w:val="20"/>
          <w:color w:val="auto"/>
        </w:rPr>
      </w:pPr>
      <w:r>
        <w:rPr>
          <w:rFonts w:ascii="Arial" w:cs="Arial" w:eastAsia="Arial" w:hAnsi="Arial"/>
          <w:sz w:val="13"/>
          <w:szCs w:val="13"/>
          <w:color w:val="auto"/>
        </w:rPr>
        <w:t>The Administration Agreement with the Administrator was reapproved by our board of directors, including a majority of our directors who are not interested persons of us, in February 2022. Under the Administration Agreement, the Administrator provides administrative services and office facilities to us. For providing these services, facilities and personnel, we have agreed to reimburse the Administrator for its allocable portion of overhead and other expenses incurred by the Administrator in performing its obligations under the Administration Agreement, including rent and our allocable portion of the costs of compensation and related expenses of our Chief Compliance Officer, Chief Financial Officer, Corporate Counsel and their respective staffs. The Administrator also offers, on our behalf, significant managerial assistance to portfolio companies to which we are required to offer such assistance. Reimbursement for certain of these costs is included in administrative services expenses in the Consolidated Statements of Operations. For the three and nine months ended June 30, 2022, we reimbursed the Administrator approximately $(0.3) million and $0.6 million, respectively, including expenses the Administrator incurred for services described above. For the three and nine months ended June 30, 2021, we reimbursed the Administrator approximately $0.1 million and $0.8 million, respectively, including expenses the Administrator, for services described above.</w:t>
      </w:r>
    </w:p>
    <w:p>
      <w:pPr>
        <w:spacing w:after="0" w:line="168" w:lineRule="exact"/>
        <w:rPr>
          <w:sz w:val="20"/>
          <w:szCs w:val="20"/>
          <w:color w:val="auto"/>
        </w:rPr>
      </w:pPr>
    </w:p>
    <w:p>
      <w:pPr>
        <w:jc w:val="both"/>
        <w:ind w:firstLine="449"/>
        <w:spacing w:after="0" w:line="252" w:lineRule="auto"/>
        <w:rPr>
          <w:sz w:val="20"/>
          <w:szCs w:val="20"/>
          <w:color w:val="auto"/>
        </w:rPr>
      </w:pPr>
      <w:r>
        <w:rPr>
          <w:rFonts w:ascii="Arial" w:cs="Arial" w:eastAsia="Arial" w:hAnsi="Arial"/>
          <w:sz w:val="14"/>
          <w:szCs w:val="14"/>
          <w:color w:val="auto"/>
        </w:rPr>
        <w:t>On July 1, 2022, the Administration Agreement with the Administrator was amended to clarify that the Administrator may be reimbursed by the Company for certain (i) tax and general legal advice and/or services provided to the Company by in-house professionals of the Administrator related to ongoing operations of the Company; and (ii) transactional legal advice and/or services provided to the Company or portfolio companies by in-house professionals of the Administrator on matters related to potential or actual investments and transactions, including tax structuring and/or due diligence.</w:t>
      </w:r>
    </w:p>
    <w:p>
      <w:pPr>
        <w:spacing w:after="0" w:line="174" w:lineRule="exact"/>
        <w:rPr>
          <w:sz w:val="20"/>
          <w:szCs w:val="20"/>
          <w:color w:val="auto"/>
        </w:rPr>
      </w:pPr>
    </w:p>
    <w:p>
      <w:pPr>
        <w:ind w:left="300"/>
        <w:spacing w:after="0"/>
        <w:rPr>
          <w:sz w:val="20"/>
          <w:szCs w:val="20"/>
          <w:color w:val="auto"/>
        </w:rPr>
      </w:pPr>
      <w:r>
        <w:rPr>
          <w:rFonts w:ascii="Arial" w:cs="Arial" w:eastAsia="Arial" w:hAnsi="Arial"/>
          <w:sz w:val="14"/>
          <w:szCs w:val="14"/>
          <w:b w:val="1"/>
          <w:bCs w:val="1"/>
          <w:i w:val="1"/>
          <w:iCs w:val="1"/>
          <w:color w:val="auto"/>
        </w:rPr>
        <w:t>(c) Other Related Party Transactions</w:t>
      </w:r>
    </w:p>
    <w:p>
      <w:pPr>
        <w:spacing w:after="0" w:line="204"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There were no transactions subject to Rule 17a-7 under the 1940 Act during each of the three and nine months ended June 30, 2022 and 2021.</w:t>
      </w:r>
    </w:p>
    <w:p>
      <w:pPr>
        <w:spacing w:after="0" w:line="190" w:lineRule="exact"/>
        <w:rPr>
          <w:sz w:val="20"/>
          <w:szCs w:val="20"/>
          <w:color w:val="auto"/>
        </w:rPr>
      </w:pPr>
    </w:p>
    <w:p>
      <w:pPr>
        <w:jc w:val="both"/>
        <w:ind w:firstLine="449"/>
        <w:spacing w:after="0" w:line="257" w:lineRule="auto"/>
        <w:rPr>
          <w:sz w:val="20"/>
          <w:szCs w:val="20"/>
          <w:color w:val="auto"/>
        </w:rPr>
      </w:pPr>
      <w:r>
        <w:rPr>
          <w:rFonts w:ascii="Arial" w:cs="Arial" w:eastAsia="Arial" w:hAnsi="Arial"/>
          <w:sz w:val="14"/>
          <w:szCs w:val="14"/>
          <w:color w:val="auto"/>
        </w:rPr>
        <w:t>For the three and nine months ended June 30, 2022, we sold $16.8 million and $197.2 in investments to PSSL at fair value, respectively, and recognized $(0.1) million and $(0.6) million of net realized losses, respectively, for the same period. For the three and nine months ended June 30, 2021, we sold $98.9 million and $224.1 million in investments to PSSL at fair value, respectively, and recognized $0.3 million and $0.6 million of net realized gains, respectively.</w:t>
      </w:r>
    </w:p>
    <w:p>
      <w:pPr>
        <w:spacing w:after="0" w:line="171" w:lineRule="exact"/>
        <w:rPr>
          <w:sz w:val="20"/>
          <w:szCs w:val="20"/>
          <w:color w:val="auto"/>
        </w:rPr>
      </w:pPr>
    </w:p>
    <w:p>
      <w:pPr>
        <w:jc w:val="both"/>
        <w:ind w:firstLine="449"/>
        <w:spacing w:after="0" w:line="273" w:lineRule="auto"/>
        <w:rPr>
          <w:sz w:val="20"/>
          <w:szCs w:val="20"/>
          <w:color w:val="auto"/>
        </w:rPr>
      </w:pPr>
      <w:r>
        <w:rPr>
          <w:rFonts w:ascii="Arial" w:cs="Arial" w:eastAsia="Arial" w:hAnsi="Arial"/>
          <w:sz w:val="14"/>
          <w:szCs w:val="14"/>
          <w:color w:val="auto"/>
        </w:rPr>
        <w:t>For the three and nine months ended June 30, 2022, we sold no investments to PTSF. For the three and nine months ended June 30, 2021, we sold $81.4 Million in investments to PTSF at fair value and recognized $0.4 million of net realized gains.</w:t>
      </w:r>
    </w:p>
    <w:p>
      <w:pPr>
        <w:spacing w:after="0" w:line="3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 INVESTMENTS</w:t>
      </w:r>
    </w:p>
    <w:p>
      <w:pPr>
        <w:spacing w:after="0" w:line="208" w:lineRule="exact"/>
        <w:rPr>
          <w:sz w:val="20"/>
          <w:szCs w:val="20"/>
          <w:color w:val="auto"/>
        </w:rPr>
      </w:pPr>
    </w:p>
    <w:p>
      <w:pPr>
        <w:jc w:val="both"/>
        <w:ind w:firstLine="449"/>
        <w:spacing w:after="0" w:line="252" w:lineRule="auto"/>
        <w:rPr>
          <w:sz w:val="20"/>
          <w:szCs w:val="20"/>
          <w:color w:val="auto"/>
        </w:rPr>
      </w:pPr>
      <w:r>
        <w:rPr>
          <w:rFonts w:ascii="Arial" w:cs="Arial" w:eastAsia="Arial" w:hAnsi="Arial"/>
          <w:sz w:val="14"/>
          <w:szCs w:val="14"/>
          <w:color w:val="auto"/>
        </w:rPr>
        <w:t>Purchases of investments, including PIK interest, for the three and nine months ended June 30, 2022 totaled $105.1 million and $554.3 million, respectively. Purchases of investments, including PIK interest, for the three and nine months ended June 30, 2021 totaled $248.8 million and $478.0 million, respectively. Sales and repayments of investments for the three and nine months ended June 30, 2022 totaled $55.0 million and $397.2 million, respectively. Sales and repayments of investments for the three and nine months ended June 30, 2021 totaled $283.3 million and $565.5 million, respectively.</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Investments and cash and cash equivalents consisted of the following:</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400" w:type="dxa"/>
            <w:vAlign w:val="bottom"/>
            <w:gridSpan w:val="2"/>
          </w:tcPr>
          <w:p>
            <w:pPr>
              <w:ind w:left="20"/>
              <w:spacing w:after="0"/>
              <w:rPr>
                <w:sz w:val="20"/>
                <w:szCs w:val="20"/>
                <w:color w:val="auto"/>
              </w:rPr>
            </w:pPr>
            <w:r>
              <w:rPr>
                <w:rFonts w:ascii="Arial" w:cs="Arial" w:eastAsia="Arial" w:hAnsi="Arial"/>
                <w:sz w:val="14"/>
                <w:szCs w:val="14"/>
                <w:b w:val="1"/>
                <w:bCs w:val="1"/>
                <w:color w:val="auto"/>
              </w:rPr>
              <w:t>($ in thousands)</w:t>
            </w:r>
          </w:p>
        </w:tc>
        <w:tc>
          <w:tcPr>
            <w:tcW w:w="3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June 30, 2022</w:t>
            </w:r>
          </w:p>
        </w:tc>
        <w:tc>
          <w:tcPr>
            <w:tcW w:w="114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928"/>
              <w:spacing w:after="0"/>
              <w:rPr>
                <w:sz w:val="20"/>
                <w:szCs w:val="20"/>
                <w:color w:val="auto"/>
              </w:rPr>
            </w:pPr>
            <w:r>
              <w:rPr>
                <w:rFonts w:ascii="Arial" w:cs="Arial" w:eastAsia="Arial" w:hAnsi="Arial"/>
                <w:sz w:val="14"/>
                <w:szCs w:val="14"/>
                <w:b w:val="1"/>
                <w:bCs w:val="1"/>
                <w:color w:val="auto"/>
              </w:rPr>
              <w:t>September 30, 2021</w:t>
            </w:r>
          </w:p>
        </w:tc>
        <w:tc>
          <w:tcPr>
            <w:tcW w:w="100" w:type="dxa"/>
            <w:vAlign w:val="bottom"/>
          </w:tcPr>
          <w:p>
            <w:pPr>
              <w:spacing w:after="0"/>
              <w:rPr>
                <w:sz w:val="16"/>
                <w:szCs w:val="16"/>
                <w:color w:val="auto"/>
              </w:rPr>
            </w:pPr>
          </w:p>
        </w:tc>
      </w:tr>
      <w:tr>
        <w:trPr>
          <w:trHeight w:val="169"/>
        </w:trPr>
        <w:tc>
          <w:tcPr>
            <w:tcW w:w="4400" w:type="dxa"/>
            <w:vAlign w:val="bottom"/>
            <w:gridSpan w:val="2"/>
          </w:tcPr>
          <w:p>
            <w:pPr>
              <w:ind w:left="20"/>
              <w:spacing w:after="0"/>
              <w:rPr>
                <w:sz w:val="20"/>
                <w:szCs w:val="20"/>
                <w:color w:val="auto"/>
              </w:rPr>
            </w:pPr>
            <w:r>
              <w:rPr>
                <w:rFonts w:ascii="Arial" w:cs="Arial" w:eastAsia="Arial" w:hAnsi="Arial"/>
                <w:sz w:val="14"/>
                <w:szCs w:val="14"/>
                <w:b w:val="1"/>
                <w:bCs w:val="1"/>
                <w:color w:val="auto"/>
              </w:rPr>
              <w:t>Investment Classification</w:t>
            </w:r>
          </w:p>
        </w:tc>
        <w:tc>
          <w:tcPr>
            <w:tcW w:w="340" w:type="dxa"/>
            <w:vAlign w:val="bottom"/>
          </w:tcPr>
          <w:p>
            <w:pPr>
              <w:spacing w:after="0"/>
              <w:rPr>
                <w:sz w:val="14"/>
                <w:szCs w:val="14"/>
                <w:color w:val="auto"/>
              </w:rPr>
            </w:pPr>
          </w:p>
        </w:tc>
        <w:tc>
          <w:tcPr>
            <w:tcW w:w="1120" w:type="dxa"/>
            <w:vAlign w:val="bottom"/>
          </w:tcPr>
          <w:p>
            <w:pPr>
              <w:jc w:val="right"/>
              <w:ind w:right="528"/>
              <w:spacing w:after="0"/>
              <w:rPr>
                <w:sz w:val="20"/>
                <w:szCs w:val="20"/>
                <w:color w:val="auto"/>
              </w:rPr>
            </w:pPr>
            <w:r>
              <w:rPr>
                <w:rFonts w:ascii="Arial" w:cs="Arial" w:eastAsia="Arial" w:hAnsi="Arial"/>
                <w:sz w:val="14"/>
                <w:szCs w:val="14"/>
                <w:b w:val="1"/>
                <w:bCs w:val="1"/>
                <w:color w:val="auto"/>
              </w:rPr>
              <w:t>Cost</w:t>
            </w: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ind w:right="368"/>
              <w:spacing w:after="0"/>
              <w:rPr>
                <w:sz w:val="20"/>
                <w:szCs w:val="20"/>
                <w:color w:val="auto"/>
              </w:rPr>
            </w:pPr>
            <w:r>
              <w:rPr>
                <w:rFonts w:ascii="Arial" w:cs="Arial" w:eastAsia="Arial" w:hAnsi="Arial"/>
                <w:sz w:val="14"/>
                <w:szCs w:val="14"/>
                <w:b w:val="1"/>
                <w:bCs w:val="1"/>
                <w:color w:val="auto"/>
              </w:rPr>
              <w:t>Fair Value</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ind w:right="508"/>
              <w:spacing w:after="0"/>
              <w:rPr>
                <w:sz w:val="20"/>
                <w:szCs w:val="20"/>
                <w:color w:val="auto"/>
              </w:rPr>
            </w:pPr>
            <w:r>
              <w:rPr>
                <w:rFonts w:ascii="Arial" w:cs="Arial" w:eastAsia="Arial" w:hAnsi="Arial"/>
                <w:sz w:val="14"/>
                <w:szCs w:val="14"/>
                <w:b w:val="1"/>
                <w:bCs w:val="1"/>
                <w:color w:val="auto"/>
              </w:rPr>
              <w:t>Cost</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jc w:val="right"/>
              <w:ind w:right="368"/>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4"/>
                <w:szCs w:val="14"/>
                <w:color w:val="auto"/>
              </w:rPr>
            </w:pPr>
          </w:p>
        </w:tc>
      </w:tr>
      <w:tr>
        <w:trPr>
          <w:trHeight w:val="169"/>
        </w:trPr>
        <w:tc>
          <w:tcPr>
            <w:tcW w:w="4220" w:type="dxa"/>
            <w:vAlign w:val="bottom"/>
            <w:tcBorders>
              <w:top w:val="single" w:sz="8" w:color="auto"/>
            </w:tcBorders>
            <w:shd w:val="clear" w:color="auto" w:fill="CCECFF"/>
          </w:tcPr>
          <w:p>
            <w:pPr>
              <w:ind w:left="20"/>
              <w:spacing w:after="0"/>
              <w:rPr>
                <w:sz w:val="20"/>
                <w:szCs w:val="20"/>
                <w:color w:val="auto"/>
              </w:rPr>
            </w:pPr>
            <w:r>
              <w:rPr>
                <w:rFonts w:ascii="Arial" w:cs="Arial" w:eastAsia="Arial" w:hAnsi="Arial"/>
                <w:sz w:val="14"/>
                <w:szCs w:val="14"/>
                <w:color w:val="auto"/>
              </w:rPr>
              <w:t>First lien</w:t>
            </w:r>
          </w:p>
        </w:tc>
        <w:tc>
          <w:tcPr>
            <w:tcW w:w="180" w:type="dxa"/>
            <w:vAlign w:val="bottom"/>
            <w:shd w:val="clear" w:color="auto" w:fill="CCECFF"/>
          </w:tcPr>
          <w:p>
            <w:pPr>
              <w:spacing w:after="0"/>
              <w:rPr>
                <w:sz w:val="14"/>
                <w:szCs w:val="14"/>
                <w:color w:val="auto"/>
              </w:rPr>
            </w:pPr>
          </w:p>
        </w:tc>
        <w:tc>
          <w:tcPr>
            <w:tcW w:w="340" w:type="dxa"/>
            <w:vAlign w:val="bottom"/>
            <w:tcBorders>
              <w:top w:val="single" w:sz="8" w:color="auto"/>
            </w:tcBorders>
            <w:shd w:val="clear" w:color="auto" w:fill="CCECFF"/>
          </w:tcPr>
          <w:p>
            <w:pPr>
              <w:jc w:val="right"/>
              <w:ind w:right="188"/>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881,473</w:t>
            </w:r>
          </w:p>
        </w:tc>
        <w:tc>
          <w:tcPr>
            <w:tcW w:w="300" w:type="dxa"/>
            <w:vAlign w:val="bottom"/>
            <w:shd w:val="clear" w:color="auto" w:fill="CCECFF"/>
          </w:tcPr>
          <w:p>
            <w:pPr>
              <w:spacing w:after="0"/>
              <w:rPr>
                <w:sz w:val="14"/>
                <w:szCs w:val="14"/>
                <w:color w:val="auto"/>
              </w:rPr>
            </w:pPr>
          </w:p>
        </w:tc>
        <w:tc>
          <w:tcPr>
            <w:tcW w:w="360" w:type="dxa"/>
            <w:vAlign w:val="bottom"/>
            <w:tcBorders>
              <w:top w:val="single" w:sz="8" w:color="auto"/>
            </w:tcBorders>
            <w:shd w:val="clear" w:color="auto" w:fill="CCECFF"/>
          </w:tcPr>
          <w:p>
            <w:pPr>
              <w:jc w:val="right"/>
              <w:ind w:right="208"/>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872,201</w:t>
            </w:r>
          </w:p>
        </w:tc>
        <w:tc>
          <w:tcPr>
            <w:tcW w:w="280" w:type="dxa"/>
            <w:vAlign w:val="bottom"/>
            <w:shd w:val="clear" w:color="auto" w:fill="CCECFF"/>
          </w:tcPr>
          <w:p>
            <w:pPr>
              <w:spacing w:after="0"/>
              <w:rPr>
                <w:sz w:val="14"/>
                <w:szCs w:val="14"/>
                <w:color w:val="auto"/>
              </w:rPr>
            </w:pPr>
          </w:p>
        </w:tc>
        <w:tc>
          <w:tcPr>
            <w:tcW w:w="320" w:type="dxa"/>
            <w:vAlign w:val="bottom"/>
            <w:tcBorders>
              <w:top w:val="single" w:sz="8" w:color="auto"/>
            </w:tcBorders>
            <w:shd w:val="clear" w:color="auto" w:fill="CCECFF"/>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795,263</w:t>
            </w:r>
          </w:p>
        </w:tc>
        <w:tc>
          <w:tcPr>
            <w:tcW w:w="280" w:type="dxa"/>
            <w:vAlign w:val="bottom"/>
            <w:shd w:val="clear" w:color="auto" w:fill="CCECFF"/>
          </w:tcPr>
          <w:p>
            <w:pPr>
              <w:spacing w:after="0"/>
              <w:rPr>
                <w:sz w:val="14"/>
                <w:szCs w:val="14"/>
                <w:color w:val="auto"/>
              </w:rPr>
            </w:pPr>
          </w:p>
        </w:tc>
        <w:tc>
          <w:tcPr>
            <w:tcW w:w="240" w:type="dxa"/>
            <w:vAlign w:val="bottom"/>
            <w:tcBorders>
              <w:top w:val="single" w:sz="8" w:color="auto"/>
            </w:tcBorders>
            <w:shd w:val="clear" w:color="auto" w:fill="CCECFF"/>
          </w:tcPr>
          <w:p>
            <w:pPr>
              <w:jc w:val="right"/>
              <w:ind w:right="88"/>
              <w:spacing w:after="0"/>
              <w:rPr>
                <w:sz w:val="20"/>
                <w:szCs w:val="20"/>
                <w:color w:val="auto"/>
              </w:rPr>
            </w:pPr>
            <w:r>
              <w:rPr>
                <w:rFonts w:ascii="Arial" w:cs="Arial" w:eastAsia="Arial" w:hAnsi="Arial"/>
                <w:sz w:val="14"/>
                <w:szCs w:val="14"/>
                <w:color w:val="auto"/>
                <w:w w:val="76"/>
              </w:rPr>
              <w:t>$</w:t>
            </w:r>
          </w:p>
        </w:tc>
        <w:tc>
          <w:tcPr>
            <w:tcW w:w="126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793,543</w:t>
            </w:r>
          </w:p>
        </w:tc>
        <w:tc>
          <w:tcPr>
            <w:tcW w:w="100" w:type="dxa"/>
            <w:vAlign w:val="bottom"/>
            <w:shd w:val="clear" w:color="auto" w:fill="CCECFF"/>
          </w:tcPr>
          <w:p>
            <w:pPr>
              <w:spacing w:after="0"/>
              <w:rPr>
                <w:sz w:val="14"/>
                <w:szCs w:val="14"/>
                <w:color w:val="auto"/>
              </w:rPr>
            </w:pPr>
          </w:p>
        </w:tc>
      </w:tr>
      <w:tr>
        <w:trPr>
          <w:trHeight w:val="175"/>
        </w:trPr>
        <w:tc>
          <w:tcPr>
            <w:tcW w:w="4400" w:type="dxa"/>
            <w:vAlign w:val="bottom"/>
            <w:gridSpan w:val="2"/>
          </w:tcPr>
          <w:p>
            <w:pPr>
              <w:ind w:left="20"/>
              <w:spacing w:after="0"/>
              <w:rPr>
                <w:sz w:val="20"/>
                <w:szCs w:val="20"/>
                <w:color w:val="auto"/>
              </w:rPr>
            </w:pPr>
            <w:r>
              <w:rPr>
                <w:rFonts w:ascii="Arial" w:cs="Arial" w:eastAsia="Arial" w:hAnsi="Arial"/>
                <w:sz w:val="14"/>
                <w:szCs w:val="14"/>
                <w:color w:val="auto"/>
              </w:rPr>
              <w:t>First lien in PSSL</w:t>
            </w: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190,181</w:t>
            </w: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190,181</w:t>
            </w: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140,875</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140,875</w:t>
            </w:r>
          </w:p>
        </w:tc>
        <w:tc>
          <w:tcPr>
            <w:tcW w:w="100" w:type="dxa"/>
            <w:vAlign w:val="bottom"/>
          </w:tcPr>
          <w:p>
            <w:pPr>
              <w:spacing w:after="0"/>
              <w:rPr>
                <w:sz w:val="15"/>
                <w:szCs w:val="15"/>
                <w:color w:val="auto"/>
              </w:rPr>
            </w:pPr>
          </w:p>
        </w:tc>
      </w:tr>
      <w:tr>
        <w:trPr>
          <w:trHeight w:val="175"/>
        </w:trPr>
        <w:tc>
          <w:tcPr>
            <w:tcW w:w="4400" w:type="dxa"/>
            <w:vAlign w:val="bottom"/>
            <w:gridSpan w:val="2"/>
            <w:shd w:val="clear" w:color="auto" w:fill="CCECFF"/>
          </w:tcPr>
          <w:p>
            <w:pPr>
              <w:ind w:left="20"/>
              <w:spacing w:after="0"/>
              <w:rPr>
                <w:sz w:val="20"/>
                <w:szCs w:val="20"/>
                <w:color w:val="auto"/>
              </w:rPr>
            </w:pPr>
            <w:r>
              <w:rPr>
                <w:rFonts w:ascii="Arial" w:cs="Arial" w:eastAsia="Arial" w:hAnsi="Arial"/>
                <w:sz w:val="14"/>
                <w:szCs w:val="14"/>
                <w:color w:val="auto"/>
              </w:rPr>
              <w:t>Second lien</w:t>
            </w:r>
          </w:p>
        </w:tc>
        <w:tc>
          <w:tcPr>
            <w:tcW w:w="340" w:type="dxa"/>
            <w:vAlign w:val="bottom"/>
            <w:shd w:val="clear" w:color="auto" w:fill="CCECFF"/>
          </w:tcPr>
          <w:p>
            <w:pPr>
              <w:spacing w:after="0"/>
              <w:rPr>
                <w:sz w:val="15"/>
                <w:szCs w:val="15"/>
                <w:color w:val="auto"/>
              </w:rPr>
            </w:pPr>
          </w:p>
        </w:tc>
        <w:tc>
          <w:tcPr>
            <w:tcW w:w="11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1,113</w:t>
            </w:r>
          </w:p>
        </w:tc>
        <w:tc>
          <w:tcPr>
            <w:tcW w:w="300" w:type="dxa"/>
            <w:vAlign w:val="bottom"/>
            <w:shd w:val="clear" w:color="auto" w:fill="CCECFF"/>
          </w:tcPr>
          <w:p>
            <w:pPr>
              <w:spacing w:after="0"/>
              <w:rPr>
                <w:sz w:val="15"/>
                <w:szCs w:val="15"/>
                <w:color w:val="auto"/>
              </w:rPr>
            </w:pPr>
          </w:p>
        </w:tc>
        <w:tc>
          <w:tcPr>
            <w:tcW w:w="360" w:type="dxa"/>
            <w:vAlign w:val="bottom"/>
            <w:shd w:val="clear" w:color="auto" w:fill="CCECFF"/>
          </w:tcPr>
          <w:p>
            <w:pPr>
              <w:spacing w:after="0"/>
              <w:rPr>
                <w:sz w:val="15"/>
                <w:szCs w:val="15"/>
                <w:color w:val="auto"/>
              </w:rPr>
            </w:pPr>
          </w:p>
        </w:tc>
        <w:tc>
          <w:tcPr>
            <w:tcW w:w="1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661</w:t>
            </w:r>
          </w:p>
        </w:tc>
        <w:tc>
          <w:tcPr>
            <w:tcW w:w="280" w:type="dxa"/>
            <w:vAlign w:val="bottom"/>
            <w:shd w:val="clear" w:color="auto" w:fill="CCECFF"/>
          </w:tcPr>
          <w:p>
            <w:pPr>
              <w:spacing w:after="0"/>
              <w:rPr>
                <w:sz w:val="15"/>
                <w:szCs w:val="15"/>
                <w:color w:val="auto"/>
              </w:rPr>
            </w:pPr>
          </w:p>
        </w:tc>
        <w:tc>
          <w:tcPr>
            <w:tcW w:w="320" w:type="dxa"/>
            <w:vAlign w:val="bottom"/>
            <w:shd w:val="clear" w:color="auto" w:fill="CCECFF"/>
          </w:tcPr>
          <w:p>
            <w:pPr>
              <w:spacing w:after="0"/>
              <w:rPr>
                <w:sz w:val="15"/>
                <w:szCs w:val="15"/>
                <w:color w:val="auto"/>
              </w:rPr>
            </w:pPr>
          </w:p>
        </w:tc>
        <w:tc>
          <w:tcPr>
            <w:tcW w:w="11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8,937</w:t>
            </w:r>
          </w:p>
        </w:tc>
        <w:tc>
          <w:tcPr>
            <w:tcW w:w="28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12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8,949</w:t>
            </w:r>
          </w:p>
        </w:tc>
        <w:tc>
          <w:tcPr>
            <w:tcW w:w="100" w:type="dxa"/>
            <w:vAlign w:val="bottom"/>
            <w:shd w:val="clear" w:color="auto" w:fill="CCECFF"/>
          </w:tcPr>
          <w:p>
            <w:pPr>
              <w:spacing w:after="0"/>
              <w:rPr>
                <w:sz w:val="15"/>
                <w:szCs w:val="15"/>
                <w:color w:val="auto"/>
              </w:rPr>
            </w:pPr>
          </w:p>
        </w:tc>
      </w:tr>
      <w:tr>
        <w:trPr>
          <w:trHeight w:val="176"/>
        </w:trPr>
        <w:tc>
          <w:tcPr>
            <w:tcW w:w="4400" w:type="dxa"/>
            <w:vAlign w:val="bottom"/>
            <w:gridSpan w:val="2"/>
          </w:tcPr>
          <w:p>
            <w:pPr>
              <w:ind w:left="20"/>
              <w:spacing w:after="0"/>
              <w:rPr>
                <w:sz w:val="20"/>
                <w:szCs w:val="20"/>
                <w:color w:val="auto"/>
              </w:rPr>
            </w:pPr>
            <w:r>
              <w:rPr>
                <w:rFonts w:ascii="Arial" w:cs="Arial" w:eastAsia="Arial" w:hAnsi="Arial"/>
                <w:sz w:val="14"/>
                <w:szCs w:val="14"/>
                <w:color w:val="auto"/>
              </w:rPr>
              <w:t>Equity</w:t>
            </w: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64,429</w:t>
            </w: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104,644</w:t>
            </w: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65,186</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93,396</w:t>
            </w:r>
          </w:p>
        </w:tc>
        <w:tc>
          <w:tcPr>
            <w:tcW w:w="100" w:type="dxa"/>
            <w:vAlign w:val="bottom"/>
          </w:tcPr>
          <w:p>
            <w:pPr>
              <w:spacing w:after="0"/>
              <w:rPr>
                <w:sz w:val="15"/>
                <w:szCs w:val="15"/>
                <w:color w:val="auto"/>
              </w:rPr>
            </w:pPr>
          </w:p>
        </w:tc>
      </w:tr>
      <w:tr>
        <w:trPr>
          <w:trHeight w:val="175"/>
        </w:trPr>
        <w:tc>
          <w:tcPr>
            <w:tcW w:w="4400" w:type="dxa"/>
            <w:vAlign w:val="bottom"/>
            <w:tcBorders>
              <w:bottom w:val="single" w:sz="8" w:color="CCECFF"/>
            </w:tcBorders>
            <w:gridSpan w:val="2"/>
            <w:shd w:val="clear" w:color="auto" w:fill="CCECFF"/>
          </w:tcPr>
          <w:p>
            <w:pPr>
              <w:ind w:left="20"/>
              <w:spacing w:after="0"/>
              <w:rPr>
                <w:sz w:val="20"/>
                <w:szCs w:val="20"/>
                <w:color w:val="auto"/>
              </w:rPr>
            </w:pPr>
            <w:r>
              <w:rPr>
                <w:rFonts w:ascii="Arial" w:cs="Arial" w:eastAsia="Arial" w:hAnsi="Arial"/>
                <w:sz w:val="14"/>
                <w:szCs w:val="14"/>
                <w:color w:val="auto"/>
              </w:rPr>
              <w:t>Equity interests in PSSL</w:t>
            </w:r>
          </w:p>
        </w:tc>
        <w:tc>
          <w:tcPr>
            <w:tcW w:w="340" w:type="dxa"/>
            <w:vAlign w:val="bottom"/>
            <w:tcBorders>
              <w:bottom w:val="single" w:sz="8" w:color="auto"/>
            </w:tcBorders>
            <w:shd w:val="clear" w:color="auto" w:fill="CCECFF"/>
          </w:tcPr>
          <w:p>
            <w:pPr>
              <w:spacing w:after="0"/>
              <w:rPr>
                <w:sz w:val="15"/>
                <w:szCs w:val="15"/>
                <w:color w:val="auto"/>
              </w:rPr>
            </w:pPr>
          </w:p>
        </w:tc>
        <w:tc>
          <w:tcPr>
            <w:tcW w:w="11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81,506</w:t>
            </w:r>
          </w:p>
        </w:tc>
        <w:tc>
          <w:tcPr>
            <w:tcW w:w="300" w:type="dxa"/>
            <w:vAlign w:val="bottom"/>
            <w:tcBorders>
              <w:bottom w:val="single" w:sz="8" w:color="CCECFF"/>
            </w:tcBorders>
            <w:shd w:val="clear" w:color="auto" w:fill="CCECFF"/>
          </w:tcPr>
          <w:p>
            <w:pPr>
              <w:spacing w:after="0"/>
              <w:rPr>
                <w:sz w:val="15"/>
                <w:szCs w:val="15"/>
                <w:color w:val="auto"/>
              </w:rPr>
            </w:pPr>
          </w:p>
        </w:tc>
        <w:tc>
          <w:tcPr>
            <w:tcW w:w="360" w:type="dxa"/>
            <w:vAlign w:val="bottom"/>
            <w:tcBorders>
              <w:bottom w:val="single" w:sz="8" w:color="auto"/>
            </w:tcBorders>
            <w:shd w:val="clear" w:color="auto" w:fill="CCECFF"/>
          </w:tcPr>
          <w:p>
            <w:pPr>
              <w:spacing w:after="0"/>
              <w:rPr>
                <w:sz w:val="15"/>
                <w:szCs w:val="15"/>
                <w:color w:val="auto"/>
              </w:rPr>
            </w:pPr>
          </w:p>
        </w:tc>
        <w:tc>
          <w:tcPr>
            <w:tcW w:w="11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58,755</w:t>
            </w:r>
          </w:p>
        </w:tc>
        <w:tc>
          <w:tcPr>
            <w:tcW w:w="280" w:type="dxa"/>
            <w:vAlign w:val="bottom"/>
            <w:tcBorders>
              <w:bottom w:val="single" w:sz="8" w:color="CCECFF"/>
            </w:tcBorders>
            <w:shd w:val="clear" w:color="auto" w:fill="CCECFF"/>
          </w:tcPr>
          <w:p>
            <w:pPr>
              <w:spacing w:after="0"/>
              <w:rPr>
                <w:sz w:val="15"/>
                <w:szCs w:val="15"/>
                <w:color w:val="auto"/>
              </w:rPr>
            </w:pPr>
          </w:p>
        </w:tc>
        <w:tc>
          <w:tcPr>
            <w:tcW w:w="320" w:type="dxa"/>
            <w:vAlign w:val="bottom"/>
            <w:tcBorders>
              <w:bottom w:val="single" w:sz="8" w:color="auto"/>
            </w:tcBorders>
            <w:shd w:val="clear" w:color="auto" w:fill="CCECFF"/>
          </w:tcPr>
          <w:p>
            <w:pPr>
              <w:spacing w:after="0"/>
              <w:rPr>
                <w:sz w:val="15"/>
                <w:szCs w:val="15"/>
                <w:color w:val="auto"/>
              </w:rPr>
            </w:pPr>
          </w:p>
        </w:tc>
        <w:tc>
          <w:tcPr>
            <w:tcW w:w="11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60,375</w:t>
            </w:r>
          </w:p>
        </w:tc>
        <w:tc>
          <w:tcPr>
            <w:tcW w:w="280" w:type="dxa"/>
            <w:vAlign w:val="bottom"/>
            <w:tcBorders>
              <w:bottom w:val="single" w:sz="8" w:color="CCECFF"/>
            </w:tcBorders>
            <w:shd w:val="clear" w:color="auto" w:fill="CCECFF"/>
          </w:tcPr>
          <w:p>
            <w:pPr>
              <w:spacing w:after="0"/>
              <w:rPr>
                <w:sz w:val="15"/>
                <w:szCs w:val="15"/>
                <w:color w:val="auto"/>
              </w:rPr>
            </w:pPr>
          </w:p>
        </w:tc>
        <w:tc>
          <w:tcPr>
            <w:tcW w:w="240" w:type="dxa"/>
            <w:vAlign w:val="bottom"/>
            <w:tcBorders>
              <w:bottom w:val="single" w:sz="8" w:color="auto"/>
            </w:tcBorders>
            <w:shd w:val="clear" w:color="auto" w:fill="CCECFF"/>
          </w:tcPr>
          <w:p>
            <w:pPr>
              <w:spacing w:after="0"/>
              <w:rPr>
                <w:sz w:val="15"/>
                <w:szCs w:val="15"/>
                <w:color w:val="auto"/>
              </w:rPr>
            </w:pPr>
          </w:p>
        </w:tc>
        <w:tc>
          <w:tcPr>
            <w:tcW w:w="12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44,856</w:t>
            </w:r>
          </w:p>
        </w:tc>
        <w:tc>
          <w:tcPr>
            <w:tcW w:w="100" w:type="dxa"/>
            <w:vAlign w:val="bottom"/>
            <w:tcBorders>
              <w:bottom w:val="single" w:sz="8" w:color="CCECFF"/>
            </w:tcBorders>
            <w:shd w:val="clear" w:color="auto" w:fill="CCECFF"/>
          </w:tcPr>
          <w:p>
            <w:pPr>
              <w:spacing w:after="0"/>
              <w:rPr>
                <w:sz w:val="15"/>
                <w:szCs w:val="15"/>
                <w:color w:val="auto"/>
              </w:rPr>
            </w:pPr>
          </w:p>
        </w:tc>
      </w:tr>
      <w:tr>
        <w:trPr>
          <w:trHeight w:val="169"/>
        </w:trPr>
        <w:tc>
          <w:tcPr>
            <w:tcW w:w="4400" w:type="dxa"/>
            <w:vAlign w:val="bottom"/>
            <w:gridSpan w:val="2"/>
          </w:tcPr>
          <w:p>
            <w:pPr>
              <w:ind w:left="20"/>
              <w:spacing w:after="0"/>
              <w:rPr>
                <w:sz w:val="20"/>
                <w:szCs w:val="20"/>
                <w:color w:val="auto"/>
              </w:rPr>
            </w:pPr>
            <w:r>
              <w:rPr>
                <w:rFonts w:ascii="Arial" w:cs="Arial" w:eastAsia="Arial" w:hAnsi="Arial"/>
                <w:sz w:val="14"/>
                <w:szCs w:val="14"/>
                <w:color w:val="auto"/>
              </w:rPr>
              <w:t>Total investments</w:t>
            </w: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1,218,702</w:t>
            </w:r>
          </w:p>
        </w:tc>
        <w:tc>
          <w:tcPr>
            <w:tcW w:w="3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1,226,442</w:t>
            </w:r>
          </w:p>
        </w:tc>
        <w:tc>
          <w:tcPr>
            <w:tcW w:w="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1,070,636</w:t>
            </w:r>
          </w:p>
        </w:tc>
        <w:tc>
          <w:tcPr>
            <w:tcW w:w="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1,081,619</w:t>
            </w:r>
          </w:p>
        </w:tc>
        <w:tc>
          <w:tcPr>
            <w:tcW w:w="100" w:type="dxa"/>
            <w:vAlign w:val="bottom"/>
          </w:tcPr>
          <w:p>
            <w:pPr>
              <w:spacing w:after="0"/>
              <w:rPr>
                <w:sz w:val="14"/>
                <w:szCs w:val="14"/>
                <w:color w:val="auto"/>
              </w:rPr>
            </w:pPr>
          </w:p>
        </w:tc>
      </w:tr>
      <w:tr>
        <w:trPr>
          <w:trHeight w:val="169"/>
        </w:trPr>
        <w:tc>
          <w:tcPr>
            <w:tcW w:w="4400" w:type="dxa"/>
            <w:vAlign w:val="bottom"/>
            <w:tcBorders>
              <w:bottom w:val="single" w:sz="8" w:color="CCECFF"/>
            </w:tcBorders>
            <w:gridSpan w:val="2"/>
            <w:shd w:val="clear" w:color="auto" w:fill="CCECFF"/>
          </w:tcPr>
          <w:p>
            <w:pPr>
              <w:ind w:left="20"/>
              <w:spacing w:after="0"/>
              <w:rPr>
                <w:sz w:val="20"/>
                <w:szCs w:val="20"/>
                <w:color w:val="auto"/>
              </w:rPr>
            </w:pPr>
            <w:r>
              <w:rPr>
                <w:rFonts w:ascii="Arial" w:cs="Arial" w:eastAsia="Arial" w:hAnsi="Arial"/>
                <w:sz w:val="14"/>
                <w:szCs w:val="14"/>
                <w:color w:val="auto"/>
              </w:rPr>
              <w:t>Cash and cash equivalents</w:t>
            </w:r>
          </w:p>
        </w:tc>
        <w:tc>
          <w:tcPr>
            <w:tcW w:w="340" w:type="dxa"/>
            <w:vAlign w:val="bottom"/>
            <w:tcBorders>
              <w:bottom w:val="single" w:sz="8" w:color="auto"/>
            </w:tcBorders>
            <w:shd w:val="clear" w:color="auto" w:fill="CCECFF"/>
          </w:tcPr>
          <w:p>
            <w:pPr>
              <w:spacing w:after="0"/>
              <w:rPr>
                <w:sz w:val="14"/>
                <w:szCs w:val="14"/>
                <w:color w:val="auto"/>
              </w:rPr>
            </w:pPr>
          </w:p>
        </w:tc>
        <w:tc>
          <w:tcPr>
            <w:tcW w:w="11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40,632</w:t>
            </w:r>
          </w:p>
        </w:tc>
        <w:tc>
          <w:tcPr>
            <w:tcW w:w="300" w:type="dxa"/>
            <w:vAlign w:val="bottom"/>
            <w:tcBorders>
              <w:bottom w:val="single" w:sz="8" w:color="CCECFF"/>
            </w:tcBorders>
            <w:shd w:val="clear" w:color="auto" w:fill="CCECFF"/>
          </w:tcPr>
          <w:p>
            <w:pPr>
              <w:spacing w:after="0"/>
              <w:rPr>
                <w:sz w:val="14"/>
                <w:szCs w:val="14"/>
                <w:color w:val="auto"/>
              </w:rPr>
            </w:pPr>
          </w:p>
        </w:tc>
        <w:tc>
          <w:tcPr>
            <w:tcW w:w="360" w:type="dxa"/>
            <w:vAlign w:val="bottom"/>
            <w:tcBorders>
              <w:bottom w:val="single" w:sz="8" w:color="auto"/>
            </w:tcBorders>
            <w:shd w:val="clear" w:color="auto" w:fill="CCECFF"/>
          </w:tcPr>
          <w:p>
            <w:pPr>
              <w:spacing w:after="0"/>
              <w:rPr>
                <w:sz w:val="14"/>
                <w:szCs w:val="14"/>
                <w:color w:val="auto"/>
              </w:rPr>
            </w:pPr>
          </w:p>
        </w:tc>
        <w:tc>
          <w:tcPr>
            <w:tcW w:w="11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40,616</w:t>
            </w:r>
          </w:p>
        </w:tc>
        <w:tc>
          <w:tcPr>
            <w:tcW w:w="280" w:type="dxa"/>
            <w:vAlign w:val="bottom"/>
            <w:tcBorders>
              <w:bottom w:val="single" w:sz="8" w:color="CCECFF"/>
            </w:tcBorders>
            <w:shd w:val="clear" w:color="auto" w:fill="CCECFF"/>
          </w:tcPr>
          <w:p>
            <w:pPr>
              <w:spacing w:after="0"/>
              <w:rPr>
                <w:sz w:val="14"/>
                <w:szCs w:val="14"/>
                <w:color w:val="auto"/>
              </w:rPr>
            </w:pPr>
          </w:p>
        </w:tc>
        <w:tc>
          <w:tcPr>
            <w:tcW w:w="320" w:type="dxa"/>
            <w:vAlign w:val="bottom"/>
            <w:tcBorders>
              <w:bottom w:val="single" w:sz="8" w:color="auto"/>
            </w:tcBorders>
            <w:shd w:val="clear" w:color="auto" w:fill="CCECFF"/>
          </w:tcPr>
          <w:p>
            <w:pPr>
              <w:spacing w:after="0"/>
              <w:rPr>
                <w:sz w:val="14"/>
                <w:szCs w:val="14"/>
                <w:color w:val="auto"/>
              </w:rPr>
            </w:pPr>
          </w:p>
        </w:tc>
        <w:tc>
          <w:tcPr>
            <w:tcW w:w="11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49,825</w:t>
            </w:r>
          </w:p>
        </w:tc>
        <w:tc>
          <w:tcPr>
            <w:tcW w:w="280" w:type="dxa"/>
            <w:vAlign w:val="bottom"/>
            <w:tcBorders>
              <w:bottom w:val="single" w:sz="8" w:color="CCECFF"/>
            </w:tcBorders>
            <w:shd w:val="clear" w:color="auto" w:fill="CCECFF"/>
          </w:tcPr>
          <w:p>
            <w:pPr>
              <w:spacing w:after="0"/>
              <w:rPr>
                <w:sz w:val="14"/>
                <w:szCs w:val="14"/>
                <w:color w:val="auto"/>
              </w:rPr>
            </w:pPr>
          </w:p>
        </w:tc>
        <w:tc>
          <w:tcPr>
            <w:tcW w:w="240" w:type="dxa"/>
            <w:vAlign w:val="bottom"/>
            <w:tcBorders>
              <w:bottom w:val="single" w:sz="8" w:color="auto"/>
            </w:tcBorders>
            <w:shd w:val="clear" w:color="auto" w:fill="CCECFF"/>
          </w:tcPr>
          <w:p>
            <w:pPr>
              <w:spacing w:after="0"/>
              <w:rPr>
                <w:sz w:val="14"/>
                <w:szCs w:val="14"/>
                <w:color w:val="auto"/>
              </w:rPr>
            </w:pPr>
          </w:p>
        </w:tc>
        <w:tc>
          <w:tcPr>
            <w:tcW w:w="12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49,825</w:t>
            </w:r>
          </w:p>
        </w:tc>
        <w:tc>
          <w:tcPr>
            <w:tcW w:w="100" w:type="dxa"/>
            <w:vAlign w:val="bottom"/>
            <w:tcBorders>
              <w:bottom w:val="single" w:sz="8" w:color="CCECFF"/>
            </w:tcBorders>
            <w:shd w:val="clear" w:color="auto" w:fill="CCECFF"/>
          </w:tcPr>
          <w:p>
            <w:pPr>
              <w:spacing w:after="0"/>
              <w:rPr>
                <w:sz w:val="14"/>
                <w:szCs w:val="14"/>
                <w:color w:val="auto"/>
              </w:rPr>
            </w:pPr>
          </w:p>
        </w:tc>
      </w:tr>
      <w:tr>
        <w:trPr>
          <w:trHeight w:val="169"/>
        </w:trPr>
        <w:tc>
          <w:tcPr>
            <w:tcW w:w="4400" w:type="dxa"/>
            <w:vAlign w:val="bottom"/>
            <w:gridSpan w:val="2"/>
          </w:tcPr>
          <w:p>
            <w:pPr>
              <w:ind w:left="20"/>
              <w:spacing w:after="0"/>
              <w:rPr>
                <w:sz w:val="20"/>
                <w:szCs w:val="20"/>
                <w:color w:val="auto"/>
              </w:rPr>
            </w:pPr>
            <w:r>
              <w:rPr>
                <w:rFonts w:ascii="Arial" w:cs="Arial" w:eastAsia="Arial" w:hAnsi="Arial"/>
                <w:sz w:val="14"/>
                <w:szCs w:val="14"/>
                <w:color w:val="auto"/>
              </w:rPr>
              <w:t>Total investments and cash and cash equivalents</w:t>
            </w: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1,259,334</w:t>
            </w:r>
          </w:p>
        </w:tc>
        <w:tc>
          <w:tcPr>
            <w:tcW w:w="66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1,267,058</w:t>
            </w:r>
          </w:p>
        </w:tc>
        <w:tc>
          <w:tcPr>
            <w:tcW w:w="60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1,120,461</w:t>
            </w:r>
          </w:p>
        </w:tc>
        <w:tc>
          <w:tcPr>
            <w:tcW w:w="52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1,131,445</w:t>
            </w:r>
          </w:p>
        </w:tc>
        <w:tc>
          <w:tcPr>
            <w:tcW w:w="100" w:type="dxa"/>
            <w:vAlign w:val="bottom"/>
          </w:tcPr>
          <w:p>
            <w:pPr>
              <w:spacing w:after="0"/>
              <w:rPr>
                <w:sz w:val="14"/>
                <w:szCs w:val="14"/>
                <w:color w:val="auto"/>
              </w:rPr>
            </w:pPr>
          </w:p>
        </w:tc>
      </w:tr>
      <w:tr>
        <w:trPr>
          <w:trHeight w:val="20"/>
        </w:trPr>
        <w:tc>
          <w:tcPr>
            <w:tcW w:w="4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7"/>
        </w:trPr>
        <w:tc>
          <w:tcPr>
            <w:tcW w:w="4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23</w:t>
            </w: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4"/>
        </w:trPr>
        <w:tc>
          <w:tcPr>
            <w:tcW w:w="42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-699135</wp:posOffset>
            </wp:positionV>
            <wp:extent cx="77470" cy="571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-699135</wp:posOffset>
            </wp:positionV>
            <wp:extent cx="68580" cy="571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-699135</wp:posOffset>
            </wp:positionV>
            <wp:extent cx="68580" cy="571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-699135</wp:posOffset>
            </wp:positionV>
            <wp:extent cx="68580" cy="571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-459105</wp:posOffset>
            </wp:positionV>
            <wp:extent cx="77470" cy="571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-459105</wp:posOffset>
            </wp:positionV>
            <wp:extent cx="68580" cy="571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-459105</wp:posOffset>
            </wp:positionV>
            <wp:extent cx="68580" cy="571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-459105</wp:posOffset>
            </wp:positionV>
            <wp:extent cx="68580" cy="571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jc w:val="center"/>
        <w:ind w:right="20"/>
        <w:spacing w:after="0"/>
        <w:rPr>
          <w:sz w:val="20"/>
          <w:szCs w:val="20"/>
          <w:color w:val="auto"/>
        </w:rPr>
      </w:pPr>
      <w:r>
        <w:rPr>
          <w:rFonts w:ascii="Arial" w:cs="Arial" w:eastAsia="Arial" w:hAnsi="Arial"/>
          <w:sz w:val="14"/>
          <w:szCs w:val="14"/>
          <w:b w:val="1"/>
          <w:bCs w:val="1"/>
          <w:color w:val="auto"/>
        </w:rPr>
        <w:t>PENNANTPARK FLOATING RATE CAPITAL LTD. AND SUBSIDIARIES</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NOTES TO CONSOLIDATED FINANCIAL STATEMENTS-(Continued)</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June 30, 2022</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(Unaudited)</w:t>
      </w:r>
    </w:p>
    <w:p>
      <w:pPr>
        <w:spacing w:after="0" w:line="394" w:lineRule="exact"/>
        <w:rPr>
          <w:sz w:val="20"/>
          <w:szCs w:val="20"/>
          <w:color w:val="auto"/>
        </w:rPr>
      </w:pPr>
    </w:p>
    <w:p>
      <w:pPr>
        <w:ind w:right="220" w:firstLine="449"/>
        <w:spacing w:after="0" w:line="273" w:lineRule="auto"/>
        <w:rPr>
          <w:sz w:val="20"/>
          <w:szCs w:val="20"/>
          <w:color w:val="auto"/>
        </w:rPr>
      </w:pPr>
      <w:r>
        <w:rPr>
          <w:rFonts w:ascii="Arial" w:cs="Arial" w:eastAsia="Arial" w:hAnsi="Arial"/>
          <w:sz w:val="14"/>
          <w:szCs w:val="14"/>
          <w:color w:val="auto"/>
        </w:rPr>
        <w:t>The table below describes investments by industry classification and enumerates the percentage, by fair value, of the total portfolio assets (excluding cash and cash equivalents) in such industries: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380" w:type="dxa"/>
            <w:vAlign w:val="bottom"/>
            <w:gridSpan w:val="3"/>
          </w:tcPr>
          <w:p>
            <w:pPr>
              <w:ind w:left="20"/>
              <w:spacing w:after="0"/>
              <w:rPr>
                <w:sz w:val="20"/>
                <w:szCs w:val="20"/>
                <w:color w:val="auto"/>
              </w:rPr>
            </w:pPr>
            <w:r>
              <w:rPr>
                <w:rFonts w:ascii="Arial" w:cs="Arial" w:eastAsia="Arial" w:hAnsi="Arial"/>
                <w:sz w:val="14"/>
                <w:szCs w:val="14"/>
                <w:b w:val="1"/>
                <w:bCs w:val="1"/>
                <w:color w:val="auto"/>
              </w:rPr>
              <w:t>Industry Classification</w:t>
            </w:r>
          </w:p>
        </w:tc>
        <w:tc>
          <w:tcPr>
            <w:tcW w:w="180" w:type="dxa"/>
            <w:vAlign w:val="bottom"/>
          </w:tcPr>
          <w:p>
            <w:pPr>
              <w:spacing w:after="0"/>
              <w:rPr>
                <w:sz w:val="18"/>
                <w:szCs w:val="18"/>
                <w:color w:val="auto"/>
              </w:rPr>
            </w:pPr>
          </w:p>
        </w:tc>
        <w:tc>
          <w:tcPr>
            <w:tcW w:w="1860" w:type="dxa"/>
            <w:vAlign w:val="bottom"/>
            <w:gridSpan w:val="2"/>
          </w:tcPr>
          <w:p>
            <w:pPr>
              <w:jc w:val="right"/>
              <w:ind w:right="508"/>
              <w:spacing w:after="0"/>
              <w:rPr>
                <w:sz w:val="20"/>
                <w:szCs w:val="20"/>
                <w:color w:val="auto"/>
              </w:rPr>
            </w:pPr>
            <w:r>
              <w:rPr>
                <w:rFonts w:ascii="Arial" w:cs="Arial" w:eastAsia="Arial" w:hAnsi="Arial"/>
                <w:sz w:val="14"/>
                <w:szCs w:val="14"/>
                <w:b w:val="1"/>
                <w:bCs w:val="1"/>
                <w:color w:val="auto"/>
              </w:rPr>
              <w:t xml:space="preserve">June 30, 2022 </w:t>
            </w:r>
            <w:r>
              <w:rPr>
                <w:rFonts w:ascii="Arial" w:cs="Arial" w:eastAsia="Arial" w:hAnsi="Arial"/>
                <w:sz w:val="19"/>
                <w:szCs w:val="19"/>
                <w:b w:val="1"/>
                <w:bCs w:val="1"/>
                <w:color w:val="auto"/>
                <w:vertAlign w:val="superscript"/>
              </w:rPr>
              <w:t>(1)</w:t>
            </w:r>
          </w:p>
        </w:tc>
        <w:tc>
          <w:tcPr>
            <w:tcW w:w="1840" w:type="dxa"/>
            <w:vAlign w:val="bottom"/>
            <w:gridSpan w:val="3"/>
          </w:tcPr>
          <w:p>
            <w:pPr>
              <w:ind w:left="180"/>
              <w:spacing w:after="0"/>
              <w:rPr>
                <w:sz w:val="20"/>
                <w:szCs w:val="20"/>
                <w:color w:val="auto"/>
              </w:rPr>
            </w:pPr>
            <w:r>
              <w:rPr>
                <w:rFonts w:ascii="Arial" w:cs="Arial" w:eastAsia="Arial" w:hAnsi="Arial"/>
                <w:sz w:val="14"/>
                <w:szCs w:val="14"/>
                <w:b w:val="1"/>
                <w:bCs w:val="1"/>
                <w:color w:val="auto"/>
              </w:rPr>
              <w:t xml:space="preserve">September 30, 2021 </w:t>
            </w:r>
            <w:r>
              <w:rPr>
                <w:rFonts w:ascii="Arial" w:cs="Arial" w:eastAsia="Arial" w:hAnsi="Arial"/>
                <w:sz w:val="19"/>
                <w:szCs w:val="19"/>
                <w:b w:val="1"/>
                <w:bCs w:val="1"/>
                <w:color w:val="auto"/>
                <w:vertAlign w:val="superscript"/>
              </w:rPr>
              <w:t>(1)</w:t>
            </w:r>
          </w:p>
        </w:tc>
      </w:tr>
      <w:tr>
        <w:trPr>
          <w:trHeight w:val="169"/>
        </w:trPr>
        <w:tc>
          <w:tcPr>
            <w:tcW w:w="7380" w:type="dxa"/>
            <w:vAlign w:val="bottom"/>
            <w:tcBorders>
              <w:top w:val="single" w:sz="8" w:color="auto"/>
            </w:tcBorders>
            <w:gridSpan w:val="3"/>
            <w:shd w:val="clear" w:color="auto" w:fill="CCECFF"/>
          </w:tcPr>
          <w:p>
            <w:pPr>
              <w:ind w:left="20"/>
              <w:spacing w:after="0"/>
              <w:rPr>
                <w:sz w:val="20"/>
                <w:szCs w:val="20"/>
                <w:color w:val="auto"/>
              </w:rPr>
            </w:pPr>
            <w:r>
              <w:rPr>
                <w:rFonts w:ascii="Arial" w:cs="Arial" w:eastAsia="Arial" w:hAnsi="Arial"/>
                <w:sz w:val="14"/>
                <w:szCs w:val="14"/>
                <w:color w:val="auto"/>
              </w:rPr>
              <w:t>Professional Services</w:t>
            </w:r>
          </w:p>
        </w:tc>
        <w:tc>
          <w:tcPr>
            <w:tcW w:w="180" w:type="dxa"/>
            <w:vAlign w:val="bottom"/>
            <w:shd w:val="clear" w:color="auto" w:fill="CCECFF"/>
          </w:tcPr>
          <w:p>
            <w:pPr>
              <w:spacing w:after="0"/>
              <w:rPr>
                <w:sz w:val="14"/>
                <w:szCs w:val="14"/>
                <w:color w:val="auto"/>
              </w:rPr>
            </w:pPr>
          </w:p>
        </w:tc>
        <w:tc>
          <w:tcPr>
            <w:tcW w:w="15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8</w:t>
            </w:r>
          </w:p>
        </w:tc>
        <w:tc>
          <w:tcPr>
            <w:tcW w:w="280" w:type="dxa"/>
            <w:vAlign w:val="bottom"/>
            <w:shd w:val="clear" w:color="auto" w:fill="CCECFF"/>
          </w:tcPr>
          <w:p>
            <w:pPr>
              <w:jc w:val="right"/>
              <w:ind w:right="88"/>
              <w:spacing w:after="0"/>
              <w:rPr>
                <w:sz w:val="20"/>
                <w:szCs w:val="20"/>
                <w:color w:val="auto"/>
              </w:rPr>
            </w:pPr>
            <w:r>
              <w:rPr>
                <w:rFonts w:ascii="Arial" w:cs="Arial" w:eastAsia="Arial" w:hAnsi="Arial"/>
                <w:sz w:val="14"/>
                <w:szCs w:val="14"/>
                <w:color w:val="auto"/>
                <w:w w:val="79"/>
              </w:rPr>
              <w:t>%</w:t>
            </w:r>
          </w:p>
        </w:tc>
        <w:tc>
          <w:tcPr>
            <w:tcW w:w="17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CFF"/>
          </w:tcPr>
          <w:p>
            <w:pPr>
              <w:jc w:val="right"/>
              <w:spacing w:after="0"/>
              <w:rPr>
                <w:sz w:val="20"/>
                <w:szCs w:val="20"/>
                <w:color w:val="auto"/>
              </w:rPr>
            </w:pPr>
            <w:r>
              <w:rPr>
                <w:rFonts w:ascii="Arial" w:cs="Arial" w:eastAsia="Arial" w:hAnsi="Arial"/>
                <w:sz w:val="12"/>
                <w:szCs w:val="12"/>
                <w:color w:val="auto"/>
                <w:w w:val="74"/>
              </w:rPr>
              <w:t>%</w:t>
            </w:r>
          </w:p>
        </w:tc>
        <w:tc>
          <w:tcPr>
            <w:tcW w:w="20" w:type="dxa"/>
            <w:vAlign w:val="bottom"/>
          </w:tcPr>
          <w:p>
            <w:pPr>
              <w:spacing w:after="0"/>
              <w:rPr>
                <w:sz w:val="14"/>
                <w:szCs w:val="14"/>
                <w:color w:val="auto"/>
              </w:rPr>
            </w:pPr>
          </w:p>
        </w:tc>
      </w:tr>
      <w:tr>
        <w:trPr>
          <w:trHeight w:val="176"/>
        </w:trPr>
        <w:tc>
          <w:tcPr>
            <w:tcW w:w="7380" w:type="dxa"/>
            <w:vAlign w:val="bottom"/>
            <w:gridSpan w:val="3"/>
          </w:tcPr>
          <w:p>
            <w:pPr>
              <w:ind w:left="20"/>
              <w:spacing w:after="0"/>
              <w:rPr>
                <w:sz w:val="20"/>
                <w:szCs w:val="20"/>
                <w:color w:val="auto"/>
              </w:rPr>
            </w:pPr>
            <w:r>
              <w:rPr>
                <w:rFonts w:ascii="Arial" w:cs="Arial" w:eastAsia="Arial" w:hAnsi="Arial"/>
                <w:sz w:val="14"/>
                <w:szCs w:val="14"/>
                <w:color w:val="auto"/>
              </w:rPr>
              <w:t>Media</w:t>
            </w:r>
          </w:p>
        </w:tc>
        <w:tc>
          <w:tcPr>
            <w:tcW w:w="1760" w:type="dxa"/>
            <w:vAlign w:val="bottom"/>
            <w:gridSpan w:val="2"/>
          </w:tcPr>
          <w:p>
            <w:pPr>
              <w:jc w:val="right"/>
              <w:spacing w:after="0"/>
              <w:rPr>
                <w:sz w:val="20"/>
                <w:szCs w:val="20"/>
                <w:color w:val="auto"/>
              </w:rPr>
            </w:pPr>
            <w:r>
              <w:rPr>
                <w:rFonts w:ascii="Arial" w:cs="Arial" w:eastAsia="Arial" w:hAnsi="Arial"/>
                <w:sz w:val="14"/>
                <w:szCs w:val="14"/>
                <w:color w:val="auto"/>
              </w:rPr>
              <w:t>7</w:t>
            </w:r>
          </w:p>
        </w:tc>
        <w:tc>
          <w:tcPr>
            <w:tcW w:w="28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7380" w:type="dxa"/>
            <w:vAlign w:val="bottom"/>
            <w:gridSpan w:val="3"/>
            <w:shd w:val="clear" w:color="auto" w:fill="CCECFF"/>
          </w:tcPr>
          <w:p>
            <w:pPr>
              <w:ind w:left="20"/>
              <w:spacing w:after="0"/>
              <w:rPr>
                <w:sz w:val="20"/>
                <w:szCs w:val="20"/>
                <w:color w:val="auto"/>
              </w:rPr>
            </w:pPr>
            <w:r>
              <w:rPr>
                <w:rFonts w:ascii="Arial" w:cs="Arial" w:eastAsia="Arial" w:hAnsi="Arial"/>
                <w:sz w:val="14"/>
                <w:szCs w:val="14"/>
                <w:color w:val="auto"/>
              </w:rPr>
              <w:t>High Tech Industries</w:t>
            </w:r>
          </w:p>
        </w:tc>
        <w:tc>
          <w:tcPr>
            <w:tcW w:w="176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6</w:t>
            </w:r>
          </w:p>
        </w:tc>
        <w:tc>
          <w:tcPr>
            <w:tcW w:w="280" w:type="dxa"/>
            <w:vAlign w:val="bottom"/>
            <w:shd w:val="clear" w:color="auto" w:fill="CCECFF"/>
          </w:tcPr>
          <w:p>
            <w:pPr>
              <w:spacing w:after="0"/>
              <w:rPr>
                <w:sz w:val="15"/>
                <w:szCs w:val="15"/>
                <w:color w:val="auto"/>
              </w:rPr>
            </w:pPr>
          </w:p>
        </w:tc>
        <w:tc>
          <w:tcPr>
            <w:tcW w:w="17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CFF"/>
          </w:tcPr>
          <w:p>
            <w:pPr>
              <w:spacing w:after="0"/>
              <w:rPr>
                <w:sz w:val="15"/>
                <w:szCs w:val="15"/>
                <w:color w:val="auto"/>
              </w:rPr>
            </w:pPr>
          </w:p>
        </w:tc>
        <w:tc>
          <w:tcPr>
            <w:tcW w:w="20" w:type="dxa"/>
            <w:vAlign w:val="bottom"/>
          </w:tcPr>
          <w:p>
            <w:pPr>
              <w:spacing w:after="0"/>
              <w:rPr>
                <w:sz w:val="15"/>
                <w:szCs w:val="15"/>
                <w:color w:val="auto"/>
              </w:rPr>
            </w:pPr>
          </w:p>
        </w:tc>
      </w:tr>
      <w:tr>
        <w:trPr>
          <w:trHeight w:val="175"/>
        </w:trPr>
        <w:tc>
          <w:tcPr>
            <w:tcW w:w="7380" w:type="dxa"/>
            <w:vAlign w:val="bottom"/>
            <w:gridSpan w:val="3"/>
          </w:tcPr>
          <w:p>
            <w:pPr>
              <w:ind w:left="20"/>
              <w:spacing w:after="0"/>
              <w:rPr>
                <w:sz w:val="20"/>
                <w:szCs w:val="20"/>
                <w:color w:val="auto"/>
              </w:rPr>
            </w:pPr>
            <w:r>
              <w:rPr>
                <w:rFonts w:ascii="Arial" w:cs="Arial" w:eastAsia="Arial" w:hAnsi="Arial"/>
                <w:sz w:val="14"/>
                <w:szCs w:val="14"/>
                <w:color w:val="auto"/>
              </w:rPr>
              <w:t>IT Services</w:t>
            </w:r>
          </w:p>
        </w:tc>
        <w:tc>
          <w:tcPr>
            <w:tcW w:w="1760" w:type="dxa"/>
            <w:vAlign w:val="bottom"/>
            <w:gridSpan w:val="2"/>
          </w:tcPr>
          <w:p>
            <w:pPr>
              <w:jc w:val="right"/>
              <w:spacing w:after="0"/>
              <w:rPr>
                <w:sz w:val="20"/>
                <w:szCs w:val="20"/>
                <w:color w:val="auto"/>
              </w:rPr>
            </w:pPr>
            <w:r>
              <w:rPr>
                <w:rFonts w:ascii="Arial" w:cs="Arial" w:eastAsia="Arial" w:hAnsi="Arial"/>
                <w:sz w:val="14"/>
                <w:szCs w:val="14"/>
                <w:color w:val="auto"/>
              </w:rPr>
              <w:t>6</w:t>
            </w:r>
          </w:p>
        </w:tc>
        <w:tc>
          <w:tcPr>
            <w:tcW w:w="28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7380" w:type="dxa"/>
            <w:vAlign w:val="bottom"/>
            <w:gridSpan w:val="3"/>
            <w:shd w:val="clear" w:color="auto" w:fill="CCECFF"/>
          </w:tcPr>
          <w:p>
            <w:pPr>
              <w:ind w:left="20"/>
              <w:spacing w:after="0"/>
              <w:rPr>
                <w:sz w:val="20"/>
                <w:szCs w:val="20"/>
                <w:color w:val="auto"/>
              </w:rPr>
            </w:pPr>
            <w:r>
              <w:rPr>
                <w:rFonts w:ascii="Arial" w:cs="Arial" w:eastAsia="Arial" w:hAnsi="Arial"/>
                <w:sz w:val="14"/>
                <w:szCs w:val="14"/>
                <w:color w:val="auto"/>
              </w:rPr>
              <w:t>Personal Products</w:t>
            </w:r>
          </w:p>
        </w:tc>
        <w:tc>
          <w:tcPr>
            <w:tcW w:w="176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6</w:t>
            </w:r>
          </w:p>
        </w:tc>
        <w:tc>
          <w:tcPr>
            <w:tcW w:w="280" w:type="dxa"/>
            <w:vAlign w:val="bottom"/>
            <w:shd w:val="clear" w:color="auto" w:fill="CCECFF"/>
          </w:tcPr>
          <w:p>
            <w:pPr>
              <w:spacing w:after="0"/>
              <w:rPr>
                <w:sz w:val="15"/>
                <w:szCs w:val="15"/>
                <w:color w:val="auto"/>
              </w:rPr>
            </w:pPr>
          </w:p>
        </w:tc>
        <w:tc>
          <w:tcPr>
            <w:tcW w:w="17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CFF"/>
          </w:tcPr>
          <w:p>
            <w:pPr>
              <w:spacing w:after="0"/>
              <w:rPr>
                <w:sz w:val="15"/>
                <w:szCs w:val="15"/>
                <w:color w:val="auto"/>
              </w:rPr>
            </w:pPr>
          </w:p>
        </w:tc>
        <w:tc>
          <w:tcPr>
            <w:tcW w:w="20" w:type="dxa"/>
            <w:vAlign w:val="bottom"/>
          </w:tcPr>
          <w:p>
            <w:pPr>
              <w:spacing w:after="0"/>
              <w:rPr>
                <w:sz w:val="15"/>
                <w:szCs w:val="15"/>
                <w:color w:val="auto"/>
              </w:rPr>
            </w:pPr>
          </w:p>
        </w:tc>
      </w:tr>
      <w:tr>
        <w:trPr>
          <w:trHeight w:val="175"/>
        </w:trPr>
        <w:tc>
          <w:tcPr>
            <w:tcW w:w="7380" w:type="dxa"/>
            <w:vAlign w:val="bottom"/>
            <w:gridSpan w:val="3"/>
          </w:tcPr>
          <w:p>
            <w:pPr>
              <w:ind w:left="20"/>
              <w:spacing w:after="0"/>
              <w:rPr>
                <w:sz w:val="20"/>
                <w:szCs w:val="20"/>
                <w:color w:val="auto"/>
              </w:rPr>
            </w:pPr>
            <w:r>
              <w:rPr>
                <w:rFonts w:ascii="Arial" w:cs="Arial" w:eastAsia="Arial" w:hAnsi="Arial"/>
                <w:sz w:val="14"/>
                <w:szCs w:val="14"/>
                <w:color w:val="auto"/>
              </w:rPr>
              <w:t>Commercial Services &amp; Supplies</w:t>
            </w:r>
          </w:p>
        </w:tc>
        <w:tc>
          <w:tcPr>
            <w:tcW w:w="1760" w:type="dxa"/>
            <w:vAlign w:val="bottom"/>
            <w:gridSpan w:val="2"/>
          </w:tcPr>
          <w:p>
            <w:pPr>
              <w:jc w:val="right"/>
              <w:spacing w:after="0"/>
              <w:rPr>
                <w:sz w:val="20"/>
                <w:szCs w:val="20"/>
                <w:color w:val="auto"/>
              </w:rPr>
            </w:pPr>
            <w:r>
              <w:rPr>
                <w:rFonts w:ascii="Arial" w:cs="Arial" w:eastAsia="Arial" w:hAnsi="Arial"/>
                <w:sz w:val="14"/>
                <w:szCs w:val="14"/>
                <w:color w:val="auto"/>
              </w:rPr>
              <w:t>5</w:t>
            </w:r>
          </w:p>
        </w:tc>
        <w:tc>
          <w:tcPr>
            <w:tcW w:w="28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7380" w:type="dxa"/>
            <w:vAlign w:val="bottom"/>
            <w:gridSpan w:val="3"/>
            <w:shd w:val="clear" w:color="auto" w:fill="CCECFF"/>
          </w:tcPr>
          <w:p>
            <w:pPr>
              <w:ind w:left="20"/>
              <w:spacing w:after="0"/>
              <w:rPr>
                <w:sz w:val="20"/>
                <w:szCs w:val="20"/>
                <w:color w:val="auto"/>
              </w:rPr>
            </w:pPr>
            <w:r>
              <w:rPr>
                <w:rFonts w:ascii="Arial" w:cs="Arial" w:eastAsia="Arial" w:hAnsi="Arial"/>
                <w:sz w:val="14"/>
                <w:szCs w:val="14"/>
                <w:color w:val="auto"/>
              </w:rPr>
              <w:t>Media: Diversified and Production</w:t>
            </w:r>
          </w:p>
        </w:tc>
        <w:tc>
          <w:tcPr>
            <w:tcW w:w="176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5</w:t>
            </w:r>
          </w:p>
        </w:tc>
        <w:tc>
          <w:tcPr>
            <w:tcW w:w="280" w:type="dxa"/>
            <w:vAlign w:val="bottom"/>
            <w:shd w:val="clear" w:color="auto" w:fill="CCECFF"/>
          </w:tcPr>
          <w:p>
            <w:pPr>
              <w:spacing w:after="0"/>
              <w:rPr>
                <w:sz w:val="15"/>
                <w:szCs w:val="15"/>
                <w:color w:val="auto"/>
              </w:rPr>
            </w:pPr>
          </w:p>
        </w:tc>
        <w:tc>
          <w:tcPr>
            <w:tcW w:w="17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CFF"/>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7380" w:type="dxa"/>
            <w:vAlign w:val="bottom"/>
            <w:gridSpan w:val="3"/>
          </w:tcPr>
          <w:p>
            <w:pPr>
              <w:ind w:left="20"/>
              <w:spacing w:after="0"/>
              <w:rPr>
                <w:sz w:val="20"/>
                <w:szCs w:val="20"/>
                <w:color w:val="auto"/>
              </w:rPr>
            </w:pPr>
            <w:r>
              <w:rPr>
                <w:rFonts w:ascii="Arial" w:cs="Arial" w:eastAsia="Arial" w:hAnsi="Arial"/>
                <w:sz w:val="14"/>
                <w:szCs w:val="14"/>
                <w:color w:val="auto"/>
              </w:rPr>
              <w:t>Aerospace and Defense</w:t>
            </w:r>
          </w:p>
        </w:tc>
        <w:tc>
          <w:tcPr>
            <w:tcW w:w="1760" w:type="dxa"/>
            <w:vAlign w:val="bottom"/>
            <w:gridSpan w:val="2"/>
          </w:tcPr>
          <w:p>
            <w:pPr>
              <w:jc w:val="right"/>
              <w:spacing w:after="0"/>
              <w:rPr>
                <w:sz w:val="20"/>
                <w:szCs w:val="20"/>
                <w:color w:val="auto"/>
              </w:rPr>
            </w:pPr>
            <w:r>
              <w:rPr>
                <w:rFonts w:ascii="Arial" w:cs="Arial" w:eastAsia="Arial" w:hAnsi="Arial"/>
                <w:sz w:val="14"/>
                <w:szCs w:val="14"/>
                <w:color w:val="auto"/>
              </w:rPr>
              <w:t>4</w:t>
            </w:r>
          </w:p>
        </w:tc>
        <w:tc>
          <w:tcPr>
            <w:tcW w:w="28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5"/>
        </w:trPr>
        <w:tc>
          <w:tcPr>
            <w:tcW w:w="7380" w:type="dxa"/>
            <w:vAlign w:val="bottom"/>
            <w:gridSpan w:val="3"/>
            <w:shd w:val="clear" w:color="auto" w:fill="CCECFF"/>
          </w:tcPr>
          <w:p>
            <w:pPr>
              <w:ind w:left="20"/>
              <w:spacing w:after="0"/>
              <w:rPr>
                <w:sz w:val="20"/>
                <w:szCs w:val="20"/>
                <w:color w:val="auto"/>
              </w:rPr>
            </w:pPr>
            <w:r>
              <w:rPr>
                <w:rFonts w:ascii="Arial" w:cs="Arial" w:eastAsia="Arial" w:hAnsi="Arial"/>
                <w:sz w:val="14"/>
                <w:szCs w:val="14"/>
                <w:color w:val="auto"/>
              </w:rPr>
              <w:t>Automobiles</w:t>
            </w:r>
          </w:p>
        </w:tc>
        <w:tc>
          <w:tcPr>
            <w:tcW w:w="176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4</w:t>
            </w:r>
          </w:p>
        </w:tc>
        <w:tc>
          <w:tcPr>
            <w:tcW w:w="280" w:type="dxa"/>
            <w:vAlign w:val="bottom"/>
            <w:shd w:val="clear" w:color="auto" w:fill="CCECFF"/>
          </w:tcPr>
          <w:p>
            <w:pPr>
              <w:spacing w:after="0"/>
              <w:rPr>
                <w:sz w:val="15"/>
                <w:szCs w:val="15"/>
                <w:color w:val="auto"/>
              </w:rPr>
            </w:pPr>
          </w:p>
        </w:tc>
        <w:tc>
          <w:tcPr>
            <w:tcW w:w="17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CFF"/>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7380" w:type="dxa"/>
            <w:vAlign w:val="bottom"/>
            <w:gridSpan w:val="3"/>
          </w:tcPr>
          <w:p>
            <w:pPr>
              <w:ind w:left="20"/>
              <w:spacing w:after="0"/>
              <w:rPr>
                <w:sz w:val="20"/>
                <w:szCs w:val="20"/>
                <w:color w:val="auto"/>
              </w:rPr>
            </w:pPr>
            <w:r>
              <w:rPr>
                <w:rFonts w:ascii="Arial" w:cs="Arial" w:eastAsia="Arial" w:hAnsi="Arial"/>
                <w:sz w:val="14"/>
                <w:szCs w:val="14"/>
                <w:color w:val="auto"/>
              </w:rPr>
              <w:t>Capital Equipment</w:t>
            </w:r>
          </w:p>
        </w:tc>
        <w:tc>
          <w:tcPr>
            <w:tcW w:w="1760" w:type="dxa"/>
            <w:vAlign w:val="bottom"/>
            <w:gridSpan w:val="2"/>
          </w:tcPr>
          <w:p>
            <w:pPr>
              <w:jc w:val="right"/>
              <w:spacing w:after="0"/>
              <w:rPr>
                <w:sz w:val="20"/>
                <w:szCs w:val="20"/>
                <w:color w:val="auto"/>
              </w:rPr>
            </w:pPr>
            <w:r>
              <w:rPr>
                <w:rFonts w:ascii="Arial" w:cs="Arial" w:eastAsia="Arial" w:hAnsi="Arial"/>
                <w:sz w:val="14"/>
                <w:szCs w:val="14"/>
                <w:color w:val="auto"/>
              </w:rPr>
              <w:t>4</w:t>
            </w:r>
          </w:p>
        </w:tc>
        <w:tc>
          <w:tcPr>
            <w:tcW w:w="28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5"/>
        </w:trPr>
        <w:tc>
          <w:tcPr>
            <w:tcW w:w="7380" w:type="dxa"/>
            <w:vAlign w:val="bottom"/>
            <w:gridSpan w:val="3"/>
            <w:shd w:val="clear" w:color="auto" w:fill="CCECFF"/>
          </w:tcPr>
          <w:p>
            <w:pPr>
              <w:ind w:left="20"/>
              <w:spacing w:after="0"/>
              <w:rPr>
                <w:sz w:val="20"/>
                <w:szCs w:val="20"/>
                <w:color w:val="auto"/>
              </w:rPr>
            </w:pPr>
            <w:r>
              <w:rPr>
                <w:rFonts w:ascii="Arial" w:cs="Arial" w:eastAsia="Arial" w:hAnsi="Arial"/>
                <w:sz w:val="14"/>
                <w:szCs w:val="14"/>
                <w:color w:val="auto"/>
              </w:rPr>
              <w:t>Business Services</w:t>
            </w:r>
          </w:p>
        </w:tc>
        <w:tc>
          <w:tcPr>
            <w:tcW w:w="176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3</w:t>
            </w:r>
          </w:p>
        </w:tc>
        <w:tc>
          <w:tcPr>
            <w:tcW w:w="280" w:type="dxa"/>
            <w:vAlign w:val="bottom"/>
            <w:shd w:val="clear" w:color="auto" w:fill="CCECFF"/>
          </w:tcPr>
          <w:p>
            <w:pPr>
              <w:spacing w:after="0"/>
              <w:rPr>
                <w:sz w:val="15"/>
                <w:szCs w:val="15"/>
                <w:color w:val="auto"/>
              </w:rPr>
            </w:pPr>
          </w:p>
        </w:tc>
        <w:tc>
          <w:tcPr>
            <w:tcW w:w="17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CFF"/>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7380" w:type="dxa"/>
            <w:vAlign w:val="bottom"/>
            <w:gridSpan w:val="3"/>
          </w:tcPr>
          <w:p>
            <w:pPr>
              <w:ind w:left="20"/>
              <w:spacing w:after="0"/>
              <w:rPr>
                <w:sz w:val="20"/>
                <w:szCs w:val="20"/>
                <w:color w:val="auto"/>
              </w:rPr>
            </w:pPr>
            <w:r>
              <w:rPr>
                <w:rFonts w:ascii="Arial" w:cs="Arial" w:eastAsia="Arial" w:hAnsi="Arial"/>
                <w:sz w:val="14"/>
                <w:szCs w:val="14"/>
                <w:color w:val="auto"/>
              </w:rPr>
              <w:t>Construction and Building</w:t>
            </w:r>
          </w:p>
        </w:tc>
        <w:tc>
          <w:tcPr>
            <w:tcW w:w="1760" w:type="dxa"/>
            <w:vAlign w:val="bottom"/>
            <w:gridSpan w:val="2"/>
          </w:tcPr>
          <w:p>
            <w:pPr>
              <w:jc w:val="right"/>
              <w:spacing w:after="0"/>
              <w:rPr>
                <w:sz w:val="20"/>
                <w:szCs w:val="20"/>
                <w:color w:val="auto"/>
              </w:rPr>
            </w:pPr>
            <w:r>
              <w:rPr>
                <w:rFonts w:ascii="Arial" w:cs="Arial" w:eastAsia="Arial" w:hAnsi="Arial"/>
                <w:sz w:val="14"/>
                <w:szCs w:val="14"/>
                <w:color w:val="auto"/>
              </w:rPr>
              <w:t>3</w:t>
            </w:r>
          </w:p>
        </w:tc>
        <w:tc>
          <w:tcPr>
            <w:tcW w:w="28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5"/>
        </w:trPr>
        <w:tc>
          <w:tcPr>
            <w:tcW w:w="7380" w:type="dxa"/>
            <w:vAlign w:val="bottom"/>
            <w:gridSpan w:val="3"/>
            <w:shd w:val="clear" w:color="auto" w:fill="CCECFF"/>
          </w:tcPr>
          <w:p>
            <w:pPr>
              <w:ind w:left="20"/>
              <w:spacing w:after="0"/>
              <w:rPr>
                <w:sz w:val="20"/>
                <w:szCs w:val="20"/>
                <w:color w:val="auto"/>
              </w:rPr>
            </w:pPr>
            <w:r>
              <w:rPr>
                <w:rFonts w:ascii="Arial" w:cs="Arial" w:eastAsia="Arial" w:hAnsi="Arial"/>
                <w:sz w:val="14"/>
                <w:szCs w:val="14"/>
                <w:color w:val="auto"/>
              </w:rPr>
              <w:t>Distributors</w:t>
            </w:r>
          </w:p>
        </w:tc>
        <w:tc>
          <w:tcPr>
            <w:tcW w:w="176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3</w:t>
            </w:r>
          </w:p>
        </w:tc>
        <w:tc>
          <w:tcPr>
            <w:tcW w:w="280" w:type="dxa"/>
            <w:vAlign w:val="bottom"/>
            <w:shd w:val="clear" w:color="auto" w:fill="CCECFF"/>
          </w:tcPr>
          <w:p>
            <w:pPr>
              <w:spacing w:after="0"/>
              <w:rPr>
                <w:sz w:val="15"/>
                <w:szCs w:val="15"/>
                <w:color w:val="auto"/>
              </w:rPr>
            </w:pPr>
          </w:p>
        </w:tc>
        <w:tc>
          <w:tcPr>
            <w:tcW w:w="1820" w:type="dxa"/>
            <w:vAlign w:val="bottom"/>
            <w:gridSpan w:val="2"/>
            <w:shd w:val="clear" w:color="auto" w:fill="CCECFF"/>
          </w:tcPr>
          <w:p>
            <w:pPr>
              <w:jc w:val="right"/>
              <w:ind w:right="5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r>
      <w:tr>
        <w:trPr>
          <w:trHeight w:val="176"/>
        </w:trPr>
        <w:tc>
          <w:tcPr>
            <w:tcW w:w="7380" w:type="dxa"/>
            <w:vAlign w:val="bottom"/>
            <w:gridSpan w:val="3"/>
          </w:tcPr>
          <w:p>
            <w:pPr>
              <w:ind w:left="20"/>
              <w:spacing w:after="0"/>
              <w:rPr>
                <w:sz w:val="20"/>
                <w:szCs w:val="20"/>
                <w:color w:val="auto"/>
              </w:rPr>
            </w:pPr>
            <w:r>
              <w:rPr>
                <w:rFonts w:ascii="Arial" w:cs="Arial" w:eastAsia="Arial" w:hAnsi="Arial"/>
                <w:sz w:val="14"/>
                <w:szCs w:val="14"/>
                <w:color w:val="auto"/>
              </w:rPr>
              <w:t>Diversified Consumer Services</w:t>
            </w:r>
          </w:p>
        </w:tc>
        <w:tc>
          <w:tcPr>
            <w:tcW w:w="1760" w:type="dxa"/>
            <w:vAlign w:val="bottom"/>
            <w:gridSpan w:val="2"/>
          </w:tcPr>
          <w:p>
            <w:pPr>
              <w:jc w:val="right"/>
              <w:spacing w:after="0"/>
              <w:rPr>
                <w:sz w:val="20"/>
                <w:szCs w:val="20"/>
                <w:color w:val="auto"/>
              </w:rPr>
            </w:pPr>
            <w:r>
              <w:rPr>
                <w:rFonts w:ascii="Arial" w:cs="Arial" w:eastAsia="Arial" w:hAnsi="Arial"/>
                <w:sz w:val="14"/>
                <w:szCs w:val="14"/>
                <w:color w:val="auto"/>
              </w:rPr>
              <w:t>3</w:t>
            </w:r>
          </w:p>
        </w:tc>
        <w:tc>
          <w:tcPr>
            <w:tcW w:w="28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7380" w:type="dxa"/>
            <w:vAlign w:val="bottom"/>
            <w:gridSpan w:val="3"/>
            <w:shd w:val="clear" w:color="auto" w:fill="CCECFF"/>
          </w:tcPr>
          <w:p>
            <w:pPr>
              <w:ind w:left="20"/>
              <w:spacing w:after="0"/>
              <w:rPr>
                <w:sz w:val="20"/>
                <w:szCs w:val="20"/>
                <w:color w:val="auto"/>
              </w:rPr>
            </w:pPr>
            <w:r>
              <w:rPr>
                <w:rFonts w:ascii="Arial" w:cs="Arial" w:eastAsia="Arial" w:hAnsi="Arial"/>
                <w:sz w:val="14"/>
                <w:szCs w:val="14"/>
                <w:color w:val="auto"/>
              </w:rPr>
              <w:t>Electronic Equipment, Instruments, and Components</w:t>
            </w:r>
          </w:p>
        </w:tc>
        <w:tc>
          <w:tcPr>
            <w:tcW w:w="176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3</w:t>
            </w:r>
          </w:p>
        </w:tc>
        <w:tc>
          <w:tcPr>
            <w:tcW w:w="280" w:type="dxa"/>
            <w:vAlign w:val="bottom"/>
            <w:shd w:val="clear" w:color="auto" w:fill="CCECFF"/>
          </w:tcPr>
          <w:p>
            <w:pPr>
              <w:spacing w:after="0"/>
              <w:rPr>
                <w:sz w:val="15"/>
                <w:szCs w:val="15"/>
                <w:color w:val="auto"/>
              </w:rPr>
            </w:pPr>
          </w:p>
        </w:tc>
        <w:tc>
          <w:tcPr>
            <w:tcW w:w="17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CFF"/>
          </w:tcPr>
          <w:p>
            <w:pPr>
              <w:spacing w:after="0"/>
              <w:rPr>
                <w:sz w:val="15"/>
                <w:szCs w:val="15"/>
                <w:color w:val="auto"/>
              </w:rPr>
            </w:pPr>
          </w:p>
        </w:tc>
        <w:tc>
          <w:tcPr>
            <w:tcW w:w="20" w:type="dxa"/>
            <w:vAlign w:val="bottom"/>
          </w:tcPr>
          <w:p>
            <w:pPr>
              <w:spacing w:after="0"/>
              <w:rPr>
                <w:sz w:val="15"/>
                <w:szCs w:val="15"/>
                <w:color w:val="auto"/>
              </w:rPr>
            </w:pPr>
          </w:p>
        </w:tc>
      </w:tr>
      <w:tr>
        <w:trPr>
          <w:trHeight w:val="175"/>
        </w:trPr>
        <w:tc>
          <w:tcPr>
            <w:tcW w:w="7380" w:type="dxa"/>
            <w:vAlign w:val="bottom"/>
            <w:gridSpan w:val="3"/>
          </w:tcPr>
          <w:p>
            <w:pPr>
              <w:ind w:left="20"/>
              <w:spacing w:after="0"/>
              <w:rPr>
                <w:sz w:val="20"/>
                <w:szCs w:val="20"/>
                <w:color w:val="auto"/>
              </w:rPr>
            </w:pPr>
            <w:r>
              <w:rPr>
                <w:rFonts w:ascii="Arial" w:cs="Arial" w:eastAsia="Arial" w:hAnsi="Arial"/>
                <w:sz w:val="14"/>
                <w:szCs w:val="14"/>
                <w:color w:val="auto"/>
              </w:rPr>
              <w:t>Healthcare Technology</w:t>
            </w:r>
          </w:p>
        </w:tc>
        <w:tc>
          <w:tcPr>
            <w:tcW w:w="1760" w:type="dxa"/>
            <w:vAlign w:val="bottom"/>
            <w:gridSpan w:val="2"/>
          </w:tcPr>
          <w:p>
            <w:pPr>
              <w:jc w:val="right"/>
              <w:spacing w:after="0"/>
              <w:rPr>
                <w:sz w:val="20"/>
                <w:szCs w:val="20"/>
                <w:color w:val="auto"/>
              </w:rPr>
            </w:pPr>
            <w:r>
              <w:rPr>
                <w:rFonts w:ascii="Arial" w:cs="Arial" w:eastAsia="Arial" w:hAnsi="Arial"/>
                <w:sz w:val="14"/>
                <w:szCs w:val="14"/>
                <w:color w:val="auto"/>
              </w:rPr>
              <w:t>3</w:t>
            </w:r>
          </w:p>
        </w:tc>
        <w:tc>
          <w:tcPr>
            <w:tcW w:w="28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7380" w:type="dxa"/>
            <w:vAlign w:val="bottom"/>
            <w:gridSpan w:val="3"/>
            <w:shd w:val="clear" w:color="auto" w:fill="CCECFF"/>
          </w:tcPr>
          <w:p>
            <w:pPr>
              <w:ind w:left="20"/>
              <w:spacing w:after="0"/>
              <w:rPr>
                <w:sz w:val="20"/>
                <w:szCs w:val="20"/>
                <w:color w:val="auto"/>
              </w:rPr>
            </w:pPr>
            <w:r>
              <w:rPr>
                <w:rFonts w:ascii="Arial" w:cs="Arial" w:eastAsia="Arial" w:hAnsi="Arial"/>
                <w:sz w:val="14"/>
                <w:szCs w:val="14"/>
                <w:color w:val="auto"/>
              </w:rPr>
              <w:t>Chemicals, Plastics and Rubber</w:t>
            </w:r>
          </w:p>
        </w:tc>
        <w:tc>
          <w:tcPr>
            <w:tcW w:w="176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280" w:type="dxa"/>
            <w:vAlign w:val="bottom"/>
            <w:shd w:val="clear" w:color="auto" w:fill="CCECFF"/>
          </w:tcPr>
          <w:p>
            <w:pPr>
              <w:spacing w:after="0"/>
              <w:rPr>
                <w:sz w:val="15"/>
                <w:szCs w:val="15"/>
                <w:color w:val="auto"/>
              </w:rPr>
            </w:pPr>
          </w:p>
        </w:tc>
        <w:tc>
          <w:tcPr>
            <w:tcW w:w="17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CFF"/>
          </w:tcPr>
          <w:p>
            <w:pPr>
              <w:spacing w:after="0"/>
              <w:rPr>
                <w:sz w:val="15"/>
                <w:szCs w:val="15"/>
                <w:color w:val="auto"/>
              </w:rPr>
            </w:pPr>
          </w:p>
        </w:tc>
        <w:tc>
          <w:tcPr>
            <w:tcW w:w="20" w:type="dxa"/>
            <w:vAlign w:val="bottom"/>
          </w:tcPr>
          <w:p>
            <w:pPr>
              <w:spacing w:after="0"/>
              <w:rPr>
                <w:sz w:val="15"/>
                <w:szCs w:val="15"/>
                <w:color w:val="auto"/>
              </w:rPr>
            </w:pPr>
          </w:p>
        </w:tc>
      </w:tr>
      <w:tr>
        <w:trPr>
          <w:trHeight w:val="175"/>
        </w:trPr>
        <w:tc>
          <w:tcPr>
            <w:tcW w:w="7380" w:type="dxa"/>
            <w:vAlign w:val="bottom"/>
            <w:gridSpan w:val="3"/>
          </w:tcPr>
          <w:p>
            <w:pPr>
              <w:ind w:left="20"/>
              <w:spacing w:after="0"/>
              <w:rPr>
                <w:sz w:val="20"/>
                <w:szCs w:val="20"/>
                <w:color w:val="auto"/>
              </w:rPr>
            </w:pPr>
            <w:r>
              <w:rPr>
                <w:rFonts w:ascii="Arial" w:cs="Arial" w:eastAsia="Arial" w:hAnsi="Arial"/>
                <w:sz w:val="14"/>
                <w:szCs w:val="14"/>
                <w:color w:val="auto"/>
              </w:rPr>
              <w:t>Consumer Services</w:t>
            </w:r>
          </w:p>
        </w:tc>
        <w:tc>
          <w:tcPr>
            <w:tcW w:w="1760" w:type="dxa"/>
            <w:vAlign w:val="bottom"/>
            <w:gridSpan w:val="2"/>
          </w:tcPr>
          <w:p>
            <w:pPr>
              <w:jc w:val="right"/>
              <w:spacing w:after="0"/>
              <w:rPr>
                <w:sz w:val="20"/>
                <w:szCs w:val="20"/>
                <w:color w:val="auto"/>
              </w:rPr>
            </w:pPr>
            <w:r>
              <w:rPr>
                <w:rFonts w:ascii="Arial" w:cs="Arial" w:eastAsia="Arial" w:hAnsi="Arial"/>
                <w:sz w:val="14"/>
                <w:szCs w:val="14"/>
                <w:color w:val="auto"/>
              </w:rPr>
              <w:t>2</w:t>
            </w:r>
          </w:p>
        </w:tc>
        <w:tc>
          <w:tcPr>
            <w:tcW w:w="28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7380" w:type="dxa"/>
            <w:vAlign w:val="bottom"/>
            <w:gridSpan w:val="3"/>
            <w:shd w:val="clear" w:color="auto" w:fill="CCECFF"/>
          </w:tcPr>
          <w:p>
            <w:pPr>
              <w:ind w:left="20"/>
              <w:spacing w:after="0"/>
              <w:rPr>
                <w:sz w:val="20"/>
                <w:szCs w:val="20"/>
                <w:color w:val="auto"/>
              </w:rPr>
            </w:pPr>
            <w:r>
              <w:rPr>
                <w:rFonts w:ascii="Arial" w:cs="Arial" w:eastAsia="Arial" w:hAnsi="Arial"/>
                <w:sz w:val="14"/>
                <w:szCs w:val="14"/>
                <w:color w:val="auto"/>
              </w:rPr>
              <w:t>Diversified Financial Services</w:t>
            </w:r>
          </w:p>
        </w:tc>
        <w:tc>
          <w:tcPr>
            <w:tcW w:w="176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280" w:type="dxa"/>
            <w:vAlign w:val="bottom"/>
            <w:shd w:val="clear" w:color="auto" w:fill="CCECFF"/>
          </w:tcPr>
          <w:p>
            <w:pPr>
              <w:spacing w:after="0"/>
              <w:rPr>
                <w:sz w:val="15"/>
                <w:szCs w:val="15"/>
                <w:color w:val="auto"/>
              </w:rPr>
            </w:pPr>
          </w:p>
        </w:tc>
        <w:tc>
          <w:tcPr>
            <w:tcW w:w="17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CFF"/>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7380" w:type="dxa"/>
            <w:vAlign w:val="bottom"/>
            <w:gridSpan w:val="3"/>
          </w:tcPr>
          <w:p>
            <w:pPr>
              <w:ind w:left="20"/>
              <w:spacing w:after="0"/>
              <w:rPr>
                <w:sz w:val="20"/>
                <w:szCs w:val="20"/>
                <w:color w:val="auto"/>
              </w:rPr>
            </w:pPr>
            <w:r>
              <w:rPr>
                <w:rFonts w:ascii="Arial" w:cs="Arial" w:eastAsia="Arial" w:hAnsi="Arial"/>
                <w:sz w:val="14"/>
                <w:szCs w:val="14"/>
                <w:color w:val="auto"/>
              </w:rPr>
              <w:t>Healthcare Equipment and Supplies</w:t>
            </w:r>
          </w:p>
        </w:tc>
        <w:tc>
          <w:tcPr>
            <w:tcW w:w="1760" w:type="dxa"/>
            <w:vAlign w:val="bottom"/>
            <w:gridSpan w:val="2"/>
          </w:tcPr>
          <w:p>
            <w:pPr>
              <w:jc w:val="right"/>
              <w:spacing w:after="0"/>
              <w:rPr>
                <w:sz w:val="20"/>
                <w:szCs w:val="20"/>
                <w:color w:val="auto"/>
              </w:rPr>
            </w:pPr>
            <w:r>
              <w:rPr>
                <w:rFonts w:ascii="Arial" w:cs="Arial" w:eastAsia="Arial" w:hAnsi="Arial"/>
                <w:sz w:val="14"/>
                <w:szCs w:val="14"/>
                <w:color w:val="auto"/>
              </w:rPr>
              <w:t>2</w:t>
            </w:r>
          </w:p>
        </w:tc>
        <w:tc>
          <w:tcPr>
            <w:tcW w:w="28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5"/>
        </w:trPr>
        <w:tc>
          <w:tcPr>
            <w:tcW w:w="7380" w:type="dxa"/>
            <w:vAlign w:val="bottom"/>
            <w:gridSpan w:val="3"/>
            <w:shd w:val="clear" w:color="auto" w:fill="CCECFF"/>
          </w:tcPr>
          <w:p>
            <w:pPr>
              <w:ind w:left="20"/>
              <w:spacing w:after="0"/>
              <w:rPr>
                <w:sz w:val="20"/>
                <w:szCs w:val="20"/>
                <w:color w:val="auto"/>
              </w:rPr>
            </w:pPr>
            <w:r>
              <w:rPr>
                <w:rFonts w:ascii="Arial" w:cs="Arial" w:eastAsia="Arial" w:hAnsi="Arial"/>
                <w:sz w:val="14"/>
                <w:szCs w:val="14"/>
                <w:color w:val="auto"/>
              </w:rPr>
              <w:t>Healthcare Providers and Services</w:t>
            </w:r>
          </w:p>
        </w:tc>
        <w:tc>
          <w:tcPr>
            <w:tcW w:w="176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280" w:type="dxa"/>
            <w:vAlign w:val="bottom"/>
            <w:shd w:val="clear" w:color="auto" w:fill="CCECFF"/>
          </w:tcPr>
          <w:p>
            <w:pPr>
              <w:spacing w:after="0"/>
              <w:rPr>
                <w:sz w:val="15"/>
                <w:szCs w:val="15"/>
                <w:color w:val="auto"/>
              </w:rPr>
            </w:pPr>
          </w:p>
        </w:tc>
        <w:tc>
          <w:tcPr>
            <w:tcW w:w="17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CFF"/>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7380" w:type="dxa"/>
            <w:vAlign w:val="bottom"/>
            <w:gridSpan w:val="3"/>
          </w:tcPr>
          <w:p>
            <w:pPr>
              <w:ind w:left="20"/>
              <w:spacing w:after="0"/>
              <w:rPr>
                <w:sz w:val="20"/>
                <w:szCs w:val="20"/>
                <w:color w:val="auto"/>
              </w:rPr>
            </w:pPr>
            <w:r>
              <w:rPr>
                <w:rFonts w:ascii="Arial" w:cs="Arial" w:eastAsia="Arial" w:hAnsi="Arial"/>
                <w:sz w:val="14"/>
                <w:szCs w:val="14"/>
                <w:color w:val="auto"/>
              </w:rPr>
              <w:t>Insurance</w:t>
            </w:r>
          </w:p>
        </w:tc>
        <w:tc>
          <w:tcPr>
            <w:tcW w:w="1760" w:type="dxa"/>
            <w:vAlign w:val="bottom"/>
            <w:gridSpan w:val="2"/>
          </w:tcPr>
          <w:p>
            <w:pPr>
              <w:jc w:val="right"/>
              <w:spacing w:after="0"/>
              <w:rPr>
                <w:sz w:val="20"/>
                <w:szCs w:val="20"/>
                <w:color w:val="auto"/>
              </w:rPr>
            </w:pPr>
            <w:r>
              <w:rPr>
                <w:rFonts w:ascii="Arial" w:cs="Arial" w:eastAsia="Arial" w:hAnsi="Arial"/>
                <w:sz w:val="14"/>
                <w:szCs w:val="14"/>
                <w:color w:val="auto"/>
              </w:rPr>
              <w:t>2</w:t>
            </w:r>
          </w:p>
        </w:tc>
        <w:tc>
          <w:tcPr>
            <w:tcW w:w="28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5"/>
        </w:trPr>
        <w:tc>
          <w:tcPr>
            <w:tcW w:w="7380" w:type="dxa"/>
            <w:vAlign w:val="bottom"/>
            <w:gridSpan w:val="3"/>
            <w:shd w:val="clear" w:color="auto" w:fill="CCECFF"/>
          </w:tcPr>
          <w:p>
            <w:pPr>
              <w:ind w:left="20"/>
              <w:spacing w:after="0"/>
              <w:rPr>
                <w:sz w:val="20"/>
                <w:szCs w:val="20"/>
                <w:color w:val="auto"/>
              </w:rPr>
            </w:pPr>
            <w:r>
              <w:rPr>
                <w:rFonts w:ascii="Arial" w:cs="Arial" w:eastAsia="Arial" w:hAnsi="Arial"/>
                <w:sz w:val="14"/>
                <w:szCs w:val="14"/>
                <w:color w:val="auto"/>
              </w:rPr>
              <w:t>Media: Broadcasting and Subscription</w:t>
            </w:r>
          </w:p>
        </w:tc>
        <w:tc>
          <w:tcPr>
            <w:tcW w:w="176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280" w:type="dxa"/>
            <w:vAlign w:val="bottom"/>
            <w:shd w:val="clear" w:color="auto" w:fill="CCECFF"/>
          </w:tcPr>
          <w:p>
            <w:pPr>
              <w:spacing w:after="0"/>
              <w:rPr>
                <w:sz w:val="15"/>
                <w:szCs w:val="15"/>
                <w:color w:val="auto"/>
              </w:rPr>
            </w:pPr>
          </w:p>
        </w:tc>
        <w:tc>
          <w:tcPr>
            <w:tcW w:w="17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CFF"/>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7380" w:type="dxa"/>
            <w:vAlign w:val="bottom"/>
            <w:gridSpan w:val="3"/>
          </w:tcPr>
          <w:p>
            <w:pPr>
              <w:ind w:left="20"/>
              <w:spacing w:after="0"/>
              <w:rPr>
                <w:sz w:val="20"/>
                <w:szCs w:val="20"/>
                <w:color w:val="auto"/>
              </w:rPr>
            </w:pPr>
            <w:r>
              <w:rPr>
                <w:rFonts w:ascii="Arial" w:cs="Arial" w:eastAsia="Arial" w:hAnsi="Arial"/>
                <w:sz w:val="14"/>
                <w:szCs w:val="14"/>
                <w:color w:val="auto"/>
              </w:rPr>
              <w:t>Air Freight and Logistics</w:t>
            </w:r>
          </w:p>
        </w:tc>
        <w:tc>
          <w:tcPr>
            <w:tcW w:w="1760" w:type="dxa"/>
            <w:vAlign w:val="bottom"/>
            <w:gridSpan w:val="2"/>
          </w:tcPr>
          <w:p>
            <w:pPr>
              <w:jc w:val="right"/>
              <w:spacing w:after="0"/>
              <w:rPr>
                <w:sz w:val="20"/>
                <w:szCs w:val="20"/>
                <w:color w:val="auto"/>
              </w:rPr>
            </w:pPr>
            <w:r>
              <w:rPr>
                <w:rFonts w:ascii="Arial" w:cs="Arial" w:eastAsia="Arial" w:hAnsi="Arial"/>
                <w:sz w:val="14"/>
                <w:szCs w:val="14"/>
                <w:color w:val="auto"/>
              </w:rPr>
              <w:t>1</w:t>
            </w:r>
          </w:p>
        </w:tc>
        <w:tc>
          <w:tcPr>
            <w:tcW w:w="280" w:type="dxa"/>
            <w:vAlign w:val="bottom"/>
          </w:tcPr>
          <w:p>
            <w:pPr>
              <w:spacing w:after="0"/>
              <w:rPr>
                <w:sz w:val="15"/>
                <w:szCs w:val="15"/>
                <w:color w:val="auto"/>
              </w:rPr>
            </w:pPr>
          </w:p>
        </w:tc>
        <w:tc>
          <w:tcPr>
            <w:tcW w:w="1820" w:type="dxa"/>
            <w:vAlign w:val="bottom"/>
            <w:gridSpan w:val="2"/>
          </w:tcPr>
          <w:p>
            <w:pPr>
              <w:jc w:val="right"/>
              <w:ind w:right="5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r>
      <w:tr>
        <w:trPr>
          <w:trHeight w:val="175"/>
        </w:trPr>
        <w:tc>
          <w:tcPr>
            <w:tcW w:w="7380" w:type="dxa"/>
            <w:vAlign w:val="bottom"/>
            <w:gridSpan w:val="3"/>
            <w:shd w:val="clear" w:color="auto" w:fill="CCECFF"/>
          </w:tcPr>
          <w:p>
            <w:pPr>
              <w:ind w:left="20"/>
              <w:spacing w:after="0"/>
              <w:rPr>
                <w:sz w:val="20"/>
                <w:szCs w:val="20"/>
                <w:color w:val="auto"/>
              </w:rPr>
            </w:pPr>
            <w:r>
              <w:rPr>
                <w:rFonts w:ascii="Arial" w:cs="Arial" w:eastAsia="Arial" w:hAnsi="Arial"/>
                <w:sz w:val="14"/>
                <w:szCs w:val="14"/>
                <w:color w:val="auto"/>
              </w:rPr>
              <w:t>Banking, Finance, Insurance &amp; Real Estate</w:t>
            </w:r>
          </w:p>
        </w:tc>
        <w:tc>
          <w:tcPr>
            <w:tcW w:w="176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1</w:t>
            </w:r>
          </w:p>
        </w:tc>
        <w:tc>
          <w:tcPr>
            <w:tcW w:w="280" w:type="dxa"/>
            <w:vAlign w:val="bottom"/>
            <w:shd w:val="clear" w:color="auto" w:fill="CCECFF"/>
          </w:tcPr>
          <w:p>
            <w:pPr>
              <w:spacing w:after="0"/>
              <w:rPr>
                <w:sz w:val="15"/>
                <w:szCs w:val="15"/>
                <w:color w:val="auto"/>
              </w:rPr>
            </w:pPr>
          </w:p>
        </w:tc>
        <w:tc>
          <w:tcPr>
            <w:tcW w:w="17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CFF"/>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7380" w:type="dxa"/>
            <w:vAlign w:val="bottom"/>
            <w:gridSpan w:val="3"/>
          </w:tcPr>
          <w:p>
            <w:pPr>
              <w:ind w:left="20"/>
              <w:spacing w:after="0"/>
              <w:rPr>
                <w:sz w:val="20"/>
                <w:szCs w:val="20"/>
                <w:color w:val="auto"/>
              </w:rPr>
            </w:pPr>
            <w:r>
              <w:rPr>
                <w:rFonts w:ascii="Arial" w:cs="Arial" w:eastAsia="Arial" w:hAnsi="Arial"/>
                <w:sz w:val="14"/>
                <w:szCs w:val="14"/>
                <w:color w:val="auto"/>
              </w:rPr>
              <w:t>Building Products</w:t>
            </w:r>
          </w:p>
        </w:tc>
        <w:tc>
          <w:tcPr>
            <w:tcW w:w="1760" w:type="dxa"/>
            <w:vAlign w:val="bottom"/>
            <w:gridSpan w:val="2"/>
          </w:tcPr>
          <w:p>
            <w:pPr>
              <w:jc w:val="right"/>
              <w:spacing w:after="0"/>
              <w:rPr>
                <w:sz w:val="20"/>
                <w:szCs w:val="20"/>
                <w:color w:val="auto"/>
              </w:rPr>
            </w:pPr>
            <w:r>
              <w:rPr>
                <w:rFonts w:ascii="Arial" w:cs="Arial" w:eastAsia="Arial" w:hAnsi="Arial"/>
                <w:sz w:val="14"/>
                <w:szCs w:val="14"/>
                <w:color w:val="auto"/>
              </w:rPr>
              <w:t>1</w:t>
            </w:r>
          </w:p>
        </w:tc>
        <w:tc>
          <w:tcPr>
            <w:tcW w:w="28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5"/>
        </w:trPr>
        <w:tc>
          <w:tcPr>
            <w:tcW w:w="7380" w:type="dxa"/>
            <w:vAlign w:val="bottom"/>
            <w:gridSpan w:val="3"/>
            <w:shd w:val="clear" w:color="auto" w:fill="CCECFF"/>
          </w:tcPr>
          <w:p>
            <w:pPr>
              <w:ind w:left="20"/>
              <w:spacing w:after="0"/>
              <w:rPr>
                <w:sz w:val="20"/>
                <w:szCs w:val="20"/>
                <w:color w:val="auto"/>
              </w:rPr>
            </w:pPr>
            <w:r>
              <w:rPr>
                <w:rFonts w:ascii="Arial" w:cs="Arial" w:eastAsia="Arial" w:hAnsi="Arial"/>
                <w:sz w:val="14"/>
                <w:szCs w:val="14"/>
                <w:color w:val="auto"/>
              </w:rPr>
              <w:t>Construction &amp; Engineering</w:t>
            </w:r>
          </w:p>
        </w:tc>
        <w:tc>
          <w:tcPr>
            <w:tcW w:w="176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1</w:t>
            </w:r>
          </w:p>
        </w:tc>
        <w:tc>
          <w:tcPr>
            <w:tcW w:w="280" w:type="dxa"/>
            <w:vAlign w:val="bottom"/>
            <w:shd w:val="clear" w:color="auto" w:fill="CCECFF"/>
          </w:tcPr>
          <w:p>
            <w:pPr>
              <w:spacing w:after="0"/>
              <w:rPr>
                <w:sz w:val="15"/>
                <w:szCs w:val="15"/>
                <w:color w:val="auto"/>
              </w:rPr>
            </w:pPr>
          </w:p>
        </w:tc>
        <w:tc>
          <w:tcPr>
            <w:tcW w:w="17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CFF"/>
          </w:tcPr>
          <w:p>
            <w:pPr>
              <w:spacing w:after="0"/>
              <w:rPr>
                <w:sz w:val="15"/>
                <w:szCs w:val="15"/>
                <w:color w:val="auto"/>
              </w:rPr>
            </w:pPr>
          </w:p>
        </w:tc>
        <w:tc>
          <w:tcPr>
            <w:tcW w:w="20" w:type="dxa"/>
            <w:vAlign w:val="bottom"/>
          </w:tcPr>
          <w:p>
            <w:pPr>
              <w:spacing w:after="0"/>
              <w:rPr>
                <w:sz w:val="15"/>
                <w:szCs w:val="15"/>
                <w:color w:val="auto"/>
              </w:rPr>
            </w:pPr>
          </w:p>
        </w:tc>
      </w:tr>
      <w:tr>
        <w:trPr>
          <w:trHeight w:val="175"/>
        </w:trPr>
        <w:tc>
          <w:tcPr>
            <w:tcW w:w="7380" w:type="dxa"/>
            <w:vAlign w:val="bottom"/>
            <w:gridSpan w:val="3"/>
          </w:tcPr>
          <w:p>
            <w:pPr>
              <w:ind w:left="20"/>
              <w:spacing w:after="0"/>
              <w:rPr>
                <w:sz w:val="20"/>
                <w:szCs w:val="20"/>
                <w:color w:val="auto"/>
              </w:rPr>
            </w:pPr>
            <w:r>
              <w:rPr>
                <w:rFonts w:ascii="Arial" w:cs="Arial" w:eastAsia="Arial" w:hAnsi="Arial"/>
                <w:sz w:val="14"/>
                <w:szCs w:val="14"/>
                <w:color w:val="auto"/>
              </w:rPr>
              <w:t>Consumer Finance</w:t>
            </w:r>
          </w:p>
        </w:tc>
        <w:tc>
          <w:tcPr>
            <w:tcW w:w="1760" w:type="dxa"/>
            <w:vAlign w:val="bottom"/>
            <w:gridSpan w:val="2"/>
          </w:tcPr>
          <w:p>
            <w:pPr>
              <w:jc w:val="right"/>
              <w:spacing w:after="0"/>
              <w:rPr>
                <w:sz w:val="20"/>
                <w:szCs w:val="20"/>
                <w:color w:val="auto"/>
              </w:rPr>
            </w:pPr>
            <w:r>
              <w:rPr>
                <w:rFonts w:ascii="Arial" w:cs="Arial" w:eastAsia="Arial" w:hAnsi="Arial"/>
                <w:sz w:val="14"/>
                <w:szCs w:val="14"/>
                <w:color w:val="auto"/>
              </w:rPr>
              <w:t>1</w:t>
            </w:r>
          </w:p>
        </w:tc>
        <w:tc>
          <w:tcPr>
            <w:tcW w:w="280" w:type="dxa"/>
            <w:vAlign w:val="bottom"/>
          </w:tcPr>
          <w:p>
            <w:pPr>
              <w:spacing w:after="0"/>
              <w:rPr>
                <w:sz w:val="15"/>
                <w:szCs w:val="15"/>
                <w:color w:val="auto"/>
              </w:rPr>
            </w:pPr>
          </w:p>
        </w:tc>
        <w:tc>
          <w:tcPr>
            <w:tcW w:w="1820" w:type="dxa"/>
            <w:vAlign w:val="bottom"/>
            <w:gridSpan w:val="2"/>
          </w:tcPr>
          <w:p>
            <w:pPr>
              <w:jc w:val="right"/>
              <w:ind w:right="5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r>
      <w:tr>
        <w:trPr>
          <w:trHeight w:val="176"/>
        </w:trPr>
        <w:tc>
          <w:tcPr>
            <w:tcW w:w="7380" w:type="dxa"/>
            <w:vAlign w:val="bottom"/>
            <w:gridSpan w:val="3"/>
            <w:shd w:val="clear" w:color="auto" w:fill="CCECFF"/>
          </w:tcPr>
          <w:p>
            <w:pPr>
              <w:ind w:left="20"/>
              <w:spacing w:after="0"/>
              <w:rPr>
                <w:sz w:val="20"/>
                <w:szCs w:val="20"/>
                <w:color w:val="auto"/>
              </w:rPr>
            </w:pPr>
            <w:r>
              <w:rPr>
                <w:rFonts w:ascii="Arial" w:cs="Arial" w:eastAsia="Arial" w:hAnsi="Arial"/>
                <w:sz w:val="14"/>
                <w:szCs w:val="14"/>
                <w:color w:val="auto"/>
              </w:rPr>
              <w:t>Energy Equipment and Services</w:t>
            </w:r>
          </w:p>
        </w:tc>
        <w:tc>
          <w:tcPr>
            <w:tcW w:w="176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1</w:t>
            </w:r>
          </w:p>
        </w:tc>
        <w:tc>
          <w:tcPr>
            <w:tcW w:w="280" w:type="dxa"/>
            <w:vAlign w:val="bottom"/>
            <w:shd w:val="clear" w:color="auto" w:fill="CCECFF"/>
          </w:tcPr>
          <w:p>
            <w:pPr>
              <w:spacing w:after="0"/>
              <w:rPr>
                <w:sz w:val="15"/>
                <w:szCs w:val="15"/>
                <w:color w:val="auto"/>
              </w:rPr>
            </w:pPr>
          </w:p>
        </w:tc>
        <w:tc>
          <w:tcPr>
            <w:tcW w:w="17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CFF"/>
          </w:tcPr>
          <w:p>
            <w:pPr>
              <w:spacing w:after="0"/>
              <w:rPr>
                <w:sz w:val="15"/>
                <w:szCs w:val="15"/>
                <w:color w:val="auto"/>
              </w:rPr>
            </w:pPr>
          </w:p>
        </w:tc>
        <w:tc>
          <w:tcPr>
            <w:tcW w:w="20" w:type="dxa"/>
            <w:vAlign w:val="bottom"/>
          </w:tcPr>
          <w:p>
            <w:pPr>
              <w:spacing w:after="0"/>
              <w:rPr>
                <w:sz w:val="15"/>
                <w:szCs w:val="15"/>
                <w:color w:val="auto"/>
              </w:rPr>
            </w:pPr>
          </w:p>
        </w:tc>
      </w:tr>
      <w:tr>
        <w:trPr>
          <w:trHeight w:val="175"/>
        </w:trPr>
        <w:tc>
          <w:tcPr>
            <w:tcW w:w="7380" w:type="dxa"/>
            <w:vAlign w:val="bottom"/>
            <w:gridSpan w:val="3"/>
          </w:tcPr>
          <w:p>
            <w:pPr>
              <w:ind w:left="20"/>
              <w:spacing w:after="0"/>
              <w:rPr>
                <w:sz w:val="20"/>
                <w:szCs w:val="20"/>
                <w:color w:val="auto"/>
              </w:rPr>
            </w:pPr>
            <w:r>
              <w:rPr>
                <w:rFonts w:ascii="Arial" w:cs="Arial" w:eastAsia="Arial" w:hAnsi="Arial"/>
                <w:sz w:val="14"/>
                <w:szCs w:val="14"/>
                <w:color w:val="auto"/>
              </w:rPr>
              <w:t>Financial Services</w:t>
            </w:r>
          </w:p>
        </w:tc>
        <w:tc>
          <w:tcPr>
            <w:tcW w:w="1760" w:type="dxa"/>
            <w:vAlign w:val="bottom"/>
            <w:gridSpan w:val="2"/>
          </w:tcPr>
          <w:p>
            <w:pPr>
              <w:jc w:val="right"/>
              <w:spacing w:after="0"/>
              <w:rPr>
                <w:sz w:val="20"/>
                <w:szCs w:val="20"/>
                <w:color w:val="auto"/>
              </w:rPr>
            </w:pPr>
            <w:r>
              <w:rPr>
                <w:rFonts w:ascii="Arial" w:cs="Arial" w:eastAsia="Arial" w:hAnsi="Arial"/>
                <w:sz w:val="14"/>
                <w:szCs w:val="14"/>
                <w:color w:val="auto"/>
              </w:rPr>
              <w:t>1</w:t>
            </w:r>
          </w:p>
        </w:tc>
        <w:tc>
          <w:tcPr>
            <w:tcW w:w="28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5"/>
        </w:trPr>
        <w:tc>
          <w:tcPr>
            <w:tcW w:w="7380" w:type="dxa"/>
            <w:vAlign w:val="bottom"/>
            <w:gridSpan w:val="3"/>
            <w:shd w:val="clear" w:color="auto" w:fill="CCECFF"/>
          </w:tcPr>
          <w:p>
            <w:pPr>
              <w:ind w:left="20"/>
              <w:spacing w:after="0"/>
              <w:rPr>
                <w:sz w:val="20"/>
                <w:szCs w:val="20"/>
                <w:color w:val="auto"/>
              </w:rPr>
            </w:pPr>
            <w:r>
              <w:rPr>
                <w:rFonts w:ascii="Arial" w:cs="Arial" w:eastAsia="Arial" w:hAnsi="Arial"/>
                <w:sz w:val="14"/>
                <w:szCs w:val="14"/>
                <w:color w:val="auto"/>
              </w:rPr>
              <w:t>Hotels, Restaurants and Leisure</w:t>
            </w:r>
          </w:p>
        </w:tc>
        <w:tc>
          <w:tcPr>
            <w:tcW w:w="176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1</w:t>
            </w:r>
          </w:p>
        </w:tc>
        <w:tc>
          <w:tcPr>
            <w:tcW w:w="280" w:type="dxa"/>
            <w:vAlign w:val="bottom"/>
            <w:shd w:val="clear" w:color="auto" w:fill="CCECFF"/>
          </w:tcPr>
          <w:p>
            <w:pPr>
              <w:spacing w:after="0"/>
              <w:rPr>
                <w:sz w:val="15"/>
                <w:szCs w:val="15"/>
                <w:color w:val="auto"/>
              </w:rPr>
            </w:pPr>
          </w:p>
        </w:tc>
        <w:tc>
          <w:tcPr>
            <w:tcW w:w="17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CFF"/>
          </w:tcPr>
          <w:p>
            <w:pPr>
              <w:spacing w:after="0"/>
              <w:rPr>
                <w:sz w:val="15"/>
                <w:szCs w:val="15"/>
                <w:color w:val="auto"/>
              </w:rPr>
            </w:pPr>
          </w:p>
        </w:tc>
        <w:tc>
          <w:tcPr>
            <w:tcW w:w="20" w:type="dxa"/>
            <w:vAlign w:val="bottom"/>
          </w:tcPr>
          <w:p>
            <w:pPr>
              <w:spacing w:after="0"/>
              <w:rPr>
                <w:sz w:val="15"/>
                <w:szCs w:val="15"/>
                <w:color w:val="auto"/>
              </w:rPr>
            </w:pPr>
          </w:p>
        </w:tc>
      </w:tr>
      <w:tr>
        <w:trPr>
          <w:trHeight w:val="175"/>
        </w:trPr>
        <w:tc>
          <w:tcPr>
            <w:tcW w:w="7380" w:type="dxa"/>
            <w:vAlign w:val="bottom"/>
            <w:gridSpan w:val="3"/>
          </w:tcPr>
          <w:p>
            <w:pPr>
              <w:ind w:left="20"/>
              <w:spacing w:after="0"/>
              <w:rPr>
                <w:sz w:val="20"/>
                <w:szCs w:val="20"/>
                <w:color w:val="auto"/>
              </w:rPr>
            </w:pPr>
            <w:r>
              <w:rPr>
                <w:rFonts w:ascii="Arial" w:cs="Arial" w:eastAsia="Arial" w:hAnsi="Arial"/>
                <w:sz w:val="14"/>
                <w:szCs w:val="14"/>
                <w:color w:val="auto"/>
              </w:rPr>
              <w:t>Internet Software and Services</w:t>
            </w:r>
          </w:p>
        </w:tc>
        <w:tc>
          <w:tcPr>
            <w:tcW w:w="1760" w:type="dxa"/>
            <w:vAlign w:val="bottom"/>
            <w:gridSpan w:val="2"/>
          </w:tcPr>
          <w:p>
            <w:pPr>
              <w:jc w:val="right"/>
              <w:spacing w:after="0"/>
              <w:rPr>
                <w:sz w:val="20"/>
                <w:szCs w:val="20"/>
                <w:color w:val="auto"/>
              </w:rPr>
            </w:pPr>
            <w:r>
              <w:rPr>
                <w:rFonts w:ascii="Arial" w:cs="Arial" w:eastAsia="Arial" w:hAnsi="Arial"/>
                <w:sz w:val="14"/>
                <w:szCs w:val="14"/>
                <w:color w:val="auto"/>
              </w:rPr>
              <w:t>1</w:t>
            </w:r>
          </w:p>
        </w:tc>
        <w:tc>
          <w:tcPr>
            <w:tcW w:w="280" w:type="dxa"/>
            <w:vAlign w:val="bottom"/>
          </w:tcPr>
          <w:p>
            <w:pPr>
              <w:spacing w:after="0"/>
              <w:rPr>
                <w:sz w:val="15"/>
                <w:szCs w:val="15"/>
                <w:color w:val="auto"/>
              </w:rPr>
            </w:pPr>
          </w:p>
        </w:tc>
        <w:tc>
          <w:tcPr>
            <w:tcW w:w="1820" w:type="dxa"/>
            <w:vAlign w:val="bottom"/>
            <w:gridSpan w:val="2"/>
          </w:tcPr>
          <w:p>
            <w:pPr>
              <w:jc w:val="right"/>
              <w:ind w:right="5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r>
      <w:tr>
        <w:trPr>
          <w:trHeight w:val="175"/>
        </w:trPr>
        <w:tc>
          <w:tcPr>
            <w:tcW w:w="7380" w:type="dxa"/>
            <w:vAlign w:val="bottom"/>
            <w:gridSpan w:val="3"/>
            <w:shd w:val="clear" w:color="auto" w:fill="CCECFF"/>
          </w:tcPr>
          <w:p>
            <w:pPr>
              <w:ind w:left="20"/>
              <w:spacing w:after="0"/>
              <w:rPr>
                <w:sz w:val="20"/>
                <w:szCs w:val="20"/>
                <w:color w:val="auto"/>
              </w:rPr>
            </w:pPr>
            <w:r>
              <w:rPr>
                <w:rFonts w:ascii="Arial" w:cs="Arial" w:eastAsia="Arial" w:hAnsi="Arial"/>
                <w:sz w:val="14"/>
                <w:szCs w:val="14"/>
                <w:color w:val="auto"/>
              </w:rPr>
              <w:t>Leisure Products</w:t>
            </w:r>
          </w:p>
        </w:tc>
        <w:tc>
          <w:tcPr>
            <w:tcW w:w="176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1</w:t>
            </w:r>
          </w:p>
        </w:tc>
        <w:tc>
          <w:tcPr>
            <w:tcW w:w="280" w:type="dxa"/>
            <w:vAlign w:val="bottom"/>
            <w:shd w:val="clear" w:color="auto" w:fill="CCECFF"/>
          </w:tcPr>
          <w:p>
            <w:pPr>
              <w:spacing w:after="0"/>
              <w:rPr>
                <w:sz w:val="15"/>
                <w:szCs w:val="15"/>
                <w:color w:val="auto"/>
              </w:rPr>
            </w:pPr>
          </w:p>
        </w:tc>
        <w:tc>
          <w:tcPr>
            <w:tcW w:w="1820" w:type="dxa"/>
            <w:vAlign w:val="bottom"/>
            <w:gridSpan w:val="2"/>
            <w:shd w:val="clear" w:color="auto" w:fill="CCECFF"/>
          </w:tcPr>
          <w:p>
            <w:pPr>
              <w:jc w:val="right"/>
              <w:ind w:right="5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r>
      <w:tr>
        <w:trPr>
          <w:trHeight w:val="175"/>
        </w:trPr>
        <w:tc>
          <w:tcPr>
            <w:tcW w:w="7380" w:type="dxa"/>
            <w:vAlign w:val="bottom"/>
            <w:gridSpan w:val="3"/>
          </w:tcPr>
          <w:p>
            <w:pPr>
              <w:ind w:left="20"/>
              <w:spacing w:after="0"/>
              <w:rPr>
                <w:sz w:val="20"/>
                <w:szCs w:val="20"/>
                <w:color w:val="auto"/>
              </w:rPr>
            </w:pPr>
            <w:r>
              <w:rPr>
                <w:rFonts w:ascii="Arial" w:cs="Arial" w:eastAsia="Arial" w:hAnsi="Arial"/>
                <w:sz w:val="14"/>
                <w:szCs w:val="14"/>
                <w:color w:val="auto"/>
              </w:rPr>
              <w:t>Software</w:t>
            </w:r>
          </w:p>
        </w:tc>
        <w:tc>
          <w:tcPr>
            <w:tcW w:w="1760" w:type="dxa"/>
            <w:vAlign w:val="bottom"/>
            <w:gridSpan w:val="2"/>
          </w:tcPr>
          <w:p>
            <w:pPr>
              <w:jc w:val="right"/>
              <w:spacing w:after="0"/>
              <w:rPr>
                <w:sz w:val="20"/>
                <w:szCs w:val="20"/>
                <w:color w:val="auto"/>
              </w:rPr>
            </w:pPr>
            <w:r>
              <w:rPr>
                <w:rFonts w:ascii="Arial" w:cs="Arial" w:eastAsia="Arial" w:hAnsi="Arial"/>
                <w:sz w:val="14"/>
                <w:szCs w:val="14"/>
                <w:color w:val="auto"/>
              </w:rPr>
              <w:t>1</w:t>
            </w:r>
          </w:p>
        </w:tc>
        <w:tc>
          <w:tcPr>
            <w:tcW w:w="280" w:type="dxa"/>
            <w:vAlign w:val="bottom"/>
          </w:tcPr>
          <w:p>
            <w:pPr>
              <w:spacing w:after="0"/>
              <w:rPr>
                <w:sz w:val="15"/>
                <w:szCs w:val="15"/>
                <w:color w:val="auto"/>
              </w:rPr>
            </w:pPr>
          </w:p>
        </w:tc>
        <w:tc>
          <w:tcPr>
            <w:tcW w:w="1820" w:type="dxa"/>
            <w:vAlign w:val="bottom"/>
            <w:gridSpan w:val="2"/>
          </w:tcPr>
          <w:p>
            <w:pPr>
              <w:jc w:val="right"/>
              <w:ind w:right="5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r>
      <w:tr>
        <w:trPr>
          <w:trHeight w:val="176"/>
        </w:trPr>
        <w:tc>
          <w:tcPr>
            <w:tcW w:w="7380" w:type="dxa"/>
            <w:vAlign w:val="bottom"/>
            <w:gridSpan w:val="3"/>
            <w:shd w:val="clear" w:color="auto" w:fill="CCECFF"/>
          </w:tcPr>
          <w:p>
            <w:pPr>
              <w:ind w:left="20"/>
              <w:spacing w:after="0"/>
              <w:rPr>
                <w:sz w:val="20"/>
                <w:szCs w:val="20"/>
                <w:color w:val="auto"/>
              </w:rPr>
            </w:pPr>
            <w:r>
              <w:rPr>
                <w:rFonts w:ascii="Arial" w:cs="Arial" w:eastAsia="Arial" w:hAnsi="Arial"/>
                <w:sz w:val="14"/>
                <w:szCs w:val="14"/>
                <w:color w:val="auto"/>
              </w:rPr>
              <w:t>Textiles, Apparel and Luxury Goods</w:t>
            </w:r>
          </w:p>
        </w:tc>
        <w:tc>
          <w:tcPr>
            <w:tcW w:w="176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1</w:t>
            </w:r>
          </w:p>
        </w:tc>
        <w:tc>
          <w:tcPr>
            <w:tcW w:w="280" w:type="dxa"/>
            <w:vAlign w:val="bottom"/>
            <w:shd w:val="clear" w:color="auto" w:fill="CCECFF"/>
          </w:tcPr>
          <w:p>
            <w:pPr>
              <w:spacing w:after="0"/>
              <w:rPr>
                <w:sz w:val="15"/>
                <w:szCs w:val="15"/>
                <w:color w:val="auto"/>
              </w:rPr>
            </w:pPr>
          </w:p>
        </w:tc>
        <w:tc>
          <w:tcPr>
            <w:tcW w:w="1820" w:type="dxa"/>
            <w:vAlign w:val="bottom"/>
            <w:gridSpan w:val="2"/>
            <w:shd w:val="clear" w:color="auto" w:fill="CCECFF"/>
          </w:tcPr>
          <w:p>
            <w:pPr>
              <w:jc w:val="right"/>
              <w:ind w:right="5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r>
      <w:tr>
        <w:trPr>
          <w:trHeight w:val="175"/>
        </w:trPr>
        <w:tc>
          <w:tcPr>
            <w:tcW w:w="7380" w:type="dxa"/>
            <w:vAlign w:val="bottom"/>
            <w:gridSpan w:val="3"/>
          </w:tcPr>
          <w:p>
            <w:pPr>
              <w:ind w:left="20"/>
              <w:spacing w:after="0"/>
              <w:rPr>
                <w:sz w:val="20"/>
                <w:szCs w:val="20"/>
                <w:color w:val="auto"/>
              </w:rPr>
            </w:pPr>
            <w:r>
              <w:rPr>
                <w:rFonts w:ascii="Arial" w:cs="Arial" w:eastAsia="Arial" w:hAnsi="Arial"/>
                <w:sz w:val="14"/>
                <w:szCs w:val="14"/>
                <w:color w:val="auto"/>
              </w:rPr>
              <w:t>Wholesale</w:t>
            </w:r>
          </w:p>
        </w:tc>
        <w:tc>
          <w:tcPr>
            <w:tcW w:w="1760" w:type="dxa"/>
            <w:vAlign w:val="bottom"/>
            <w:gridSpan w:val="2"/>
          </w:tcPr>
          <w:p>
            <w:pPr>
              <w:jc w:val="right"/>
              <w:spacing w:after="0"/>
              <w:rPr>
                <w:sz w:val="20"/>
                <w:szCs w:val="20"/>
                <w:color w:val="auto"/>
              </w:rPr>
            </w:pPr>
            <w:r>
              <w:rPr>
                <w:rFonts w:ascii="Arial" w:cs="Arial" w:eastAsia="Arial" w:hAnsi="Arial"/>
                <w:sz w:val="14"/>
                <w:szCs w:val="14"/>
                <w:color w:val="auto"/>
              </w:rPr>
              <w:t>1</w:t>
            </w:r>
          </w:p>
        </w:tc>
        <w:tc>
          <w:tcPr>
            <w:tcW w:w="28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5"/>
        </w:trPr>
        <w:tc>
          <w:tcPr>
            <w:tcW w:w="7380" w:type="dxa"/>
            <w:vAlign w:val="bottom"/>
            <w:gridSpan w:val="3"/>
            <w:shd w:val="clear" w:color="auto" w:fill="CCECFF"/>
          </w:tcPr>
          <w:p>
            <w:pPr>
              <w:ind w:left="20"/>
              <w:spacing w:after="0"/>
              <w:rPr>
                <w:sz w:val="20"/>
                <w:szCs w:val="20"/>
                <w:color w:val="auto"/>
              </w:rPr>
            </w:pPr>
            <w:r>
              <w:rPr>
                <w:rFonts w:ascii="Arial" w:cs="Arial" w:eastAsia="Arial" w:hAnsi="Arial"/>
                <w:sz w:val="14"/>
                <w:szCs w:val="14"/>
                <w:color w:val="auto"/>
              </w:rPr>
              <w:t>Hotel, Gaming and Leisure</w:t>
            </w:r>
          </w:p>
        </w:tc>
        <w:tc>
          <w:tcPr>
            <w:tcW w:w="180" w:type="dxa"/>
            <w:vAlign w:val="bottom"/>
            <w:shd w:val="clear" w:color="auto" w:fill="CCECFF"/>
          </w:tcPr>
          <w:p>
            <w:pPr>
              <w:spacing w:after="0"/>
              <w:rPr>
                <w:sz w:val="15"/>
                <w:szCs w:val="15"/>
                <w:color w:val="auto"/>
              </w:rPr>
            </w:pPr>
          </w:p>
        </w:tc>
        <w:tc>
          <w:tcPr>
            <w:tcW w:w="1860" w:type="dxa"/>
            <w:vAlign w:val="bottom"/>
            <w:gridSpan w:val="2"/>
            <w:shd w:val="clear" w:color="auto" w:fill="CCECFF"/>
          </w:tcPr>
          <w:p>
            <w:pPr>
              <w:jc w:val="right"/>
              <w:ind w:right="228"/>
              <w:spacing w:after="0"/>
              <w:rPr>
                <w:sz w:val="20"/>
                <w:szCs w:val="20"/>
                <w:color w:val="auto"/>
              </w:rPr>
            </w:pPr>
            <w:r>
              <w:rPr>
                <w:rFonts w:ascii="Arial" w:cs="Arial" w:eastAsia="Arial" w:hAnsi="Arial"/>
                <w:sz w:val="14"/>
                <w:szCs w:val="14"/>
                <w:color w:val="auto"/>
              </w:rPr>
              <w:t>—</w:t>
            </w:r>
          </w:p>
        </w:tc>
        <w:tc>
          <w:tcPr>
            <w:tcW w:w="17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CFF"/>
          </w:tcPr>
          <w:p>
            <w:pPr>
              <w:spacing w:after="0"/>
              <w:rPr>
                <w:sz w:val="15"/>
                <w:szCs w:val="15"/>
                <w:color w:val="auto"/>
              </w:rPr>
            </w:pPr>
          </w:p>
        </w:tc>
        <w:tc>
          <w:tcPr>
            <w:tcW w:w="20" w:type="dxa"/>
            <w:vAlign w:val="bottom"/>
          </w:tcPr>
          <w:p>
            <w:pPr>
              <w:spacing w:after="0"/>
              <w:rPr>
                <w:sz w:val="15"/>
                <w:szCs w:val="15"/>
                <w:color w:val="auto"/>
              </w:rPr>
            </w:pPr>
          </w:p>
        </w:tc>
      </w:tr>
      <w:tr>
        <w:trPr>
          <w:trHeight w:val="175"/>
        </w:trPr>
        <w:tc>
          <w:tcPr>
            <w:tcW w:w="7380" w:type="dxa"/>
            <w:vAlign w:val="bottom"/>
            <w:gridSpan w:val="3"/>
          </w:tcPr>
          <w:p>
            <w:pPr>
              <w:ind w:left="20"/>
              <w:spacing w:after="0"/>
              <w:rPr>
                <w:sz w:val="20"/>
                <w:szCs w:val="20"/>
                <w:color w:val="auto"/>
              </w:rPr>
            </w:pPr>
            <w:r>
              <w:rPr>
                <w:rFonts w:ascii="Arial" w:cs="Arial" w:eastAsia="Arial" w:hAnsi="Arial"/>
                <w:sz w:val="14"/>
                <w:szCs w:val="14"/>
                <w:color w:val="auto"/>
              </w:rPr>
              <w:t>Media: Advertising, Printing and Publishing</w:t>
            </w:r>
          </w:p>
        </w:tc>
        <w:tc>
          <w:tcPr>
            <w:tcW w:w="180" w:type="dxa"/>
            <w:vAlign w:val="bottom"/>
          </w:tcPr>
          <w:p>
            <w:pPr>
              <w:spacing w:after="0"/>
              <w:rPr>
                <w:sz w:val="15"/>
                <w:szCs w:val="15"/>
                <w:color w:val="auto"/>
              </w:rPr>
            </w:pPr>
          </w:p>
        </w:tc>
        <w:tc>
          <w:tcPr>
            <w:tcW w:w="1860" w:type="dxa"/>
            <w:vAlign w:val="bottom"/>
            <w:gridSpan w:val="2"/>
          </w:tcPr>
          <w:p>
            <w:pPr>
              <w:jc w:val="right"/>
              <w:ind w:right="228"/>
              <w:spacing w:after="0"/>
              <w:rPr>
                <w:sz w:val="20"/>
                <w:szCs w:val="20"/>
                <w:color w:val="auto"/>
              </w:rPr>
            </w:pPr>
            <w:r>
              <w:rPr>
                <w:rFonts w:ascii="Arial" w:cs="Arial" w:eastAsia="Arial" w:hAnsi="Arial"/>
                <w:sz w:val="14"/>
                <w:szCs w:val="14"/>
                <w:color w:val="auto"/>
              </w:rPr>
              <w:t>—</w:t>
            </w:r>
          </w:p>
        </w:tc>
        <w:tc>
          <w:tcPr>
            <w:tcW w:w="172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5"/>
        </w:trPr>
        <w:tc>
          <w:tcPr>
            <w:tcW w:w="7380" w:type="dxa"/>
            <w:vAlign w:val="bottom"/>
            <w:tcBorders>
              <w:bottom w:val="single" w:sz="8" w:color="CCECFF"/>
            </w:tcBorders>
            <w:gridSpan w:val="3"/>
            <w:shd w:val="clear" w:color="auto" w:fill="CCECFF"/>
          </w:tcPr>
          <w:p>
            <w:pPr>
              <w:ind w:left="20"/>
              <w:spacing w:after="0"/>
              <w:rPr>
                <w:sz w:val="20"/>
                <w:szCs w:val="20"/>
                <w:color w:val="auto"/>
              </w:rPr>
            </w:pPr>
            <w:r>
              <w:rPr>
                <w:rFonts w:ascii="Arial" w:cs="Arial" w:eastAsia="Arial" w:hAnsi="Arial"/>
                <w:sz w:val="14"/>
                <w:szCs w:val="14"/>
                <w:color w:val="auto"/>
              </w:rPr>
              <w:t>All Other</w:t>
            </w:r>
          </w:p>
        </w:tc>
        <w:tc>
          <w:tcPr>
            <w:tcW w:w="180" w:type="dxa"/>
            <w:vAlign w:val="bottom"/>
            <w:tcBorders>
              <w:bottom w:val="single" w:sz="8" w:color="CCECFF"/>
            </w:tcBorders>
            <w:shd w:val="clear" w:color="auto" w:fill="CCECFF"/>
          </w:tcPr>
          <w:p>
            <w:pPr>
              <w:spacing w:after="0"/>
              <w:rPr>
                <w:sz w:val="15"/>
                <w:szCs w:val="15"/>
                <w:color w:val="auto"/>
              </w:rPr>
            </w:pPr>
          </w:p>
        </w:tc>
        <w:tc>
          <w:tcPr>
            <w:tcW w:w="15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CFF"/>
            </w:tcBorders>
            <w:shd w:val="clear" w:color="auto" w:fill="CCECFF"/>
          </w:tcPr>
          <w:p>
            <w:pPr>
              <w:spacing w:after="0"/>
              <w:rPr>
                <w:sz w:val="15"/>
                <w:szCs w:val="15"/>
                <w:color w:val="auto"/>
              </w:rPr>
            </w:pPr>
          </w:p>
        </w:tc>
        <w:tc>
          <w:tcPr>
            <w:tcW w:w="17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CCECFF"/>
            </w:tcBorders>
            <w:shd w:val="clear" w:color="auto" w:fill="CCECFF"/>
          </w:tcPr>
          <w:p>
            <w:pPr>
              <w:spacing w:after="0"/>
              <w:rPr>
                <w:sz w:val="15"/>
                <w:szCs w:val="15"/>
                <w:color w:val="auto"/>
              </w:rPr>
            </w:pPr>
          </w:p>
        </w:tc>
        <w:tc>
          <w:tcPr>
            <w:tcW w:w="20" w:type="dxa"/>
            <w:vAlign w:val="bottom"/>
          </w:tcPr>
          <w:p>
            <w:pPr>
              <w:spacing w:after="0"/>
              <w:rPr>
                <w:sz w:val="15"/>
                <w:szCs w:val="15"/>
                <w:color w:val="auto"/>
              </w:rPr>
            </w:pPr>
          </w:p>
        </w:tc>
      </w:tr>
      <w:tr>
        <w:trPr>
          <w:trHeight w:val="169"/>
        </w:trPr>
        <w:tc>
          <w:tcPr>
            <w:tcW w:w="340" w:type="dxa"/>
            <w:vAlign w:val="bottom"/>
          </w:tcPr>
          <w:p>
            <w:pPr>
              <w:ind w:left="20"/>
              <w:spacing w:after="0"/>
              <w:rPr>
                <w:sz w:val="20"/>
                <w:szCs w:val="20"/>
                <w:color w:val="auto"/>
              </w:rPr>
            </w:pPr>
            <w:r>
              <w:rPr>
                <w:rFonts w:ascii="Arial" w:cs="Arial" w:eastAsia="Arial" w:hAnsi="Arial"/>
                <w:sz w:val="14"/>
                <w:szCs w:val="14"/>
                <w:color w:val="auto"/>
                <w:w w:val="96"/>
              </w:rPr>
              <w:t>Total</w:t>
            </w:r>
          </w:p>
        </w:tc>
        <w:tc>
          <w:tcPr>
            <w:tcW w:w="236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2040" w:type="dxa"/>
            <w:vAlign w:val="bottom"/>
            <w:gridSpan w:val="3"/>
          </w:tcPr>
          <w:p>
            <w:pPr>
              <w:jc w:val="right"/>
              <w:ind w:right="88"/>
              <w:spacing w:after="0"/>
              <w:rPr>
                <w:sz w:val="20"/>
                <w:szCs w:val="20"/>
                <w:color w:val="auto"/>
              </w:rPr>
            </w:pPr>
            <w:r>
              <w:rPr>
                <w:rFonts w:ascii="Arial" w:cs="Arial" w:eastAsia="Arial" w:hAnsi="Arial"/>
                <w:sz w:val="14"/>
                <w:szCs w:val="14"/>
                <w:color w:val="auto"/>
              </w:rPr>
              <w:t>100 %</w:t>
            </w:r>
          </w:p>
        </w:tc>
        <w:tc>
          <w:tcPr>
            <w:tcW w:w="1820" w:type="dxa"/>
            <w:vAlign w:val="bottom"/>
            <w:gridSpan w:val="2"/>
          </w:tcPr>
          <w:p>
            <w:pPr>
              <w:jc w:val="right"/>
              <w:spacing w:after="0"/>
              <w:rPr>
                <w:sz w:val="20"/>
                <w:szCs w:val="20"/>
                <w:color w:val="auto"/>
              </w:rPr>
            </w:pPr>
            <w:r>
              <w:rPr>
                <w:rFonts w:ascii="Arial" w:cs="Arial" w:eastAsia="Arial" w:hAnsi="Arial"/>
                <w:sz w:val="14"/>
                <w:szCs w:val="14"/>
                <w:color w:val="auto"/>
              </w:rPr>
              <w:t>100 %</w:t>
            </w:r>
          </w:p>
        </w:tc>
        <w:tc>
          <w:tcPr>
            <w:tcW w:w="20" w:type="dxa"/>
            <w:vAlign w:val="bottom"/>
          </w:tcPr>
          <w:p>
            <w:pPr>
              <w:spacing w:after="0"/>
              <w:rPr>
                <w:sz w:val="14"/>
                <w:szCs w:val="14"/>
                <w:color w:val="auto"/>
              </w:rPr>
            </w:pPr>
          </w:p>
        </w:tc>
      </w:tr>
      <w:tr>
        <w:trPr>
          <w:trHeight w:val="20"/>
        </w:trPr>
        <w:tc>
          <w:tcPr>
            <w:tcW w:w="3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34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tcPr>
          <w:p>
            <w:pPr>
              <w:spacing w:after="0"/>
              <w:rPr>
                <w:sz w:val="17"/>
                <w:szCs w:val="17"/>
                <w:color w:val="auto"/>
              </w:rPr>
            </w:pPr>
          </w:p>
        </w:tc>
        <w:tc>
          <w:tcPr>
            <w:tcW w:w="4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8"/>
        </w:trPr>
        <w:tc>
          <w:tcPr>
            <w:tcW w:w="340" w:type="dxa"/>
            <w:vAlign w:val="bottom"/>
          </w:tcPr>
          <w:p>
            <w:pPr>
              <w:spacing w:after="0"/>
              <w:rPr>
                <w:sz w:val="20"/>
                <w:szCs w:val="20"/>
                <w:color w:val="auto"/>
              </w:rPr>
            </w:pPr>
            <w:r>
              <w:rPr>
                <w:rFonts w:ascii="Arial" w:cs="Arial" w:eastAsia="Arial" w:hAnsi="Arial"/>
                <w:sz w:val="10"/>
                <w:szCs w:val="10"/>
                <w:color w:val="auto"/>
              </w:rPr>
              <w:t>(1)</w:t>
            </w:r>
          </w:p>
        </w:tc>
        <w:tc>
          <w:tcPr>
            <w:tcW w:w="7040" w:type="dxa"/>
            <w:vAlign w:val="bottom"/>
            <w:gridSpan w:val="2"/>
          </w:tcPr>
          <w:p>
            <w:pPr>
              <w:ind w:left="40"/>
              <w:spacing w:after="0"/>
              <w:rPr>
                <w:sz w:val="20"/>
                <w:szCs w:val="20"/>
                <w:color w:val="auto"/>
              </w:rPr>
            </w:pPr>
            <w:r>
              <w:rPr>
                <w:rFonts w:ascii="Arial" w:cs="Arial" w:eastAsia="Arial" w:hAnsi="Arial"/>
                <w:sz w:val="14"/>
                <w:szCs w:val="14"/>
                <w:color w:val="auto"/>
              </w:rPr>
              <w:t>Excludes investments in PSSL.</w:t>
            </w:r>
          </w:p>
        </w:tc>
        <w:tc>
          <w:tcPr>
            <w:tcW w:w="1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5800090</wp:posOffset>
            </wp:positionH>
            <wp:positionV relativeFrom="paragraph">
              <wp:posOffset>-417195</wp:posOffset>
            </wp:positionV>
            <wp:extent cx="68580" cy="571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-417195</wp:posOffset>
            </wp:positionV>
            <wp:extent cx="68580" cy="571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PennantPark Senior Secured Loan Fund I LLC</w:t>
      </w:r>
    </w:p>
    <w:p>
      <w:pPr>
        <w:spacing w:after="0" w:line="208" w:lineRule="exact"/>
        <w:rPr>
          <w:sz w:val="20"/>
          <w:szCs w:val="20"/>
          <w:color w:val="auto"/>
        </w:rPr>
      </w:pPr>
    </w:p>
    <w:p>
      <w:pPr>
        <w:jc w:val="both"/>
        <w:ind w:right="20" w:firstLine="449"/>
        <w:spacing w:after="0" w:line="249" w:lineRule="auto"/>
        <w:rPr>
          <w:sz w:val="20"/>
          <w:szCs w:val="20"/>
          <w:color w:val="auto"/>
        </w:rPr>
      </w:pPr>
      <w:r>
        <w:rPr>
          <w:rFonts w:ascii="Arial" w:cs="Arial" w:eastAsia="Arial" w:hAnsi="Arial"/>
          <w:sz w:val="14"/>
          <w:szCs w:val="14"/>
          <w:color w:val="auto"/>
        </w:rPr>
        <w:t>In May 2017, we and Kemper formed PSSL, an unconsolidated joint venture. PSSL invests primarily in middle-market and other corporate debt securities consistent with our strategy. PSSL was formed as a Delaware limited liability company. As of June 30, 2022 and September 30, 2021, PSSL had total assets of $790.3 million and $603.6 million, respectively. As of June 30, 2022, at fair value, the largest investment in a single portfolio company in PSSL was $19.1 million and the five largest investments totaled $86.6 million. As of September 30, 2021, at fair value, the largest investment in a single portfolio company in PSSL was $18.9 million and the five largest investments totaled $84.3 million. PSSL invests in portfolio companies in the same industries in which we may directly invest.</w:t>
      </w:r>
    </w:p>
    <w:p>
      <w:pPr>
        <w:spacing w:after="0" w:line="177" w:lineRule="exact"/>
        <w:rPr>
          <w:sz w:val="20"/>
          <w:szCs w:val="20"/>
          <w:color w:val="auto"/>
        </w:rPr>
      </w:pPr>
    </w:p>
    <w:p>
      <w:pPr>
        <w:jc w:val="both"/>
        <w:ind w:right="20" w:firstLine="449"/>
        <w:spacing w:after="0" w:line="252" w:lineRule="auto"/>
        <w:rPr>
          <w:sz w:val="20"/>
          <w:szCs w:val="20"/>
          <w:color w:val="auto"/>
        </w:rPr>
      </w:pPr>
      <w:r>
        <w:rPr>
          <w:rFonts w:ascii="Arial" w:cs="Arial" w:eastAsia="Arial" w:hAnsi="Arial"/>
          <w:sz w:val="14"/>
          <w:szCs w:val="14"/>
          <w:color w:val="auto"/>
        </w:rPr>
        <w:t>We provide capital to PSSL in the form of first lien secured debt and equity interests. As of June 30, 2022 and September 30, 2021, we and Kemper owned 87.5% and 12.5%, respectively, of each of the outstanding first lien secured debt and equity interests. As of the same dates, our investment in PSSL consisted of first lien secured debt of $190.2 million (additional $19.9 million unfunded) and $140.9 million (additional $29.4 million unfunded), respectively, and equity interests of $81.5 million (additional $8.5 million unfunded) and $60.4 million (additional $12.6 million unfunded), respectively.</w:t>
      </w:r>
    </w:p>
    <w:p>
      <w:pPr>
        <w:spacing w:after="0" w:line="174" w:lineRule="exact"/>
        <w:rPr>
          <w:sz w:val="20"/>
          <w:szCs w:val="20"/>
          <w:color w:val="auto"/>
        </w:rPr>
      </w:pPr>
    </w:p>
    <w:p>
      <w:pPr>
        <w:jc w:val="both"/>
        <w:ind w:right="20" w:firstLine="449"/>
        <w:spacing w:after="0" w:line="247" w:lineRule="auto"/>
        <w:rPr>
          <w:sz w:val="20"/>
          <w:szCs w:val="20"/>
          <w:color w:val="auto"/>
        </w:rPr>
      </w:pPr>
      <w:r>
        <w:rPr>
          <w:rFonts w:ascii="Arial" w:cs="Arial" w:eastAsia="Arial" w:hAnsi="Arial"/>
          <w:sz w:val="14"/>
          <w:szCs w:val="14"/>
          <w:color w:val="auto"/>
        </w:rPr>
        <w:t>We and Kemper each appointed two members to PSSL’s four-person board of directors and investment committee. All material decisions with respect to PSSL, including those involving its investment portfolio, require unanimous approval of a quorum of the board of directors or investment committee. Quorum is defined as (i) the presence of two members of the board of directors or investment committee, provided that at least one individual is present that was elected, designated or appointed by each member; (ii) the presence of three members of the board of directors or investment committee, provided that the individual that was elected, designated or appointed by the member with only one individual present shall be entitled to cast two votes on each matter; and (iii) the presence of four members of the board of directors or investment committee shall constitute a quorum, provided that two individuals are present that were elected, designated or appointed by each member.</w:t>
      </w:r>
    </w:p>
    <w:p>
      <w:pPr>
        <w:spacing w:after="0" w:line="180" w:lineRule="exact"/>
        <w:rPr>
          <w:sz w:val="20"/>
          <w:szCs w:val="20"/>
          <w:color w:val="auto"/>
        </w:rPr>
      </w:pPr>
    </w:p>
    <w:p>
      <w:pPr>
        <w:jc w:val="both"/>
        <w:ind w:right="20" w:firstLine="449"/>
        <w:spacing w:after="0" w:line="257" w:lineRule="auto"/>
        <w:rPr>
          <w:sz w:val="20"/>
          <w:szCs w:val="20"/>
          <w:color w:val="auto"/>
        </w:rPr>
      </w:pPr>
      <w:r>
        <w:rPr>
          <w:rFonts w:ascii="Arial" w:cs="Arial" w:eastAsia="Arial" w:hAnsi="Arial"/>
          <w:sz w:val="14"/>
          <w:szCs w:val="14"/>
          <w:color w:val="auto"/>
        </w:rPr>
        <w:t>In May 2022 PSSL has entered into a $325.0 million (increased from $225.0 million in May 2022) senior secured revolving credit facility which bears interest at daily simple SOFR plus 260 basis points (including a spread adjustment) with Ally Bank through its wholly-owned subsidiary, PennantPark Senior Secured Loan Facility LLC II, or PSSL Subsidiary II, subject to leverage and borrowing base restrictions.</w:t>
      </w:r>
    </w:p>
    <w:p>
      <w:pPr>
        <w:sectPr>
          <w:pgSz w:w="11900" w:h="16838" w:orient="portrait"/>
          <w:cols w:equalWidth="0" w:num="1">
            <w:col w:w="11260"/>
          </w:cols>
          <w:pgMar w:left="320" w:top="118" w:right="319" w:bottom="1440" w:gutter="0" w:footer="0" w:header="0"/>
        </w:sectPr>
      </w:pP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5772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type w:val="continuous"/>
        </w:sectPr>
      </w:pPr>
    </w:p>
    <w:bookmarkStart w:id="24" w:name="page25"/>
    <w:bookmarkEnd w:id="24"/>
    <w:p>
      <w:pPr>
        <w:jc w:val="center"/>
        <w:ind w:right="20"/>
        <w:spacing w:after="0"/>
        <w:rPr>
          <w:sz w:val="20"/>
          <w:szCs w:val="20"/>
          <w:color w:val="auto"/>
        </w:rPr>
      </w:pPr>
      <w:r>
        <w:rPr>
          <w:rFonts w:ascii="Arial" w:cs="Arial" w:eastAsia="Arial" w:hAnsi="Arial"/>
          <w:sz w:val="14"/>
          <w:szCs w:val="14"/>
          <w:b w:val="1"/>
          <w:bCs w:val="1"/>
          <w:color w:val="auto"/>
        </w:rPr>
        <w:t>PENNANTPARK FLOATING RATE CAPITAL LTD. AND SUBSIDIARIES</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NOTES TO CONSOLIDATED FINANCIAL STATEMENTS-(Continued)</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June 30, 2022</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(Unaudited)</w:t>
      </w:r>
    </w:p>
    <w:p>
      <w:pPr>
        <w:spacing w:after="0" w:line="192" w:lineRule="exact"/>
        <w:rPr>
          <w:sz w:val="20"/>
          <w:szCs w:val="20"/>
          <w:color w:val="auto"/>
        </w:rPr>
      </w:pPr>
    </w:p>
    <w:p>
      <w:pPr>
        <w:jc w:val="both"/>
        <w:ind w:right="20" w:firstLine="449"/>
        <w:spacing w:after="0" w:line="249" w:lineRule="auto"/>
        <w:rPr>
          <w:sz w:val="20"/>
          <w:szCs w:val="20"/>
          <w:color w:val="auto"/>
        </w:rPr>
      </w:pPr>
      <w:r>
        <w:rPr>
          <w:rFonts w:ascii="Arial" w:cs="Arial" w:eastAsia="Arial" w:hAnsi="Arial"/>
          <w:sz w:val="14"/>
          <w:szCs w:val="14"/>
          <w:color w:val="auto"/>
        </w:rPr>
        <w:t>In January 2021, PSSL completed a $300.7 million debt securitization in the form of a collateralized loan obligation, or the “2032 Asset-Backed Debt”. The 2032 Asset-Backed Debt is secured by a diversified portfolio of PennantPark CLO II, Ltd., a wholly-owned and consolidated subsidiary of PSSL, consisting primarily of middle market loans and participation interests in middle market loans. The 2032 Asset-Backed Debt is scheduled to mature in January 2032. On the closing date of the transaction, in consideration of PSSL’s transfer to PennantPark CLO II, Ltd. of the initial closing date loan portfolio, which included loans distributed to PSSL by certain of its wholly owned subsidiaries and us, PennantPark CLO II, Ltd. transferred to PSSL 100% of the Preferred Shares of PennantPark CLO II, Ltd. and 100% of the Class E Notes issued by PennantPark CLO II, Ltd.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580" w:type="dxa"/>
            <w:vAlign w:val="bottom"/>
          </w:tcPr>
          <w:p>
            <w:pPr>
              <w:ind w:left="460"/>
              <w:spacing w:after="0"/>
              <w:rPr>
                <w:sz w:val="20"/>
                <w:szCs w:val="20"/>
                <w:color w:val="auto"/>
              </w:rPr>
            </w:pPr>
            <w:r>
              <w:rPr>
                <w:rFonts w:ascii="Arial" w:cs="Arial" w:eastAsia="Arial" w:hAnsi="Arial"/>
                <w:sz w:val="14"/>
                <w:szCs w:val="14"/>
                <w:color w:val="auto"/>
              </w:rPr>
              <w:t>Below is a summary of PSSL’s portfolio at fair value:</w:t>
            </w:r>
          </w:p>
        </w:tc>
        <w:tc>
          <w:tcPr>
            <w:tcW w:w="3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77"/>
        </w:trPr>
        <w:tc>
          <w:tcPr>
            <w:tcW w:w="4580" w:type="dxa"/>
            <w:vAlign w:val="bottom"/>
          </w:tcPr>
          <w:p>
            <w:pPr>
              <w:ind w:left="20"/>
              <w:spacing w:after="0"/>
              <w:rPr>
                <w:sz w:val="20"/>
                <w:szCs w:val="20"/>
                <w:color w:val="auto"/>
              </w:rPr>
            </w:pPr>
            <w:r>
              <w:rPr>
                <w:rFonts w:ascii="Arial" w:cs="Arial" w:eastAsia="Arial" w:hAnsi="Arial"/>
                <w:sz w:val="14"/>
                <w:szCs w:val="14"/>
                <w:color w:val="auto"/>
              </w:rPr>
              <w:t>($ in thousands)</w:t>
            </w:r>
          </w:p>
        </w:tc>
        <w:tc>
          <w:tcPr>
            <w:tcW w:w="3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June 30, 2022</w:t>
            </w:r>
          </w:p>
        </w:tc>
        <w:tc>
          <w:tcPr>
            <w:tcW w:w="140" w:type="dxa"/>
            <w:vAlign w:val="bottom"/>
          </w:tcPr>
          <w:p>
            <w:pPr>
              <w:spacing w:after="0"/>
              <w:rPr>
                <w:sz w:val="24"/>
                <w:szCs w:val="24"/>
                <w:color w:val="auto"/>
              </w:rPr>
            </w:pPr>
          </w:p>
        </w:tc>
        <w:tc>
          <w:tcPr>
            <w:tcW w:w="1580" w:type="dxa"/>
            <w:vAlign w:val="bottom"/>
            <w:gridSpan w:val="3"/>
          </w:tcPr>
          <w:p>
            <w:pPr>
              <w:ind w:left="60"/>
              <w:spacing w:after="0"/>
              <w:rPr>
                <w:sz w:val="20"/>
                <w:szCs w:val="20"/>
                <w:color w:val="auto"/>
              </w:rPr>
            </w:pPr>
            <w:r>
              <w:rPr>
                <w:rFonts w:ascii="Arial" w:cs="Arial" w:eastAsia="Arial" w:hAnsi="Arial"/>
                <w:sz w:val="14"/>
                <w:szCs w:val="14"/>
                <w:b w:val="1"/>
                <w:bCs w:val="1"/>
                <w:color w:val="auto"/>
              </w:rPr>
              <w:t>September 30, 2021</w:t>
            </w:r>
          </w:p>
        </w:tc>
      </w:tr>
      <w:tr>
        <w:trPr>
          <w:trHeight w:val="169"/>
        </w:trPr>
        <w:tc>
          <w:tcPr>
            <w:tcW w:w="4580" w:type="dxa"/>
            <w:vAlign w:val="bottom"/>
            <w:shd w:val="clear" w:color="auto" w:fill="CCECFF"/>
          </w:tcPr>
          <w:p>
            <w:pPr>
              <w:ind w:left="20"/>
              <w:spacing w:after="0"/>
              <w:rPr>
                <w:sz w:val="20"/>
                <w:szCs w:val="20"/>
                <w:color w:val="auto"/>
              </w:rPr>
            </w:pPr>
            <w:r>
              <w:rPr>
                <w:rFonts w:ascii="Arial" w:cs="Arial" w:eastAsia="Arial" w:hAnsi="Arial"/>
                <w:sz w:val="14"/>
                <w:szCs w:val="14"/>
                <w:color w:val="auto"/>
              </w:rPr>
              <w:t>Total investments</w:t>
            </w:r>
          </w:p>
        </w:tc>
        <w:tc>
          <w:tcPr>
            <w:tcW w:w="3100" w:type="dxa"/>
            <w:vAlign w:val="bottom"/>
            <w:shd w:val="clear" w:color="auto" w:fill="CCECFF"/>
          </w:tcPr>
          <w:p>
            <w:pPr>
              <w:spacing w:after="0"/>
              <w:rPr>
                <w:sz w:val="14"/>
                <w:szCs w:val="14"/>
                <w:color w:val="auto"/>
              </w:rPr>
            </w:pPr>
          </w:p>
        </w:tc>
        <w:tc>
          <w:tcPr>
            <w:tcW w:w="240" w:type="dxa"/>
            <w:vAlign w:val="bottom"/>
            <w:tcBorders>
              <w:top w:val="single" w:sz="8" w:color="auto"/>
            </w:tcBorders>
            <w:shd w:val="clear" w:color="auto" w:fill="CCECFF"/>
          </w:tcPr>
          <w:p>
            <w:pPr>
              <w:jc w:val="right"/>
              <w:ind w:right="68"/>
              <w:spacing w:after="0"/>
              <w:rPr>
                <w:sz w:val="20"/>
                <w:szCs w:val="20"/>
                <w:color w:val="auto"/>
              </w:rPr>
            </w:pPr>
            <w:r>
              <w:rPr>
                <w:rFonts w:ascii="Arial" w:cs="Arial" w:eastAsia="Arial" w:hAnsi="Arial"/>
                <w:sz w:val="14"/>
                <w:szCs w:val="14"/>
                <w:color w:val="auto"/>
              </w:rPr>
              <w:t>$</w:t>
            </w:r>
          </w:p>
        </w:tc>
        <w:tc>
          <w:tcPr>
            <w:tcW w:w="134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746,819</w:t>
            </w:r>
          </w:p>
        </w:tc>
        <w:tc>
          <w:tcPr>
            <w:tcW w:w="280" w:type="dxa"/>
            <w:vAlign w:val="bottom"/>
            <w:shd w:val="clear" w:color="auto" w:fill="CCECFF"/>
          </w:tcPr>
          <w:p>
            <w:pPr>
              <w:spacing w:after="0"/>
              <w:rPr>
                <w:sz w:val="14"/>
                <w:szCs w:val="14"/>
                <w:color w:val="auto"/>
              </w:rPr>
            </w:pPr>
          </w:p>
        </w:tc>
        <w:tc>
          <w:tcPr>
            <w:tcW w:w="14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w w:val="76"/>
              </w:rPr>
              <w:t>$</w:t>
            </w:r>
          </w:p>
        </w:tc>
        <w:tc>
          <w:tcPr>
            <w:tcW w:w="146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564,783</w:t>
            </w:r>
          </w:p>
        </w:tc>
        <w:tc>
          <w:tcPr>
            <w:tcW w:w="10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r>
      <w:tr>
        <w:trPr>
          <w:trHeight w:val="176"/>
        </w:trPr>
        <w:tc>
          <w:tcPr>
            <w:tcW w:w="4580" w:type="dxa"/>
            <w:vAlign w:val="bottom"/>
          </w:tcPr>
          <w:p>
            <w:pPr>
              <w:ind w:left="20"/>
              <w:spacing w:after="0"/>
              <w:rPr>
                <w:sz w:val="20"/>
                <w:szCs w:val="20"/>
                <w:color w:val="auto"/>
              </w:rPr>
            </w:pPr>
            <w:r>
              <w:rPr>
                <w:rFonts w:ascii="Arial" w:cs="Arial" w:eastAsia="Arial" w:hAnsi="Arial"/>
                <w:sz w:val="14"/>
                <w:szCs w:val="14"/>
                <w:color w:val="auto"/>
              </w:rPr>
              <w:t>Weighted average cost yield on income producing investments</w:t>
            </w:r>
          </w:p>
        </w:tc>
        <w:tc>
          <w:tcPr>
            <w:tcW w:w="3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4"/>
                <w:szCs w:val="14"/>
                <w:color w:val="auto"/>
              </w:rPr>
              <w:t>8.2 %</w:t>
            </w:r>
          </w:p>
        </w:tc>
        <w:tc>
          <w:tcPr>
            <w:tcW w:w="140" w:type="dxa"/>
            <w:vAlign w:val="bottom"/>
          </w:tcPr>
          <w:p>
            <w:pPr>
              <w:spacing w:after="0"/>
              <w:rPr>
                <w:sz w:val="15"/>
                <w:szCs w:val="15"/>
                <w:color w:val="auto"/>
              </w:rPr>
            </w:pPr>
          </w:p>
        </w:tc>
        <w:tc>
          <w:tcPr>
            <w:tcW w:w="1560" w:type="dxa"/>
            <w:vAlign w:val="bottom"/>
            <w:gridSpan w:val="2"/>
          </w:tcPr>
          <w:p>
            <w:pPr>
              <w:jc w:val="right"/>
              <w:spacing w:after="0"/>
              <w:rPr>
                <w:sz w:val="20"/>
                <w:szCs w:val="20"/>
                <w:color w:val="auto"/>
              </w:rPr>
            </w:pPr>
            <w:r>
              <w:rPr>
                <w:rFonts w:ascii="Arial" w:cs="Arial" w:eastAsia="Arial" w:hAnsi="Arial"/>
                <w:sz w:val="14"/>
                <w:szCs w:val="14"/>
                <w:color w:val="auto"/>
              </w:rPr>
              <w:t>7.1 %</w:t>
            </w:r>
          </w:p>
        </w:tc>
        <w:tc>
          <w:tcPr>
            <w:tcW w:w="20" w:type="dxa"/>
            <w:vAlign w:val="bottom"/>
          </w:tcPr>
          <w:p>
            <w:pPr>
              <w:spacing w:after="0"/>
              <w:rPr>
                <w:sz w:val="15"/>
                <w:szCs w:val="15"/>
                <w:color w:val="auto"/>
              </w:rPr>
            </w:pPr>
          </w:p>
        </w:tc>
      </w:tr>
      <w:tr>
        <w:trPr>
          <w:trHeight w:val="175"/>
        </w:trPr>
        <w:tc>
          <w:tcPr>
            <w:tcW w:w="4580" w:type="dxa"/>
            <w:vAlign w:val="bottom"/>
            <w:shd w:val="clear" w:color="auto" w:fill="CCECFF"/>
          </w:tcPr>
          <w:p>
            <w:pPr>
              <w:ind w:left="20"/>
              <w:spacing w:after="0"/>
              <w:rPr>
                <w:sz w:val="20"/>
                <w:szCs w:val="20"/>
                <w:color w:val="auto"/>
              </w:rPr>
            </w:pPr>
            <w:r>
              <w:rPr>
                <w:rFonts w:ascii="Arial" w:cs="Arial" w:eastAsia="Arial" w:hAnsi="Arial"/>
                <w:sz w:val="14"/>
                <w:szCs w:val="14"/>
                <w:color w:val="auto"/>
              </w:rPr>
              <w:t>Number of portfolio companies in PSSL</w:t>
            </w:r>
          </w:p>
        </w:tc>
        <w:tc>
          <w:tcPr>
            <w:tcW w:w="310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13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89</w:t>
            </w:r>
          </w:p>
        </w:tc>
        <w:tc>
          <w:tcPr>
            <w:tcW w:w="28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14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74</w:t>
            </w:r>
          </w:p>
        </w:tc>
        <w:tc>
          <w:tcPr>
            <w:tcW w:w="100" w:type="dxa"/>
            <w:vAlign w:val="bottom"/>
            <w:shd w:val="clear" w:color="auto" w:fill="CCECFF"/>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4580" w:type="dxa"/>
            <w:vAlign w:val="bottom"/>
          </w:tcPr>
          <w:p>
            <w:pPr>
              <w:ind w:left="20"/>
              <w:spacing w:after="0"/>
              <w:rPr>
                <w:sz w:val="20"/>
                <w:szCs w:val="20"/>
                <w:color w:val="auto"/>
              </w:rPr>
            </w:pPr>
            <w:r>
              <w:rPr>
                <w:rFonts w:ascii="Arial" w:cs="Arial" w:eastAsia="Arial" w:hAnsi="Arial"/>
                <w:sz w:val="14"/>
                <w:szCs w:val="14"/>
                <w:color w:val="auto"/>
              </w:rPr>
              <w:t>Largest portfolio company investment</w:t>
            </w:r>
          </w:p>
        </w:tc>
        <w:tc>
          <w:tcPr>
            <w:tcW w:w="334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19,126</w:t>
            </w:r>
          </w:p>
        </w:tc>
        <w:tc>
          <w:tcPr>
            <w:tcW w:w="2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18,933</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5"/>
        </w:trPr>
        <w:tc>
          <w:tcPr>
            <w:tcW w:w="4580" w:type="dxa"/>
            <w:vAlign w:val="bottom"/>
            <w:shd w:val="clear" w:color="auto" w:fill="CCECFF"/>
          </w:tcPr>
          <w:p>
            <w:pPr>
              <w:ind w:left="20"/>
              <w:spacing w:after="0"/>
              <w:rPr>
                <w:sz w:val="20"/>
                <w:szCs w:val="20"/>
                <w:color w:val="auto"/>
              </w:rPr>
            </w:pPr>
            <w:r>
              <w:rPr>
                <w:rFonts w:ascii="Arial" w:cs="Arial" w:eastAsia="Arial" w:hAnsi="Arial"/>
                <w:sz w:val="14"/>
                <w:szCs w:val="14"/>
                <w:color w:val="auto"/>
              </w:rPr>
              <w:t>Total of five largest portfolio company investments</w:t>
            </w:r>
          </w:p>
        </w:tc>
        <w:tc>
          <w:tcPr>
            <w:tcW w:w="3340" w:type="dxa"/>
            <w:vAlign w:val="bottom"/>
            <w:gridSpan w:val="2"/>
            <w:shd w:val="clear" w:color="auto" w:fill="CCECFF"/>
          </w:tcPr>
          <w:p>
            <w:pPr>
              <w:jc w:val="right"/>
              <w:ind w:right="68"/>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86,629</w:t>
            </w:r>
          </w:p>
        </w:tc>
        <w:tc>
          <w:tcPr>
            <w:tcW w:w="280" w:type="dxa"/>
            <w:vAlign w:val="bottom"/>
            <w:shd w:val="clear" w:color="auto" w:fill="CCECFF"/>
          </w:tcPr>
          <w:p>
            <w:pPr>
              <w:spacing w:after="0"/>
              <w:rPr>
                <w:sz w:val="15"/>
                <w:szCs w:val="15"/>
                <w:color w:val="auto"/>
              </w:rPr>
            </w:pPr>
          </w:p>
        </w:tc>
        <w:tc>
          <w:tcPr>
            <w:tcW w:w="140" w:type="dxa"/>
            <w:vAlign w:val="bottom"/>
            <w:shd w:val="clear" w:color="auto" w:fill="CCECFF"/>
          </w:tcPr>
          <w:p>
            <w:pPr>
              <w:jc w:val="right"/>
              <w:spacing w:after="0"/>
              <w:rPr>
                <w:sz w:val="20"/>
                <w:szCs w:val="20"/>
                <w:color w:val="auto"/>
              </w:rPr>
            </w:pPr>
            <w:r>
              <w:rPr>
                <w:rFonts w:ascii="Arial" w:cs="Arial" w:eastAsia="Arial" w:hAnsi="Arial"/>
                <w:sz w:val="14"/>
                <w:szCs w:val="14"/>
                <w:color w:val="auto"/>
                <w:w w:val="76"/>
              </w:rPr>
              <w:t>$</w:t>
            </w:r>
          </w:p>
        </w:tc>
        <w:tc>
          <w:tcPr>
            <w:tcW w:w="14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84,287</w:t>
            </w:r>
          </w:p>
        </w:tc>
        <w:tc>
          <w:tcPr>
            <w:tcW w:w="100" w:type="dxa"/>
            <w:vAlign w:val="bottom"/>
            <w:shd w:val="clear" w:color="auto" w:fill="CCECFF"/>
          </w:tcPr>
          <w:p>
            <w:pPr>
              <w:spacing w:after="0"/>
              <w:rPr>
                <w:sz w:val="15"/>
                <w:szCs w:val="15"/>
                <w:color w:val="auto"/>
              </w:rPr>
            </w:pPr>
          </w:p>
        </w:tc>
        <w:tc>
          <w:tcPr>
            <w:tcW w:w="20" w:type="dxa"/>
            <w:vAlign w:val="bottom"/>
          </w:tcPr>
          <w:p>
            <w:pPr>
              <w:spacing w:after="0"/>
              <w:rPr>
                <w:sz w:val="15"/>
                <w:szCs w:val="15"/>
                <w:color w:val="auto"/>
              </w:rPr>
            </w:pPr>
          </w:p>
        </w:tc>
      </w:tr>
      <w:tr>
        <w:trPr>
          <w:trHeight w:val="366"/>
        </w:trPr>
        <w:tc>
          <w:tcPr>
            <w:tcW w:w="4580" w:type="dxa"/>
            <w:vAlign w:val="bottom"/>
          </w:tcPr>
          <w:p>
            <w:pPr>
              <w:spacing w:after="0"/>
              <w:rPr>
                <w:sz w:val="24"/>
                <w:szCs w:val="24"/>
                <w:color w:val="auto"/>
              </w:rPr>
            </w:pPr>
          </w:p>
        </w:tc>
        <w:tc>
          <w:tcPr>
            <w:tcW w:w="3100" w:type="dxa"/>
            <w:vAlign w:val="bottom"/>
          </w:tcPr>
          <w:p>
            <w:pPr>
              <w:jc w:val="right"/>
              <w:ind w:right="1908"/>
              <w:spacing w:after="0"/>
              <w:rPr>
                <w:sz w:val="20"/>
                <w:szCs w:val="20"/>
                <w:color w:val="auto"/>
              </w:rPr>
            </w:pPr>
            <w:r>
              <w:rPr>
                <w:rFonts w:ascii="Arial" w:cs="Arial" w:eastAsia="Arial" w:hAnsi="Arial"/>
                <w:sz w:val="14"/>
                <w:szCs w:val="14"/>
                <w:color w:val="auto"/>
              </w:rPr>
              <w:t>25</w:t>
            </w: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4"/>
        </w:trPr>
        <w:tc>
          <w:tcPr>
            <w:tcW w:w="4580" w:type="dxa"/>
            <w:vAlign w:val="bottom"/>
            <w:tcBorders>
              <w:bottom w:val="single" w:sz="8" w:color="9A9A9A"/>
            </w:tcBorders>
          </w:tcPr>
          <w:p>
            <w:pPr>
              <w:spacing w:after="0"/>
              <w:rPr>
                <w:sz w:val="9"/>
                <w:szCs w:val="9"/>
                <w:color w:val="auto"/>
              </w:rPr>
            </w:pPr>
          </w:p>
        </w:tc>
        <w:tc>
          <w:tcPr>
            <w:tcW w:w="31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4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25" w:name="page26"/>
    <w:bookmarkEnd w:id="25"/>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June 30, 2022</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367" w:lineRule="exact"/>
        <w:rPr>
          <w:sz w:val="20"/>
          <w:szCs w:val="20"/>
          <w:color w:val="auto"/>
        </w:rPr>
      </w:pPr>
    </w:p>
    <w:p>
      <w:pPr>
        <w:ind w:left="460"/>
        <w:spacing w:after="0"/>
        <w:rPr>
          <w:sz w:val="20"/>
          <w:szCs w:val="20"/>
          <w:color w:val="auto"/>
        </w:rPr>
      </w:pPr>
      <w:r>
        <w:rPr>
          <w:rFonts w:ascii="Arial" w:cs="Arial" w:eastAsia="Arial" w:hAnsi="Arial"/>
          <w:sz w:val="14"/>
          <w:szCs w:val="14"/>
          <w:color w:val="auto"/>
        </w:rPr>
        <w:t>Below is a listing of PSSL’s individual investments as of June 30, 2022 (Par and $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Current</w:t>
            </w: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60" w:type="dxa"/>
            <w:vAlign w:val="bottom"/>
          </w:tcPr>
          <w:p>
            <w:pPr>
              <w:jc w:val="center"/>
              <w:spacing w:after="0"/>
              <w:rPr>
                <w:sz w:val="20"/>
                <w:szCs w:val="20"/>
                <w:color w:val="auto"/>
              </w:rPr>
            </w:pPr>
            <w:r>
              <w:rPr>
                <w:rFonts w:ascii="Arial" w:cs="Arial" w:eastAsia="Arial" w:hAnsi="Arial"/>
                <w:sz w:val="11"/>
                <w:szCs w:val="11"/>
                <w:b w:val="1"/>
                <w:bCs w:val="1"/>
                <w:color w:val="auto"/>
                <w:w w:val="86"/>
              </w:rPr>
              <w:t>Basis Point</w:t>
            </w: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Issuer Name</w:t>
            </w:r>
          </w:p>
        </w:tc>
        <w:tc>
          <w:tcPr>
            <w:tcW w:w="120" w:type="dxa"/>
            <w:vAlign w:val="bottom"/>
          </w:tcPr>
          <w:p>
            <w:pPr>
              <w:spacing w:after="0"/>
              <w:rPr>
                <w:sz w:val="9"/>
                <w:szCs w:val="9"/>
                <w:color w:val="auto"/>
              </w:rPr>
            </w:pPr>
          </w:p>
        </w:tc>
        <w:tc>
          <w:tcPr>
            <w:tcW w:w="6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Maturity</w:t>
            </w:r>
          </w:p>
        </w:tc>
        <w:tc>
          <w:tcPr>
            <w:tcW w:w="120" w:type="dxa"/>
            <w:vAlign w:val="bottom"/>
          </w:tcPr>
          <w:p>
            <w:pPr>
              <w:spacing w:after="0"/>
              <w:rPr>
                <w:sz w:val="9"/>
                <w:szCs w:val="9"/>
                <w:color w:val="auto"/>
              </w:rPr>
            </w:pPr>
          </w:p>
        </w:tc>
        <w:tc>
          <w:tcPr>
            <w:tcW w:w="236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2"/>
              </w:rPr>
              <w:t>Industry</w:t>
            </w:r>
          </w:p>
        </w:tc>
        <w:tc>
          <w:tcPr>
            <w:tcW w:w="12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96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86"/>
              </w:rPr>
              <w:t>Spread Above</w:t>
            </w:r>
          </w:p>
        </w:tc>
        <w:tc>
          <w:tcPr>
            <w:tcW w:w="220" w:type="dxa"/>
            <w:vAlign w:val="bottom"/>
          </w:tcPr>
          <w:p>
            <w:pPr>
              <w:spacing w:after="0"/>
              <w:rPr>
                <w:sz w:val="9"/>
                <w:szCs w:val="9"/>
                <w:color w:val="auto"/>
              </w:rPr>
            </w:pPr>
          </w:p>
        </w:tc>
        <w:tc>
          <w:tcPr>
            <w:tcW w:w="720" w:type="dxa"/>
            <w:vAlign w:val="bottom"/>
            <w:vMerge w:val="restart"/>
          </w:tcPr>
          <w:p>
            <w:pPr>
              <w:jc w:val="right"/>
              <w:ind w:right="226"/>
              <w:spacing w:after="0"/>
              <w:rPr>
                <w:sz w:val="20"/>
                <w:szCs w:val="20"/>
                <w:color w:val="auto"/>
              </w:rPr>
            </w:pPr>
            <w:r>
              <w:rPr>
                <w:rFonts w:ascii="Arial" w:cs="Arial" w:eastAsia="Arial" w:hAnsi="Arial"/>
                <w:sz w:val="11"/>
                <w:szCs w:val="11"/>
                <w:b w:val="1"/>
                <w:bCs w:val="1"/>
                <w:color w:val="auto"/>
              </w:rPr>
              <w:t>Par</w:t>
            </w: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vMerge w:val="restart"/>
          </w:tcPr>
          <w:p>
            <w:pPr>
              <w:jc w:val="right"/>
              <w:ind w:right="206"/>
              <w:spacing w:after="0"/>
              <w:rPr>
                <w:sz w:val="20"/>
                <w:szCs w:val="20"/>
                <w:color w:val="auto"/>
              </w:rPr>
            </w:pPr>
            <w:r>
              <w:rPr>
                <w:rFonts w:ascii="Arial" w:cs="Arial" w:eastAsia="Arial" w:hAnsi="Arial"/>
                <w:sz w:val="11"/>
                <w:szCs w:val="11"/>
                <w:b w:val="1"/>
                <w:bCs w:val="1"/>
                <w:color w:val="auto"/>
              </w:rPr>
              <w:t>Cost</w:t>
            </w:r>
          </w:p>
        </w:tc>
        <w:tc>
          <w:tcPr>
            <w:tcW w:w="200" w:type="dxa"/>
            <w:vAlign w:val="bottom"/>
          </w:tcPr>
          <w:p>
            <w:pPr>
              <w:spacing w:after="0"/>
              <w:rPr>
                <w:sz w:val="9"/>
                <w:szCs w:val="9"/>
                <w:color w:val="auto"/>
              </w:rPr>
            </w:pPr>
          </w:p>
        </w:tc>
        <w:tc>
          <w:tcPr>
            <w:tcW w:w="720" w:type="dxa"/>
            <w:vAlign w:val="bottom"/>
            <w:gridSpan w:val="2"/>
            <w:vMerge w:val="restart"/>
          </w:tcPr>
          <w:p>
            <w:pPr>
              <w:jc w:val="right"/>
              <w:ind w:right="6"/>
              <w:spacing w:after="0"/>
              <w:rPr>
                <w:sz w:val="20"/>
                <w:szCs w:val="20"/>
                <w:color w:val="auto"/>
              </w:rPr>
            </w:pPr>
            <w:r>
              <w:rPr>
                <w:rFonts w:ascii="Arial" w:cs="Arial" w:eastAsia="Arial" w:hAnsi="Arial"/>
                <w:sz w:val="11"/>
                <w:szCs w:val="11"/>
                <w:b w:val="1"/>
                <w:bCs w:val="1"/>
                <w:color w:val="auto"/>
                <w:w w:val="95"/>
              </w:rPr>
              <w:t xml:space="preserve">Fair Value </w:t>
            </w:r>
            <w:r>
              <w:rPr>
                <w:rFonts w:ascii="Arial" w:cs="Arial" w:eastAsia="Arial" w:hAnsi="Arial"/>
                <w:sz w:val="14"/>
                <w:szCs w:val="14"/>
                <w:b w:val="1"/>
                <w:bCs w:val="1"/>
                <w:color w:val="auto"/>
                <w:w w:val="95"/>
                <w:vertAlign w:val="superscript"/>
              </w:rPr>
              <w:t>(2)</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86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236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Coupon</w:t>
            </w:r>
          </w:p>
        </w:tc>
        <w:tc>
          <w:tcPr>
            <w:tcW w:w="200" w:type="dxa"/>
            <w:vAlign w:val="bottom"/>
            <w:tcBorders>
              <w:bottom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960" w:type="dxa"/>
            <w:vAlign w:val="bottom"/>
            <w:tcBorders>
              <w:bottom w:val="single" w:sz="8" w:color="auto"/>
            </w:tcBorders>
          </w:tcPr>
          <w:p>
            <w:pPr>
              <w:jc w:val="center"/>
              <w:spacing w:after="0" w:line="149" w:lineRule="exact"/>
              <w:rPr>
                <w:sz w:val="20"/>
                <w:szCs w:val="20"/>
                <w:color w:val="auto"/>
              </w:rPr>
            </w:pPr>
            <w:r>
              <w:rPr>
                <w:rFonts w:ascii="Arial" w:cs="Arial" w:eastAsia="Arial" w:hAnsi="Arial"/>
                <w:sz w:val="11"/>
                <w:szCs w:val="11"/>
                <w:b w:val="1"/>
                <w:bCs w:val="1"/>
                <w:color w:val="auto"/>
                <w:w w:val="83"/>
              </w:rPr>
              <w:t xml:space="preserve">Index </w:t>
            </w:r>
            <w:r>
              <w:rPr>
                <w:rFonts w:ascii="Arial" w:cs="Arial" w:eastAsia="Arial" w:hAnsi="Arial"/>
                <w:sz w:val="14"/>
                <w:szCs w:val="14"/>
                <w:b w:val="1"/>
                <w:bCs w:val="1"/>
                <w:color w:val="auto"/>
                <w:w w:val="83"/>
                <w:vertAlign w:val="superscript"/>
              </w:rPr>
              <w:t>(1)</w:t>
            </w:r>
          </w:p>
        </w:tc>
        <w:tc>
          <w:tcPr>
            <w:tcW w:w="220" w:type="dxa"/>
            <w:vAlign w:val="bottom"/>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vMerge w:val="continue"/>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Borders>
              <w:bottom w:val="single" w:sz="8" w:color="auto"/>
            </w:tcBorders>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860" w:type="dxa"/>
            <w:vAlign w:val="bottom"/>
          </w:tcPr>
          <w:p>
            <w:pPr>
              <w:ind w:left="20"/>
              <w:spacing w:after="0"/>
              <w:rPr>
                <w:sz w:val="20"/>
                <w:szCs w:val="20"/>
                <w:color w:val="auto"/>
              </w:rPr>
            </w:pPr>
            <w:r>
              <w:rPr>
                <w:rFonts w:ascii="Arial" w:cs="Arial" w:eastAsia="Arial" w:hAnsi="Arial"/>
                <w:sz w:val="11"/>
                <w:szCs w:val="11"/>
                <w:b w:val="1"/>
                <w:bCs w:val="1"/>
                <w:color w:val="auto"/>
              </w:rPr>
              <w:t>First Lien Secured Debt - 1,107.3%</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shd w:val="clear" w:color="auto" w:fill="CCECFF"/>
          </w:tcPr>
          <w:p>
            <w:pPr>
              <w:ind w:left="20"/>
              <w:spacing w:after="0"/>
              <w:rPr>
                <w:sz w:val="20"/>
                <w:szCs w:val="20"/>
                <w:color w:val="auto"/>
              </w:rPr>
            </w:pPr>
            <w:r>
              <w:rPr>
                <w:rFonts w:ascii="Arial" w:cs="Arial" w:eastAsia="Arial" w:hAnsi="Arial"/>
                <w:sz w:val="11"/>
                <w:szCs w:val="11"/>
                <w:color w:val="auto"/>
              </w:rPr>
              <w:t>Ad.net Acquisition, LLC</w:t>
            </w:r>
          </w:p>
        </w:tc>
        <w:tc>
          <w:tcPr>
            <w:tcW w:w="7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8"/>
              </w:rPr>
              <w:t>5/6/2026</w:t>
            </w:r>
          </w:p>
        </w:tc>
        <w:tc>
          <w:tcPr>
            <w:tcW w:w="120" w:type="dxa"/>
            <w:vAlign w:val="bottom"/>
            <w:shd w:val="clear" w:color="auto" w:fill="CCECFF"/>
          </w:tcPr>
          <w:p>
            <w:pPr>
              <w:spacing w:after="0"/>
              <w:rPr>
                <w:sz w:val="11"/>
                <w:szCs w:val="11"/>
                <w:color w:val="auto"/>
              </w:rPr>
            </w:pPr>
          </w:p>
        </w:tc>
        <w:tc>
          <w:tcPr>
            <w:tcW w:w="23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3"/>
              </w:rPr>
              <w:t>Media</w:t>
            </w: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620" w:type="dxa"/>
            <w:vAlign w:val="bottom"/>
            <w:gridSpan w:val="2"/>
            <w:shd w:val="clear" w:color="auto" w:fill="CCECFF"/>
          </w:tcPr>
          <w:p>
            <w:pPr>
              <w:jc w:val="right"/>
              <w:ind w:right="300"/>
              <w:spacing w:after="0"/>
              <w:rPr>
                <w:sz w:val="20"/>
                <w:szCs w:val="20"/>
                <w:color w:val="auto"/>
              </w:rPr>
            </w:pPr>
            <w:r>
              <w:rPr>
                <w:rFonts w:ascii="Arial" w:cs="Arial" w:eastAsia="Arial" w:hAnsi="Arial"/>
                <w:sz w:val="11"/>
                <w:szCs w:val="11"/>
                <w:color w:val="auto"/>
                <w:w w:val="87"/>
              </w:rPr>
              <w:t>8.25 %</w:t>
            </w:r>
          </w:p>
        </w:tc>
        <w:tc>
          <w:tcPr>
            <w:tcW w:w="9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L+600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8,910</w:t>
            </w:r>
          </w:p>
        </w:tc>
        <w:tc>
          <w:tcPr>
            <w:tcW w:w="36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8,804</w:t>
            </w:r>
          </w:p>
        </w:tc>
        <w:tc>
          <w:tcPr>
            <w:tcW w:w="440" w:type="dxa"/>
            <w:vAlign w:val="bottom"/>
            <w:gridSpan w:val="2"/>
            <w:shd w:val="clear" w:color="auto" w:fill="CCECFF"/>
          </w:tcPr>
          <w:p>
            <w:pPr>
              <w:jc w:val="right"/>
              <w:ind w:right="106"/>
              <w:spacing w:after="0"/>
              <w:rPr>
                <w:sz w:val="20"/>
                <w:szCs w:val="20"/>
                <w:color w:val="auto"/>
              </w:rPr>
            </w:pPr>
            <w:r>
              <w:rPr>
                <w:rFonts w:ascii="Arial" w:cs="Arial" w:eastAsia="Arial" w:hAnsi="Arial"/>
                <w:sz w:val="11"/>
                <w:szCs w:val="11"/>
                <w:color w:val="auto"/>
              </w:rPr>
              <w:t>$</w:t>
            </w:r>
          </w:p>
        </w:tc>
        <w:tc>
          <w:tcPr>
            <w:tcW w:w="4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8,910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tcPr>
          <w:p>
            <w:pPr>
              <w:ind w:left="20"/>
              <w:spacing w:after="0"/>
              <w:rPr>
                <w:sz w:val="20"/>
                <w:szCs w:val="20"/>
                <w:color w:val="auto"/>
              </w:rPr>
            </w:pPr>
            <w:r>
              <w:rPr>
                <w:rFonts w:ascii="Arial" w:cs="Arial" w:eastAsia="Arial" w:hAnsi="Arial"/>
                <w:sz w:val="11"/>
                <w:szCs w:val="11"/>
                <w:color w:val="auto"/>
              </w:rPr>
              <w:t>Alpine Acquisition Corp II</w:t>
            </w:r>
          </w:p>
        </w:tc>
        <w:tc>
          <w:tcPr>
            <w:tcW w:w="74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11/30/2026</w:t>
            </w:r>
          </w:p>
        </w:tc>
        <w:tc>
          <w:tcPr>
            <w:tcW w:w="12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86"/>
              </w:rPr>
              <w:t>Containers and Packaging</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1"/>
                <w:szCs w:val="11"/>
                <w:color w:val="auto"/>
                <w:w w:val="87"/>
              </w:rPr>
              <w:t>7.22 %</w:t>
            </w:r>
          </w:p>
        </w:tc>
        <w:tc>
          <w:tcPr>
            <w:tcW w:w="960" w:type="dxa"/>
            <w:vAlign w:val="bottom"/>
          </w:tcPr>
          <w:p>
            <w:pPr>
              <w:jc w:val="right"/>
              <w:spacing w:after="0"/>
              <w:rPr>
                <w:sz w:val="20"/>
                <w:szCs w:val="20"/>
                <w:color w:val="auto"/>
              </w:rPr>
            </w:pPr>
            <w:r>
              <w:rPr>
                <w:rFonts w:ascii="Arial" w:cs="Arial" w:eastAsia="Arial" w:hAnsi="Arial"/>
                <w:sz w:val="11"/>
                <w:szCs w:val="11"/>
                <w:color w:val="auto"/>
              </w:rPr>
              <w:t>3M L+600</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10,000</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9,806</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9,800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shd w:val="clear" w:color="auto" w:fill="CCECFF"/>
          </w:tcPr>
          <w:p>
            <w:pPr>
              <w:ind w:left="20"/>
              <w:spacing w:after="0"/>
              <w:rPr>
                <w:sz w:val="20"/>
                <w:szCs w:val="20"/>
                <w:color w:val="auto"/>
              </w:rPr>
            </w:pPr>
            <w:r>
              <w:rPr>
                <w:rFonts w:ascii="Arial" w:cs="Arial" w:eastAsia="Arial" w:hAnsi="Arial"/>
                <w:sz w:val="11"/>
                <w:szCs w:val="11"/>
                <w:color w:val="auto"/>
              </w:rPr>
              <w:t>Altamira Technologies, LLC</w:t>
            </w:r>
          </w:p>
        </w:tc>
        <w:tc>
          <w:tcPr>
            <w:tcW w:w="74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89"/>
              </w:rPr>
              <w:t>7/24/2025</w:t>
            </w:r>
          </w:p>
        </w:tc>
        <w:tc>
          <w:tcPr>
            <w:tcW w:w="120" w:type="dxa"/>
            <w:vAlign w:val="bottom"/>
            <w:shd w:val="clear" w:color="auto" w:fill="CCECFF"/>
          </w:tcPr>
          <w:p>
            <w:pPr>
              <w:spacing w:after="0"/>
              <w:rPr>
                <w:sz w:val="11"/>
                <w:szCs w:val="11"/>
                <w:color w:val="auto"/>
              </w:rPr>
            </w:pPr>
          </w:p>
        </w:tc>
        <w:tc>
          <w:tcPr>
            <w:tcW w:w="23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Business Services</w:t>
            </w: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620" w:type="dxa"/>
            <w:vAlign w:val="bottom"/>
            <w:gridSpan w:val="2"/>
            <w:shd w:val="clear" w:color="auto" w:fill="CCECFF"/>
          </w:tcPr>
          <w:p>
            <w:pPr>
              <w:jc w:val="right"/>
              <w:ind w:right="300"/>
              <w:spacing w:after="0"/>
              <w:rPr>
                <w:sz w:val="20"/>
                <w:szCs w:val="20"/>
                <w:color w:val="auto"/>
              </w:rPr>
            </w:pPr>
            <w:r>
              <w:rPr>
                <w:rFonts w:ascii="Arial" w:cs="Arial" w:eastAsia="Arial" w:hAnsi="Arial"/>
                <w:sz w:val="11"/>
                <w:szCs w:val="11"/>
                <w:color w:val="auto"/>
                <w:w w:val="87"/>
              </w:rPr>
              <w:t>9.24 %</w:t>
            </w:r>
          </w:p>
        </w:tc>
        <w:tc>
          <w:tcPr>
            <w:tcW w:w="9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L+800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5,300</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5,178</w:t>
            </w:r>
          </w:p>
        </w:tc>
        <w:tc>
          <w:tcPr>
            <w:tcW w:w="2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5,048</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tcPr>
          <w:p>
            <w:pPr>
              <w:ind w:left="20"/>
              <w:spacing w:after="0"/>
              <w:rPr>
                <w:sz w:val="20"/>
                <w:szCs w:val="20"/>
                <w:color w:val="auto"/>
              </w:rPr>
            </w:pPr>
            <w:r>
              <w:rPr>
                <w:rFonts w:ascii="Arial" w:cs="Arial" w:eastAsia="Arial" w:hAnsi="Arial"/>
                <w:sz w:val="11"/>
                <w:szCs w:val="11"/>
                <w:color w:val="auto"/>
              </w:rPr>
              <w:t>American Insulated Glass, LLC</w:t>
            </w:r>
          </w:p>
        </w:tc>
        <w:tc>
          <w:tcPr>
            <w:tcW w:w="74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12/21/2023</w:t>
            </w:r>
          </w:p>
        </w:tc>
        <w:tc>
          <w:tcPr>
            <w:tcW w:w="12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91"/>
              </w:rPr>
              <w:t>Building Products</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1"/>
                <w:szCs w:val="11"/>
                <w:color w:val="auto"/>
                <w:w w:val="87"/>
              </w:rPr>
              <w:t>6.50 %</w:t>
            </w:r>
          </w:p>
        </w:tc>
        <w:tc>
          <w:tcPr>
            <w:tcW w:w="960" w:type="dxa"/>
            <w:vAlign w:val="bottom"/>
          </w:tcPr>
          <w:p>
            <w:pPr>
              <w:jc w:val="right"/>
              <w:spacing w:after="0"/>
              <w:rPr>
                <w:sz w:val="20"/>
                <w:szCs w:val="20"/>
                <w:color w:val="auto"/>
              </w:rPr>
            </w:pPr>
            <w:r>
              <w:rPr>
                <w:rFonts w:ascii="Arial" w:cs="Arial" w:eastAsia="Arial" w:hAnsi="Arial"/>
                <w:sz w:val="11"/>
                <w:szCs w:val="11"/>
                <w:color w:val="auto"/>
              </w:rPr>
              <w:t>3M L+525</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4,898</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4,859</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4,898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shd w:val="clear" w:color="auto" w:fill="CCECFF"/>
          </w:tcPr>
          <w:p>
            <w:pPr>
              <w:ind w:left="20"/>
              <w:spacing w:after="0"/>
              <w:rPr>
                <w:sz w:val="20"/>
                <w:szCs w:val="20"/>
                <w:color w:val="auto"/>
              </w:rPr>
            </w:pPr>
            <w:r>
              <w:rPr>
                <w:rFonts w:ascii="Arial" w:cs="Arial" w:eastAsia="Arial" w:hAnsi="Arial"/>
                <w:sz w:val="11"/>
                <w:szCs w:val="11"/>
                <w:color w:val="auto"/>
              </w:rPr>
              <w:t>Apex Service Partners, LLC</w:t>
            </w:r>
          </w:p>
        </w:tc>
        <w:tc>
          <w:tcPr>
            <w:tcW w:w="74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89"/>
              </w:rPr>
              <w:t>7/31/2025</w:t>
            </w:r>
          </w:p>
        </w:tc>
        <w:tc>
          <w:tcPr>
            <w:tcW w:w="120" w:type="dxa"/>
            <w:vAlign w:val="bottom"/>
            <w:shd w:val="clear" w:color="auto" w:fill="CCECFF"/>
          </w:tcPr>
          <w:p>
            <w:pPr>
              <w:spacing w:after="0"/>
              <w:rPr>
                <w:sz w:val="11"/>
                <w:szCs w:val="11"/>
                <w:color w:val="auto"/>
              </w:rPr>
            </w:pPr>
          </w:p>
        </w:tc>
        <w:tc>
          <w:tcPr>
            <w:tcW w:w="23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Diversified Consumer Services</w:t>
            </w: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620" w:type="dxa"/>
            <w:vAlign w:val="bottom"/>
            <w:gridSpan w:val="2"/>
            <w:shd w:val="clear" w:color="auto" w:fill="CCECFF"/>
          </w:tcPr>
          <w:p>
            <w:pPr>
              <w:jc w:val="right"/>
              <w:ind w:right="300"/>
              <w:spacing w:after="0"/>
              <w:rPr>
                <w:sz w:val="20"/>
                <w:szCs w:val="20"/>
                <w:color w:val="auto"/>
              </w:rPr>
            </w:pPr>
            <w:r>
              <w:rPr>
                <w:rFonts w:ascii="Arial" w:cs="Arial" w:eastAsia="Arial" w:hAnsi="Arial"/>
                <w:sz w:val="11"/>
                <w:szCs w:val="11"/>
                <w:color w:val="auto"/>
                <w:w w:val="87"/>
              </w:rPr>
              <w:t>6.72 %</w:t>
            </w:r>
          </w:p>
        </w:tc>
        <w:tc>
          <w:tcPr>
            <w:tcW w:w="9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L+525</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1,013</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1,013</w:t>
            </w:r>
          </w:p>
        </w:tc>
        <w:tc>
          <w:tcPr>
            <w:tcW w:w="2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1,008</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tcPr>
          <w:p>
            <w:pPr>
              <w:ind w:left="20"/>
              <w:spacing w:after="0"/>
              <w:rPr>
                <w:sz w:val="20"/>
                <w:szCs w:val="20"/>
                <w:color w:val="auto"/>
              </w:rPr>
            </w:pPr>
            <w:r>
              <w:rPr>
                <w:rFonts w:ascii="Arial" w:cs="Arial" w:eastAsia="Arial" w:hAnsi="Arial"/>
                <w:sz w:val="11"/>
                <w:szCs w:val="11"/>
                <w:color w:val="auto"/>
              </w:rPr>
              <w:t>Apex Service Partners, LLC Term Loan B</w:t>
            </w:r>
          </w:p>
        </w:tc>
        <w:tc>
          <w:tcPr>
            <w:tcW w:w="740" w:type="dxa"/>
            <w:vAlign w:val="bottom"/>
            <w:gridSpan w:val="2"/>
          </w:tcPr>
          <w:p>
            <w:pPr>
              <w:jc w:val="center"/>
              <w:ind w:left="46"/>
              <w:spacing w:after="0"/>
              <w:rPr>
                <w:sz w:val="20"/>
                <w:szCs w:val="20"/>
                <w:color w:val="auto"/>
              </w:rPr>
            </w:pPr>
            <w:r>
              <w:rPr>
                <w:rFonts w:ascii="Arial" w:cs="Arial" w:eastAsia="Arial" w:hAnsi="Arial"/>
                <w:sz w:val="11"/>
                <w:szCs w:val="11"/>
                <w:color w:val="auto"/>
                <w:w w:val="89"/>
              </w:rPr>
              <w:t>7/31/2025</w:t>
            </w:r>
          </w:p>
        </w:tc>
        <w:tc>
          <w:tcPr>
            <w:tcW w:w="12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90"/>
              </w:rPr>
              <w:t>Diversified Consumer Services</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1"/>
                <w:szCs w:val="11"/>
                <w:color w:val="auto"/>
                <w:w w:val="87"/>
              </w:rPr>
              <w:t>7.75 %</w:t>
            </w:r>
          </w:p>
        </w:tc>
        <w:tc>
          <w:tcPr>
            <w:tcW w:w="960" w:type="dxa"/>
            <w:vAlign w:val="bottom"/>
          </w:tcPr>
          <w:p>
            <w:pPr>
              <w:jc w:val="right"/>
              <w:spacing w:after="0"/>
              <w:rPr>
                <w:sz w:val="20"/>
                <w:szCs w:val="20"/>
                <w:color w:val="auto"/>
              </w:rPr>
            </w:pPr>
            <w:r>
              <w:rPr>
                <w:rFonts w:ascii="Arial" w:cs="Arial" w:eastAsia="Arial" w:hAnsi="Arial"/>
                <w:sz w:val="11"/>
                <w:szCs w:val="11"/>
                <w:color w:val="auto"/>
              </w:rPr>
              <w:t>3M L+625</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2,207</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2,207</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2,196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shd w:val="clear" w:color="auto" w:fill="CCECFF"/>
          </w:tcPr>
          <w:p>
            <w:pPr>
              <w:ind w:left="20"/>
              <w:spacing w:after="0"/>
              <w:rPr>
                <w:sz w:val="20"/>
                <w:szCs w:val="20"/>
                <w:color w:val="auto"/>
              </w:rPr>
            </w:pPr>
            <w:r>
              <w:rPr>
                <w:rFonts w:ascii="Arial" w:cs="Arial" w:eastAsia="Arial" w:hAnsi="Arial"/>
                <w:sz w:val="11"/>
                <w:szCs w:val="11"/>
                <w:color w:val="auto"/>
              </w:rPr>
              <w:t>Apex Service Partners, LLC Term Loan C</w:t>
            </w:r>
          </w:p>
        </w:tc>
        <w:tc>
          <w:tcPr>
            <w:tcW w:w="74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89"/>
              </w:rPr>
              <w:t>7/31/2025</w:t>
            </w:r>
          </w:p>
        </w:tc>
        <w:tc>
          <w:tcPr>
            <w:tcW w:w="120" w:type="dxa"/>
            <w:vAlign w:val="bottom"/>
            <w:shd w:val="clear" w:color="auto" w:fill="CCECFF"/>
          </w:tcPr>
          <w:p>
            <w:pPr>
              <w:spacing w:after="0"/>
              <w:rPr>
                <w:sz w:val="11"/>
                <w:szCs w:val="11"/>
                <w:color w:val="auto"/>
              </w:rPr>
            </w:pPr>
          </w:p>
        </w:tc>
        <w:tc>
          <w:tcPr>
            <w:tcW w:w="23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Diversified Consumer Services</w:t>
            </w: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620" w:type="dxa"/>
            <w:vAlign w:val="bottom"/>
            <w:gridSpan w:val="2"/>
            <w:shd w:val="clear" w:color="auto" w:fill="CCECFF"/>
          </w:tcPr>
          <w:p>
            <w:pPr>
              <w:jc w:val="right"/>
              <w:ind w:right="300"/>
              <w:spacing w:after="0"/>
              <w:rPr>
                <w:sz w:val="20"/>
                <w:szCs w:val="20"/>
                <w:color w:val="auto"/>
              </w:rPr>
            </w:pPr>
            <w:r>
              <w:rPr>
                <w:rFonts w:ascii="Arial" w:cs="Arial" w:eastAsia="Arial" w:hAnsi="Arial"/>
                <w:sz w:val="11"/>
                <w:szCs w:val="11"/>
                <w:color w:val="auto"/>
                <w:w w:val="87"/>
              </w:rPr>
              <w:t>6.78 %</w:t>
            </w:r>
          </w:p>
        </w:tc>
        <w:tc>
          <w:tcPr>
            <w:tcW w:w="9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L+525</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11,143</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11,073</w:t>
            </w:r>
          </w:p>
        </w:tc>
        <w:tc>
          <w:tcPr>
            <w:tcW w:w="2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11,087</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tcPr>
          <w:p>
            <w:pPr>
              <w:ind w:left="20"/>
              <w:spacing w:after="0"/>
              <w:rPr>
                <w:sz w:val="20"/>
                <w:szCs w:val="20"/>
                <w:color w:val="auto"/>
              </w:rPr>
            </w:pPr>
            <w:r>
              <w:rPr>
                <w:rFonts w:ascii="Arial" w:cs="Arial" w:eastAsia="Arial" w:hAnsi="Arial"/>
                <w:sz w:val="11"/>
                <w:szCs w:val="11"/>
                <w:color w:val="auto"/>
              </w:rPr>
              <w:t>Applied Technical Services, LLC</w:t>
            </w:r>
          </w:p>
        </w:tc>
        <w:tc>
          <w:tcPr>
            <w:tcW w:w="74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12/29/2026</w:t>
            </w:r>
          </w:p>
        </w:tc>
        <w:tc>
          <w:tcPr>
            <w:tcW w:w="12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90"/>
              </w:rPr>
              <w:t>Commercial Services &amp; Supplies</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1"/>
                <w:szCs w:val="11"/>
                <w:color w:val="auto"/>
                <w:w w:val="87"/>
              </w:rPr>
              <w:t>8.00 %</w:t>
            </w:r>
          </w:p>
        </w:tc>
        <w:tc>
          <w:tcPr>
            <w:tcW w:w="960" w:type="dxa"/>
            <w:vAlign w:val="bottom"/>
          </w:tcPr>
          <w:p>
            <w:pPr>
              <w:jc w:val="right"/>
              <w:spacing w:after="0"/>
              <w:rPr>
                <w:sz w:val="20"/>
                <w:szCs w:val="20"/>
                <w:color w:val="auto"/>
              </w:rPr>
            </w:pPr>
            <w:r>
              <w:rPr>
                <w:rFonts w:ascii="Arial" w:cs="Arial" w:eastAsia="Arial" w:hAnsi="Arial"/>
                <w:sz w:val="11"/>
                <w:szCs w:val="11"/>
                <w:color w:val="auto"/>
              </w:rPr>
              <w:t>3M L+575</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8,443</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8,333</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8,337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shd w:val="clear" w:color="auto" w:fill="CCECFF"/>
          </w:tcPr>
          <w:p>
            <w:pPr>
              <w:ind w:left="20"/>
              <w:spacing w:after="0"/>
              <w:rPr>
                <w:sz w:val="20"/>
                <w:szCs w:val="20"/>
                <w:color w:val="auto"/>
              </w:rPr>
            </w:pPr>
            <w:r>
              <w:rPr>
                <w:rFonts w:ascii="Arial" w:cs="Arial" w:eastAsia="Arial" w:hAnsi="Arial"/>
                <w:sz w:val="11"/>
                <w:szCs w:val="11"/>
                <w:color w:val="auto"/>
              </w:rPr>
              <w:t>Arcfield Acquisition Corp.</w:t>
            </w:r>
          </w:p>
        </w:tc>
        <w:tc>
          <w:tcPr>
            <w:tcW w:w="7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8"/>
              </w:rPr>
              <w:t>3/7/2028</w:t>
            </w:r>
          </w:p>
        </w:tc>
        <w:tc>
          <w:tcPr>
            <w:tcW w:w="120" w:type="dxa"/>
            <w:vAlign w:val="bottom"/>
            <w:shd w:val="clear" w:color="auto" w:fill="CCECFF"/>
          </w:tcPr>
          <w:p>
            <w:pPr>
              <w:spacing w:after="0"/>
              <w:rPr>
                <w:sz w:val="11"/>
                <w:szCs w:val="11"/>
                <w:color w:val="auto"/>
              </w:rPr>
            </w:pPr>
          </w:p>
        </w:tc>
        <w:tc>
          <w:tcPr>
            <w:tcW w:w="23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Aerospace and Defense</w:t>
            </w: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620" w:type="dxa"/>
            <w:vAlign w:val="bottom"/>
            <w:gridSpan w:val="2"/>
            <w:shd w:val="clear" w:color="auto" w:fill="CCECFF"/>
          </w:tcPr>
          <w:p>
            <w:pPr>
              <w:jc w:val="right"/>
              <w:ind w:right="300"/>
              <w:spacing w:after="0"/>
              <w:rPr>
                <w:sz w:val="20"/>
                <w:szCs w:val="20"/>
                <w:color w:val="auto"/>
              </w:rPr>
            </w:pPr>
            <w:r>
              <w:rPr>
                <w:rFonts w:ascii="Arial" w:cs="Arial" w:eastAsia="Arial" w:hAnsi="Arial"/>
                <w:sz w:val="11"/>
                <w:szCs w:val="11"/>
                <w:color w:val="auto"/>
                <w:w w:val="87"/>
              </w:rPr>
              <w:t>7.44 %</w:t>
            </w:r>
          </w:p>
        </w:tc>
        <w:tc>
          <w:tcPr>
            <w:tcW w:w="9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SOFR + 575</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4,688</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4,597</w:t>
            </w:r>
          </w:p>
        </w:tc>
        <w:tc>
          <w:tcPr>
            <w:tcW w:w="2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4,571</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tcPr>
          <w:p>
            <w:pPr>
              <w:ind w:left="20"/>
              <w:spacing w:after="0"/>
              <w:rPr>
                <w:sz w:val="20"/>
                <w:szCs w:val="20"/>
                <w:color w:val="auto"/>
              </w:rPr>
            </w:pPr>
            <w:r>
              <w:rPr>
                <w:rFonts w:ascii="Arial" w:cs="Arial" w:eastAsia="Arial" w:hAnsi="Arial"/>
                <w:sz w:val="11"/>
                <w:szCs w:val="11"/>
                <w:color w:val="auto"/>
              </w:rPr>
              <w:t>Blackhawk Industrial Distribution, Inc.</w:t>
            </w:r>
          </w:p>
        </w:tc>
        <w:tc>
          <w:tcPr>
            <w:tcW w:w="740" w:type="dxa"/>
            <w:vAlign w:val="bottom"/>
            <w:gridSpan w:val="2"/>
          </w:tcPr>
          <w:p>
            <w:pPr>
              <w:jc w:val="center"/>
              <w:ind w:left="46"/>
              <w:spacing w:after="0"/>
              <w:rPr>
                <w:sz w:val="20"/>
                <w:szCs w:val="20"/>
                <w:color w:val="auto"/>
              </w:rPr>
            </w:pPr>
            <w:r>
              <w:rPr>
                <w:rFonts w:ascii="Arial" w:cs="Arial" w:eastAsia="Arial" w:hAnsi="Arial"/>
                <w:sz w:val="11"/>
                <w:szCs w:val="11"/>
                <w:color w:val="auto"/>
                <w:w w:val="89"/>
              </w:rPr>
              <w:t>9/17/2024</w:t>
            </w:r>
          </w:p>
        </w:tc>
        <w:tc>
          <w:tcPr>
            <w:tcW w:w="12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93"/>
              </w:rPr>
              <w:t>Distributors</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1"/>
                <w:szCs w:val="11"/>
                <w:color w:val="auto"/>
                <w:w w:val="87"/>
              </w:rPr>
              <w:t>7.20 %</w:t>
            </w:r>
          </w:p>
        </w:tc>
        <w:tc>
          <w:tcPr>
            <w:tcW w:w="960" w:type="dxa"/>
            <w:vAlign w:val="bottom"/>
          </w:tcPr>
          <w:p>
            <w:pPr>
              <w:jc w:val="right"/>
              <w:spacing w:after="0"/>
              <w:rPr>
                <w:sz w:val="20"/>
                <w:szCs w:val="20"/>
                <w:color w:val="auto"/>
              </w:rPr>
            </w:pPr>
            <w:r>
              <w:rPr>
                <w:rFonts w:ascii="Arial" w:cs="Arial" w:eastAsia="Arial" w:hAnsi="Arial"/>
                <w:sz w:val="11"/>
                <w:szCs w:val="11"/>
                <w:color w:val="auto"/>
              </w:rPr>
              <w:t>SOFR + 500</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15,330</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15,110</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15,176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shd w:val="clear" w:color="auto" w:fill="CCECFF"/>
          </w:tcPr>
          <w:p>
            <w:pPr>
              <w:ind w:left="20"/>
              <w:spacing w:after="0"/>
              <w:rPr>
                <w:sz w:val="20"/>
                <w:szCs w:val="20"/>
                <w:color w:val="auto"/>
              </w:rPr>
            </w:pPr>
            <w:r>
              <w:rPr>
                <w:rFonts w:ascii="Arial" w:cs="Arial" w:eastAsia="Arial" w:hAnsi="Arial"/>
                <w:sz w:val="11"/>
                <w:szCs w:val="11"/>
                <w:color w:val="auto"/>
              </w:rPr>
              <w:t>Broder Bros., Co.</w:t>
            </w:r>
          </w:p>
        </w:tc>
        <w:tc>
          <w:tcPr>
            <w:tcW w:w="74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89"/>
              </w:rPr>
              <w:t>12/2/2022</w:t>
            </w:r>
          </w:p>
        </w:tc>
        <w:tc>
          <w:tcPr>
            <w:tcW w:w="120" w:type="dxa"/>
            <w:vAlign w:val="bottom"/>
            <w:shd w:val="clear" w:color="auto" w:fill="CCECFF"/>
          </w:tcPr>
          <w:p>
            <w:pPr>
              <w:spacing w:after="0"/>
              <w:rPr>
                <w:sz w:val="11"/>
                <w:szCs w:val="11"/>
                <w:color w:val="auto"/>
              </w:rPr>
            </w:pPr>
          </w:p>
        </w:tc>
        <w:tc>
          <w:tcPr>
            <w:tcW w:w="23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Consumer Products</w:t>
            </w: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620" w:type="dxa"/>
            <w:vAlign w:val="bottom"/>
            <w:gridSpan w:val="2"/>
            <w:shd w:val="clear" w:color="auto" w:fill="CCECFF"/>
          </w:tcPr>
          <w:p>
            <w:pPr>
              <w:jc w:val="right"/>
              <w:ind w:right="300"/>
              <w:spacing w:after="0"/>
              <w:rPr>
                <w:sz w:val="20"/>
                <w:szCs w:val="20"/>
                <w:color w:val="auto"/>
              </w:rPr>
            </w:pPr>
            <w:r>
              <w:rPr>
                <w:rFonts w:ascii="Arial" w:cs="Arial" w:eastAsia="Arial" w:hAnsi="Arial"/>
                <w:sz w:val="11"/>
                <w:szCs w:val="11"/>
                <w:color w:val="auto"/>
                <w:w w:val="87"/>
              </w:rPr>
              <w:t>7.39 %</w:t>
            </w:r>
          </w:p>
        </w:tc>
        <w:tc>
          <w:tcPr>
            <w:tcW w:w="9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L+850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2,432</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2,432</w:t>
            </w:r>
          </w:p>
        </w:tc>
        <w:tc>
          <w:tcPr>
            <w:tcW w:w="2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2,432</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tcPr>
          <w:p>
            <w:pPr>
              <w:ind w:left="20"/>
              <w:spacing w:after="0"/>
              <w:rPr>
                <w:sz w:val="20"/>
                <w:szCs w:val="20"/>
                <w:color w:val="auto"/>
              </w:rPr>
            </w:pPr>
            <w:r>
              <w:rPr>
                <w:rFonts w:ascii="Arial" w:cs="Arial" w:eastAsia="Arial" w:hAnsi="Arial"/>
                <w:sz w:val="11"/>
                <w:szCs w:val="11"/>
                <w:color w:val="auto"/>
              </w:rPr>
              <w:t>By Light Professional IT Services, LLC</w:t>
            </w:r>
          </w:p>
        </w:tc>
        <w:tc>
          <w:tcPr>
            <w:tcW w:w="740" w:type="dxa"/>
            <w:vAlign w:val="bottom"/>
            <w:gridSpan w:val="2"/>
          </w:tcPr>
          <w:p>
            <w:pPr>
              <w:jc w:val="center"/>
              <w:ind w:left="46"/>
              <w:spacing w:after="0"/>
              <w:rPr>
                <w:sz w:val="20"/>
                <w:szCs w:val="20"/>
                <w:color w:val="auto"/>
              </w:rPr>
            </w:pPr>
            <w:r>
              <w:rPr>
                <w:rFonts w:ascii="Arial" w:cs="Arial" w:eastAsia="Arial" w:hAnsi="Arial"/>
                <w:sz w:val="11"/>
                <w:szCs w:val="11"/>
                <w:color w:val="auto"/>
                <w:w w:val="89"/>
              </w:rPr>
              <w:t>5/16/2024</w:t>
            </w:r>
          </w:p>
        </w:tc>
        <w:tc>
          <w:tcPr>
            <w:tcW w:w="12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91"/>
              </w:rPr>
              <w:t>High Tech Industries</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1"/>
                <w:szCs w:val="11"/>
                <w:color w:val="auto"/>
                <w:w w:val="87"/>
              </w:rPr>
              <w:t>7.25 %</w:t>
            </w:r>
          </w:p>
        </w:tc>
        <w:tc>
          <w:tcPr>
            <w:tcW w:w="960" w:type="dxa"/>
            <w:vAlign w:val="bottom"/>
          </w:tcPr>
          <w:p>
            <w:pPr>
              <w:jc w:val="right"/>
              <w:spacing w:after="0"/>
              <w:rPr>
                <w:sz w:val="20"/>
                <w:szCs w:val="20"/>
                <w:color w:val="auto"/>
              </w:rPr>
            </w:pPr>
            <w:r>
              <w:rPr>
                <w:rFonts w:ascii="Arial" w:cs="Arial" w:eastAsia="Arial" w:hAnsi="Arial"/>
                <w:sz w:val="11"/>
                <w:szCs w:val="11"/>
                <w:color w:val="auto"/>
              </w:rPr>
              <w:t>3M L+625</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14,974</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14,913</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14,824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shd w:val="clear" w:color="auto" w:fill="CCECFF"/>
          </w:tcPr>
          <w:p>
            <w:pPr>
              <w:ind w:left="20"/>
              <w:spacing w:after="0"/>
              <w:rPr>
                <w:sz w:val="20"/>
                <w:szCs w:val="20"/>
                <w:color w:val="auto"/>
              </w:rPr>
            </w:pPr>
            <w:r>
              <w:rPr>
                <w:rFonts w:ascii="Arial" w:cs="Arial" w:eastAsia="Arial" w:hAnsi="Arial"/>
                <w:sz w:val="11"/>
                <w:szCs w:val="11"/>
                <w:color w:val="auto"/>
              </w:rPr>
              <w:t>Cadence Aerospace, LLC</w:t>
            </w:r>
          </w:p>
        </w:tc>
        <w:tc>
          <w:tcPr>
            <w:tcW w:w="7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11/14/2023</w:t>
            </w:r>
          </w:p>
        </w:tc>
        <w:tc>
          <w:tcPr>
            <w:tcW w:w="120" w:type="dxa"/>
            <w:vAlign w:val="bottom"/>
            <w:shd w:val="clear" w:color="auto" w:fill="CCECFF"/>
          </w:tcPr>
          <w:p>
            <w:pPr>
              <w:spacing w:after="0"/>
              <w:rPr>
                <w:sz w:val="11"/>
                <w:szCs w:val="11"/>
                <w:color w:val="auto"/>
              </w:rPr>
            </w:pPr>
          </w:p>
        </w:tc>
        <w:tc>
          <w:tcPr>
            <w:tcW w:w="23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Aerospace and Defense</w:t>
            </w: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620" w:type="dxa"/>
            <w:vAlign w:val="bottom"/>
            <w:gridSpan w:val="2"/>
            <w:shd w:val="clear" w:color="auto" w:fill="CCECFF"/>
          </w:tcPr>
          <w:p>
            <w:pPr>
              <w:jc w:val="right"/>
              <w:ind w:right="300"/>
              <w:spacing w:after="0"/>
              <w:rPr>
                <w:sz w:val="20"/>
                <w:szCs w:val="20"/>
                <w:color w:val="auto"/>
              </w:rPr>
            </w:pPr>
            <w:r>
              <w:rPr>
                <w:rFonts w:ascii="Arial" w:cs="Arial" w:eastAsia="Arial" w:hAnsi="Arial"/>
                <w:sz w:val="11"/>
                <w:szCs w:val="11"/>
                <w:color w:val="auto"/>
                <w:w w:val="87"/>
              </w:rPr>
              <w:t>9.74 %</w:t>
            </w:r>
          </w:p>
        </w:tc>
        <w:tc>
          <w:tcPr>
            <w:tcW w:w="9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L+325</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12,380</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12,346</w:t>
            </w:r>
          </w:p>
        </w:tc>
        <w:tc>
          <w:tcPr>
            <w:tcW w:w="2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12,281</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tcPr>
          <w:p>
            <w:pPr>
              <w:ind w:left="20"/>
              <w:spacing w:after="0"/>
              <w:rPr>
                <w:sz w:val="20"/>
                <w:szCs w:val="20"/>
                <w:color w:val="auto"/>
              </w:rPr>
            </w:pPr>
            <w:r>
              <w:rPr>
                <w:rFonts w:ascii="Arial" w:cs="Arial" w:eastAsia="Arial" w:hAnsi="Arial"/>
                <w:sz w:val="11"/>
                <w:szCs w:val="11"/>
                <w:color w:val="auto"/>
              </w:rPr>
              <w:t>CF512, Inc.</w:t>
            </w:r>
          </w:p>
        </w:tc>
        <w:tc>
          <w:tcPr>
            <w:tcW w:w="740" w:type="dxa"/>
            <w:vAlign w:val="bottom"/>
            <w:gridSpan w:val="2"/>
          </w:tcPr>
          <w:p>
            <w:pPr>
              <w:jc w:val="center"/>
              <w:ind w:left="46"/>
              <w:spacing w:after="0"/>
              <w:rPr>
                <w:sz w:val="20"/>
                <w:szCs w:val="20"/>
                <w:color w:val="auto"/>
              </w:rPr>
            </w:pPr>
            <w:r>
              <w:rPr>
                <w:rFonts w:ascii="Arial" w:cs="Arial" w:eastAsia="Arial" w:hAnsi="Arial"/>
                <w:sz w:val="11"/>
                <w:szCs w:val="11"/>
                <w:color w:val="auto"/>
                <w:w w:val="89"/>
              </w:rPr>
              <w:t>8/20/2026</w:t>
            </w:r>
          </w:p>
        </w:tc>
        <w:tc>
          <w:tcPr>
            <w:tcW w:w="12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1"/>
                <w:szCs w:val="11"/>
                <w:color w:val="auto"/>
                <w:w w:val="87"/>
              </w:rPr>
              <w:t>7.58 %</w:t>
            </w:r>
          </w:p>
        </w:tc>
        <w:tc>
          <w:tcPr>
            <w:tcW w:w="960" w:type="dxa"/>
            <w:vAlign w:val="bottom"/>
          </w:tcPr>
          <w:p>
            <w:pPr>
              <w:jc w:val="right"/>
              <w:spacing w:after="0"/>
              <w:rPr>
                <w:sz w:val="20"/>
                <w:szCs w:val="20"/>
                <w:color w:val="auto"/>
              </w:rPr>
            </w:pPr>
            <w:r>
              <w:rPr>
                <w:rFonts w:ascii="Arial" w:cs="Arial" w:eastAsia="Arial" w:hAnsi="Arial"/>
                <w:sz w:val="11"/>
                <w:szCs w:val="11"/>
                <w:color w:val="auto"/>
              </w:rPr>
              <w:t>3M L+600</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4,963</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4,875</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4,888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shd w:val="clear" w:color="auto" w:fill="CCECFF"/>
          </w:tcPr>
          <w:p>
            <w:pPr>
              <w:ind w:left="20"/>
              <w:spacing w:after="0"/>
              <w:rPr>
                <w:sz w:val="20"/>
                <w:szCs w:val="20"/>
                <w:color w:val="auto"/>
              </w:rPr>
            </w:pPr>
            <w:r>
              <w:rPr>
                <w:rFonts w:ascii="Arial" w:cs="Arial" w:eastAsia="Arial" w:hAnsi="Arial"/>
                <w:sz w:val="11"/>
                <w:szCs w:val="11"/>
                <w:color w:val="auto"/>
              </w:rPr>
              <w:t>CHA Holdings, Inc.</w:t>
            </w:r>
          </w:p>
        </w:tc>
        <w:tc>
          <w:tcPr>
            <w:tcW w:w="74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89"/>
              </w:rPr>
              <w:t>4/10/2025</w:t>
            </w:r>
          </w:p>
        </w:tc>
        <w:tc>
          <w:tcPr>
            <w:tcW w:w="120" w:type="dxa"/>
            <w:vAlign w:val="bottom"/>
            <w:shd w:val="clear" w:color="auto" w:fill="CCECFF"/>
          </w:tcPr>
          <w:p>
            <w:pPr>
              <w:spacing w:after="0"/>
              <w:rPr>
                <w:sz w:val="11"/>
                <w:szCs w:val="11"/>
                <w:color w:val="auto"/>
              </w:rPr>
            </w:pPr>
          </w:p>
        </w:tc>
        <w:tc>
          <w:tcPr>
            <w:tcW w:w="23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Construction and Engineering</w:t>
            </w: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620" w:type="dxa"/>
            <w:vAlign w:val="bottom"/>
            <w:gridSpan w:val="2"/>
            <w:shd w:val="clear" w:color="auto" w:fill="CCECFF"/>
          </w:tcPr>
          <w:p>
            <w:pPr>
              <w:jc w:val="right"/>
              <w:ind w:right="300"/>
              <w:spacing w:after="0"/>
              <w:rPr>
                <w:sz w:val="20"/>
                <w:szCs w:val="20"/>
                <w:color w:val="auto"/>
              </w:rPr>
            </w:pPr>
            <w:r>
              <w:rPr>
                <w:rFonts w:ascii="Arial" w:cs="Arial" w:eastAsia="Arial" w:hAnsi="Arial"/>
                <w:sz w:val="11"/>
                <w:szCs w:val="11"/>
                <w:color w:val="auto"/>
                <w:w w:val="87"/>
              </w:rPr>
              <w:t>6.75 %</w:t>
            </w:r>
          </w:p>
        </w:tc>
        <w:tc>
          <w:tcPr>
            <w:tcW w:w="9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L+450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5,571</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5,495</w:t>
            </w:r>
          </w:p>
        </w:tc>
        <w:tc>
          <w:tcPr>
            <w:tcW w:w="2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5,571</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tcPr>
          <w:p>
            <w:pPr>
              <w:ind w:left="20"/>
              <w:spacing w:after="0"/>
              <w:rPr>
                <w:sz w:val="20"/>
                <w:szCs w:val="20"/>
                <w:color w:val="auto"/>
              </w:rPr>
            </w:pPr>
            <w:r>
              <w:rPr>
                <w:rFonts w:ascii="Arial" w:cs="Arial" w:eastAsia="Arial" w:hAnsi="Arial"/>
                <w:sz w:val="11"/>
                <w:szCs w:val="11"/>
                <w:color w:val="auto"/>
              </w:rPr>
              <w:t>Challenger Performance Optimization, Inc.</w:t>
            </w:r>
          </w:p>
        </w:tc>
        <w:tc>
          <w:tcPr>
            <w:tcW w:w="740" w:type="dxa"/>
            <w:vAlign w:val="bottom"/>
            <w:gridSpan w:val="2"/>
          </w:tcPr>
          <w:p>
            <w:pPr>
              <w:jc w:val="center"/>
              <w:ind w:left="46"/>
              <w:spacing w:after="0"/>
              <w:rPr>
                <w:sz w:val="20"/>
                <w:szCs w:val="20"/>
                <w:color w:val="auto"/>
              </w:rPr>
            </w:pPr>
            <w:r>
              <w:rPr>
                <w:rFonts w:ascii="Arial" w:cs="Arial" w:eastAsia="Arial" w:hAnsi="Arial"/>
                <w:sz w:val="11"/>
                <w:szCs w:val="11"/>
                <w:color w:val="auto"/>
                <w:w w:val="89"/>
              </w:rPr>
              <w:t>8/31/2023</w:t>
            </w:r>
          </w:p>
        </w:tc>
        <w:tc>
          <w:tcPr>
            <w:tcW w:w="12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86"/>
              </w:rPr>
              <w:t>Business Services</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1"/>
                <w:szCs w:val="11"/>
                <w:color w:val="auto"/>
                <w:w w:val="87"/>
              </w:rPr>
              <w:t>8.00 %</w:t>
            </w:r>
          </w:p>
        </w:tc>
        <w:tc>
          <w:tcPr>
            <w:tcW w:w="960" w:type="dxa"/>
            <w:vAlign w:val="bottom"/>
          </w:tcPr>
          <w:p>
            <w:pPr>
              <w:jc w:val="right"/>
              <w:spacing w:after="0"/>
              <w:rPr>
                <w:sz w:val="20"/>
                <w:szCs w:val="20"/>
                <w:color w:val="auto"/>
              </w:rPr>
            </w:pPr>
            <w:r>
              <w:rPr>
                <w:rFonts w:ascii="Arial" w:cs="Arial" w:eastAsia="Arial" w:hAnsi="Arial"/>
                <w:sz w:val="11"/>
                <w:szCs w:val="11"/>
                <w:color w:val="auto"/>
              </w:rPr>
              <w:t>1M L+575</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9,377</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9,347</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9,049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shd w:val="clear" w:color="auto" w:fill="CCECFF"/>
          </w:tcPr>
          <w:p>
            <w:pPr>
              <w:ind w:left="20"/>
              <w:spacing w:after="0"/>
              <w:rPr>
                <w:sz w:val="20"/>
                <w:szCs w:val="20"/>
                <w:color w:val="auto"/>
              </w:rPr>
            </w:pPr>
            <w:r>
              <w:rPr>
                <w:rFonts w:ascii="Arial" w:cs="Arial" w:eastAsia="Arial" w:hAnsi="Arial"/>
                <w:sz w:val="11"/>
                <w:szCs w:val="11"/>
                <w:color w:val="auto"/>
              </w:rPr>
              <w:t>Connatix Buyer, Inc.</w:t>
            </w:r>
          </w:p>
        </w:tc>
        <w:tc>
          <w:tcPr>
            <w:tcW w:w="74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89"/>
              </w:rPr>
              <w:t>7/13/2027</w:t>
            </w:r>
          </w:p>
        </w:tc>
        <w:tc>
          <w:tcPr>
            <w:tcW w:w="120" w:type="dxa"/>
            <w:vAlign w:val="bottom"/>
            <w:shd w:val="clear" w:color="auto" w:fill="CCECFF"/>
          </w:tcPr>
          <w:p>
            <w:pPr>
              <w:spacing w:after="0"/>
              <w:rPr>
                <w:sz w:val="11"/>
                <w:szCs w:val="11"/>
                <w:color w:val="auto"/>
              </w:rPr>
            </w:pPr>
          </w:p>
        </w:tc>
        <w:tc>
          <w:tcPr>
            <w:tcW w:w="23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3"/>
              </w:rPr>
              <w:t>Media</w:t>
            </w: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620" w:type="dxa"/>
            <w:vAlign w:val="bottom"/>
            <w:gridSpan w:val="2"/>
            <w:shd w:val="clear" w:color="auto" w:fill="CCECFF"/>
          </w:tcPr>
          <w:p>
            <w:pPr>
              <w:jc w:val="right"/>
              <w:ind w:right="300"/>
              <w:spacing w:after="0"/>
              <w:rPr>
                <w:sz w:val="20"/>
                <w:szCs w:val="20"/>
                <w:color w:val="auto"/>
              </w:rPr>
            </w:pPr>
            <w:r>
              <w:rPr>
                <w:rFonts w:ascii="Arial" w:cs="Arial" w:eastAsia="Arial" w:hAnsi="Arial"/>
                <w:sz w:val="11"/>
                <w:szCs w:val="11"/>
                <w:color w:val="auto"/>
                <w:w w:val="87"/>
              </w:rPr>
              <w:t>6.91 %</w:t>
            </w:r>
          </w:p>
        </w:tc>
        <w:tc>
          <w:tcPr>
            <w:tcW w:w="9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L+550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3,970</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3,901</w:t>
            </w:r>
          </w:p>
        </w:tc>
        <w:tc>
          <w:tcPr>
            <w:tcW w:w="2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3,901</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tcPr>
          <w:p>
            <w:pPr>
              <w:ind w:left="20"/>
              <w:spacing w:after="0"/>
              <w:rPr>
                <w:sz w:val="20"/>
                <w:szCs w:val="20"/>
                <w:color w:val="auto"/>
              </w:rPr>
            </w:pPr>
            <w:r>
              <w:rPr>
                <w:rFonts w:ascii="Arial" w:cs="Arial" w:eastAsia="Arial" w:hAnsi="Arial"/>
                <w:sz w:val="11"/>
                <w:szCs w:val="11"/>
                <w:color w:val="auto"/>
              </w:rPr>
              <w:t>Crane 1 Services, Inc.</w:t>
            </w:r>
          </w:p>
        </w:tc>
        <w:tc>
          <w:tcPr>
            <w:tcW w:w="740" w:type="dxa"/>
            <w:vAlign w:val="bottom"/>
            <w:gridSpan w:val="2"/>
          </w:tcPr>
          <w:p>
            <w:pPr>
              <w:jc w:val="center"/>
              <w:ind w:left="46"/>
              <w:spacing w:after="0"/>
              <w:rPr>
                <w:sz w:val="20"/>
                <w:szCs w:val="20"/>
                <w:color w:val="auto"/>
              </w:rPr>
            </w:pPr>
            <w:r>
              <w:rPr>
                <w:rFonts w:ascii="Arial" w:cs="Arial" w:eastAsia="Arial" w:hAnsi="Arial"/>
                <w:sz w:val="11"/>
                <w:szCs w:val="11"/>
                <w:color w:val="auto"/>
                <w:w w:val="89"/>
              </w:rPr>
              <w:t>8/16/2027</w:t>
            </w:r>
          </w:p>
        </w:tc>
        <w:tc>
          <w:tcPr>
            <w:tcW w:w="12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90"/>
              </w:rPr>
              <w:t>Commercial Services &amp; Supplies</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1"/>
                <w:szCs w:val="11"/>
                <w:color w:val="auto"/>
                <w:w w:val="87"/>
              </w:rPr>
              <w:t>6.75 %</w:t>
            </w:r>
          </w:p>
        </w:tc>
        <w:tc>
          <w:tcPr>
            <w:tcW w:w="960" w:type="dxa"/>
            <w:vAlign w:val="bottom"/>
          </w:tcPr>
          <w:p>
            <w:pPr>
              <w:jc w:val="right"/>
              <w:spacing w:after="0"/>
              <w:rPr>
                <w:sz w:val="20"/>
                <w:szCs w:val="20"/>
                <w:color w:val="auto"/>
              </w:rPr>
            </w:pPr>
            <w:r>
              <w:rPr>
                <w:rFonts w:ascii="Arial" w:cs="Arial" w:eastAsia="Arial" w:hAnsi="Arial"/>
                <w:sz w:val="11"/>
                <w:szCs w:val="11"/>
                <w:color w:val="auto"/>
              </w:rPr>
              <w:t>1M L+575</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2,116</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2,088</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2,084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shd w:val="clear" w:color="auto" w:fill="CCECFF"/>
          </w:tcPr>
          <w:p>
            <w:pPr>
              <w:ind w:left="20"/>
              <w:spacing w:after="0"/>
              <w:rPr>
                <w:sz w:val="20"/>
                <w:szCs w:val="20"/>
                <w:color w:val="auto"/>
              </w:rPr>
            </w:pPr>
            <w:r>
              <w:rPr>
                <w:rFonts w:ascii="Arial" w:cs="Arial" w:eastAsia="Arial" w:hAnsi="Arial"/>
                <w:sz w:val="11"/>
                <w:szCs w:val="11"/>
                <w:color w:val="auto"/>
              </w:rPr>
              <w:t>Crash Champions, LLC</w:t>
            </w:r>
          </w:p>
        </w:tc>
        <w:tc>
          <w:tcPr>
            <w:tcW w:w="7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8"/>
              </w:rPr>
              <w:t>8/5/2025</w:t>
            </w:r>
          </w:p>
        </w:tc>
        <w:tc>
          <w:tcPr>
            <w:tcW w:w="120" w:type="dxa"/>
            <w:vAlign w:val="bottom"/>
            <w:shd w:val="clear" w:color="auto" w:fill="CCECFF"/>
          </w:tcPr>
          <w:p>
            <w:pPr>
              <w:spacing w:after="0"/>
              <w:rPr>
                <w:sz w:val="11"/>
                <w:szCs w:val="11"/>
                <w:color w:val="auto"/>
              </w:rPr>
            </w:pPr>
          </w:p>
        </w:tc>
        <w:tc>
          <w:tcPr>
            <w:tcW w:w="23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2"/>
              </w:rPr>
              <w:t>Automobiles</w:t>
            </w: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620" w:type="dxa"/>
            <w:vAlign w:val="bottom"/>
            <w:gridSpan w:val="2"/>
            <w:shd w:val="clear" w:color="auto" w:fill="CCECFF"/>
          </w:tcPr>
          <w:p>
            <w:pPr>
              <w:jc w:val="right"/>
              <w:ind w:right="300"/>
              <w:spacing w:after="0"/>
              <w:rPr>
                <w:sz w:val="20"/>
                <w:szCs w:val="20"/>
                <w:color w:val="auto"/>
              </w:rPr>
            </w:pPr>
            <w:r>
              <w:rPr>
                <w:rFonts w:ascii="Arial" w:cs="Arial" w:eastAsia="Arial" w:hAnsi="Arial"/>
                <w:sz w:val="11"/>
                <w:szCs w:val="11"/>
                <w:color w:val="auto"/>
                <w:w w:val="87"/>
              </w:rPr>
              <w:t>7.20 %</w:t>
            </w:r>
          </w:p>
        </w:tc>
        <w:tc>
          <w:tcPr>
            <w:tcW w:w="9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14,880</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14,623</w:t>
            </w:r>
          </w:p>
        </w:tc>
        <w:tc>
          <w:tcPr>
            <w:tcW w:w="2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14,806</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tcPr>
          <w:p>
            <w:pPr>
              <w:ind w:left="20"/>
              <w:spacing w:after="0"/>
              <w:rPr>
                <w:sz w:val="20"/>
                <w:szCs w:val="20"/>
                <w:color w:val="auto"/>
              </w:rPr>
            </w:pPr>
            <w:r>
              <w:rPr>
                <w:rFonts w:ascii="Arial" w:cs="Arial" w:eastAsia="Arial" w:hAnsi="Arial"/>
                <w:sz w:val="11"/>
                <w:szCs w:val="11"/>
                <w:color w:val="auto"/>
              </w:rPr>
              <w:t>Douglas Products and Packaging Company LLC</w:t>
            </w:r>
          </w:p>
        </w:tc>
        <w:tc>
          <w:tcPr>
            <w:tcW w:w="74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10/19/2022</w:t>
            </w:r>
          </w:p>
        </w:tc>
        <w:tc>
          <w:tcPr>
            <w:tcW w:w="12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87"/>
              </w:rPr>
              <w:t>Chemicals, Plastics and Rubber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1"/>
                <w:szCs w:val="11"/>
                <w:color w:val="auto"/>
                <w:w w:val="87"/>
              </w:rPr>
              <w:t>8.00 %</w:t>
            </w:r>
          </w:p>
        </w:tc>
        <w:tc>
          <w:tcPr>
            <w:tcW w:w="960" w:type="dxa"/>
            <w:vAlign w:val="bottom"/>
          </w:tcPr>
          <w:p>
            <w:pPr>
              <w:jc w:val="right"/>
              <w:spacing w:after="0"/>
              <w:rPr>
                <w:sz w:val="20"/>
                <w:szCs w:val="20"/>
                <w:color w:val="auto"/>
              </w:rPr>
            </w:pPr>
            <w:r>
              <w:rPr>
                <w:rFonts w:ascii="Arial" w:cs="Arial" w:eastAsia="Arial" w:hAnsi="Arial"/>
                <w:sz w:val="11"/>
                <w:szCs w:val="11"/>
                <w:color w:val="auto"/>
              </w:rPr>
              <w:t>3M L+575</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8,678</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8,664</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8,678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shd w:val="clear" w:color="auto" w:fill="CCECFF"/>
          </w:tcPr>
          <w:p>
            <w:pPr>
              <w:ind w:left="20"/>
              <w:spacing w:after="0"/>
              <w:rPr>
                <w:sz w:val="20"/>
                <w:szCs w:val="20"/>
                <w:color w:val="auto"/>
              </w:rPr>
            </w:pPr>
            <w:r>
              <w:rPr>
                <w:rFonts w:ascii="Arial" w:cs="Arial" w:eastAsia="Arial" w:hAnsi="Arial"/>
                <w:sz w:val="11"/>
                <w:szCs w:val="11"/>
                <w:color w:val="auto"/>
              </w:rPr>
              <w:t>Douglas Sewer Intermediate, LLC</w:t>
            </w:r>
          </w:p>
        </w:tc>
        <w:tc>
          <w:tcPr>
            <w:tcW w:w="7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10/19/2022</w:t>
            </w:r>
          </w:p>
        </w:tc>
        <w:tc>
          <w:tcPr>
            <w:tcW w:w="120" w:type="dxa"/>
            <w:vAlign w:val="bottom"/>
            <w:shd w:val="clear" w:color="auto" w:fill="CCECFF"/>
          </w:tcPr>
          <w:p>
            <w:pPr>
              <w:spacing w:after="0"/>
              <w:rPr>
                <w:sz w:val="11"/>
                <w:szCs w:val="11"/>
                <w:color w:val="auto"/>
              </w:rPr>
            </w:pPr>
          </w:p>
        </w:tc>
        <w:tc>
          <w:tcPr>
            <w:tcW w:w="23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Chemicals, Plastics and Rubber</w:t>
            </w: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620" w:type="dxa"/>
            <w:vAlign w:val="bottom"/>
            <w:gridSpan w:val="2"/>
            <w:shd w:val="clear" w:color="auto" w:fill="CCECFF"/>
          </w:tcPr>
          <w:p>
            <w:pPr>
              <w:jc w:val="right"/>
              <w:ind w:right="300"/>
              <w:spacing w:after="0"/>
              <w:rPr>
                <w:sz w:val="20"/>
                <w:szCs w:val="20"/>
                <w:color w:val="auto"/>
              </w:rPr>
            </w:pPr>
            <w:r>
              <w:rPr>
                <w:rFonts w:ascii="Arial" w:cs="Arial" w:eastAsia="Arial" w:hAnsi="Arial"/>
                <w:sz w:val="11"/>
                <w:szCs w:val="11"/>
                <w:color w:val="auto"/>
                <w:w w:val="87"/>
              </w:rPr>
              <w:t>8.00 %</w:t>
            </w:r>
          </w:p>
        </w:tc>
        <w:tc>
          <w:tcPr>
            <w:tcW w:w="9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L+575</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7,267</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7,255</w:t>
            </w:r>
          </w:p>
        </w:tc>
        <w:tc>
          <w:tcPr>
            <w:tcW w:w="2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7,267</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tcPr>
          <w:p>
            <w:pPr>
              <w:ind w:left="20"/>
              <w:spacing w:after="0"/>
              <w:rPr>
                <w:sz w:val="20"/>
                <w:szCs w:val="20"/>
                <w:color w:val="auto"/>
              </w:rPr>
            </w:pPr>
            <w:r>
              <w:rPr>
                <w:rFonts w:ascii="Arial" w:cs="Arial" w:eastAsia="Arial" w:hAnsi="Arial"/>
                <w:sz w:val="11"/>
                <w:szCs w:val="11"/>
                <w:color w:val="auto"/>
              </w:rPr>
              <w:t>Dr. Squatch, LLC</w:t>
            </w:r>
          </w:p>
        </w:tc>
        <w:tc>
          <w:tcPr>
            <w:tcW w:w="740" w:type="dxa"/>
            <w:vAlign w:val="bottom"/>
            <w:gridSpan w:val="2"/>
          </w:tcPr>
          <w:p>
            <w:pPr>
              <w:jc w:val="center"/>
              <w:ind w:left="46"/>
              <w:spacing w:after="0"/>
              <w:rPr>
                <w:sz w:val="20"/>
                <w:szCs w:val="20"/>
                <w:color w:val="auto"/>
              </w:rPr>
            </w:pPr>
            <w:r>
              <w:rPr>
                <w:rFonts w:ascii="Arial" w:cs="Arial" w:eastAsia="Arial" w:hAnsi="Arial"/>
                <w:sz w:val="11"/>
                <w:szCs w:val="11"/>
                <w:color w:val="auto"/>
                <w:w w:val="89"/>
              </w:rPr>
              <w:t>8/31/2027</w:t>
            </w:r>
          </w:p>
        </w:tc>
        <w:tc>
          <w:tcPr>
            <w:tcW w:w="12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86"/>
              </w:rPr>
              <w:t>Personal Products</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1"/>
                <w:szCs w:val="11"/>
                <w:color w:val="auto"/>
                <w:w w:val="87"/>
              </w:rPr>
              <w:t>8.00 %</w:t>
            </w:r>
          </w:p>
        </w:tc>
        <w:tc>
          <w:tcPr>
            <w:tcW w:w="960" w:type="dxa"/>
            <w:vAlign w:val="bottom"/>
          </w:tcPr>
          <w:p>
            <w:pPr>
              <w:jc w:val="right"/>
              <w:spacing w:after="0"/>
              <w:rPr>
                <w:sz w:val="20"/>
                <w:szCs w:val="20"/>
                <w:color w:val="auto"/>
              </w:rPr>
            </w:pPr>
            <w:r>
              <w:rPr>
                <w:rFonts w:ascii="Arial" w:cs="Arial" w:eastAsia="Arial" w:hAnsi="Arial"/>
                <w:sz w:val="11"/>
                <w:szCs w:val="11"/>
                <w:color w:val="auto"/>
              </w:rPr>
              <w:t>3M L+600</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14,900</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14,634</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14,900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shd w:val="clear" w:color="auto" w:fill="CCECFF"/>
          </w:tcPr>
          <w:p>
            <w:pPr>
              <w:ind w:left="20"/>
              <w:spacing w:after="0"/>
              <w:rPr>
                <w:sz w:val="20"/>
                <w:szCs w:val="20"/>
                <w:color w:val="auto"/>
              </w:rPr>
            </w:pPr>
            <w:r>
              <w:rPr>
                <w:rFonts w:ascii="Arial" w:cs="Arial" w:eastAsia="Arial" w:hAnsi="Arial"/>
                <w:sz w:val="11"/>
                <w:szCs w:val="11"/>
                <w:color w:val="auto"/>
              </w:rPr>
              <w:t>DRS Holdings III, Inc.</w:t>
            </w:r>
          </w:p>
        </w:tc>
        <w:tc>
          <w:tcPr>
            <w:tcW w:w="7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5"/>
              </w:rPr>
              <w:t>11/3/2025</w:t>
            </w:r>
          </w:p>
        </w:tc>
        <w:tc>
          <w:tcPr>
            <w:tcW w:w="120" w:type="dxa"/>
            <w:vAlign w:val="bottom"/>
            <w:shd w:val="clear" w:color="auto" w:fill="CCECFF"/>
          </w:tcPr>
          <w:p>
            <w:pPr>
              <w:spacing w:after="0"/>
              <w:rPr>
                <w:sz w:val="11"/>
                <w:szCs w:val="11"/>
                <w:color w:val="auto"/>
              </w:rPr>
            </w:pPr>
          </w:p>
        </w:tc>
        <w:tc>
          <w:tcPr>
            <w:tcW w:w="23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Consumer Goods: Durable</w:t>
            </w: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620" w:type="dxa"/>
            <w:vAlign w:val="bottom"/>
            <w:gridSpan w:val="2"/>
            <w:shd w:val="clear" w:color="auto" w:fill="CCECFF"/>
          </w:tcPr>
          <w:p>
            <w:pPr>
              <w:jc w:val="right"/>
              <w:ind w:right="300"/>
              <w:spacing w:after="0"/>
              <w:rPr>
                <w:sz w:val="20"/>
                <w:szCs w:val="20"/>
                <w:color w:val="auto"/>
              </w:rPr>
            </w:pPr>
            <w:r>
              <w:rPr>
                <w:rFonts w:ascii="Arial" w:cs="Arial" w:eastAsia="Arial" w:hAnsi="Arial"/>
                <w:sz w:val="11"/>
                <w:szCs w:val="11"/>
                <w:color w:val="auto"/>
                <w:w w:val="87"/>
              </w:rPr>
              <w:t>7.42 %</w:t>
            </w:r>
          </w:p>
        </w:tc>
        <w:tc>
          <w:tcPr>
            <w:tcW w:w="9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L+575</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15,218</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15,138</w:t>
            </w:r>
          </w:p>
        </w:tc>
        <w:tc>
          <w:tcPr>
            <w:tcW w:w="2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14,777</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tcPr>
          <w:p>
            <w:pPr>
              <w:ind w:left="20"/>
              <w:spacing w:after="0"/>
              <w:rPr>
                <w:sz w:val="20"/>
                <w:szCs w:val="20"/>
                <w:color w:val="auto"/>
              </w:rPr>
            </w:pPr>
            <w:r>
              <w:rPr>
                <w:rFonts w:ascii="Arial" w:cs="Arial" w:eastAsia="Arial" w:hAnsi="Arial"/>
                <w:sz w:val="11"/>
                <w:szCs w:val="11"/>
                <w:color w:val="auto"/>
              </w:rPr>
              <w:t>Duraco Specialty Tapes LLC</w:t>
            </w:r>
          </w:p>
        </w:tc>
        <w:tc>
          <w:tcPr>
            <w:tcW w:w="740" w:type="dxa"/>
            <w:vAlign w:val="bottom"/>
            <w:gridSpan w:val="2"/>
          </w:tcPr>
          <w:p>
            <w:pPr>
              <w:jc w:val="center"/>
              <w:ind w:left="46"/>
              <w:spacing w:after="0"/>
              <w:rPr>
                <w:sz w:val="20"/>
                <w:szCs w:val="20"/>
                <w:color w:val="auto"/>
              </w:rPr>
            </w:pPr>
            <w:r>
              <w:rPr>
                <w:rFonts w:ascii="Arial" w:cs="Arial" w:eastAsia="Arial" w:hAnsi="Arial"/>
                <w:sz w:val="11"/>
                <w:szCs w:val="11"/>
                <w:color w:val="auto"/>
                <w:w w:val="89"/>
              </w:rPr>
              <w:t>6/30/2024</w:t>
            </w:r>
          </w:p>
        </w:tc>
        <w:tc>
          <w:tcPr>
            <w:tcW w:w="12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86"/>
              </w:rPr>
              <w:t>Containers and Packaging</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1"/>
                <w:szCs w:val="11"/>
                <w:color w:val="auto"/>
                <w:w w:val="87"/>
              </w:rPr>
              <w:t>7.15 %</w:t>
            </w:r>
          </w:p>
        </w:tc>
        <w:tc>
          <w:tcPr>
            <w:tcW w:w="960" w:type="dxa"/>
            <w:vAlign w:val="bottom"/>
          </w:tcPr>
          <w:p>
            <w:pPr>
              <w:jc w:val="right"/>
              <w:spacing w:after="0"/>
              <w:rPr>
                <w:sz w:val="20"/>
                <w:szCs w:val="20"/>
                <w:color w:val="auto"/>
              </w:rPr>
            </w:pPr>
            <w:r>
              <w:rPr>
                <w:rFonts w:ascii="Arial" w:cs="Arial" w:eastAsia="Arial" w:hAnsi="Arial"/>
                <w:sz w:val="11"/>
                <w:szCs w:val="11"/>
                <w:color w:val="auto"/>
              </w:rPr>
              <w:t>1M L+550</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10,316</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10,173</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10,099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shd w:val="clear" w:color="auto" w:fill="CCECFF"/>
          </w:tcPr>
          <w:p>
            <w:pPr>
              <w:ind w:left="20"/>
              <w:spacing w:after="0"/>
              <w:rPr>
                <w:sz w:val="20"/>
                <w:szCs w:val="20"/>
                <w:color w:val="auto"/>
              </w:rPr>
            </w:pPr>
            <w:r>
              <w:rPr>
                <w:rFonts w:ascii="Arial" w:cs="Arial" w:eastAsia="Arial" w:hAnsi="Arial"/>
                <w:sz w:val="11"/>
                <w:szCs w:val="11"/>
                <w:color w:val="auto"/>
              </w:rPr>
              <w:t>ECL Entertainment, LLC</w:t>
            </w:r>
          </w:p>
        </w:tc>
        <w:tc>
          <w:tcPr>
            <w:tcW w:w="7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8"/>
              </w:rPr>
              <w:t>5/1/2028</w:t>
            </w:r>
          </w:p>
        </w:tc>
        <w:tc>
          <w:tcPr>
            <w:tcW w:w="120" w:type="dxa"/>
            <w:vAlign w:val="bottom"/>
            <w:shd w:val="clear" w:color="auto" w:fill="CCECFF"/>
          </w:tcPr>
          <w:p>
            <w:pPr>
              <w:spacing w:after="0"/>
              <w:rPr>
                <w:sz w:val="11"/>
                <w:szCs w:val="11"/>
                <w:color w:val="auto"/>
              </w:rPr>
            </w:pPr>
          </w:p>
        </w:tc>
        <w:tc>
          <w:tcPr>
            <w:tcW w:w="23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Hotels, Restaurants and Leisure</w:t>
            </w: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620" w:type="dxa"/>
            <w:vAlign w:val="bottom"/>
            <w:gridSpan w:val="2"/>
            <w:shd w:val="clear" w:color="auto" w:fill="CCECFF"/>
          </w:tcPr>
          <w:p>
            <w:pPr>
              <w:jc w:val="right"/>
              <w:ind w:right="300"/>
              <w:spacing w:after="0"/>
              <w:rPr>
                <w:sz w:val="20"/>
                <w:szCs w:val="20"/>
                <w:color w:val="auto"/>
              </w:rPr>
            </w:pPr>
            <w:r>
              <w:rPr>
                <w:rFonts w:ascii="Arial" w:cs="Arial" w:eastAsia="Arial" w:hAnsi="Arial"/>
                <w:sz w:val="11"/>
                <w:szCs w:val="11"/>
                <w:color w:val="auto"/>
                <w:w w:val="87"/>
              </w:rPr>
              <w:t>9.75 %</w:t>
            </w:r>
          </w:p>
        </w:tc>
        <w:tc>
          <w:tcPr>
            <w:tcW w:w="9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L+750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2,627</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2,603</w:t>
            </w:r>
          </w:p>
        </w:tc>
        <w:tc>
          <w:tcPr>
            <w:tcW w:w="2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2,560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tcPr>
          <w:p>
            <w:pPr>
              <w:ind w:left="20"/>
              <w:spacing w:after="0"/>
              <w:rPr>
                <w:sz w:val="20"/>
                <w:szCs w:val="20"/>
                <w:color w:val="auto"/>
              </w:rPr>
            </w:pPr>
            <w:r>
              <w:rPr>
                <w:rFonts w:ascii="Arial" w:cs="Arial" w:eastAsia="Arial" w:hAnsi="Arial"/>
                <w:sz w:val="11"/>
                <w:szCs w:val="11"/>
                <w:color w:val="auto"/>
              </w:rPr>
              <w:t>ECM Industries, LLC</w:t>
            </w:r>
          </w:p>
        </w:tc>
        <w:tc>
          <w:tcPr>
            <w:tcW w:w="74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12/23/2025</w:t>
            </w:r>
          </w:p>
        </w:tc>
        <w:tc>
          <w:tcPr>
            <w:tcW w:w="12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88"/>
              </w:rPr>
              <w:t>Electronic Equipment, Instruments, and Components</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1"/>
                <w:szCs w:val="11"/>
                <w:color w:val="auto"/>
                <w:w w:val="87"/>
              </w:rPr>
              <w:t>6.32 %</w:t>
            </w:r>
          </w:p>
        </w:tc>
        <w:tc>
          <w:tcPr>
            <w:tcW w:w="960" w:type="dxa"/>
            <w:vAlign w:val="bottom"/>
          </w:tcPr>
          <w:p>
            <w:pPr>
              <w:jc w:val="right"/>
              <w:spacing w:after="0"/>
              <w:rPr>
                <w:sz w:val="20"/>
                <w:szCs w:val="20"/>
                <w:color w:val="auto"/>
              </w:rPr>
            </w:pPr>
            <w:r>
              <w:rPr>
                <w:rFonts w:ascii="Arial" w:cs="Arial" w:eastAsia="Arial" w:hAnsi="Arial"/>
                <w:sz w:val="11"/>
                <w:szCs w:val="11"/>
                <w:color w:val="auto"/>
              </w:rPr>
              <w:t>3M L+450</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4,987</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4,987</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4,887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shd w:val="clear" w:color="auto" w:fill="CCECFF"/>
          </w:tcPr>
          <w:p>
            <w:pPr>
              <w:ind w:left="20"/>
              <w:spacing w:after="0"/>
              <w:rPr>
                <w:sz w:val="20"/>
                <w:szCs w:val="20"/>
                <w:color w:val="auto"/>
              </w:rPr>
            </w:pPr>
            <w:r>
              <w:rPr>
                <w:rFonts w:ascii="Arial" w:cs="Arial" w:eastAsia="Arial" w:hAnsi="Arial"/>
                <w:sz w:val="11"/>
                <w:szCs w:val="11"/>
                <w:color w:val="auto"/>
              </w:rPr>
              <w:t>Exigo Intermediate II, LLC</w:t>
            </w:r>
          </w:p>
        </w:tc>
        <w:tc>
          <w:tcPr>
            <w:tcW w:w="74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89"/>
              </w:rPr>
              <w:t>3/15/2027</w:t>
            </w:r>
          </w:p>
        </w:tc>
        <w:tc>
          <w:tcPr>
            <w:tcW w:w="120" w:type="dxa"/>
            <w:vAlign w:val="bottom"/>
            <w:shd w:val="clear" w:color="auto" w:fill="CCECFF"/>
          </w:tcPr>
          <w:p>
            <w:pPr>
              <w:spacing w:after="0"/>
              <w:rPr>
                <w:sz w:val="11"/>
                <w:szCs w:val="11"/>
                <w:color w:val="auto"/>
              </w:rPr>
            </w:pPr>
          </w:p>
        </w:tc>
        <w:tc>
          <w:tcPr>
            <w:tcW w:w="23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2"/>
              </w:rPr>
              <w:t>Software</w:t>
            </w: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620" w:type="dxa"/>
            <w:vAlign w:val="bottom"/>
            <w:gridSpan w:val="2"/>
            <w:shd w:val="clear" w:color="auto" w:fill="CCECFF"/>
          </w:tcPr>
          <w:p>
            <w:pPr>
              <w:jc w:val="right"/>
              <w:ind w:right="300"/>
              <w:spacing w:after="0"/>
              <w:rPr>
                <w:sz w:val="20"/>
                <w:szCs w:val="20"/>
                <w:color w:val="auto"/>
              </w:rPr>
            </w:pPr>
            <w:r>
              <w:rPr>
                <w:rFonts w:ascii="Arial" w:cs="Arial" w:eastAsia="Arial" w:hAnsi="Arial"/>
                <w:sz w:val="11"/>
                <w:szCs w:val="11"/>
                <w:color w:val="auto"/>
                <w:w w:val="87"/>
              </w:rPr>
              <w:t>7.42 %</w:t>
            </w:r>
          </w:p>
        </w:tc>
        <w:tc>
          <w:tcPr>
            <w:tcW w:w="9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L+575</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12,968</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12,783</w:t>
            </w:r>
          </w:p>
        </w:tc>
        <w:tc>
          <w:tcPr>
            <w:tcW w:w="2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12,773</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tcPr>
          <w:p>
            <w:pPr>
              <w:ind w:left="20"/>
              <w:spacing w:after="0"/>
              <w:rPr>
                <w:sz w:val="20"/>
                <w:szCs w:val="20"/>
                <w:color w:val="auto"/>
              </w:rPr>
            </w:pPr>
            <w:r>
              <w:rPr>
                <w:rFonts w:ascii="Arial" w:cs="Arial" w:eastAsia="Arial" w:hAnsi="Arial"/>
                <w:sz w:val="11"/>
                <w:szCs w:val="11"/>
                <w:color w:val="auto"/>
              </w:rPr>
              <w:t>Fairbanks More Defense</w:t>
            </w:r>
          </w:p>
        </w:tc>
        <w:tc>
          <w:tcPr>
            <w:tcW w:w="740" w:type="dxa"/>
            <w:vAlign w:val="bottom"/>
            <w:gridSpan w:val="2"/>
          </w:tcPr>
          <w:p>
            <w:pPr>
              <w:jc w:val="center"/>
              <w:ind w:left="46"/>
              <w:spacing w:after="0"/>
              <w:rPr>
                <w:sz w:val="20"/>
                <w:szCs w:val="20"/>
                <w:color w:val="auto"/>
              </w:rPr>
            </w:pPr>
            <w:r>
              <w:rPr>
                <w:rFonts w:ascii="Arial" w:cs="Arial" w:eastAsia="Arial" w:hAnsi="Arial"/>
                <w:sz w:val="11"/>
                <w:szCs w:val="11"/>
                <w:color w:val="auto"/>
                <w:w w:val="89"/>
              </w:rPr>
              <w:t>6/17/2028</w:t>
            </w:r>
          </w:p>
        </w:tc>
        <w:tc>
          <w:tcPr>
            <w:tcW w:w="12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86"/>
              </w:rPr>
              <w:t>Aerospace and Defense</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1"/>
                <w:szCs w:val="11"/>
                <w:color w:val="auto"/>
                <w:w w:val="87"/>
              </w:rPr>
              <w:t>7.63 %</w:t>
            </w:r>
          </w:p>
        </w:tc>
        <w:tc>
          <w:tcPr>
            <w:tcW w:w="960" w:type="dxa"/>
            <w:vAlign w:val="bottom"/>
          </w:tcPr>
          <w:p>
            <w:pPr>
              <w:jc w:val="right"/>
              <w:spacing w:after="0"/>
              <w:rPr>
                <w:sz w:val="20"/>
                <w:szCs w:val="20"/>
                <w:color w:val="auto"/>
              </w:rPr>
            </w:pPr>
            <w:r>
              <w:rPr>
                <w:rFonts w:ascii="Arial" w:cs="Arial" w:eastAsia="Arial" w:hAnsi="Arial"/>
                <w:sz w:val="11"/>
                <w:szCs w:val="11"/>
                <w:color w:val="auto"/>
              </w:rPr>
              <w:t>3M L+475</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9,925</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9,884</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9,528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shd w:val="clear" w:color="auto" w:fill="CCECFF"/>
          </w:tcPr>
          <w:p>
            <w:pPr>
              <w:ind w:left="20"/>
              <w:spacing w:after="0"/>
              <w:rPr>
                <w:sz w:val="20"/>
                <w:szCs w:val="20"/>
                <w:color w:val="auto"/>
              </w:rPr>
            </w:pPr>
            <w:r>
              <w:rPr>
                <w:rFonts w:ascii="Arial" w:cs="Arial" w:eastAsia="Arial" w:hAnsi="Arial"/>
                <w:sz w:val="11"/>
                <w:szCs w:val="11"/>
                <w:color w:val="auto"/>
              </w:rPr>
              <w:t>Gantech Acquisition Corp.</w:t>
            </w:r>
          </w:p>
        </w:tc>
        <w:tc>
          <w:tcPr>
            <w:tcW w:w="74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89"/>
              </w:rPr>
              <w:t>5/14/2026</w:t>
            </w:r>
          </w:p>
        </w:tc>
        <w:tc>
          <w:tcPr>
            <w:tcW w:w="120" w:type="dxa"/>
            <w:vAlign w:val="bottom"/>
            <w:shd w:val="clear" w:color="auto" w:fill="CCECFF"/>
          </w:tcPr>
          <w:p>
            <w:pPr>
              <w:spacing w:after="0"/>
              <w:rPr>
                <w:sz w:val="11"/>
                <w:szCs w:val="11"/>
                <w:color w:val="auto"/>
              </w:rPr>
            </w:pPr>
          </w:p>
        </w:tc>
        <w:tc>
          <w:tcPr>
            <w:tcW w:w="23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IT Services</w:t>
            </w: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620" w:type="dxa"/>
            <w:vAlign w:val="bottom"/>
            <w:gridSpan w:val="2"/>
            <w:shd w:val="clear" w:color="auto" w:fill="CCECFF"/>
          </w:tcPr>
          <w:p>
            <w:pPr>
              <w:jc w:val="right"/>
              <w:ind w:right="300"/>
              <w:spacing w:after="0"/>
              <w:rPr>
                <w:sz w:val="20"/>
                <w:szCs w:val="20"/>
                <w:color w:val="auto"/>
              </w:rPr>
            </w:pPr>
            <w:r>
              <w:rPr>
                <w:rFonts w:ascii="Arial" w:cs="Arial" w:eastAsia="Arial" w:hAnsi="Arial"/>
                <w:sz w:val="11"/>
                <w:szCs w:val="11"/>
                <w:color w:val="auto"/>
                <w:w w:val="87"/>
              </w:rPr>
              <w:t>7.92 %</w:t>
            </w:r>
          </w:p>
        </w:tc>
        <w:tc>
          <w:tcPr>
            <w:tcW w:w="9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L+625</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14,713</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14,489</w:t>
            </w:r>
          </w:p>
        </w:tc>
        <w:tc>
          <w:tcPr>
            <w:tcW w:w="2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14,419</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tcPr>
          <w:p>
            <w:pPr>
              <w:ind w:left="20"/>
              <w:spacing w:after="0"/>
              <w:rPr>
                <w:sz w:val="20"/>
                <w:szCs w:val="20"/>
                <w:color w:val="auto"/>
              </w:rPr>
            </w:pPr>
            <w:r>
              <w:rPr>
                <w:rFonts w:ascii="Arial" w:cs="Arial" w:eastAsia="Arial" w:hAnsi="Arial"/>
                <w:sz w:val="11"/>
                <w:szCs w:val="11"/>
                <w:color w:val="auto"/>
              </w:rPr>
              <w:t>Global Holdings InterCo LLC</w:t>
            </w:r>
          </w:p>
        </w:tc>
        <w:tc>
          <w:tcPr>
            <w:tcW w:w="740" w:type="dxa"/>
            <w:vAlign w:val="bottom"/>
            <w:gridSpan w:val="2"/>
          </w:tcPr>
          <w:p>
            <w:pPr>
              <w:jc w:val="center"/>
              <w:ind w:left="46"/>
              <w:spacing w:after="0"/>
              <w:rPr>
                <w:sz w:val="20"/>
                <w:szCs w:val="20"/>
                <w:color w:val="auto"/>
              </w:rPr>
            </w:pPr>
            <w:r>
              <w:rPr>
                <w:rFonts w:ascii="Arial" w:cs="Arial" w:eastAsia="Arial" w:hAnsi="Arial"/>
                <w:sz w:val="11"/>
                <w:szCs w:val="11"/>
                <w:color w:val="auto"/>
                <w:w w:val="89"/>
              </w:rPr>
              <w:t>3/16/2026</w:t>
            </w:r>
          </w:p>
        </w:tc>
        <w:tc>
          <w:tcPr>
            <w:tcW w:w="12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91"/>
              </w:rPr>
              <w:t>Diversified Financial Services</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1"/>
                <w:szCs w:val="11"/>
                <w:color w:val="auto"/>
                <w:w w:val="87"/>
              </w:rPr>
              <w:t>7.00 %</w:t>
            </w:r>
          </w:p>
        </w:tc>
        <w:tc>
          <w:tcPr>
            <w:tcW w:w="960" w:type="dxa"/>
            <w:vAlign w:val="bottom"/>
          </w:tcPr>
          <w:p>
            <w:pPr>
              <w:jc w:val="right"/>
              <w:spacing w:after="0"/>
              <w:rPr>
                <w:sz w:val="20"/>
                <w:szCs w:val="20"/>
                <w:color w:val="auto"/>
              </w:rPr>
            </w:pPr>
            <w:r>
              <w:rPr>
                <w:rFonts w:ascii="Arial" w:cs="Arial" w:eastAsia="Arial" w:hAnsi="Arial"/>
                <w:sz w:val="11"/>
                <w:szCs w:val="11"/>
                <w:color w:val="auto"/>
              </w:rPr>
              <w:t>3M L+600</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3,914</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3,897</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3,797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shd w:val="clear" w:color="auto" w:fill="CCECFF"/>
          </w:tcPr>
          <w:p>
            <w:pPr>
              <w:ind w:left="20"/>
              <w:spacing w:after="0"/>
              <w:rPr>
                <w:sz w:val="20"/>
                <w:szCs w:val="20"/>
                <w:color w:val="auto"/>
              </w:rPr>
            </w:pPr>
            <w:r>
              <w:rPr>
                <w:rFonts w:ascii="Arial" w:cs="Arial" w:eastAsia="Arial" w:hAnsi="Arial"/>
                <w:sz w:val="11"/>
                <w:szCs w:val="11"/>
                <w:color w:val="auto"/>
              </w:rPr>
              <w:t>Graffiti Buyer, Inc.</w:t>
            </w:r>
          </w:p>
        </w:tc>
        <w:tc>
          <w:tcPr>
            <w:tcW w:w="74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89"/>
              </w:rPr>
              <w:t>8/10/2027</w:t>
            </w:r>
          </w:p>
        </w:tc>
        <w:tc>
          <w:tcPr>
            <w:tcW w:w="120" w:type="dxa"/>
            <w:vAlign w:val="bottom"/>
            <w:shd w:val="clear" w:color="auto" w:fill="CCECFF"/>
          </w:tcPr>
          <w:p>
            <w:pPr>
              <w:spacing w:after="0"/>
              <w:rPr>
                <w:sz w:val="11"/>
                <w:szCs w:val="11"/>
                <w:color w:val="auto"/>
              </w:rPr>
            </w:pPr>
          </w:p>
        </w:tc>
        <w:tc>
          <w:tcPr>
            <w:tcW w:w="23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2"/>
              </w:rPr>
              <w:t>Trading Companies &amp; Distributors</w:t>
            </w: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620" w:type="dxa"/>
            <w:vAlign w:val="bottom"/>
            <w:gridSpan w:val="2"/>
            <w:shd w:val="clear" w:color="auto" w:fill="CCECFF"/>
          </w:tcPr>
          <w:p>
            <w:pPr>
              <w:jc w:val="right"/>
              <w:ind w:right="300"/>
              <w:spacing w:after="0"/>
              <w:rPr>
                <w:sz w:val="20"/>
                <w:szCs w:val="20"/>
                <w:color w:val="auto"/>
              </w:rPr>
            </w:pPr>
            <w:r>
              <w:rPr>
                <w:rFonts w:ascii="Arial" w:cs="Arial" w:eastAsia="Arial" w:hAnsi="Arial"/>
                <w:sz w:val="11"/>
                <w:szCs w:val="11"/>
                <w:color w:val="auto"/>
                <w:w w:val="87"/>
              </w:rPr>
              <w:t>8.00 %</w:t>
            </w:r>
          </w:p>
        </w:tc>
        <w:tc>
          <w:tcPr>
            <w:tcW w:w="9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L+575</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2,375</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2,321</w:t>
            </w:r>
          </w:p>
        </w:tc>
        <w:tc>
          <w:tcPr>
            <w:tcW w:w="2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2,310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tcPr>
          <w:p>
            <w:pPr>
              <w:ind w:left="20"/>
              <w:spacing w:after="0"/>
              <w:rPr>
                <w:sz w:val="20"/>
                <w:szCs w:val="20"/>
                <w:color w:val="auto"/>
              </w:rPr>
            </w:pPr>
            <w:r>
              <w:rPr>
                <w:rFonts w:ascii="Arial" w:cs="Arial" w:eastAsia="Arial" w:hAnsi="Arial"/>
                <w:sz w:val="11"/>
                <w:szCs w:val="11"/>
                <w:color w:val="auto"/>
              </w:rPr>
              <w:t>Hancock Roofing and Construction L.L.C.</w:t>
            </w:r>
          </w:p>
        </w:tc>
        <w:tc>
          <w:tcPr>
            <w:tcW w:w="74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12/31/2026</w:t>
            </w:r>
          </w:p>
        </w:tc>
        <w:tc>
          <w:tcPr>
            <w:tcW w:w="12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86"/>
              </w:rPr>
              <w:t>Insurance</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1"/>
                <w:szCs w:val="11"/>
                <w:color w:val="auto"/>
                <w:w w:val="87"/>
              </w:rPr>
              <w:t>7.25 %</w:t>
            </w:r>
          </w:p>
        </w:tc>
        <w:tc>
          <w:tcPr>
            <w:tcW w:w="960" w:type="dxa"/>
            <w:vAlign w:val="bottom"/>
          </w:tcPr>
          <w:p>
            <w:pPr>
              <w:jc w:val="right"/>
              <w:spacing w:after="0"/>
              <w:rPr>
                <w:sz w:val="20"/>
                <w:szCs w:val="20"/>
                <w:color w:val="auto"/>
              </w:rPr>
            </w:pPr>
            <w:r>
              <w:rPr>
                <w:rFonts w:ascii="Arial" w:cs="Arial" w:eastAsia="Arial" w:hAnsi="Arial"/>
                <w:sz w:val="11"/>
                <w:szCs w:val="11"/>
                <w:color w:val="auto"/>
              </w:rPr>
              <w:t>1M L+525</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2,392</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2,345</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2,368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shd w:val="clear" w:color="auto" w:fill="CCECFF"/>
          </w:tcPr>
          <w:p>
            <w:pPr>
              <w:ind w:left="20"/>
              <w:spacing w:after="0"/>
              <w:rPr>
                <w:sz w:val="20"/>
                <w:szCs w:val="20"/>
                <w:color w:val="auto"/>
              </w:rPr>
            </w:pPr>
            <w:r>
              <w:rPr>
                <w:rFonts w:ascii="Arial" w:cs="Arial" w:eastAsia="Arial" w:hAnsi="Arial"/>
                <w:sz w:val="11"/>
                <w:szCs w:val="11"/>
                <w:color w:val="auto"/>
              </w:rPr>
              <w:t>Holdco Sands Intermediate, LLC</w:t>
            </w:r>
          </w:p>
        </w:tc>
        <w:tc>
          <w:tcPr>
            <w:tcW w:w="7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11/23/2028</w:t>
            </w:r>
          </w:p>
        </w:tc>
        <w:tc>
          <w:tcPr>
            <w:tcW w:w="120" w:type="dxa"/>
            <w:vAlign w:val="bottom"/>
            <w:shd w:val="clear" w:color="auto" w:fill="CCECFF"/>
          </w:tcPr>
          <w:p>
            <w:pPr>
              <w:spacing w:after="0"/>
              <w:rPr>
                <w:sz w:val="11"/>
                <w:szCs w:val="11"/>
                <w:color w:val="auto"/>
              </w:rPr>
            </w:pPr>
          </w:p>
        </w:tc>
        <w:tc>
          <w:tcPr>
            <w:tcW w:w="23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Aerospace and Defense</w:t>
            </w: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620" w:type="dxa"/>
            <w:vAlign w:val="bottom"/>
            <w:gridSpan w:val="2"/>
            <w:shd w:val="clear" w:color="auto" w:fill="CCECFF"/>
          </w:tcPr>
          <w:p>
            <w:pPr>
              <w:jc w:val="right"/>
              <w:ind w:right="300"/>
              <w:spacing w:after="0"/>
              <w:rPr>
                <w:sz w:val="20"/>
                <w:szCs w:val="20"/>
                <w:color w:val="auto"/>
              </w:rPr>
            </w:pPr>
            <w:r>
              <w:rPr>
                <w:rFonts w:ascii="Arial" w:cs="Arial" w:eastAsia="Arial" w:hAnsi="Arial"/>
                <w:sz w:val="11"/>
                <w:szCs w:val="11"/>
                <w:color w:val="auto"/>
                <w:w w:val="87"/>
              </w:rPr>
              <w:t>8.25 %</w:t>
            </w:r>
          </w:p>
        </w:tc>
        <w:tc>
          <w:tcPr>
            <w:tcW w:w="9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L+600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4,975</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4,883</w:t>
            </w:r>
          </w:p>
        </w:tc>
        <w:tc>
          <w:tcPr>
            <w:tcW w:w="2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4,876</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tcPr>
          <w:p>
            <w:pPr>
              <w:ind w:left="20"/>
              <w:spacing w:after="0"/>
              <w:rPr>
                <w:sz w:val="20"/>
                <w:szCs w:val="20"/>
                <w:color w:val="auto"/>
              </w:rPr>
            </w:pPr>
            <w:r>
              <w:rPr>
                <w:rFonts w:ascii="Arial" w:cs="Arial" w:eastAsia="Arial" w:hAnsi="Arial"/>
                <w:sz w:val="11"/>
                <w:szCs w:val="11"/>
                <w:color w:val="auto"/>
              </w:rPr>
              <w:t>HW Holdco, LLC</w:t>
            </w:r>
          </w:p>
        </w:tc>
        <w:tc>
          <w:tcPr>
            <w:tcW w:w="74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12/10/2024</w:t>
            </w:r>
          </w:p>
        </w:tc>
        <w:tc>
          <w:tcPr>
            <w:tcW w:w="12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1"/>
                <w:szCs w:val="11"/>
                <w:color w:val="auto"/>
                <w:w w:val="87"/>
              </w:rPr>
              <w:t>6.00 %</w:t>
            </w:r>
          </w:p>
        </w:tc>
        <w:tc>
          <w:tcPr>
            <w:tcW w:w="960" w:type="dxa"/>
            <w:vAlign w:val="bottom"/>
          </w:tcPr>
          <w:p>
            <w:pPr>
              <w:jc w:val="right"/>
              <w:spacing w:after="0"/>
              <w:rPr>
                <w:sz w:val="20"/>
                <w:szCs w:val="20"/>
                <w:color w:val="auto"/>
              </w:rPr>
            </w:pPr>
            <w:r>
              <w:rPr>
                <w:rFonts w:ascii="Arial" w:cs="Arial" w:eastAsia="Arial" w:hAnsi="Arial"/>
                <w:sz w:val="11"/>
                <w:szCs w:val="11"/>
                <w:color w:val="auto"/>
              </w:rPr>
              <w:t>6M L+575</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3,060</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3,009</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2,998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shd w:val="clear" w:color="auto" w:fill="CCECFF"/>
          </w:tcPr>
          <w:p>
            <w:pPr>
              <w:ind w:left="20"/>
              <w:spacing w:after="0"/>
              <w:rPr>
                <w:sz w:val="20"/>
                <w:szCs w:val="20"/>
                <w:color w:val="auto"/>
              </w:rPr>
            </w:pPr>
            <w:r>
              <w:rPr>
                <w:rFonts w:ascii="Arial" w:cs="Arial" w:eastAsia="Arial" w:hAnsi="Arial"/>
                <w:sz w:val="11"/>
                <w:szCs w:val="11"/>
                <w:color w:val="auto"/>
              </w:rPr>
              <w:t>IDC Infusion Services, Inc.</w:t>
            </w:r>
          </w:p>
        </w:tc>
        <w:tc>
          <w:tcPr>
            <w:tcW w:w="7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12/30/2026</w:t>
            </w:r>
          </w:p>
        </w:tc>
        <w:tc>
          <w:tcPr>
            <w:tcW w:w="120" w:type="dxa"/>
            <w:vAlign w:val="bottom"/>
            <w:shd w:val="clear" w:color="auto" w:fill="CCECFF"/>
          </w:tcPr>
          <w:p>
            <w:pPr>
              <w:spacing w:after="0"/>
              <w:rPr>
                <w:sz w:val="11"/>
                <w:szCs w:val="11"/>
                <w:color w:val="auto"/>
              </w:rPr>
            </w:pPr>
          </w:p>
        </w:tc>
        <w:tc>
          <w:tcPr>
            <w:tcW w:w="23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Healthcare Equipment and Supplies</w:t>
            </w: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620" w:type="dxa"/>
            <w:vAlign w:val="bottom"/>
            <w:gridSpan w:val="2"/>
            <w:shd w:val="clear" w:color="auto" w:fill="CCECFF"/>
          </w:tcPr>
          <w:p>
            <w:pPr>
              <w:jc w:val="right"/>
              <w:ind w:right="300"/>
              <w:spacing w:after="0"/>
              <w:rPr>
                <w:sz w:val="20"/>
                <w:szCs w:val="20"/>
                <w:color w:val="auto"/>
              </w:rPr>
            </w:pPr>
            <w:r>
              <w:rPr>
                <w:rFonts w:ascii="Arial" w:cs="Arial" w:eastAsia="Arial" w:hAnsi="Arial"/>
                <w:sz w:val="11"/>
                <w:szCs w:val="11"/>
                <w:color w:val="auto"/>
                <w:w w:val="87"/>
              </w:rPr>
              <w:t>7.00 %</w:t>
            </w:r>
          </w:p>
        </w:tc>
        <w:tc>
          <w:tcPr>
            <w:tcW w:w="9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L+600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9,975</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9,820</w:t>
            </w:r>
          </w:p>
        </w:tc>
        <w:tc>
          <w:tcPr>
            <w:tcW w:w="2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9,875</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tcPr>
          <w:p>
            <w:pPr>
              <w:ind w:left="20"/>
              <w:spacing w:after="0"/>
              <w:rPr>
                <w:sz w:val="20"/>
                <w:szCs w:val="20"/>
                <w:color w:val="auto"/>
              </w:rPr>
            </w:pPr>
            <w:r>
              <w:rPr>
                <w:rFonts w:ascii="Arial" w:cs="Arial" w:eastAsia="Arial" w:hAnsi="Arial"/>
                <w:sz w:val="11"/>
                <w:szCs w:val="11"/>
                <w:color w:val="auto"/>
              </w:rPr>
              <w:t>Imagine Acquisitionco, LLC</w:t>
            </w:r>
          </w:p>
        </w:tc>
        <w:tc>
          <w:tcPr>
            <w:tcW w:w="74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11/15/2027</w:t>
            </w:r>
          </w:p>
        </w:tc>
        <w:tc>
          <w:tcPr>
            <w:tcW w:w="12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92"/>
              </w:rPr>
              <w:t>Software</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1"/>
                <w:szCs w:val="11"/>
                <w:color w:val="auto"/>
                <w:w w:val="87"/>
              </w:rPr>
              <w:t>6.91 %</w:t>
            </w:r>
          </w:p>
        </w:tc>
        <w:tc>
          <w:tcPr>
            <w:tcW w:w="960" w:type="dxa"/>
            <w:vAlign w:val="bottom"/>
          </w:tcPr>
          <w:p>
            <w:pPr>
              <w:jc w:val="right"/>
              <w:spacing w:after="0"/>
              <w:rPr>
                <w:sz w:val="20"/>
                <w:szCs w:val="20"/>
                <w:color w:val="auto"/>
              </w:rPr>
            </w:pPr>
            <w:r>
              <w:rPr>
                <w:rFonts w:ascii="Arial" w:cs="Arial" w:eastAsia="Arial" w:hAnsi="Arial"/>
                <w:sz w:val="11"/>
                <w:szCs w:val="11"/>
                <w:color w:val="auto"/>
              </w:rPr>
              <w:t>1M L+550</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5,377</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5,270</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5,216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shd w:val="clear" w:color="auto" w:fill="CCECFF"/>
          </w:tcPr>
          <w:p>
            <w:pPr>
              <w:ind w:left="20"/>
              <w:spacing w:after="0"/>
              <w:rPr>
                <w:sz w:val="20"/>
                <w:szCs w:val="20"/>
                <w:color w:val="auto"/>
              </w:rPr>
            </w:pPr>
            <w:r>
              <w:rPr>
                <w:rFonts w:ascii="Arial" w:cs="Arial" w:eastAsia="Arial" w:hAnsi="Arial"/>
                <w:sz w:val="11"/>
                <w:szCs w:val="11"/>
                <w:color w:val="auto"/>
              </w:rPr>
              <w:t>Inception Fertility Ventures, LLC</w:t>
            </w:r>
          </w:p>
        </w:tc>
        <w:tc>
          <w:tcPr>
            <w:tcW w:w="74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89"/>
              </w:rPr>
              <w:t>12/7/2023</w:t>
            </w:r>
          </w:p>
        </w:tc>
        <w:tc>
          <w:tcPr>
            <w:tcW w:w="120" w:type="dxa"/>
            <w:vAlign w:val="bottom"/>
            <w:shd w:val="clear" w:color="auto" w:fill="CCECFF"/>
          </w:tcPr>
          <w:p>
            <w:pPr>
              <w:spacing w:after="0"/>
              <w:rPr>
                <w:sz w:val="11"/>
                <w:szCs w:val="11"/>
                <w:color w:val="auto"/>
              </w:rPr>
            </w:pPr>
          </w:p>
        </w:tc>
        <w:tc>
          <w:tcPr>
            <w:tcW w:w="23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Healthcare Providers and Services</w:t>
            </w: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620" w:type="dxa"/>
            <w:vAlign w:val="bottom"/>
            <w:gridSpan w:val="2"/>
            <w:shd w:val="clear" w:color="auto" w:fill="CCECFF"/>
          </w:tcPr>
          <w:p>
            <w:pPr>
              <w:jc w:val="right"/>
              <w:ind w:right="300"/>
              <w:spacing w:after="0"/>
              <w:rPr>
                <w:sz w:val="20"/>
                <w:szCs w:val="20"/>
                <w:color w:val="auto"/>
              </w:rPr>
            </w:pPr>
            <w:r>
              <w:rPr>
                <w:rFonts w:ascii="Arial" w:cs="Arial" w:eastAsia="Arial" w:hAnsi="Arial"/>
                <w:sz w:val="11"/>
                <w:szCs w:val="11"/>
                <w:color w:val="auto"/>
                <w:w w:val="87"/>
              </w:rPr>
              <w:t>8.81 %</w:t>
            </w:r>
          </w:p>
        </w:tc>
        <w:tc>
          <w:tcPr>
            <w:tcW w:w="9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L+700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16,662</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16,289</w:t>
            </w:r>
          </w:p>
        </w:tc>
        <w:tc>
          <w:tcPr>
            <w:tcW w:w="2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16,245</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tcPr>
          <w:p>
            <w:pPr>
              <w:ind w:left="20"/>
              <w:spacing w:after="0"/>
              <w:rPr>
                <w:sz w:val="20"/>
                <w:szCs w:val="20"/>
                <w:color w:val="auto"/>
              </w:rPr>
            </w:pPr>
            <w:r>
              <w:rPr>
                <w:rFonts w:ascii="Arial" w:cs="Arial" w:eastAsia="Arial" w:hAnsi="Arial"/>
                <w:sz w:val="11"/>
                <w:szCs w:val="11"/>
                <w:color w:val="auto"/>
              </w:rPr>
              <w:t>Integrative Nutrition, LLC</w:t>
            </w:r>
          </w:p>
        </w:tc>
        <w:tc>
          <w:tcPr>
            <w:tcW w:w="740" w:type="dxa"/>
            <w:vAlign w:val="bottom"/>
            <w:gridSpan w:val="2"/>
          </w:tcPr>
          <w:p>
            <w:pPr>
              <w:jc w:val="center"/>
              <w:ind w:left="46"/>
              <w:spacing w:after="0"/>
              <w:rPr>
                <w:sz w:val="20"/>
                <w:szCs w:val="20"/>
                <w:color w:val="auto"/>
              </w:rPr>
            </w:pPr>
            <w:r>
              <w:rPr>
                <w:rFonts w:ascii="Arial" w:cs="Arial" w:eastAsia="Arial" w:hAnsi="Arial"/>
                <w:sz w:val="11"/>
                <w:szCs w:val="11"/>
                <w:color w:val="auto"/>
                <w:w w:val="89"/>
              </w:rPr>
              <w:t>9/29/2023</w:t>
            </w:r>
          </w:p>
        </w:tc>
        <w:tc>
          <w:tcPr>
            <w:tcW w:w="12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90"/>
              </w:rPr>
              <w:t>Diversified Consumer Services</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1"/>
                <w:szCs w:val="11"/>
                <w:color w:val="auto"/>
                <w:w w:val="87"/>
              </w:rPr>
              <w:t>7.00 %</w:t>
            </w:r>
          </w:p>
        </w:tc>
        <w:tc>
          <w:tcPr>
            <w:tcW w:w="960" w:type="dxa"/>
            <w:vAlign w:val="bottom"/>
          </w:tcPr>
          <w:p>
            <w:pPr>
              <w:jc w:val="right"/>
              <w:spacing w:after="0"/>
              <w:rPr>
                <w:sz w:val="20"/>
                <w:szCs w:val="20"/>
                <w:color w:val="auto"/>
              </w:rPr>
            </w:pPr>
            <w:r>
              <w:rPr>
                <w:rFonts w:ascii="Arial" w:cs="Arial" w:eastAsia="Arial" w:hAnsi="Arial"/>
                <w:sz w:val="11"/>
                <w:szCs w:val="11"/>
                <w:color w:val="auto"/>
              </w:rPr>
              <w:t>3M L+575</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11,225</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11,201</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11,225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shd w:val="clear" w:color="auto" w:fill="CCECFF"/>
          </w:tcPr>
          <w:p>
            <w:pPr>
              <w:ind w:left="20"/>
              <w:spacing w:after="0"/>
              <w:rPr>
                <w:sz w:val="20"/>
                <w:szCs w:val="20"/>
                <w:color w:val="auto"/>
              </w:rPr>
            </w:pPr>
            <w:r>
              <w:rPr>
                <w:rFonts w:ascii="Arial" w:cs="Arial" w:eastAsia="Arial" w:hAnsi="Arial"/>
                <w:sz w:val="11"/>
                <w:szCs w:val="11"/>
                <w:color w:val="auto"/>
              </w:rPr>
              <w:t>Integrity Marketing Acquisition, LLC</w:t>
            </w:r>
          </w:p>
        </w:tc>
        <w:tc>
          <w:tcPr>
            <w:tcW w:w="74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89"/>
              </w:rPr>
              <w:t>8/27/2025</w:t>
            </w:r>
          </w:p>
        </w:tc>
        <w:tc>
          <w:tcPr>
            <w:tcW w:w="120" w:type="dxa"/>
            <w:vAlign w:val="bottom"/>
            <w:shd w:val="clear" w:color="auto" w:fill="CCECFF"/>
          </w:tcPr>
          <w:p>
            <w:pPr>
              <w:spacing w:after="0"/>
              <w:rPr>
                <w:sz w:val="11"/>
                <w:szCs w:val="11"/>
                <w:color w:val="auto"/>
              </w:rPr>
            </w:pPr>
          </w:p>
        </w:tc>
        <w:tc>
          <w:tcPr>
            <w:tcW w:w="23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Insurance</w:t>
            </w: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620" w:type="dxa"/>
            <w:vAlign w:val="bottom"/>
            <w:gridSpan w:val="2"/>
            <w:shd w:val="clear" w:color="auto" w:fill="CCECFF"/>
          </w:tcPr>
          <w:p>
            <w:pPr>
              <w:jc w:val="right"/>
              <w:ind w:right="300"/>
              <w:spacing w:after="0"/>
              <w:rPr>
                <w:sz w:val="20"/>
                <w:szCs w:val="20"/>
                <w:color w:val="auto"/>
              </w:rPr>
            </w:pPr>
            <w:r>
              <w:rPr>
                <w:rFonts w:ascii="Arial" w:cs="Arial" w:eastAsia="Arial" w:hAnsi="Arial"/>
                <w:sz w:val="11"/>
                <w:szCs w:val="11"/>
                <w:color w:val="auto"/>
                <w:w w:val="87"/>
              </w:rPr>
              <w:t>7.58 %</w:t>
            </w:r>
          </w:p>
        </w:tc>
        <w:tc>
          <w:tcPr>
            <w:tcW w:w="9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SOFR + 575</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6,000</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5,913</w:t>
            </w:r>
          </w:p>
        </w:tc>
        <w:tc>
          <w:tcPr>
            <w:tcW w:w="2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5,942</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tcPr>
          <w:p>
            <w:pPr>
              <w:ind w:left="20"/>
              <w:spacing w:after="0"/>
              <w:rPr>
                <w:sz w:val="20"/>
                <w:szCs w:val="20"/>
                <w:color w:val="auto"/>
              </w:rPr>
            </w:pPr>
            <w:r>
              <w:rPr>
                <w:rFonts w:ascii="Arial" w:cs="Arial" w:eastAsia="Arial" w:hAnsi="Arial"/>
                <w:sz w:val="11"/>
                <w:szCs w:val="11"/>
                <w:color w:val="auto"/>
              </w:rPr>
              <w:t>ITI Holdings, Inc.</w:t>
            </w:r>
          </w:p>
        </w:tc>
        <w:tc>
          <w:tcPr>
            <w:tcW w:w="740" w:type="dxa"/>
            <w:vAlign w:val="bottom"/>
            <w:gridSpan w:val="2"/>
          </w:tcPr>
          <w:p>
            <w:pPr>
              <w:jc w:val="center"/>
              <w:ind w:left="66"/>
              <w:spacing w:after="0"/>
              <w:rPr>
                <w:sz w:val="20"/>
                <w:szCs w:val="20"/>
                <w:color w:val="auto"/>
              </w:rPr>
            </w:pPr>
            <w:r>
              <w:rPr>
                <w:rFonts w:ascii="Arial" w:cs="Arial" w:eastAsia="Arial" w:hAnsi="Arial"/>
                <w:sz w:val="11"/>
                <w:szCs w:val="11"/>
                <w:color w:val="auto"/>
                <w:w w:val="88"/>
              </w:rPr>
              <w:t>3/3/2028</w:t>
            </w:r>
          </w:p>
        </w:tc>
        <w:tc>
          <w:tcPr>
            <w:tcW w:w="12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87"/>
              </w:rPr>
              <w:t>IT Services</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1"/>
                <w:szCs w:val="11"/>
                <w:color w:val="auto"/>
                <w:w w:val="87"/>
              </w:rPr>
              <w:t>7.08 %</w:t>
            </w:r>
          </w:p>
        </w:tc>
        <w:tc>
          <w:tcPr>
            <w:tcW w:w="960" w:type="dxa"/>
            <w:vAlign w:val="bottom"/>
          </w:tcPr>
          <w:p>
            <w:pPr>
              <w:jc w:val="right"/>
              <w:spacing w:after="0"/>
              <w:rPr>
                <w:sz w:val="20"/>
                <w:szCs w:val="20"/>
                <w:color w:val="auto"/>
              </w:rPr>
            </w:pPr>
            <w:r>
              <w:rPr>
                <w:rFonts w:ascii="Arial" w:cs="Arial" w:eastAsia="Arial" w:hAnsi="Arial"/>
                <w:sz w:val="11"/>
                <w:szCs w:val="11"/>
                <w:color w:val="auto"/>
              </w:rPr>
              <w:t>SOFR + 550</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3,990</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3,924</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3,910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shd w:val="clear" w:color="auto" w:fill="CCECFF"/>
          </w:tcPr>
          <w:p>
            <w:pPr>
              <w:ind w:left="20"/>
              <w:spacing w:after="0"/>
              <w:rPr>
                <w:sz w:val="20"/>
                <w:szCs w:val="20"/>
                <w:color w:val="auto"/>
              </w:rPr>
            </w:pPr>
            <w:r>
              <w:rPr>
                <w:rFonts w:ascii="Arial" w:cs="Arial" w:eastAsia="Arial" w:hAnsi="Arial"/>
                <w:sz w:val="11"/>
                <w:szCs w:val="11"/>
                <w:color w:val="auto"/>
              </w:rPr>
              <w:t>K2 Pure Solutions NoCal, L.P.</w:t>
            </w:r>
          </w:p>
        </w:tc>
        <w:tc>
          <w:tcPr>
            <w:tcW w:w="7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12/20/2023</w:t>
            </w:r>
          </w:p>
        </w:tc>
        <w:tc>
          <w:tcPr>
            <w:tcW w:w="120" w:type="dxa"/>
            <w:vAlign w:val="bottom"/>
            <w:shd w:val="clear" w:color="auto" w:fill="CCECFF"/>
          </w:tcPr>
          <w:p>
            <w:pPr>
              <w:spacing w:after="0"/>
              <w:rPr>
                <w:sz w:val="11"/>
                <w:szCs w:val="11"/>
                <w:color w:val="auto"/>
              </w:rPr>
            </w:pPr>
          </w:p>
        </w:tc>
        <w:tc>
          <w:tcPr>
            <w:tcW w:w="23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Chemicals, Plastics and Rubber</w:t>
            </w: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620" w:type="dxa"/>
            <w:vAlign w:val="bottom"/>
            <w:gridSpan w:val="2"/>
            <w:shd w:val="clear" w:color="auto" w:fill="CCECFF"/>
          </w:tcPr>
          <w:p>
            <w:pPr>
              <w:jc w:val="right"/>
              <w:ind w:right="300"/>
              <w:spacing w:after="0"/>
              <w:rPr>
                <w:sz w:val="20"/>
                <w:szCs w:val="20"/>
                <w:color w:val="auto"/>
              </w:rPr>
            </w:pPr>
            <w:r>
              <w:rPr>
                <w:rFonts w:ascii="Arial" w:cs="Arial" w:eastAsia="Arial" w:hAnsi="Arial"/>
                <w:sz w:val="11"/>
                <w:szCs w:val="11"/>
                <w:color w:val="auto"/>
                <w:w w:val="87"/>
              </w:rPr>
              <w:t>9.67 %</w:t>
            </w:r>
          </w:p>
        </w:tc>
        <w:tc>
          <w:tcPr>
            <w:tcW w:w="9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L+625</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19,300</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19,124</w:t>
            </w:r>
          </w:p>
        </w:tc>
        <w:tc>
          <w:tcPr>
            <w:tcW w:w="2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19,126</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tcPr>
          <w:p>
            <w:pPr>
              <w:ind w:left="20"/>
              <w:spacing w:after="0"/>
              <w:rPr>
                <w:sz w:val="20"/>
                <w:szCs w:val="20"/>
                <w:color w:val="auto"/>
              </w:rPr>
            </w:pPr>
            <w:r>
              <w:rPr>
                <w:rFonts w:ascii="Arial" w:cs="Arial" w:eastAsia="Arial" w:hAnsi="Arial"/>
                <w:sz w:val="11"/>
                <w:szCs w:val="11"/>
                <w:color w:val="auto"/>
              </w:rPr>
              <w:t>Kinetic Purchaser, LLC</w:t>
            </w:r>
          </w:p>
        </w:tc>
        <w:tc>
          <w:tcPr>
            <w:tcW w:w="74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11/10/2027</w:t>
            </w:r>
          </w:p>
        </w:tc>
        <w:tc>
          <w:tcPr>
            <w:tcW w:w="12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86"/>
              </w:rPr>
              <w:t>Personal Products</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1"/>
                <w:szCs w:val="11"/>
                <w:color w:val="auto"/>
                <w:w w:val="87"/>
              </w:rPr>
              <w:t>7.75 %</w:t>
            </w:r>
          </w:p>
        </w:tc>
        <w:tc>
          <w:tcPr>
            <w:tcW w:w="960" w:type="dxa"/>
            <w:vAlign w:val="bottom"/>
          </w:tcPr>
          <w:p>
            <w:pPr>
              <w:jc w:val="right"/>
              <w:spacing w:after="0"/>
              <w:rPr>
                <w:sz w:val="20"/>
                <w:szCs w:val="20"/>
                <w:color w:val="auto"/>
              </w:rPr>
            </w:pPr>
            <w:r>
              <w:rPr>
                <w:rFonts w:ascii="Arial" w:cs="Arial" w:eastAsia="Arial" w:hAnsi="Arial"/>
                <w:sz w:val="11"/>
                <w:szCs w:val="11"/>
                <w:color w:val="auto"/>
              </w:rPr>
              <w:t>3M L+600</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11,872</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11,685</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11,635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shd w:val="clear" w:color="auto" w:fill="CCECFF"/>
          </w:tcPr>
          <w:p>
            <w:pPr>
              <w:ind w:left="20"/>
              <w:spacing w:after="0"/>
              <w:rPr>
                <w:sz w:val="20"/>
                <w:szCs w:val="20"/>
                <w:color w:val="auto"/>
              </w:rPr>
            </w:pPr>
            <w:r>
              <w:rPr>
                <w:rFonts w:ascii="Arial" w:cs="Arial" w:eastAsia="Arial" w:hAnsi="Arial"/>
                <w:sz w:val="11"/>
                <w:szCs w:val="11"/>
                <w:color w:val="auto"/>
              </w:rPr>
              <w:t>Lash OpCo, LLC</w:t>
            </w:r>
          </w:p>
        </w:tc>
        <w:tc>
          <w:tcPr>
            <w:tcW w:w="74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89"/>
              </w:rPr>
              <w:t>2/18/2027</w:t>
            </w:r>
          </w:p>
        </w:tc>
        <w:tc>
          <w:tcPr>
            <w:tcW w:w="120" w:type="dxa"/>
            <w:vAlign w:val="bottom"/>
            <w:shd w:val="clear" w:color="auto" w:fill="CCECFF"/>
          </w:tcPr>
          <w:p>
            <w:pPr>
              <w:spacing w:after="0"/>
              <w:rPr>
                <w:sz w:val="11"/>
                <w:szCs w:val="11"/>
                <w:color w:val="auto"/>
              </w:rPr>
            </w:pPr>
          </w:p>
        </w:tc>
        <w:tc>
          <w:tcPr>
            <w:tcW w:w="23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Personal Products</w:t>
            </w: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620" w:type="dxa"/>
            <w:vAlign w:val="bottom"/>
            <w:gridSpan w:val="2"/>
            <w:shd w:val="clear" w:color="auto" w:fill="CCECFF"/>
          </w:tcPr>
          <w:p>
            <w:pPr>
              <w:jc w:val="right"/>
              <w:ind w:right="300"/>
              <w:spacing w:after="0"/>
              <w:rPr>
                <w:sz w:val="20"/>
                <w:szCs w:val="20"/>
                <w:color w:val="auto"/>
              </w:rPr>
            </w:pPr>
            <w:r>
              <w:rPr>
                <w:rFonts w:ascii="Arial" w:cs="Arial" w:eastAsia="Arial" w:hAnsi="Arial"/>
                <w:sz w:val="11"/>
                <w:szCs w:val="11"/>
                <w:color w:val="auto"/>
                <w:w w:val="87"/>
              </w:rPr>
              <w:t>9.25 %</w:t>
            </w:r>
          </w:p>
        </w:tc>
        <w:tc>
          <w:tcPr>
            <w:tcW w:w="9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L+700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14,391</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14,097</w:t>
            </w:r>
          </w:p>
        </w:tc>
        <w:tc>
          <w:tcPr>
            <w:tcW w:w="2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14,247</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tcPr>
          <w:p>
            <w:pPr>
              <w:ind w:left="20"/>
              <w:spacing w:after="0"/>
              <w:rPr>
                <w:sz w:val="20"/>
                <w:szCs w:val="20"/>
                <w:color w:val="auto"/>
              </w:rPr>
            </w:pPr>
            <w:r>
              <w:rPr>
                <w:rFonts w:ascii="Arial" w:cs="Arial" w:eastAsia="Arial" w:hAnsi="Arial"/>
                <w:sz w:val="11"/>
                <w:szCs w:val="11"/>
                <w:color w:val="auto"/>
              </w:rPr>
              <w:t>LAV Gear Holdings, Inc.</w:t>
            </w:r>
          </w:p>
        </w:tc>
        <w:tc>
          <w:tcPr>
            <w:tcW w:w="74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10/31/2024</w:t>
            </w:r>
          </w:p>
        </w:tc>
        <w:tc>
          <w:tcPr>
            <w:tcW w:w="12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88"/>
              </w:rPr>
              <w:t>Capital Equipment</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1"/>
                <w:szCs w:val="11"/>
                <w:color w:val="auto"/>
                <w:w w:val="87"/>
              </w:rPr>
              <w:t>9.70 %</w:t>
            </w:r>
          </w:p>
        </w:tc>
        <w:tc>
          <w:tcPr>
            <w:tcW w:w="960" w:type="dxa"/>
            <w:vAlign w:val="bottom"/>
          </w:tcPr>
          <w:p>
            <w:pPr>
              <w:jc w:val="right"/>
              <w:spacing w:after="0"/>
              <w:rPr>
                <w:sz w:val="20"/>
                <w:szCs w:val="20"/>
                <w:color w:val="auto"/>
              </w:rPr>
            </w:pPr>
            <w:r>
              <w:rPr>
                <w:rFonts w:ascii="Arial" w:cs="Arial" w:eastAsia="Arial" w:hAnsi="Arial"/>
                <w:sz w:val="11"/>
                <w:szCs w:val="11"/>
                <w:color w:val="auto"/>
              </w:rPr>
              <w:t>3M L+550</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10,576</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10,535</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10,301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shd w:val="clear" w:color="auto" w:fill="CCECFF"/>
          </w:tcPr>
          <w:p>
            <w:pPr>
              <w:ind w:left="20"/>
              <w:spacing w:after="0"/>
              <w:rPr>
                <w:sz w:val="20"/>
                <w:szCs w:val="20"/>
                <w:color w:val="auto"/>
              </w:rPr>
            </w:pPr>
            <w:r>
              <w:rPr>
                <w:rFonts w:ascii="Arial" w:cs="Arial" w:eastAsia="Arial" w:hAnsi="Arial"/>
                <w:sz w:val="11"/>
                <w:szCs w:val="11"/>
                <w:color w:val="auto"/>
              </w:rPr>
              <w:t>Lightspeed Buyer Inc.</w:t>
            </w:r>
          </w:p>
        </w:tc>
        <w:tc>
          <w:tcPr>
            <w:tcW w:w="7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8"/>
              </w:rPr>
              <w:t>2/3/2026</w:t>
            </w:r>
          </w:p>
        </w:tc>
        <w:tc>
          <w:tcPr>
            <w:tcW w:w="120" w:type="dxa"/>
            <w:vAlign w:val="bottom"/>
            <w:shd w:val="clear" w:color="auto" w:fill="CCECFF"/>
          </w:tcPr>
          <w:p>
            <w:pPr>
              <w:spacing w:after="0"/>
              <w:rPr>
                <w:sz w:val="11"/>
                <w:szCs w:val="11"/>
                <w:color w:val="auto"/>
              </w:rPr>
            </w:pPr>
          </w:p>
        </w:tc>
        <w:tc>
          <w:tcPr>
            <w:tcW w:w="23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Healthcare Providers and Services</w:t>
            </w: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620" w:type="dxa"/>
            <w:vAlign w:val="bottom"/>
            <w:gridSpan w:val="2"/>
            <w:shd w:val="clear" w:color="auto" w:fill="CCECFF"/>
          </w:tcPr>
          <w:p>
            <w:pPr>
              <w:jc w:val="right"/>
              <w:ind w:right="300"/>
              <w:spacing w:after="0"/>
              <w:rPr>
                <w:sz w:val="20"/>
                <w:szCs w:val="20"/>
                <w:color w:val="auto"/>
              </w:rPr>
            </w:pPr>
            <w:r>
              <w:rPr>
                <w:rFonts w:ascii="Arial" w:cs="Arial" w:eastAsia="Arial" w:hAnsi="Arial"/>
                <w:sz w:val="11"/>
                <w:szCs w:val="11"/>
                <w:color w:val="auto"/>
                <w:w w:val="87"/>
              </w:rPr>
              <w:t>7.52 %</w:t>
            </w:r>
          </w:p>
        </w:tc>
        <w:tc>
          <w:tcPr>
            <w:tcW w:w="9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L+575</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10,638</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10,452</w:t>
            </w:r>
          </w:p>
        </w:tc>
        <w:tc>
          <w:tcPr>
            <w:tcW w:w="2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10,425</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tcPr>
          <w:p>
            <w:pPr>
              <w:ind w:left="20"/>
              <w:spacing w:after="0"/>
              <w:rPr>
                <w:sz w:val="20"/>
                <w:szCs w:val="20"/>
                <w:color w:val="auto"/>
              </w:rPr>
            </w:pPr>
            <w:r>
              <w:rPr>
                <w:rFonts w:ascii="Arial" w:cs="Arial" w:eastAsia="Arial" w:hAnsi="Arial"/>
                <w:sz w:val="11"/>
                <w:szCs w:val="11"/>
                <w:color w:val="auto"/>
              </w:rPr>
              <w:t>Lucky Bucks, LLC</w:t>
            </w:r>
          </w:p>
        </w:tc>
        <w:tc>
          <w:tcPr>
            <w:tcW w:w="740" w:type="dxa"/>
            <w:vAlign w:val="bottom"/>
            <w:gridSpan w:val="2"/>
          </w:tcPr>
          <w:p>
            <w:pPr>
              <w:jc w:val="center"/>
              <w:ind w:left="46"/>
              <w:spacing w:after="0"/>
              <w:rPr>
                <w:sz w:val="20"/>
                <w:szCs w:val="20"/>
                <w:color w:val="auto"/>
              </w:rPr>
            </w:pPr>
            <w:r>
              <w:rPr>
                <w:rFonts w:ascii="Arial" w:cs="Arial" w:eastAsia="Arial" w:hAnsi="Arial"/>
                <w:sz w:val="11"/>
                <w:szCs w:val="11"/>
                <w:color w:val="auto"/>
                <w:w w:val="89"/>
              </w:rPr>
              <w:t>7/20/2027</w:t>
            </w:r>
          </w:p>
        </w:tc>
        <w:tc>
          <w:tcPr>
            <w:tcW w:w="12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88"/>
              </w:rPr>
              <w:t>Hotel, Gaming and Leisure</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1"/>
                <w:szCs w:val="11"/>
                <w:color w:val="auto"/>
                <w:w w:val="87"/>
              </w:rPr>
              <w:t>6.25 %</w:t>
            </w:r>
          </w:p>
        </w:tc>
        <w:tc>
          <w:tcPr>
            <w:tcW w:w="960" w:type="dxa"/>
            <w:vAlign w:val="bottom"/>
          </w:tcPr>
          <w:p>
            <w:pPr>
              <w:jc w:val="right"/>
              <w:spacing w:after="0"/>
              <w:rPr>
                <w:sz w:val="20"/>
                <w:szCs w:val="20"/>
                <w:color w:val="auto"/>
              </w:rPr>
            </w:pPr>
            <w:r>
              <w:rPr>
                <w:rFonts w:ascii="Arial" w:cs="Arial" w:eastAsia="Arial" w:hAnsi="Arial"/>
                <w:sz w:val="11"/>
                <w:szCs w:val="11"/>
                <w:color w:val="auto"/>
              </w:rPr>
              <w:t>3M L+550</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4,386</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4,309</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3,992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shd w:val="clear" w:color="auto" w:fill="CCECFF"/>
          </w:tcPr>
          <w:p>
            <w:pPr>
              <w:ind w:left="20"/>
              <w:spacing w:after="0"/>
              <w:rPr>
                <w:sz w:val="20"/>
                <w:szCs w:val="20"/>
                <w:color w:val="auto"/>
              </w:rPr>
            </w:pPr>
            <w:r>
              <w:rPr>
                <w:rFonts w:ascii="Arial" w:cs="Arial" w:eastAsia="Arial" w:hAnsi="Arial"/>
                <w:sz w:val="11"/>
                <w:szCs w:val="11"/>
                <w:color w:val="auto"/>
                <w:w w:val="92"/>
              </w:rPr>
              <w:t>Marketplace Events, LLC - Super Priority First Lien Term Loan</w:t>
            </w:r>
          </w:p>
        </w:tc>
        <w:tc>
          <w:tcPr>
            <w:tcW w:w="74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89"/>
              </w:rPr>
              <w:t>9/30/2025</w:t>
            </w:r>
          </w:p>
        </w:tc>
        <w:tc>
          <w:tcPr>
            <w:tcW w:w="120" w:type="dxa"/>
            <w:vAlign w:val="bottom"/>
            <w:shd w:val="clear" w:color="auto" w:fill="CCECFF"/>
          </w:tcPr>
          <w:p>
            <w:pPr>
              <w:spacing w:after="0"/>
              <w:rPr>
                <w:sz w:val="11"/>
                <w:szCs w:val="11"/>
                <w:color w:val="auto"/>
              </w:rPr>
            </w:pPr>
          </w:p>
        </w:tc>
        <w:tc>
          <w:tcPr>
            <w:tcW w:w="23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1"/>
              </w:rPr>
              <w:t>Media: Diversified and Production</w:t>
            </w: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620" w:type="dxa"/>
            <w:vAlign w:val="bottom"/>
            <w:gridSpan w:val="2"/>
            <w:shd w:val="clear" w:color="auto" w:fill="CCECFF"/>
          </w:tcPr>
          <w:p>
            <w:pPr>
              <w:jc w:val="right"/>
              <w:ind w:right="300"/>
              <w:spacing w:after="0"/>
              <w:rPr>
                <w:sz w:val="20"/>
                <w:szCs w:val="20"/>
                <w:color w:val="auto"/>
              </w:rPr>
            </w:pPr>
            <w:r>
              <w:rPr>
                <w:rFonts w:ascii="Arial" w:cs="Arial" w:eastAsia="Arial" w:hAnsi="Arial"/>
                <w:sz w:val="11"/>
                <w:szCs w:val="11"/>
                <w:color w:val="auto"/>
                <w:w w:val="87"/>
              </w:rPr>
              <w:t>6.69 %</w:t>
            </w:r>
          </w:p>
        </w:tc>
        <w:tc>
          <w:tcPr>
            <w:tcW w:w="9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L+525</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647</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647</w:t>
            </w:r>
          </w:p>
        </w:tc>
        <w:tc>
          <w:tcPr>
            <w:tcW w:w="2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647</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860" w:type="dxa"/>
            <w:vAlign w:val="bottom"/>
          </w:tcPr>
          <w:p>
            <w:pPr>
              <w:ind w:left="20"/>
              <w:spacing w:after="0" w:line="99" w:lineRule="exact"/>
              <w:rPr>
                <w:sz w:val="20"/>
                <w:szCs w:val="20"/>
                <w:color w:val="auto"/>
              </w:rPr>
            </w:pPr>
            <w:r>
              <w:rPr>
                <w:rFonts w:ascii="Arial" w:cs="Arial" w:eastAsia="Arial" w:hAnsi="Arial"/>
                <w:sz w:val="11"/>
                <w:szCs w:val="11"/>
                <w:color w:val="auto"/>
                <w:w w:val="94"/>
              </w:rPr>
              <w:t>Marketplace Events, LLC - Super Priority First Lien Unfunded</w:t>
            </w:r>
          </w:p>
        </w:tc>
        <w:tc>
          <w:tcPr>
            <w:tcW w:w="740" w:type="dxa"/>
            <w:vAlign w:val="bottom"/>
            <w:gridSpan w:val="2"/>
            <w:vMerge w:val="restart"/>
          </w:tcPr>
          <w:p>
            <w:pPr>
              <w:jc w:val="center"/>
              <w:ind w:left="46"/>
              <w:spacing w:after="0"/>
              <w:rPr>
                <w:sz w:val="20"/>
                <w:szCs w:val="20"/>
                <w:color w:val="auto"/>
              </w:rPr>
            </w:pPr>
            <w:r>
              <w:rPr>
                <w:rFonts w:ascii="Arial" w:cs="Arial" w:eastAsia="Arial" w:hAnsi="Arial"/>
                <w:sz w:val="11"/>
                <w:szCs w:val="11"/>
                <w:color w:val="auto"/>
                <w:w w:val="89"/>
              </w:rPr>
              <w:t>9/30/2025</w:t>
            </w:r>
          </w:p>
        </w:tc>
        <w:tc>
          <w:tcPr>
            <w:tcW w:w="120" w:type="dxa"/>
            <w:vAlign w:val="bottom"/>
          </w:tcPr>
          <w:p>
            <w:pPr>
              <w:spacing w:after="0"/>
              <w:rPr>
                <w:sz w:val="8"/>
                <w:szCs w:val="8"/>
                <w:color w:val="auto"/>
              </w:rPr>
            </w:pPr>
          </w:p>
        </w:tc>
        <w:tc>
          <w:tcPr>
            <w:tcW w:w="2360" w:type="dxa"/>
            <w:vAlign w:val="bottom"/>
            <w:vMerge w:val="restart"/>
          </w:tcPr>
          <w:p>
            <w:pPr>
              <w:jc w:val="center"/>
              <w:spacing w:after="0"/>
              <w:rPr>
                <w:sz w:val="20"/>
                <w:szCs w:val="20"/>
                <w:color w:val="auto"/>
              </w:rPr>
            </w:pPr>
            <w:r>
              <w:rPr>
                <w:rFonts w:ascii="Arial" w:cs="Arial" w:eastAsia="Arial" w:hAnsi="Arial"/>
                <w:sz w:val="11"/>
                <w:szCs w:val="11"/>
                <w:color w:val="auto"/>
                <w:w w:val="91"/>
              </w:rPr>
              <w:t>Media: Diversified and Production</w:t>
            </w: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9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vMerge w:val="restart"/>
          </w:tcPr>
          <w:p>
            <w:pPr>
              <w:jc w:val="right"/>
              <w:spacing w:after="0"/>
              <w:rPr>
                <w:sz w:val="20"/>
                <w:szCs w:val="20"/>
                <w:color w:val="auto"/>
              </w:rPr>
            </w:pPr>
            <w:r>
              <w:rPr>
                <w:rFonts w:ascii="Arial" w:cs="Arial" w:eastAsia="Arial" w:hAnsi="Arial"/>
                <w:sz w:val="11"/>
                <w:szCs w:val="11"/>
                <w:color w:val="auto"/>
              </w:rPr>
              <w:t>589</w:t>
            </w: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2860" w:type="dxa"/>
            <w:vAlign w:val="bottom"/>
          </w:tcPr>
          <w:p>
            <w:pPr>
              <w:ind w:left="20"/>
              <w:spacing w:after="0"/>
              <w:rPr>
                <w:sz w:val="20"/>
                <w:szCs w:val="20"/>
                <w:color w:val="auto"/>
              </w:rPr>
            </w:pPr>
            <w:r>
              <w:rPr>
                <w:rFonts w:ascii="Arial" w:cs="Arial" w:eastAsia="Arial" w:hAnsi="Arial"/>
                <w:sz w:val="11"/>
                <w:szCs w:val="11"/>
                <w:color w:val="auto"/>
              </w:rPr>
              <w:t>Term Loan</w:t>
            </w:r>
          </w:p>
        </w:tc>
        <w:tc>
          <w:tcPr>
            <w:tcW w:w="7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3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860" w:type="dxa"/>
            <w:vAlign w:val="bottom"/>
            <w:shd w:val="clear" w:color="auto" w:fill="CCECFF"/>
          </w:tcPr>
          <w:p>
            <w:pPr>
              <w:ind w:left="20"/>
              <w:spacing w:after="0"/>
              <w:rPr>
                <w:sz w:val="20"/>
                <w:szCs w:val="20"/>
                <w:color w:val="auto"/>
              </w:rPr>
            </w:pPr>
            <w:r>
              <w:rPr>
                <w:rFonts w:ascii="Arial" w:cs="Arial" w:eastAsia="Arial" w:hAnsi="Arial"/>
                <w:sz w:val="11"/>
                <w:szCs w:val="11"/>
                <w:color w:val="auto"/>
              </w:rPr>
              <w:t>Marketplace Events, LLC</w:t>
            </w:r>
          </w:p>
        </w:tc>
        <w:tc>
          <w:tcPr>
            <w:tcW w:w="74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89"/>
              </w:rPr>
              <w:t>9/30/2026</w:t>
            </w:r>
          </w:p>
        </w:tc>
        <w:tc>
          <w:tcPr>
            <w:tcW w:w="120" w:type="dxa"/>
            <w:vAlign w:val="bottom"/>
            <w:shd w:val="clear" w:color="auto" w:fill="CCECFF"/>
          </w:tcPr>
          <w:p>
            <w:pPr>
              <w:spacing w:after="0"/>
              <w:rPr>
                <w:sz w:val="12"/>
                <w:szCs w:val="12"/>
                <w:color w:val="auto"/>
              </w:rPr>
            </w:pPr>
          </w:p>
        </w:tc>
        <w:tc>
          <w:tcPr>
            <w:tcW w:w="23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1"/>
              </w:rPr>
              <w:t>Media: Diversified and Production</w:t>
            </w:r>
          </w:p>
        </w:tc>
        <w:tc>
          <w:tcPr>
            <w:tcW w:w="12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620" w:type="dxa"/>
            <w:vAlign w:val="bottom"/>
            <w:gridSpan w:val="2"/>
            <w:shd w:val="clear" w:color="auto" w:fill="CCECFF"/>
          </w:tcPr>
          <w:p>
            <w:pPr>
              <w:jc w:val="right"/>
              <w:ind w:right="300"/>
              <w:spacing w:after="0"/>
              <w:rPr>
                <w:sz w:val="20"/>
                <w:szCs w:val="20"/>
                <w:color w:val="auto"/>
              </w:rPr>
            </w:pPr>
            <w:r>
              <w:rPr>
                <w:rFonts w:ascii="Arial" w:cs="Arial" w:eastAsia="Arial" w:hAnsi="Arial"/>
                <w:sz w:val="11"/>
                <w:szCs w:val="11"/>
                <w:color w:val="auto"/>
                <w:w w:val="87"/>
              </w:rPr>
              <w:t>6.69 %</w:t>
            </w:r>
          </w:p>
        </w:tc>
        <w:tc>
          <w:tcPr>
            <w:tcW w:w="9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L+525</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4,837</w:t>
            </w:r>
          </w:p>
        </w:tc>
        <w:tc>
          <w:tcPr>
            <w:tcW w:w="2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3,469</w:t>
            </w:r>
          </w:p>
        </w:tc>
        <w:tc>
          <w:tcPr>
            <w:tcW w:w="2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4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4,837</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860" w:type="dxa"/>
            <w:vAlign w:val="bottom"/>
          </w:tcPr>
          <w:p>
            <w:pPr>
              <w:ind w:left="20"/>
              <w:spacing w:after="0"/>
              <w:rPr>
                <w:sz w:val="20"/>
                <w:szCs w:val="20"/>
                <w:color w:val="auto"/>
              </w:rPr>
            </w:pPr>
            <w:r>
              <w:rPr>
                <w:rFonts w:ascii="Arial" w:cs="Arial" w:eastAsia="Arial" w:hAnsi="Arial"/>
                <w:sz w:val="11"/>
                <w:szCs w:val="11"/>
                <w:color w:val="auto"/>
              </w:rPr>
              <w:t>Mars Acquisition Holdings Corp.</w:t>
            </w:r>
          </w:p>
        </w:tc>
        <w:tc>
          <w:tcPr>
            <w:tcW w:w="740" w:type="dxa"/>
            <w:vAlign w:val="bottom"/>
            <w:gridSpan w:val="2"/>
          </w:tcPr>
          <w:p>
            <w:pPr>
              <w:jc w:val="center"/>
              <w:ind w:left="46"/>
              <w:spacing w:after="0"/>
              <w:rPr>
                <w:sz w:val="20"/>
                <w:szCs w:val="20"/>
                <w:color w:val="auto"/>
              </w:rPr>
            </w:pPr>
            <w:r>
              <w:rPr>
                <w:rFonts w:ascii="Arial" w:cs="Arial" w:eastAsia="Arial" w:hAnsi="Arial"/>
                <w:sz w:val="11"/>
                <w:szCs w:val="11"/>
                <w:color w:val="auto"/>
                <w:w w:val="89"/>
              </w:rPr>
              <w:t>5/14/2026</w:t>
            </w:r>
          </w:p>
        </w:tc>
        <w:tc>
          <w:tcPr>
            <w:tcW w:w="12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1"/>
                <w:szCs w:val="11"/>
                <w:color w:val="auto"/>
                <w:w w:val="87"/>
              </w:rPr>
              <w:t>7.17 %</w:t>
            </w:r>
          </w:p>
        </w:tc>
        <w:tc>
          <w:tcPr>
            <w:tcW w:w="960" w:type="dxa"/>
            <w:vAlign w:val="bottom"/>
          </w:tcPr>
          <w:p>
            <w:pPr>
              <w:jc w:val="right"/>
              <w:spacing w:after="0"/>
              <w:rPr>
                <w:sz w:val="20"/>
                <w:szCs w:val="20"/>
                <w:color w:val="auto"/>
              </w:rPr>
            </w:pPr>
            <w:r>
              <w:rPr>
                <w:rFonts w:ascii="Arial" w:cs="Arial" w:eastAsia="Arial" w:hAnsi="Arial"/>
                <w:sz w:val="11"/>
                <w:szCs w:val="11"/>
                <w:color w:val="auto"/>
              </w:rPr>
              <w:t>1M L+550</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9,925</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9,800</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9,826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shd w:val="clear" w:color="auto" w:fill="CCECFF"/>
          </w:tcPr>
          <w:p>
            <w:pPr>
              <w:ind w:left="20"/>
              <w:spacing w:after="0"/>
              <w:rPr>
                <w:sz w:val="20"/>
                <w:szCs w:val="20"/>
                <w:color w:val="auto"/>
              </w:rPr>
            </w:pPr>
            <w:r>
              <w:rPr>
                <w:rFonts w:ascii="Arial" w:cs="Arial" w:eastAsia="Arial" w:hAnsi="Arial"/>
                <w:sz w:val="11"/>
                <w:szCs w:val="11"/>
                <w:color w:val="auto"/>
              </w:rPr>
              <w:t>MBS Holdings, Inc.</w:t>
            </w:r>
          </w:p>
        </w:tc>
        <w:tc>
          <w:tcPr>
            <w:tcW w:w="74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89"/>
              </w:rPr>
              <w:t>4/16/2027</w:t>
            </w:r>
          </w:p>
        </w:tc>
        <w:tc>
          <w:tcPr>
            <w:tcW w:w="120" w:type="dxa"/>
            <w:vAlign w:val="bottom"/>
            <w:shd w:val="clear" w:color="auto" w:fill="CCECFF"/>
          </w:tcPr>
          <w:p>
            <w:pPr>
              <w:spacing w:after="0"/>
              <w:rPr>
                <w:sz w:val="11"/>
                <w:szCs w:val="11"/>
                <w:color w:val="auto"/>
              </w:rPr>
            </w:pPr>
          </w:p>
        </w:tc>
        <w:tc>
          <w:tcPr>
            <w:tcW w:w="23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Internet Software and Services</w:t>
            </w: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620" w:type="dxa"/>
            <w:vAlign w:val="bottom"/>
            <w:gridSpan w:val="2"/>
            <w:shd w:val="clear" w:color="auto" w:fill="CCECFF"/>
          </w:tcPr>
          <w:p>
            <w:pPr>
              <w:jc w:val="right"/>
              <w:ind w:right="300"/>
              <w:spacing w:after="0"/>
              <w:rPr>
                <w:sz w:val="20"/>
                <w:szCs w:val="20"/>
                <w:color w:val="auto"/>
              </w:rPr>
            </w:pPr>
            <w:r>
              <w:rPr>
                <w:rFonts w:ascii="Arial" w:cs="Arial" w:eastAsia="Arial" w:hAnsi="Arial"/>
                <w:sz w:val="11"/>
                <w:szCs w:val="11"/>
                <w:color w:val="auto"/>
                <w:w w:val="87"/>
              </w:rPr>
              <w:t>6.75 %</w:t>
            </w:r>
          </w:p>
        </w:tc>
        <w:tc>
          <w:tcPr>
            <w:tcW w:w="9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L+575</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7,425</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7,309</w:t>
            </w:r>
          </w:p>
        </w:tc>
        <w:tc>
          <w:tcPr>
            <w:tcW w:w="2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7,351</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tcPr>
          <w:p>
            <w:pPr>
              <w:ind w:left="20"/>
              <w:spacing w:after="0"/>
              <w:rPr>
                <w:sz w:val="20"/>
                <w:szCs w:val="20"/>
                <w:color w:val="auto"/>
              </w:rPr>
            </w:pPr>
            <w:r>
              <w:rPr>
                <w:rFonts w:ascii="Arial" w:cs="Arial" w:eastAsia="Arial" w:hAnsi="Arial"/>
                <w:sz w:val="11"/>
                <w:szCs w:val="11"/>
                <w:color w:val="auto"/>
              </w:rPr>
              <w:t>Meadowlark Acquirer, LLC</w:t>
            </w:r>
          </w:p>
        </w:tc>
        <w:tc>
          <w:tcPr>
            <w:tcW w:w="74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12/10/2027</w:t>
            </w:r>
          </w:p>
        </w:tc>
        <w:tc>
          <w:tcPr>
            <w:tcW w:w="12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86"/>
              </w:rPr>
              <w:t>Professional Services</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1"/>
                <w:szCs w:val="11"/>
                <w:color w:val="auto"/>
                <w:w w:val="87"/>
              </w:rPr>
              <w:t>7.75 %</w:t>
            </w:r>
          </w:p>
        </w:tc>
        <w:tc>
          <w:tcPr>
            <w:tcW w:w="960" w:type="dxa"/>
            <w:vAlign w:val="bottom"/>
          </w:tcPr>
          <w:p>
            <w:pPr>
              <w:jc w:val="right"/>
              <w:spacing w:after="0"/>
              <w:rPr>
                <w:sz w:val="20"/>
                <w:szCs w:val="20"/>
                <w:color w:val="auto"/>
              </w:rPr>
            </w:pPr>
            <w:r>
              <w:rPr>
                <w:rFonts w:ascii="Arial" w:cs="Arial" w:eastAsia="Arial" w:hAnsi="Arial"/>
                <w:sz w:val="11"/>
                <w:szCs w:val="11"/>
                <w:color w:val="auto"/>
              </w:rPr>
              <w:t>3M L+650</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2,402</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2,357</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2,342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shd w:val="clear" w:color="auto" w:fill="CCECFF"/>
          </w:tcPr>
          <w:p>
            <w:pPr>
              <w:ind w:left="20"/>
              <w:spacing w:after="0"/>
              <w:rPr>
                <w:sz w:val="20"/>
                <w:szCs w:val="20"/>
                <w:color w:val="auto"/>
              </w:rPr>
            </w:pPr>
            <w:r>
              <w:rPr>
                <w:rFonts w:ascii="Arial" w:cs="Arial" w:eastAsia="Arial" w:hAnsi="Arial"/>
                <w:sz w:val="11"/>
                <w:szCs w:val="11"/>
                <w:color w:val="auto"/>
              </w:rPr>
              <w:t>MeritDirect, LLC</w:t>
            </w:r>
          </w:p>
        </w:tc>
        <w:tc>
          <w:tcPr>
            <w:tcW w:w="74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89"/>
              </w:rPr>
              <w:t>5/23/2024</w:t>
            </w:r>
          </w:p>
        </w:tc>
        <w:tc>
          <w:tcPr>
            <w:tcW w:w="120" w:type="dxa"/>
            <w:vAlign w:val="bottom"/>
            <w:shd w:val="clear" w:color="auto" w:fill="CCECFF"/>
          </w:tcPr>
          <w:p>
            <w:pPr>
              <w:spacing w:after="0"/>
              <w:rPr>
                <w:sz w:val="11"/>
                <w:szCs w:val="11"/>
                <w:color w:val="auto"/>
              </w:rPr>
            </w:pPr>
          </w:p>
        </w:tc>
        <w:tc>
          <w:tcPr>
            <w:tcW w:w="23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2"/>
              </w:rPr>
              <w:t>Media: Advertising, Printing &amp; Publishing</w:t>
            </w: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620" w:type="dxa"/>
            <w:vAlign w:val="bottom"/>
            <w:gridSpan w:val="2"/>
            <w:shd w:val="clear" w:color="auto" w:fill="CCECFF"/>
          </w:tcPr>
          <w:p>
            <w:pPr>
              <w:jc w:val="right"/>
              <w:ind w:right="300"/>
              <w:spacing w:after="0"/>
              <w:rPr>
                <w:sz w:val="20"/>
                <w:szCs w:val="20"/>
                <w:color w:val="auto"/>
              </w:rPr>
            </w:pPr>
            <w:r>
              <w:rPr>
                <w:rFonts w:ascii="Arial" w:cs="Arial" w:eastAsia="Arial" w:hAnsi="Arial"/>
                <w:sz w:val="11"/>
                <w:szCs w:val="11"/>
                <w:color w:val="auto"/>
                <w:w w:val="87"/>
              </w:rPr>
              <w:t>7.75 %</w:t>
            </w:r>
          </w:p>
        </w:tc>
        <w:tc>
          <w:tcPr>
            <w:tcW w:w="9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L+550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5,355</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5,267</w:t>
            </w:r>
          </w:p>
        </w:tc>
        <w:tc>
          <w:tcPr>
            <w:tcW w:w="2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5,328</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tcPr>
          <w:p>
            <w:pPr>
              <w:ind w:left="20"/>
              <w:spacing w:after="0"/>
              <w:rPr>
                <w:sz w:val="20"/>
                <w:szCs w:val="20"/>
                <w:color w:val="auto"/>
              </w:rPr>
            </w:pPr>
            <w:r>
              <w:rPr>
                <w:rFonts w:ascii="Arial" w:cs="Arial" w:eastAsia="Arial" w:hAnsi="Arial"/>
                <w:sz w:val="11"/>
                <w:szCs w:val="11"/>
                <w:color w:val="auto"/>
              </w:rPr>
              <w:t>Mission Critical Electronics, Inc.</w:t>
            </w:r>
          </w:p>
        </w:tc>
        <w:tc>
          <w:tcPr>
            <w:tcW w:w="740" w:type="dxa"/>
            <w:vAlign w:val="bottom"/>
            <w:gridSpan w:val="2"/>
          </w:tcPr>
          <w:p>
            <w:pPr>
              <w:jc w:val="center"/>
              <w:ind w:left="46"/>
              <w:spacing w:after="0"/>
              <w:rPr>
                <w:sz w:val="20"/>
                <w:szCs w:val="20"/>
                <w:color w:val="auto"/>
              </w:rPr>
            </w:pPr>
            <w:r>
              <w:rPr>
                <w:rFonts w:ascii="Arial" w:cs="Arial" w:eastAsia="Arial" w:hAnsi="Arial"/>
                <w:sz w:val="11"/>
                <w:szCs w:val="11"/>
                <w:color w:val="auto"/>
                <w:w w:val="89"/>
              </w:rPr>
              <w:t>3/28/2024</w:t>
            </w:r>
          </w:p>
        </w:tc>
        <w:tc>
          <w:tcPr>
            <w:tcW w:w="12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88"/>
              </w:rPr>
              <w:t>Capital Equipment</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1"/>
                <w:szCs w:val="11"/>
                <w:color w:val="auto"/>
                <w:w w:val="87"/>
              </w:rPr>
              <w:t>7.20 %</w:t>
            </w:r>
          </w:p>
        </w:tc>
        <w:tc>
          <w:tcPr>
            <w:tcW w:w="960" w:type="dxa"/>
            <w:vAlign w:val="bottom"/>
          </w:tcPr>
          <w:p>
            <w:pPr>
              <w:jc w:val="right"/>
              <w:spacing w:after="0"/>
              <w:rPr>
                <w:sz w:val="20"/>
                <w:szCs w:val="20"/>
                <w:color w:val="auto"/>
              </w:rPr>
            </w:pPr>
            <w:r>
              <w:rPr>
                <w:rFonts w:ascii="Arial" w:cs="Arial" w:eastAsia="Arial" w:hAnsi="Arial"/>
                <w:sz w:val="11"/>
                <w:szCs w:val="11"/>
                <w:color w:val="auto"/>
              </w:rPr>
              <w:t>SOFR+500</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5,844</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5,842</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5,774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shd w:val="clear" w:color="auto" w:fill="CCECFF"/>
          </w:tcPr>
          <w:p>
            <w:pPr>
              <w:ind w:left="20"/>
              <w:spacing w:after="0"/>
              <w:rPr>
                <w:sz w:val="20"/>
                <w:szCs w:val="20"/>
                <w:color w:val="auto"/>
              </w:rPr>
            </w:pPr>
            <w:r>
              <w:rPr>
                <w:rFonts w:ascii="Arial" w:cs="Arial" w:eastAsia="Arial" w:hAnsi="Arial"/>
                <w:sz w:val="11"/>
                <w:szCs w:val="11"/>
                <w:color w:val="auto"/>
              </w:rPr>
              <w:t>Municipal Emergency Services, Inc.</w:t>
            </w:r>
          </w:p>
        </w:tc>
        <w:tc>
          <w:tcPr>
            <w:tcW w:w="74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89"/>
              </w:rPr>
              <w:t>9/28/2027</w:t>
            </w:r>
          </w:p>
        </w:tc>
        <w:tc>
          <w:tcPr>
            <w:tcW w:w="120" w:type="dxa"/>
            <w:vAlign w:val="bottom"/>
            <w:shd w:val="clear" w:color="auto" w:fill="CCECFF"/>
          </w:tcPr>
          <w:p>
            <w:pPr>
              <w:spacing w:after="0"/>
              <w:rPr>
                <w:sz w:val="11"/>
                <w:szCs w:val="11"/>
                <w:color w:val="auto"/>
              </w:rPr>
            </w:pPr>
          </w:p>
        </w:tc>
        <w:tc>
          <w:tcPr>
            <w:tcW w:w="23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3"/>
              </w:rPr>
              <w:t>Distributors</w:t>
            </w: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620" w:type="dxa"/>
            <w:vAlign w:val="bottom"/>
            <w:gridSpan w:val="2"/>
            <w:shd w:val="clear" w:color="auto" w:fill="CCECFF"/>
          </w:tcPr>
          <w:p>
            <w:pPr>
              <w:jc w:val="right"/>
              <w:ind w:right="300"/>
              <w:spacing w:after="0"/>
              <w:rPr>
                <w:sz w:val="20"/>
                <w:szCs w:val="20"/>
                <w:color w:val="auto"/>
              </w:rPr>
            </w:pPr>
            <w:r>
              <w:rPr>
                <w:rFonts w:ascii="Arial" w:cs="Arial" w:eastAsia="Arial" w:hAnsi="Arial"/>
                <w:sz w:val="11"/>
                <w:szCs w:val="11"/>
                <w:color w:val="auto"/>
                <w:w w:val="87"/>
              </w:rPr>
              <w:t>7.25 %</w:t>
            </w:r>
          </w:p>
        </w:tc>
        <w:tc>
          <w:tcPr>
            <w:tcW w:w="9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3,474</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3,412</w:t>
            </w:r>
          </w:p>
        </w:tc>
        <w:tc>
          <w:tcPr>
            <w:tcW w:w="2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3,342</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tcPr>
          <w:p>
            <w:pPr>
              <w:ind w:left="20"/>
              <w:spacing w:after="0"/>
              <w:rPr>
                <w:sz w:val="20"/>
                <w:szCs w:val="20"/>
                <w:color w:val="auto"/>
              </w:rPr>
            </w:pPr>
            <w:r>
              <w:rPr>
                <w:rFonts w:ascii="Arial" w:cs="Arial" w:eastAsia="Arial" w:hAnsi="Arial"/>
                <w:sz w:val="11"/>
                <w:szCs w:val="11"/>
                <w:color w:val="auto"/>
              </w:rPr>
              <w:t>NBH Group LLC</w:t>
            </w:r>
          </w:p>
        </w:tc>
        <w:tc>
          <w:tcPr>
            <w:tcW w:w="740" w:type="dxa"/>
            <w:vAlign w:val="bottom"/>
            <w:gridSpan w:val="2"/>
          </w:tcPr>
          <w:p>
            <w:pPr>
              <w:jc w:val="center"/>
              <w:ind w:left="46"/>
              <w:spacing w:after="0"/>
              <w:rPr>
                <w:sz w:val="20"/>
                <w:szCs w:val="20"/>
                <w:color w:val="auto"/>
              </w:rPr>
            </w:pPr>
            <w:r>
              <w:rPr>
                <w:rFonts w:ascii="Arial" w:cs="Arial" w:eastAsia="Arial" w:hAnsi="Arial"/>
                <w:sz w:val="11"/>
                <w:szCs w:val="11"/>
                <w:color w:val="auto"/>
                <w:w w:val="89"/>
              </w:rPr>
              <w:t>8/19/2026</w:t>
            </w:r>
          </w:p>
        </w:tc>
        <w:tc>
          <w:tcPr>
            <w:tcW w:w="12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90"/>
              </w:rPr>
              <w:t>Healthcare, Education &amp; Childcare</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1"/>
                <w:szCs w:val="11"/>
                <w:color w:val="auto"/>
                <w:w w:val="87"/>
              </w:rPr>
              <w:t>6.25 %</w:t>
            </w:r>
          </w:p>
        </w:tc>
        <w:tc>
          <w:tcPr>
            <w:tcW w:w="960" w:type="dxa"/>
            <w:vAlign w:val="bottom"/>
          </w:tcPr>
          <w:p>
            <w:pPr>
              <w:jc w:val="right"/>
              <w:spacing w:after="0"/>
              <w:rPr>
                <w:sz w:val="20"/>
                <w:szCs w:val="20"/>
                <w:color w:val="auto"/>
              </w:rPr>
            </w:pPr>
            <w:r>
              <w:rPr>
                <w:rFonts w:ascii="Arial" w:cs="Arial" w:eastAsia="Arial" w:hAnsi="Arial"/>
                <w:sz w:val="11"/>
                <w:szCs w:val="11"/>
                <w:color w:val="auto"/>
              </w:rPr>
              <w:t>1M L+550</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10,847</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10,659</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10,793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shd w:val="clear" w:color="auto" w:fill="CCECFF"/>
          </w:tcPr>
          <w:p>
            <w:pPr>
              <w:ind w:left="20"/>
              <w:spacing w:after="0"/>
              <w:rPr>
                <w:sz w:val="20"/>
                <w:szCs w:val="20"/>
                <w:color w:val="auto"/>
              </w:rPr>
            </w:pPr>
            <w:r>
              <w:rPr>
                <w:rFonts w:ascii="Arial" w:cs="Arial" w:eastAsia="Arial" w:hAnsi="Arial"/>
                <w:sz w:val="11"/>
                <w:szCs w:val="11"/>
                <w:color w:val="auto"/>
              </w:rPr>
              <w:t>New Milani Group LLC</w:t>
            </w:r>
          </w:p>
        </w:tc>
        <w:tc>
          <w:tcPr>
            <w:tcW w:w="7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8"/>
              </w:rPr>
              <w:t>6/6/2024</w:t>
            </w:r>
          </w:p>
        </w:tc>
        <w:tc>
          <w:tcPr>
            <w:tcW w:w="120" w:type="dxa"/>
            <w:vAlign w:val="bottom"/>
            <w:shd w:val="clear" w:color="auto" w:fill="CCECFF"/>
          </w:tcPr>
          <w:p>
            <w:pPr>
              <w:spacing w:after="0"/>
              <w:rPr>
                <w:sz w:val="11"/>
                <w:szCs w:val="11"/>
                <w:color w:val="auto"/>
              </w:rPr>
            </w:pPr>
          </w:p>
        </w:tc>
        <w:tc>
          <w:tcPr>
            <w:tcW w:w="23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Consumer Goods: Non-Durable</w:t>
            </w: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620" w:type="dxa"/>
            <w:vAlign w:val="bottom"/>
            <w:gridSpan w:val="2"/>
            <w:shd w:val="clear" w:color="auto" w:fill="CCECFF"/>
          </w:tcPr>
          <w:p>
            <w:pPr>
              <w:jc w:val="right"/>
              <w:ind w:right="300"/>
              <w:spacing w:after="0"/>
              <w:rPr>
                <w:sz w:val="20"/>
                <w:szCs w:val="20"/>
                <w:color w:val="auto"/>
              </w:rPr>
            </w:pPr>
            <w:r>
              <w:rPr>
                <w:rFonts w:ascii="Arial" w:cs="Arial" w:eastAsia="Arial" w:hAnsi="Arial"/>
                <w:sz w:val="11"/>
                <w:szCs w:val="11"/>
                <w:color w:val="auto"/>
                <w:w w:val="87"/>
              </w:rPr>
              <w:t>7.50 %</w:t>
            </w:r>
          </w:p>
        </w:tc>
        <w:tc>
          <w:tcPr>
            <w:tcW w:w="9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14,513</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14,462</w:t>
            </w:r>
          </w:p>
        </w:tc>
        <w:tc>
          <w:tcPr>
            <w:tcW w:w="2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14,259</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tcPr>
          <w:p>
            <w:pPr>
              <w:ind w:left="20"/>
              <w:spacing w:after="0"/>
              <w:rPr>
                <w:sz w:val="20"/>
                <w:szCs w:val="20"/>
                <w:color w:val="auto"/>
              </w:rPr>
            </w:pPr>
            <w:r>
              <w:rPr>
                <w:rFonts w:ascii="Arial" w:cs="Arial" w:eastAsia="Arial" w:hAnsi="Arial"/>
                <w:sz w:val="11"/>
                <w:szCs w:val="11"/>
                <w:color w:val="auto"/>
              </w:rPr>
              <w:t>OIS Management Services, LLC</w:t>
            </w:r>
          </w:p>
        </w:tc>
        <w:tc>
          <w:tcPr>
            <w:tcW w:w="740" w:type="dxa"/>
            <w:vAlign w:val="bottom"/>
            <w:gridSpan w:val="2"/>
          </w:tcPr>
          <w:p>
            <w:pPr>
              <w:jc w:val="center"/>
              <w:ind w:left="66"/>
              <w:spacing w:after="0"/>
              <w:rPr>
                <w:sz w:val="20"/>
                <w:szCs w:val="20"/>
                <w:color w:val="auto"/>
              </w:rPr>
            </w:pPr>
            <w:r>
              <w:rPr>
                <w:rFonts w:ascii="Arial" w:cs="Arial" w:eastAsia="Arial" w:hAnsi="Arial"/>
                <w:sz w:val="11"/>
                <w:szCs w:val="11"/>
                <w:color w:val="auto"/>
                <w:w w:val="88"/>
              </w:rPr>
              <w:t>7/9/2026</w:t>
            </w:r>
          </w:p>
        </w:tc>
        <w:tc>
          <w:tcPr>
            <w:tcW w:w="12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88"/>
              </w:rPr>
              <w:t>Healthcare Equipment and Supplies</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1"/>
                <w:szCs w:val="11"/>
                <w:color w:val="auto"/>
                <w:w w:val="87"/>
              </w:rPr>
              <w:t>6.95 %</w:t>
            </w:r>
          </w:p>
        </w:tc>
        <w:tc>
          <w:tcPr>
            <w:tcW w:w="960" w:type="dxa"/>
            <w:vAlign w:val="bottom"/>
          </w:tcPr>
          <w:p>
            <w:pPr>
              <w:jc w:val="right"/>
              <w:spacing w:after="0"/>
              <w:rPr>
                <w:sz w:val="20"/>
                <w:szCs w:val="20"/>
                <w:color w:val="auto"/>
              </w:rPr>
            </w:pPr>
            <w:r>
              <w:rPr>
                <w:rFonts w:ascii="Arial" w:cs="Arial" w:eastAsia="Arial" w:hAnsi="Arial"/>
                <w:sz w:val="11"/>
                <w:szCs w:val="11"/>
                <w:color w:val="auto"/>
              </w:rPr>
              <w:t>SOFR+475</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5,073</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5,017</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4,996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shd w:val="clear" w:color="auto" w:fill="CCECFF"/>
          </w:tcPr>
          <w:p>
            <w:pPr>
              <w:ind w:left="20"/>
              <w:spacing w:after="0"/>
              <w:rPr>
                <w:sz w:val="20"/>
                <w:szCs w:val="20"/>
                <w:color w:val="auto"/>
              </w:rPr>
            </w:pPr>
            <w:r>
              <w:rPr>
                <w:rFonts w:ascii="Arial" w:cs="Arial" w:eastAsia="Arial" w:hAnsi="Arial"/>
                <w:sz w:val="11"/>
                <w:szCs w:val="11"/>
                <w:color w:val="auto"/>
              </w:rPr>
              <w:t>One Stop Mailing, LLC</w:t>
            </w:r>
          </w:p>
        </w:tc>
        <w:tc>
          <w:tcPr>
            <w:tcW w:w="7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8"/>
              </w:rPr>
              <w:t>5/7/2027</w:t>
            </w:r>
          </w:p>
        </w:tc>
        <w:tc>
          <w:tcPr>
            <w:tcW w:w="120" w:type="dxa"/>
            <w:vAlign w:val="bottom"/>
            <w:shd w:val="clear" w:color="auto" w:fill="CCECFF"/>
          </w:tcPr>
          <w:p>
            <w:pPr>
              <w:spacing w:after="0"/>
              <w:rPr>
                <w:sz w:val="11"/>
                <w:szCs w:val="11"/>
                <w:color w:val="auto"/>
              </w:rPr>
            </w:pPr>
          </w:p>
        </w:tc>
        <w:tc>
          <w:tcPr>
            <w:tcW w:w="23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1"/>
              </w:rPr>
              <w:t>Air Freight and Logistics</w:t>
            </w: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620" w:type="dxa"/>
            <w:vAlign w:val="bottom"/>
            <w:gridSpan w:val="2"/>
            <w:shd w:val="clear" w:color="auto" w:fill="CCECFF"/>
          </w:tcPr>
          <w:p>
            <w:pPr>
              <w:jc w:val="right"/>
              <w:ind w:right="300"/>
              <w:spacing w:after="0"/>
              <w:rPr>
                <w:sz w:val="20"/>
                <w:szCs w:val="20"/>
                <w:color w:val="auto"/>
              </w:rPr>
            </w:pPr>
            <w:r>
              <w:rPr>
                <w:rFonts w:ascii="Arial" w:cs="Arial" w:eastAsia="Arial" w:hAnsi="Arial"/>
                <w:sz w:val="11"/>
                <w:szCs w:val="11"/>
                <w:color w:val="auto"/>
                <w:w w:val="87"/>
              </w:rPr>
              <w:t>7.92 %</w:t>
            </w:r>
          </w:p>
        </w:tc>
        <w:tc>
          <w:tcPr>
            <w:tcW w:w="9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L+625</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14,807</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14,548</w:t>
            </w:r>
          </w:p>
        </w:tc>
        <w:tc>
          <w:tcPr>
            <w:tcW w:w="2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14,511</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tcPr>
          <w:p>
            <w:pPr>
              <w:ind w:left="20"/>
              <w:spacing w:after="0"/>
              <w:rPr>
                <w:sz w:val="20"/>
                <w:szCs w:val="20"/>
                <w:color w:val="auto"/>
              </w:rPr>
            </w:pPr>
            <w:r>
              <w:rPr>
                <w:rFonts w:ascii="Arial" w:cs="Arial" w:eastAsia="Arial" w:hAnsi="Arial"/>
                <w:sz w:val="11"/>
                <w:szCs w:val="11"/>
                <w:color w:val="auto"/>
              </w:rPr>
              <w:t>Output Services Group, Inc.</w:t>
            </w:r>
          </w:p>
        </w:tc>
        <w:tc>
          <w:tcPr>
            <w:tcW w:w="740" w:type="dxa"/>
            <w:vAlign w:val="bottom"/>
            <w:gridSpan w:val="2"/>
          </w:tcPr>
          <w:p>
            <w:pPr>
              <w:jc w:val="center"/>
              <w:ind w:left="46"/>
              <w:spacing w:after="0"/>
              <w:rPr>
                <w:sz w:val="20"/>
                <w:szCs w:val="20"/>
                <w:color w:val="auto"/>
              </w:rPr>
            </w:pPr>
            <w:r>
              <w:rPr>
                <w:rFonts w:ascii="Arial" w:cs="Arial" w:eastAsia="Arial" w:hAnsi="Arial"/>
                <w:sz w:val="11"/>
                <w:szCs w:val="11"/>
                <w:color w:val="auto"/>
                <w:w w:val="89"/>
              </w:rPr>
              <w:t>3/27/2024</w:t>
            </w:r>
          </w:p>
        </w:tc>
        <w:tc>
          <w:tcPr>
            <w:tcW w:w="12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86"/>
              </w:rPr>
              <w:t>Business Services</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1"/>
                <w:szCs w:val="11"/>
                <w:color w:val="auto"/>
                <w:w w:val="87"/>
              </w:rPr>
              <w:t>6.01 %</w:t>
            </w:r>
          </w:p>
        </w:tc>
        <w:tc>
          <w:tcPr>
            <w:tcW w:w="960" w:type="dxa"/>
            <w:vAlign w:val="bottom"/>
          </w:tcPr>
          <w:p>
            <w:pPr>
              <w:jc w:val="right"/>
              <w:spacing w:after="0"/>
              <w:rPr>
                <w:sz w:val="20"/>
                <w:szCs w:val="20"/>
                <w:color w:val="auto"/>
              </w:rPr>
            </w:pPr>
            <w:r>
              <w:rPr>
                <w:rFonts w:ascii="Arial" w:cs="Arial" w:eastAsia="Arial" w:hAnsi="Arial"/>
                <w:sz w:val="11"/>
                <w:szCs w:val="11"/>
                <w:color w:val="auto"/>
              </w:rPr>
              <w:t>3M L+425</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7,663</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7,784</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6,284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shd w:val="clear" w:color="auto" w:fill="CCECFF"/>
          </w:tcPr>
          <w:p>
            <w:pPr>
              <w:ind w:left="20"/>
              <w:spacing w:after="0"/>
              <w:rPr>
                <w:sz w:val="20"/>
                <w:szCs w:val="20"/>
                <w:color w:val="auto"/>
              </w:rPr>
            </w:pPr>
            <w:r>
              <w:rPr>
                <w:rFonts w:ascii="Arial" w:cs="Arial" w:eastAsia="Arial" w:hAnsi="Arial"/>
                <w:sz w:val="11"/>
                <w:szCs w:val="11"/>
                <w:color w:val="auto"/>
              </w:rPr>
              <w:t>Owl Acquisition, LLC</w:t>
            </w:r>
          </w:p>
        </w:tc>
        <w:tc>
          <w:tcPr>
            <w:tcW w:w="7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8"/>
              </w:rPr>
              <w:t>2/4/2028</w:t>
            </w:r>
          </w:p>
        </w:tc>
        <w:tc>
          <w:tcPr>
            <w:tcW w:w="120" w:type="dxa"/>
            <w:vAlign w:val="bottom"/>
            <w:shd w:val="clear" w:color="auto" w:fill="CCECFF"/>
          </w:tcPr>
          <w:p>
            <w:pPr>
              <w:spacing w:after="0"/>
              <w:rPr>
                <w:sz w:val="11"/>
                <w:szCs w:val="11"/>
                <w:color w:val="auto"/>
              </w:rPr>
            </w:pPr>
          </w:p>
        </w:tc>
        <w:tc>
          <w:tcPr>
            <w:tcW w:w="23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Professional Services</w:t>
            </w: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620" w:type="dxa"/>
            <w:vAlign w:val="bottom"/>
            <w:gridSpan w:val="2"/>
            <w:shd w:val="clear" w:color="auto" w:fill="CCECFF"/>
          </w:tcPr>
          <w:p>
            <w:pPr>
              <w:jc w:val="right"/>
              <w:ind w:right="300"/>
              <w:spacing w:after="0"/>
              <w:rPr>
                <w:sz w:val="20"/>
                <w:szCs w:val="20"/>
                <w:color w:val="auto"/>
              </w:rPr>
            </w:pPr>
            <w:r>
              <w:rPr>
                <w:rFonts w:ascii="Arial" w:cs="Arial" w:eastAsia="Arial" w:hAnsi="Arial"/>
                <w:sz w:val="11"/>
                <w:szCs w:val="11"/>
                <w:color w:val="auto"/>
                <w:w w:val="87"/>
              </w:rPr>
              <w:t>6.75 %</w:t>
            </w:r>
          </w:p>
        </w:tc>
        <w:tc>
          <w:tcPr>
            <w:tcW w:w="9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L+575</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4,000</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3,925</w:t>
            </w:r>
          </w:p>
        </w:tc>
        <w:tc>
          <w:tcPr>
            <w:tcW w:w="2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3,880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tcPr>
          <w:p>
            <w:pPr>
              <w:ind w:left="20"/>
              <w:spacing w:after="0"/>
              <w:rPr>
                <w:sz w:val="20"/>
                <w:szCs w:val="20"/>
                <w:color w:val="auto"/>
              </w:rPr>
            </w:pPr>
            <w:r>
              <w:rPr>
                <w:rFonts w:ascii="Arial" w:cs="Arial" w:eastAsia="Arial" w:hAnsi="Arial"/>
                <w:sz w:val="11"/>
                <w:szCs w:val="11"/>
                <w:color w:val="auto"/>
              </w:rPr>
              <w:t>Ox Two, LLC</w:t>
            </w:r>
          </w:p>
        </w:tc>
        <w:tc>
          <w:tcPr>
            <w:tcW w:w="740" w:type="dxa"/>
            <w:vAlign w:val="bottom"/>
            <w:gridSpan w:val="2"/>
          </w:tcPr>
          <w:p>
            <w:pPr>
              <w:jc w:val="center"/>
              <w:ind w:left="46"/>
              <w:spacing w:after="0"/>
              <w:rPr>
                <w:sz w:val="20"/>
                <w:szCs w:val="20"/>
                <w:color w:val="auto"/>
              </w:rPr>
            </w:pPr>
            <w:r>
              <w:rPr>
                <w:rFonts w:ascii="Arial" w:cs="Arial" w:eastAsia="Arial" w:hAnsi="Arial"/>
                <w:sz w:val="11"/>
                <w:szCs w:val="11"/>
                <w:color w:val="auto"/>
                <w:w w:val="89"/>
              </w:rPr>
              <w:t>5/18/2026</w:t>
            </w:r>
          </w:p>
        </w:tc>
        <w:tc>
          <w:tcPr>
            <w:tcW w:w="12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92"/>
              </w:rPr>
              <w:t>Construction and Building</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1"/>
                <w:szCs w:val="11"/>
                <w:color w:val="auto"/>
                <w:w w:val="87"/>
              </w:rPr>
              <w:t>9.32 %</w:t>
            </w:r>
          </w:p>
        </w:tc>
        <w:tc>
          <w:tcPr>
            <w:tcW w:w="960" w:type="dxa"/>
            <w:vAlign w:val="bottom"/>
          </w:tcPr>
          <w:p>
            <w:pPr>
              <w:jc w:val="right"/>
              <w:spacing w:after="0"/>
              <w:rPr>
                <w:sz w:val="20"/>
                <w:szCs w:val="20"/>
                <w:color w:val="auto"/>
              </w:rPr>
            </w:pPr>
            <w:r>
              <w:rPr>
                <w:rFonts w:ascii="Arial" w:cs="Arial" w:eastAsia="Arial" w:hAnsi="Arial"/>
                <w:sz w:val="11"/>
                <w:szCs w:val="11"/>
                <w:color w:val="auto"/>
              </w:rPr>
              <w:t>3M L+600</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4,938</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4,875</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4,839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shd w:val="clear" w:color="auto" w:fill="CCECFF"/>
          </w:tcPr>
          <w:p>
            <w:pPr>
              <w:ind w:left="20"/>
              <w:spacing w:after="0"/>
              <w:rPr>
                <w:sz w:val="20"/>
                <w:szCs w:val="20"/>
                <w:color w:val="auto"/>
              </w:rPr>
            </w:pPr>
            <w:r>
              <w:rPr>
                <w:rFonts w:ascii="Arial" w:cs="Arial" w:eastAsia="Arial" w:hAnsi="Arial"/>
                <w:sz w:val="11"/>
                <w:szCs w:val="11"/>
                <w:color w:val="auto"/>
              </w:rPr>
              <w:t>PH Beauty Holdings III, Inc.</w:t>
            </w:r>
          </w:p>
        </w:tc>
        <w:tc>
          <w:tcPr>
            <w:tcW w:w="74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89"/>
              </w:rPr>
              <w:t>9/29/2025</w:t>
            </w:r>
          </w:p>
        </w:tc>
        <w:tc>
          <w:tcPr>
            <w:tcW w:w="120" w:type="dxa"/>
            <w:vAlign w:val="bottom"/>
            <w:shd w:val="clear" w:color="auto" w:fill="CCECFF"/>
          </w:tcPr>
          <w:p>
            <w:pPr>
              <w:spacing w:after="0"/>
              <w:rPr>
                <w:sz w:val="11"/>
                <w:szCs w:val="11"/>
                <w:color w:val="auto"/>
              </w:rPr>
            </w:pPr>
          </w:p>
        </w:tc>
        <w:tc>
          <w:tcPr>
            <w:tcW w:w="23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5"/>
              </w:rPr>
              <w:t>Wholesale</w:t>
            </w: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620" w:type="dxa"/>
            <w:vAlign w:val="bottom"/>
            <w:gridSpan w:val="2"/>
            <w:shd w:val="clear" w:color="auto" w:fill="CCECFF"/>
          </w:tcPr>
          <w:p>
            <w:pPr>
              <w:jc w:val="right"/>
              <w:ind w:right="300"/>
              <w:spacing w:after="0"/>
              <w:rPr>
                <w:sz w:val="20"/>
                <w:szCs w:val="20"/>
                <w:color w:val="auto"/>
              </w:rPr>
            </w:pPr>
            <w:r>
              <w:rPr>
                <w:rFonts w:ascii="Arial" w:cs="Arial" w:eastAsia="Arial" w:hAnsi="Arial"/>
                <w:sz w:val="11"/>
                <w:szCs w:val="11"/>
                <w:color w:val="auto"/>
                <w:w w:val="87"/>
              </w:rPr>
              <w:t>6.57 %</w:t>
            </w:r>
          </w:p>
        </w:tc>
        <w:tc>
          <w:tcPr>
            <w:tcW w:w="9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L+500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9,618</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9,340</w:t>
            </w:r>
          </w:p>
        </w:tc>
        <w:tc>
          <w:tcPr>
            <w:tcW w:w="2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8,656</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tcPr>
          <w:p>
            <w:pPr>
              <w:ind w:left="20"/>
              <w:spacing w:after="0"/>
              <w:rPr>
                <w:sz w:val="20"/>
                <w:szCs w:val="20"/>
                <w:color w:val="auto"/>
              </w:rPr>
            </w:pPr>
            <w:r>
              <w:rPr>
                <w:rFonts w:ascii="Arial" w:cs="Arial" w:eastAsia="Arial" w:hAnsi="Arial"/>
                <w:sz w:val="11"/>
                <w:szCs w:val="11"/>
                <w:color w:val="auto"/>
              </w:rPr>
              <w:t>PL Acquisitionco, LLC</w:t>
            </w:r>
          </w:p>
        </w:tc>
        <w:tc>
          <w:tcPr>
            <w:tcW w:w="740" w:type="dxa"/>
            <w:vAlign w:val="bottom"/>
            <w:gridSpan w:val="2"/>
          </w:tcPr>
          <w:p>
            <w:pPr>
              <w:jc w:val="center"/>
              <w:ind w:left="66"/>
              <w:spacing w:after="0"/>
              <w:rPr>
                <w:sz w:val="20"/>
                <w:szCs w:val="20"/>
                <w:color w:val="auto"/>
              </w:rPr>
            </w:pPr>
            <w:r>
              <w:rPr>
                <w:rFonts w:ascii="Arial" w:cs="Arial" w:eastAsia="Arial" w:hAnsi="Arial"/>
                <w:sz w:val="11"/>
                <w:szCs w:val="11"/>
                <w:color w:val="auto"/>
                <w:w w:val="85"/>
              </w:rPr>
              <w:t>11/9/2027</w:t>
            </w:r>
          </w:p>
        </w:tc>
        <w:tc>
          <w:tcPr>
            <w:tcW w:w="12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90"/>
              </w:rPr>
              <w:t>Textiles, Apparel and Luxury Goods</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1"/>
                <w:szCs w:val="11"/>
                <w:color w:val="auto"/>
                <w:w w:val="87"/>
              </w:rPr>
              <w:t>8.17 %</w:t>
            </w:r>
          </w:p>
        </w:tc>
        <w:tc>
          <w:tcPr>
            <w:tcW w:w="960" w:type="dxa"/>
            <w:vAlign w:val="bottom"/>
          </w:tcPr>
          <w:p>
            <w:pPr>
              <w:jc w:val="right"/>
              <w:spacing w:after="0"/>
              <w:rPr>
                <w:sz w:val="20"/>
                <w:szCs w:val="20"/>
                <w:color w:val="auto"/>
              </w:rPr>
            </w:pPr>
            <w:r>
              <w:rPr>
                <w:rFonts w:ascii="Arial" w:cs="Arial" w:eastAsia="Arial" w:hAnsi="Arial"/>
                <w:sz w:val="11"/>
                <w:szCs w:val="11"/>
                <w:color w:val="auto"/>
              </w:rPr>
              <w:t>1M L+650</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8,259</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8,130</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8,114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shd w:val="clear" w:color="auto" w:fill="CCECFF"/>
          </w:tcPr>
          <w:p>
            <w:pPr>
              <w:ind w:left="20"/>
              <w:spacing w:after="0"/>
              <w:rPr>
                <w:sz w:val="20"/>
                <w:szCs w:val="20"/>
                <w:color w:val="auto"/>
              </w:rPr>
            </w:pPr>
            <w:r>
              <w:rPr>
                <w:rFonts w:ascii="Arial" w:cs="Arial" w:eastAsia="Arial" w:hAnsi="Arial"/>
                <w:sz w:val="11"/>
                <w:szCs w:val="11"/>
                <w:color w:val="auto"/>
              </w:rPr>
              <w:t>Plant Health Intermediate, Inc.</w:t>
            </w:r>
          </w:p>
        </w:tc>
        <w:tc>
          <w:tcPr>
            <w:tcW w:w="7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10/19/2022</w:t>
            </w:r>
          </w:p>
        </w:tc>
        <w:tc>
          <w:tcPr>
            <w:tcW w:w="120" w:type="dxa"/>
            <w:vAlign w:val="bottom"/>
            <w:shd w:val="clear" w:color="auto" w:fill="CCECFF"/>
          </w:tcPr>
          <w:p>
            <w:pPr>
              <w:spacing w:after="0"/>
              <w:rPr>
                <w:sz w:val="11"/>
                <w:szCs w:val="11"/>
                <w:color w:val="auto"/>
              </w:rPr>
            </w:pPr>
          </w:p>
        </w:tc>
        <w:tc>
          <w:tcPr>
            <w:tcW w:w="23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Chemicals, Plastics and Rubber</w:t>
            </w: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620" w:type="dxa"/>
            <w:vAlign w:val="bottom"/>
            <w:gridSpan w:val="2"/>
            <w:shd w:val="clear" w:color="auto" w:fill="CCECFF"/>
          </w:tcPr>
          <w:p>
            <w:pPr>
              <w:jc w:val="right"/>
              <w:ind w:right="300"/>
              <w:spacing w:after="0"/>
              <w:rPr>
                <w:sz w:val="20"/>
                <w:szCs w:val="20"/>
                <w:color w:val="auto"/>
              </w:rPr>
            </w:pPr>
            <w:r>
              <w:rPr>
                <w:rFonts w:ascii="Arial" w:cs="Arial" w:eastAsia="Arial" w:hAnsi="Arial"/>
                <w:sz w:val="11"/>
                <w:szCs w:val="11"/>
                <w:color w:val="auto"/>
                <w:w w:val="87"/>
              </w:rPr>
              <w:t>8.00 %</w:t>
            </w:r>
          </w:p>
        </w:tc>
        <w:tc>
          <w:tcPr>
            <w:tcW w:w="9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L+575</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1,566</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1,563</w:t>
            </w:r>
          </w:p>
        </w:tc>
        <w:tc>
          <w:tcPr>
            <w:tcW w:w="2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1,566</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tcPr>
          <w:p>
            <w:pPr>
              <w:ind w:left="20"/>
              <w:spacing w:after="0"/>
              <w:rPr>
                <w:sz w:val="20"/>
                <w:szCs w:val="20"/>
                <w:color w:val="auto"/>
              </w:rPr>
            </w:pPr>
            <w:r>
              <w:rPr>
                <w:rFonts w:ascii="Arial" w:cs="Arial" w:eastAsia="Arial" w:hAnsi="Arial"/>
                <w:sz w:val="11"/>
                <w:szCs w:val="11"/>
                <w:color w:val="auto"/>
              </w:rPr>
              <w:t>PlayPower, Inc.</w:t>
            </w:r>
          </w:p>
        </w:tc>
        <w:tc>
          <w:tcPr>
            <w:tcW w:w="740" w:type="dxa"/>
            <w:vAlign w:val="bottom"/>
            <w:gridSpan w:val="2"/>
          </w:tcPr>
          <w:p>
            <w:pPr>
              <w:jc w:val="center"/>
              <w:ind w:left="66"/>
              <w:spacing w:after="0"/>
              <w:rPr>
                <w:sz w:val="20"/>
                <w:szCs w:val="20"/>
                <w:color w:val="auto"/>
              </w:rPr>
            </w:pPr>
            <w:r>
              <w:rPr>
                <w:rFonts w:ascii="Arial" w:cs="Arial" w:eastAsia="Arial" w:hAnsi="Arial"/>
                <w:sz w:val="11"/>
                <w:szCs w:val="11"/>
                <w:color w:val="auto"/>
                <w:w w:val="88"/>
              </w:rPr>
              <w:t>5/8/2026</w:t>
            </w:r>
          </w:p>
        </w:tc>
        <w:tc>
          <w:tcPr>
            <w:tcW w:w="12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88"/>
              </w:rPr>
              <w:t>Consumer Goods: Durable</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1"/>
                <w:szCs w:val="11"/>
                <w:color w:val="auto"/>
                <w:w w:val="87"/>
              </w:rPr>
              <w:t>7.75 %</w:t>
            </w:r>
          </w:p>
        </w:tc>
        <w:tc>
          <w:tcPr>
            <w:tcW w:w="960" w:type="dxa"/>
            <w:vAlign w:val="bottom"/>
          </w:tcPr>
          <w:p>
            <w:pPr>
              <w:jc w:val="right"/>
              <w:spacing w:after="0"/>
              <w:rPr>
                <w:sz w:val="20"/>
                <w:szCs w:val="20"/>
                <w:color w:val="auto"/>
              </w:rPr>
            </w:pPr>
            <w:r>
              <w:rPr>
                <w:rFonts w:ascii="Arial" w:cs="Arial" w:eastAsia="Arial" w:hAnsi="Arial"/>
                <w:sz w:val="11"/>
                <w:szCs w:val="11"/>
                <w:color w:val="auto"/>
              </w:rPr>
              <w:t>3M L+550</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2,587</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2,502</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2,244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shd w:val="clear" w:color="auto" w:fill="CCECFF"/>
          </w:tcPr>
          <w:p>
            <w:pPr>
              <w:ind w:left="20"/>
              <w:spacing w:after="0"/>
              <w:rPr>
                <w:sz w:val="20"/>
                <w:szCs w:val="20"/>
                <w:color w:val="auto"/>
              </w:rPr>
            </w:pPr>
            <w:r>
              <w:rPr>
                <w:rFonts w:ascii="Arial" w:cs="Arial" w:eastAsia="Arial" w:hAnsi="Arial"/>
                <w:sz w:val="11"/>
                <w:szCs w:val="11"/>
                <w:color w:val="auto"/>
              </w:rPr>
              <w:t>Quantic Electronics, LLC</w:t>
            </w:r>
          </w:p>
        </w:tc>
        <w:tc>
          <w:tcPr>
            <w:tcW w:w="7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11/19/2026</w:t>
            </w:r>
          </w:p>
        </w:tc>
        <w:tc>
          <w:tcPr>
            <w:tcW w:w="120" w:type="dxa"/>
            <w:vAlign w:val="bottom"/>
            <w:shd w:val="clear" w:color="auto" w:fill="CCECFF"/>
          </w:tcPr>
          <w:p>
            <w:pPr>
              <w:spacing w:after="0"/>
              <w:rPr>
                <w:sz w:val="11"/>
                <w:szCs w:val="11"/>
                <w:color w:val="auto"/>
              </w:rPr>
            </w:pPr>
          </w:p>
        </w:tc>
        <w:tc>
          <w:tcPr>
            <w:tcW w:w="23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Aerospace and Defense</w:t>
            </w: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620" w:type="dxa"/>
            <w:vAlign w:val="bottom"/>
            <w:gridSpan w:val="2"/>
            <w:shd w:val="clear" w:color="auto" w:fill="CCECFF"/>
          </w:tcPr>
          <w:p>
            <w:pPr>
              <w:jc w:val="right"/>
              <w:ind w:right="300"/>
              <w:spacing w:after="0"/>
              <w:rPr>
                <w:sz w:val="20"/>
                <w:szCs w:val="20"/>
                <w:color w:val="auto"/>
              </w:rPr>
            </w:pPr>
            <w:r>
              <w:rPr>
                <w:rFonts w:ascii="Arial" w:cs="Arial" w:eastAsia="Arial" w:hAnsi="Arial"/>
                <w:sz w:val="11"/>
                <w:szCs w:val="11"/>
                <w:color w:val="auto"/>
                <w:w w:val="87"/>
              </w:rPr>
              <w:t>8.50 %</w:t>
            </w:r>
          </w:p>
        </w:tc>
        <w:tc>
          <w:tcPr>
            <w:tcW w:w="9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L+625</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3,932</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3,854</w:t>
            </w:r>
          </w:p>
        </w:tc>
        <w:tc>
          <w:tcPr>
            <w:tcW w:w="2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3,854</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tcPr>
          <w:p>
            <w:pPr>
              <w:ind w:left="20"/>
              <w:spacing w:after="0"/>
              <w:rPr>
                <w:sz w:val="20"/>
                <w:szCs w:val="20"/>
                <w:color w:val="auto"/>
              </w:rPr>
            </w:pPr>
            <w:r>
              <w:rPr>
                <w:rFonts w:ascii="Arial" w:cs="Arial" w:eastAsia="Arial" w:hAnsi="Arial"/>
                <w:sz w:val="11"/>
                <w:szCs w:val="11"/>
                <w:color w:val="auto"/>
              </w:rPr>
              <w:t>Reception Purchaser, LLC</w:t>
            </w:r>
          </w:p>
        </w:tc>
        <w:tc>
          <w:tcPr>
            <w:tcW w:w="740" w:type="dxa"/>
            <w:vAlign w:val="bottom"/>
            <w:gridSpan w:val="2"/>
          </w:tcPr>
          <w:p>
            <w:pPr>
              <w:jc w:val="center"/>
              <w:ind w:left="46"/>
              <w:spacing w:after="0"/>
              <w:rPr>
                <w:sz w:val="20"/>
                <w:szCs w:val="20"/>
                <w:color w:val="auto"/>
              </w:rPr>
            </w:pPr>
            <w:r>
              <w:rPr>
                <w:rFonts w:ascii="Arial" w:cs="Arial" w:eastAsia="Arial" w:hAnsi="Arial"/>
                <w:sz w:val="11"/>
                <w:szCs w:val="11"/>
                <w:color w:val="auto"/>
                <w:w w:val="89"/>
              </w:rPr>
              <w:t>2/28/2028</w:t>
            </w:r>
          </w:p>
        </w:tc>
        <w:tc>
          <w:tcPr>
            <w:tcW w:w="12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91"/>
              </w:rPr>
              <w:t>Air Freight and Logistics</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1"/>
                <w:szCs w:val="11"/>
                <w:color w:val="auto"/>
                <w:w w:val="87"/>
              </w:rPr>
              <w:t>8.20 %</w:t>
            </w:r>
          </w:p>
        </w:tc>
        <w:tc>
          <w:tcPr>
            <w:tcW w:w="960" w:type="dxa"/>
            <w:vAlign w:val="bottom"/>
          </w:tcPr>
          <w:p>
            <w:pPr>
              <w:jc w:val="right"/>
              <w:spacing w:after="0"/>
              <w:rPr>
                <w:sz w:val="20"/>
                <w:szCs w:val="20"/>
                <w:color w:val="auto"/>
              </w:rPr>
            </w:pPr>
            <w:r>
              <w:rPr>
                <w:rFonts w:ascii="Arial" w:cs="Arial" w:eastAsia="Arial" w:hAnsi="Arial"/>
                <w:sz w:val="11"/>
                <w:szCs w:val="11"/>
                <w:color w:val="auto"/>
              </w:rPr>
              <w:t>SOFR+600</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4,988</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4,914</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4,788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shd w:val="clear" w:color="auto" w:fill="CCECFF"/>
          </w:tcPr>
          <w:p>
            <w:pPr>
              <w:ind w:left="20"/>
              <w:spacing w:after="0"/>
              <w:rPr>
                <w:sz w:val="20"/>
                <w:szCs w:val="20"/>
                <w:color w:val="auto"/>
              </w:rPr>
            </w:pPr>
            <w:r>
              <w:rPr>
                <w:rFonts w:ascii="Arial" w:cs="Arial" w:eastAsia="Arial" w:hAnsi="Arial"/>
                <w:sz w:val="11"/>
                <w:szCs w:val="11"/>
                <w:color w:val="auto"/>
              </w:rPr>
              <w:t>Recteq, LLC</w:t>
            </w:r>
          </w:p>
        </w:tc>
        <w:tc>
          <w:tcPr>
            <w:tcW w:w="74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89"/>
              </w:rPr>
              <w:t>1/29/2026</w:t>
            </w:r>
          </w:p>
        </w:tc>
        <w:tc>
          <w:tcPr>
            <w:tcW w:w="120" w:type="dxa"/>
            <w:vAlign w:val="bottom"/>
            <w:shd w:val="clear" w:color="auto" w:fill="CCECFF"/>
          </w:tcPr>
          <w:p>
            <w:pPr>
              <w:spacing w:after="0"/>
              <w:rPr>
                <w:sz w:val="11"/>
                <w:szCs w:val="11"/>
                <w:color w:val="auto"/>
              </w:rPr>
            </w:pPr>
          </w:p>
        </w:tc>
        <w:tc>
          <w:tcPr>
            <w:tcW w:w="23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Leisure Products</w:t>
            </w: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620" w:type="dxa"/>
            <w:vAlign w:val="bottom"/>
            <w:gridSpan w:val="2"/>
            <w:shd w:val="clear" w:color="auto" w:fill="CCECFF"/>
          </w:tcPr>
          <w:p>
            <w:pPr>
              <w:jc w:val="right"/>
              <w:ind w:right="300"/>
              <w:spacing w:after="0"/>
              <w:rPr>
                <w:sz w:val="20"/>
                <w:szCs w:val="20"/>
                <w:color w:val="auto"/>
              </w:rPr>
            </w:pPr>
            <w:r>
              <w:rPr>
                <w:rFonts w:ascii="Arial" w:cs="Arial" w:eastAsia="Arial" w:hAnsi="Arial"/>
                <w:sz w:val="11"/>
                <w:szCs w:val="11"/>
                <w:color w:val="auto"/>
                <w:w w:val="87"/>
              </w:rPr>
              <w:t>8.25 %</w:t>
            </w:r>
          </w:p>
        </w:tc>
        <w:tc>
          <w:tcPr>
            <w:tcW w:w="9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L+600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4,938</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4,863</w:t>
            </w:r>
          </w:p>
        </w:tc>
        <w:tc>
          <w:tcPr>
            <w:tcW w:w="2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4,814</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tcPr>
          <w:p>
            <w:pPr>
              <w:ind w:left="20"/>
              <w:spacing w:after="0"/>
              <w:rPr>
                <w:sz w:val="20"/>
                <w:szCs w:val="20"/>
                <w:color w:val="auto"/>
              </w:rPr>
            </w:pPr>
            <w:r>
              <w:rPr>
                <w:rFonts w:ascii="Arial" w:cs="Arial" w:eastAsia="Arial" w:hAnsi="Arial"/>
                <w:sz w:val="11"/>
                <w:szCs w:val="11"/>
                <w:color w:val="auto"/>
              </w:rPr>
              <w:t>Research Now Group, LLC and Dynata, LLC</w:t>
            </w:r>
          </w:p>
        </w:tc>
        <w:tc>
          <w:tcPr>
            <w:tcW w:w="74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12/20/2024</w:t>
            </w:r>
          </w:p>
        </w:tc>
        <w:tc>
          <w:tcPr>
            <w:tcW w:w="12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90"/>
              </w:rPr>
              <w:t>Diversified Consumer Services</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1"/>
                <w:szCs w:val="11"/>
                <w:color w:val="auto"/>
                <w:w w:val="87"/>
              </w:rPr>
              <w:t>6.50 %</w:t>
            </w:r>
          </w:p>
        </w:tc>
        <w:tc>
          <w:tcPr>
            <w:tcW w:w="960" w:type="dxa"/>
            <w:vAlign w:val="bottom"/>
          </w:tcPr>
          <w:p>
            <w:pPr>
              <w:jc w:val="right"/>
              <w:spacing w:after="0"/>
              <w:rPr>
                <w:sz w:val="20"/>
                <w:szCs w:val="20"/>
                <w:color w:val="auto"/>
              </w:rPr>
            </w:pPr>
            <w:r>
              <w:rPr>
                <w:rFonts w:ascii="Arial" w:cs="Arial" w:eastAsia="Arial" w:hAnsi="Arial"/>
                <w:sz w:val="11"/>
                <w:szCs w:val="11"/>
                <w:color w:val="auto"/>
              </w:rPr>
              <w:t>3M L+550</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10,596</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10,528</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9,961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shd w:val="clear" w:color="auto" w:fill="CCECFF"/>
          </w:tcPr>
          <w:p>
            <w:pPr>
              <w:ind w:left="20"/>
              <w:spacing w:after="0"/>
              <w:rPr>
                <w:sz w:val="20"/>
                <w:szCs w:val="20"/>
                <w:color w:val="auto"/>
              </w:rPr>
            </w:pPr>
            <w:r>
              <w:rPr>
                <w:rFonts w:ascii="Arial" w:cs="Arial" w:eastAsia="Arial" w:hAnsi="Arial"/>
                <w:sz w:val="11"/>
                <w:szCs w:val="11"/>
                <w:color w:val="auto"/>
              </w:rPr>
              <w:t>Sales Benchmark Index LLC</w:t>
            </w:r>
          </w:p>
        </w:tc>
        <w:tc>
          <w:tcPr>
            <w:tcW w:w="7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8"/>
              </w:rPr>
              <w:t>1/3/2025</w:t>
            </w:r>
          </w:p>
        </w:tc>
        <w:tc>
          <w:tcPr>
            <w:tcW w:w="120" w:type="dxa"/>
            <w:vAlign w:val="bottom"/>
            <w:shd w:val="clear" w:color="auto" w:fill="CCECFF"/>
          </w:tcPr>
          <w:p>
            <w:pPr>
              <w:spacing w:after="0"/>
              <w:rPr>
                <w:sz w:val="11"/>
                <w:szCs w:val="11"/>
                <w:color w:val="auto"/>
              </w:rPr>
            </w:pPr>
          </w:p>
        </w:tc>
        <w:tc>
          <w:tcPr>
            <w:tcW w:w="23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Professional Services</w:t>
            </w: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620" w:type="dxa"/>
            <w:vAlign w:val="bottom"/>
            <w:gridSpan w:val="2"/>
            <w:shd w:val="clear" w:color="auto" w:fill="CCECFF"/>
          </w:tcPr>
          <w:p>
            <w:pPr>
              <w:jc w:val="right"/>
              <w:ind w:right="300"/>
              <w:spacing w:after="0"/>
              <w:rPr>
                <w:sz w:val="20"/>
                <w:szCs w:val="20"/>
                <w:color w:val="auto"/>
              </w:rPr>
            </w:pPr>
            <w:r>
              <w:rPr>
                <w:rFonts w:ascii="Arial" w:cs="Arial" w:eastAsia="Arial" w:hAnsi="Arial"/>
                <w:sz w:val="11"/>
                <w:szCs w:val="11"/>
                <w:color w:val="auto"/>
                <w:w w:val="87"/>
              </w:rPr>
              <w:t>8.25 %</w:t>
            </w:r>
          </w:p>
        </w:tc>
        <w:tc>
          <w:tcPr>
            <w:tcW w:w="9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L+600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5,281</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5,218</w:t>
            </w:r>
          </w:p>
        </w:tc>
        <w:tc>
          <w:tcPr>
            <w:tcW w:w="2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5,281</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June 30, 2022</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00" w:type="dxa"/>
            <w:vAlign w:val="bottom"/>
          </w:tcPr>
          <w:p>
            <w:pPr>
              <w:jc w:val="center"/>
              <w:spacing w:after="0"/>
              <w:rPr>
                <w:sz w:val="20"/>
                <w:szCs w:val="20"/>
                <w:color w:val="auto"/>
              </w:rPr>
            </w:pPr>
            <w:r>
              <w:rPr>
                <w:rFonts w:ascii="Arial" w:cs="Arial" w:eastAsia="Arial" w:hAnsi="Arial"/>
                <w:sz w:val="11"/>
                <w:szCs w:val="11"/>
                <w:b w:val="1"/>
                <w:bCs w:val="1"/>
                <w:color w:val="auto"/>
                <w:w w:val="86"/>
              </w:rPr>
              <w:t>Basis Point</w:t>
            </w: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gridSpan w:val="2"/>
            <w:vMerge w:val="restart"/>
          </w:tcPr>
          <w:p>
            <w:pPr>
              <w:jc w:val="right"/>
              <w:ind w:right="546"/>
              <w:spacing w:after="0"/>
              <w:rPr>
                <w:sz w:val="20"/>
                <w:szCs w:val="20"/>
                <w:color w:val="auto"/>
              </w:rPr>
            </w:pPr>
            <w:r>
              <w:rPr>
                <w:rFonts w:ascii="Arial" w:cs="Arial" w:eastAsia="Arial" w:hAnsi="Arial"/>
                <w:sz w:val="11"/>
                <w:szCs w:val="11"/>
                <w:b w:val="1"/>
                <w:bCs w:val="1"/>
                <w:color w:val="auto"/>
              </w:rPr>
              <w:t>Current</w:t>
            </w:r>
          </w:p>
        </w:tc>
        <w:tc>
          <w:tcPr>
            <w:tcW w:w="90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85"/>
              </w:rPr>
              <w:t>Spread</w:t>
            </w:r>
          </w:p>
        </w:tc>
        <w:tc>
          <w:tcPr>
            <w:tcW w:w="220" w:type="dxa"/>
            <w:vAlign w:val="bottom"/>
          </w:tcPr>
          <w:p>
            <w:pPr>
              <w:spacing w:after="0"/>
              <w:rPr>
                <w:sz w:val="9"/>
                <w:szCs w:val="9"/>
                <w:color w:val="auto"/>
              </w:rPr>
            </w:pPr>
          </w:p>
        </w:tc>
        <w:tc>
          <w:tcPr>
            <w:tcW w:w="740" w:type="dxa"/>
            <w:vAlign w:val="bottom"/>
            <w:vMerge w:val="restart"/>
          </w:tcPr>
          <w:p>
            <w:pPr>
              <w:jc w:val="right"/>
              <w:ind w:right="206"/>
              <w:spacing w:after="0"/>
              <w:rPr>
                <w:sz w:val="20"/>
                <w:szCs w:val="20"/>
                <w:color w:val="auto"/>
              </w:rPr>
            </w:pPr>
            <w:r>
              <w:rPr>
                <w:rFonts w:ascii="Arial" w:cs="Arial" w:eastAsia="Arial" w:hAnsi="Arial"/>
                <w:sz w:val="11"/>
                <w:szCs w:val="11"/>
                <w:b w:val="1"/>
                <w:bCs w:val="1"/>
                <w:color w:val="auto"/>
              </w:rPr>
              <w:t>Par /</w:t>
            </w: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82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Issuer Name</w:t>
            </w:r>
          </w:p>
        </w:tc>
        <w:tc>
          <w:tcPr>
            <w:tcW w:w="140" w:type="dxa"/>
            <w:vAlign w:val="bottom"/>
          </w:tcPr>
          <w:p>
            <w:pPr>
              <w:spacing w:after="0"/>
              <w:rPr>
                <w:sz w:val="9"/>
                <w:szCs w:val="9"/>
                <w:color w:val="auto"/>
              </w:rPr>
            </w:pPr>
          </w:p>
        </w:tc>
        <w:tc>
          <w:tcPr>
            <w:tcW w:w="68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Maturity</w:t>
            </w:r>
          </w:p>
        </w:tc>
        <w:tc>
          <w:tcPr>
            <w:tcW w:w="240" w:type="dxa"/>
            <w:vAlign w:val="bottom"/>
          </w:tcPr>
          <w:p>
            <w:pPr>
              <w:spacing w:after="0"/>
              <w:rPr>
                <w:sz w:val="9"/>
                <w:szCs w:val="9"/>
                <w:color w:val="auto"/>
              </w:rPr>
            </w:pPr>
          </w:p>
        </w:tc>
        <w:tc>
          <w:tcPr>
            <w:tcW w:w="234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6"/>
              </w:rPr>
              <w:t>Industry</w:t>
            </w:r>
          </w:p>
        </w:tc>
        <w:tc>
          <w:tcPr>
            <w:tcW w:w="10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90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89"/>
              </w:rPr>
              <w:t>Above</w:t>
            </w:r>
          </w:p>
        </w:tc>
        <w:tc>
          <w:tcPr>
            <w:tcW w:w="22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vMerge w:val="restart"/>
          </w:tcPr>
          <w:p>
            <w:pPr>
              <w:jc w:val="right"/>
              <w:ind w:right="186"/>
              <w:spacing w:after="0"/>
              <w:rPr>
                <w:sz w:val="20"/>
                <w:szCs w:val="20"/>
                <w:color w:val="auto"/>
              </w:rPr>
            </w:pPr>
            <w:r>
              <w:rPr>
                <w:rFonts w:ascii="Arial" w:cs="Arial" w:eastAsia="Arial" w:hAnsi="Arial"/>
                <w:sz w:val="11"/>
                <w:szCs w:val="11"/>
                <w:b w:val="1"/>
                <w:bCs w:val="1"/>
                <w:color w:val="auto"/>
              </w:rPr>
              <w:t>Cost</w:t>
            </w:r>
          </w:p>
        </w:tc>
        <w:tc>
          <w:tcPr>
            <w:tcW w:w="220" w:type="dxa"/>
            <w:vAlign w:val="bottom"/>
          </w:tcPr>
          <w:p>
            <w:pPr>
              <w:spacing w:after="0"/>
              <w:rPr>
                <w:sz w:val="9"/>
                <w:szCs w:val="9"/>
                <w:color w:val="auto"/>
              </w:rPr>
            </w:pPr>
          </w:p>
        </w:tc>
        <w:tc>
          <w:tcPr>
            <w:tcW w:w="780" w:type="dxa"/>
            <w:vAlign w:val="bottom"/>
            <w:gridSpan w:val="3"/>
            <w:vMerge w:val="restart"/>
          </w:tcPr>
          <w:p>
            <w:pPr>
              <w:jc w:val="right"/>
              <w:ind w:right="102"/>
              <w:spacing w:after="0"/>
              <w:rPr>
                <w:sz w:val="20"/>
                <w:szCs w:val="20"/>
                <w:color w:val="auto"/>
              </w:rPr>
            </w:pPr>
            <w:r>
              <w:rPr>
                <w:rFonts w:ascii="Arial" w:cs="Arial" w:eastAsia="Arial" w:hAnsi="Arial"/>
                <w:sz w:val="11"/>
                <w:szCs w:val="11"/>
                <w:b w:val="1"/>
                <w:bCs w:val="1"/>
                <w:color w:val="auto"/>
                <w:w w:val="92"/>
              </w:rPr>
              <w:t xml:space="preserve">Fair Value </w:t>
            </w:r>
            <w:r>
              <w:rPr>
                <w:rFonts w:ascii="Arial" w:cs="Arial" w:eastAsia="Arial" w:hAnsi="Arial"/>
                <w:sz w:val="14"/>
                <w:szCs w:val="14"/>
                <w:b w:val="1"/>
                <w:bCs w:val="1"/>
                <w:color w:val="auto"/>
                <w:w w:val="92"/>
                <w:vertAlign w:val="superscript"/>
              </w:rPr>
              <w:t>(2)</w:t>
            </w:r>
          </w:p>
        </w:tc>
        <w:tc>
          <w:tcPr>
            <w:tcW w:w="0" w:type="dxa"/>
            <w:vAlign w:val="bottom"/>
          </w:tcPr>
          <w:p>
            <w:pPr>
              <w:spacing w:after="0"/>
              <w:rPr>
                <w:sz w:val="1"/>
                <w:szCs w:val="1"/>
                <w:color w:val="auto"/>
              </w:rPr>
            </w:pPr>
          </w:p>
        </w:tc>
      </w:tr>
      <w:tr>
        <w:trPr>
          <w:trHeight w:val="148"/>
        </w:trPr>
        <w:tc>
          <w:tcPr>
            <w:tcW w:w="28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23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546"/>
              <w:spacing w:after="0"/>
              <w:rPr>
                <w:sz w:val="20"/>
                <w:szCs w:val="20"/>
                <w:color w:val="auto"/>
              </w:rPr>
            </w:pPr>
            <w:r>
              <w:rPr>
                <w:rFonts w:ascii="Arial" w:cs="Arial" w:eastAsia="Arial" w:hAnsi="Arial"/>
                <w:sz w:val="11"/>
                <w:szCs w:val="11"/>
                <w:b w:val="1"/>
                <w:bCs w:val="1"/>
                <w:color w:val="auto"/>
              </w:rPr>
              <w:t>Coupon</w:t>
            </w:r>
          </w:p>
        </w:tc>
        <w:tc>
          <w:tcPr>
            <w:tcW w:w="900" w:type="dxa"/>
            <w:vAlign w:val="bottom"/>
          </w:tcPr>
          <w:p>
            <w:pPr>
              <w:jc w:val="center"/>
              <w:spacing w:after="0" w:line="149" w:lineRule="exact"/>
              <w:rPr>
                <w:sz w:val="20"/>
                <w:szCs w:val="20"/>
                <w:color w:val="auto"/>
              </w:rPr>
            </w:pPr>
            <w:r>
              <w:rPr>
                <w:rFonts w:ascii="Arial" w:cs="Arial" w:eastAsia="Arial" w:hAnsi="Arial"/>
                <w:sz w:val="11"/>
                <w:szCs w:val="11"/>
                <w:b w:val="1"/>
                <w:bCs w:val="1"/>
                <w:color w:val="auto"/>
                <w:w w:val="83"/>
              </w:rPr>
              <w:t xml:space="preserve">Index </w:t>
            </w:r>
            <w:r>
              <w:rPr>
                <w:rFonts w:ascii="Arial" w:cs="Arial" w:eastAsia="Arial" w:hAnsi="Arial"/>
                <w:sz w:val="14"/>
                <w:szCs w:val="14"/>
                <w:b w:val="1"/>
                <w:bCs w:val="1"/>
                <w:color w:val="auto"/>
                <w:w w:val="83"/>
                <w:vertAlign w:val="superscript"/>
              </w:rPr>
              <w:t>(1)</w:t>
            </w:r>
          </w:p>
        </w:tc>
        <w:tc>
          <w:tcPr>
            <w:tcW w:w="220" w:type="dxa"/>
            <w:vAlign w:val="bottom"/>
          </w:tcPr>
          <w:p>
            <w:pPr>
              <w:spacing w:after="0"/>
              <w:rPr>
                <w:sz w:val="12"/>
                <w:szCs w:val="12"/>
                <w:color w:val="auto"/>
              </w:rPr>
            </w:pPr>
          </w:p>
        </w:tc>
        <w:tc>
          <w:tcPr>
            <w:tcW w:w="740" w:type="dxa"/>
            <w:vAlign w:val="bottom"/>
          </w:tcPr>
          <w:p>
            <w:pPr>
              <w:jc w:val="right"/>
              <w:ind w:right="146"/>
              <w:spacing w:after="0"/>
              <w:rPr>
                <w:sz w:val="20"/>
                <w:szCs w:val="20"/>
                <w:color w:val="auto"/>
              </w:rPr>
            </w:pPr>
            <w:r>
              <w:rPr>
                <w:rFonts w:ascii="Arial" w:cs="Arial" w:eastAsia="Arial" w:hAnsi="Arial"/>
                <w:sz w:val="11"/>
                <w:szCs w:val="11"/>
                <w:b w:val="1"/>
                <w:bCs w:val="1"/>
                <w:color w:val="auto"/>
              </w:rPr>
              <w:t>Shares</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820" w:type="dxa"/>
            <w:vAlign w:val="bottom"/>
            <w:tcBorders>
              <w:top w:val="single" w:sz="8" w:color="auto"/>
            </w:tcBorders>
            <w:shd w:val="clear" w:color="auto" w:fill="CCECFF"/>
          </w:tcPr>
          <w:p>
            <w:pPr>
              <w:ind w:left="20"/>
              <w:spacing w:after="0"/>
              <w:rPr>
                <w:sz w:val="20"/>
                <w:szCs w:val="20"/>
                <w:color w:val="auto"/>
              </w:rPr>
            </w:pPr>
            <w:r>
              <w:rPr>
                <w:rFonts w:ascii="Arial" w:cs="Arial" w:eastAsia="Arial" w:hAnsi="Arial"/>
                <w:sz w:val="11"/>
                <w:szCs w:val="11"/>
                <w:color w:val="auto"/>
              </w:rPr>
              <w:t>Sargent &amp; Greenleaf Inc.</w:t>
            </w:r>
          </w:p>
        </w:tc>
        <w:tc>
          <w:tcPr>
            <w:tcW w:w="140" w:type="dxa"/>
            <w:vAlign w:val="bottom"/>
            <w:shd w:val="clear" w:color="auto" w:fill="CCECFF"/>
          </w:tcPr>
          <w:p>
            <w:pPr>
              <w:spacing w:after="0"/>
              <w:rPr>
                <w:sz w:val="11"/>
                <w:szCs w:val="11"/>
                <w:color w:val="auto"/>
              </w:rPr>
            </w:pPr>
          </w:p>
        </w:tc>
        <w:tc>
          <w:tcPr>
            <w:tcW w:w="680" w:type="dxa"/>
            <w:vAlign w:val="bottom"/>
            <w:tcBorders>
              <w:top w:val="single" w:sz="8" w:color="auto"/>
            </w:tcBorders>
            <w:shd w:val="clear" w:color="auto" w:fill="CCECFF"/>
          </w:tcPr>
          <w:p>
            <w:pPr>
              <w:jc w:val="center"/>
              <w:spacing w:after="0"/>
              <w:rPr>
                <w:sz w:val="20"/>
                <w:szCs w:val="20"/>
                <w:color w:val="auto"/>
              </w:rPr>
            </w:pPr>
            <w:r>
              <w:rPr>
                <w:rFonts w:ascii="Arial" w:cs="Arial" w:eastAsia="Arial" w:hAnsi="Arial"/>
                <w:sz w:val="11"/>
                <w:szCs w:val="11"/>
                <w:color w:val="auto"/>
                <w:w w:val="89"/>
              </w:rPr>
              <w:t>1/27/2021</w:t>
            </w:r>
          </w:p>
        </w:tc>
        <w:tc>
          <w:tcPr>
            <w:tcW w:w="240" w:type="dxa"/>
            <w:vAlign w:val="bottom"/>
            <w:shd w:val="clear" w:color="auto" w:fill="CCECFF"/>
          </w:tcPr>
          <w:p>
            <w:pPr>
              <w:spacing w:after="0"/>
              <w:rPr>
                <w:sz w:val="11"/>
                <w:szCs w:val="11"/>
                <w:color w:val="auto"/>
              </w:rPr>
            </w:pPr>
          </w:p>
        </w:tc>
        <w:tc>
          <w:tcPr>
            <w:tcW w:w="2340" w:type="dxa"/>
            <w:vAlign w:val="bottom"/>
            <w:tcBorders>
              <w:top w:val="single" w:sz="8" w:color="auto"/>
            </w:tcBorders>
            <w:shd w:val="clear" w:color="auto" w:fill="CCECFF"/>
          </w:tcPr>
          <w:p>
            <w:pPr>
              <w:jc w:val="center"/>
              <w:spacing w:after="0"/>
              <w:rPr>
                <w:sz w:val="20"/>
                <w:szCs w:val="20"/>
                <w:color w:val="auto"/>
              </w:rPr>
            </w:pPr>
            <w:r>
              <w:rPr>
                <w:rFonts w:ascii="Arial" w:cs="Arial" w:eastAsia="Arial" w:hAnsi="Arial"/>
                <w:sz w:val="11"/>
                <w:szCs w:val="11"/>
                <w:color w:val="auto"/>
                <w:w w:val="89"/>
              </w:rPr>
              <w:t>Wholesale</w:t>
            </w:r>
          </w:p>
        </w:tc>
        <w:tc>
          <w:tcPr>
            <w:tcW w:w="100" w:type="dxa"/>
            <w:vAlign w:val="bottom"/>
            <w:shd w:val="clear" w:color="auto" w:fill="CCECFF"/>
          </w:tcPr>
          <w:p>
            <w:pPr>
              <w:spacing w:after="0"/>
              <w:rPr>
                <w:sz w:val="11"/>
                <w:szCs w:val="11"/>
                <w:color w:val="auto"/>
              </w:rPr>
            </w:pPr>
          </w:p>
        </w:tc>
        <w:tc>
          <w:tcPr>
            <w:tcW w:w="74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7.15</w:t>
            </w:r>
          </w:p>
        </w:tc>
        <w:tc>
          <w:tcPr>
            <w:tcW w:w="420" w:type="dxa"/>
            <w:vAlign w:val="bottom"/>
            <w:shd w:val="clear" w:color="auto" w:fill="CCECFF"/>
          </w:tcPr>
          <w:p>
            <w:pPr>
              <w:jc w:val="right"/>
              <w:ind w:right="266"/>
              <w:spacing w:after="0"/>
              <w:rPr>
                <w:sz w:val="20"/>
                <w:szCs w:val="20"/>
                <w:color w:val="auto"/>
              </w:rPr>
            </w:pPr>
            <w:r>
              <w:rPr>
                <w:rFonts w:ascii="Arial" w:cs="Arial" w:eastAsia="Arial" w:hAnsi="Arial"/>
                <w:sz w:val="11"/>
                <w:szCs w:val="11"/>
                <w:color w:val="auto"/>
                <w:w w:val="81"/>
              </w:rPr>
              <w:t>%</w:t>
            </w:r>
          </w:p>
        </w:tc>
        <w:tc>
          <w:tcPr>
            <w:tcW w:w="90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3M L+550</w:t>
            </w:r>
          </w:p>
        </w:tc>
        <w:tc>
          <w:tcPr>
            <w:tcW w:w="220" w:type="dxa"/>
            <w:vAlign w:val="bottom"/>
            <w:shd w:val="clear" w:color="auto" w:fill="CCECFF"/>
          </w:tcPr>
          <w:p>
            <w:pPr>
              <w:spacing w:after="0"/>
              <w:rPr>
                <w:sz w:val="11"/>
                <w:szCs w:val="11"/>
                <w:color w:val="auto"/>
              </w:rPr>
            </w:pPr>
          </w:p>
        </w:tc>
        <w:tc>
          <w:tcPr>
            <w:tcW w:w="74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5,390</w:t>
            </w:r>
          </w:p>
        </w:tc>
        <w:tc>
          <w:tcPr>
            <w:tcW w:w="220" w:type="dxa"/>
            <w:vAlign w:val="bottom"/>
            <w:shd w:val="clear" w:color="auto" w:fill="CCECFF"/>
          </w:tcPr>
          <w:p>
            <w:pPr>
              <w:spacing w:after="0"/>
              <w:rPr>
                <w:sz w:val="11"/>
                <w:szCs w:val="11"/>
                <w:color w:val="auto"/>
              </w:rPr>
            </w:pPr>
          </w:p>
        </w:tc>
        <w:tc>
          <w:tcPr>
            <w:tcW w:w="140" w:type="dxa"/>
            <w:vAlign w:val="bottom"/>
            <w:tcBorders>
              <w:top w:val="single" w:sz="8" w:color="auto"/>
            </w:tcBorders>
            <w:shd w:val="clear" w:color="auto" w:fill="CCECFF"/>
          </w:tcPr>
          <w:p>
            <w:pPr>
              <w:jc w:val="right"/>
              <w:ind w:right="31"/>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5,348</w:t>
            </w:r>
          </w:p>
        </w:tc>
        <w:tc>
          <w:tcPr>
            <w:tcW w:w="220" w:type="dxa"/>
            <w:vAlign w:val="bottom"/>
            <w:shd w:val="clear" w:color="auto" w:fill="CCECFF"/>
          </w:tcPr>
          <w:p>
            <w:pPr>
              <w:spacing w:after="0"/>
              <w:rPr>
                <w:sz w:val="11"/>
                <w:szCs w:val="11"/>
                <w:color w:val="auto"/>
              </w:rPr>
            </w:pPr>
          </w:p>
        </w:tc>
        <w:tc>
          <w:tcPr>
            <w:tcW w:w="160" w:type="dxa"/>
            <w:vAlign w:val="bottom"/>
            <w:tcBorders>
              <w:top w:val="single" w:sz="8" w:color="auto"/>
            </w:tcBorders>
            <w:shd w:val="clear" w:color="auto" w:fill="CCECFF"/>
          </w:tcPr>
          <w:p>
            <w:pPr>
              <w:jc w:val="right"/>
              <w:ind w:right="50"/>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5,337</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tcPr>
          <w:p>
            <w:pPr>
              <w:ind w:left="20"/>
              <w:spacing w:after="0"/>
              <w:rPr>
                <w:sz w:val="20"/>
                <w:szCs w:val="20"/>
                <w:color w:val="auto"/>
              </w:rPr>
            </w:pPr>
            <w:r>
              <w:rPr>
                <w:rFonts w:ascii="Arial" w:cs="Arial" w:eastAsia="Arial" w:hAnsi="Arial"/>
                <w:sz w:val="11"/>
                <w:szCs w:val="11"/>
                <w:color w:val="auto"/>
              </w:rPr>
              <w:t>Schlesinger Global, Inc.</w:t>
            </w:r>
          </w:p>
        </w:tc>
        <w:tc>
          <w:tcPr>
            <w:tcW w:w="820" w:type="dxa"/>
            <w:vAlign w:val="bottom"/>
            <w:gridSpan w:val="2"/>
          </w:tcPr>
          <w:p>
            <w:pPr>
              <w:jc w:val="center"/>
              <w:ind w:left="86"/>
              <w:spacing w:after="0"/>
              <w:rPr>
                <w:sz w:val="20"/>
                <w:szCs w:val="20"/>
                <w:color w:val="auto"/>
              </w:rPr>
            </w:pPr>
            <w:r>
              <w:rPr>
                <w:rFonts w:ascii="Arial" w:cs="Arial" w:eastAsia="Arial" w:hAnsi="Arial"/>
                <w:sz w:val="11"/>
                <w:szCs w:val="11"/>
                <w:color w:val="auto"/>
                <w:w w:val="89"/>
              </w:rPr>
              <w:t>2/13/2020</w:t>
            </w:r>
          </w:p>
        </w:tc>
        <w:tc>
          <w:tcPr>
            <w:tcW w:w="2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86"/>
              </w:rPr>
              <w:t>Business Services</w:t>
            </w:r>
          </w:p>
        </w:tc>
        <w:tc>
          <w:tcPr>
            <w:tcW w:w="1260" w:type="dxa"/>
            <w:vAlign w:val="bottom"/>
            <w:gridSpan w:val="3"/>
          </w:tcPr>
          <w:p>
            <w:pPr>
              <w:jc w:val="right"/>
              <w:ind w:right="266"/>
              <w:spacing w:after="0"/>
              <w:rPr>
                <w:sz w:val="20"/>
                <w:szCs w:val="20"/>
                <w:color w:val="auto"/>
              </w:rPr>
            </w:pPr>
            <w:r>
              <w:rPr>
                <w:rFonts w:ascii="Arial" w:cs="Arial" w:eastAsia="Arial" w:hAnsi="Arial"/>
                <w:sz w:val="11"/>
                <w:szCs w:val="11"/>
                <w:color w:val="auto"/>
              </w:rPr>
              <w:t>8.70 %</w:t>
            </w:r>
          </w:p>
        </w:tc>
        <w:tc>
          <w:tcPr>
            <w:tcW w:w="900" w:type="dxa"/>
            <w:vAlign w:val="bottom"/>
          </w:tcPr>
          <w:p>
            <w:pPr>
              <w:jc w:val="right"/>
              <w:spacing w:after="0"/>
              <w:rPr>
                <w:sz w:val="20"/>
                <w:szCs w:val="20"/>
                <w:color w:val="auto"/>
              </w:rPr>
            </w:pPr>
            <w:r>
              <w:rPr>
                <w:rFonts w:ascii="Arial" w:cs="Arial" w:eastAsia="Arial" w:hAnsi="Arial"/>
                <w:sz w:val="11"/>
                <w:szCs w:val="11"/>
                <w:color w:val="auto"/>
              </w:rPr>
              <w:t>SOFR+500</w:t>
            </w: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11,832</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11,976</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11,654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shd w:val="clear" w:color="auto" w:fill="CCECFF"/>
          </w:tcPr>
          <w:p>
            <w:pPr>
              <w:ind w:left="20"/>
              <w:spacing w:after="0"/>
              <w:rPr>
                <w:sz w:val="20"/>
                <w:szCs w:val="20"/>
                <w:color w:val="auto"/>
              </w:rPr>
            </w:pPr>
            <w:r>
              <w:rPr>
                <w:rFonts w:ascii="Arial" w:cs="Arial" w:eastAsia="Arial" w:hAnsi="Arial"/>
                <w:sz w:val="11"/>
                <w:szCs w:val="11"/>
                <w:color w:val="auto"/>
              </w:rPr>
              <w:t>Sigma Defense Systems, LLC</w:t>
            </w:r>
          </w:p>
        </w:tc>
        <w:tc>
          <w:tcPr>
            <w:tcW w:w="82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12/29/2021</w:t>
            </w:r>
          </w:p>
        </w:tc>
        <w:tc>
          <w:tcPr>
            <w:tcW w:w="240" w:type="dxa"/>
            <w:vAlign w:val="bottom"/>
            <w:shd w:val="clear" w:color="auto" w:fill="CCECFF"/>
          </w:tcPr>
          <w:p>
            <w:pPr>
              <w:spacing w:after="0"/>
              <w:rPr>
                <w:sz w:val="11"/>
                <w:szCs w:val="11"/>
                <w:color w:val="auto"/>
              </w:rPr>
            </w:pPr>
          </w:p>
        </w:tc>
        <w:tc>
          <w:tcPr>
            <w:tcW w:w="23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Aerospace and Defense</w:t>
            </w:r>
          </w:p>
        </w:tc>
        <w:tc>
          <w:tcPr>
            <w:tcW w:w="1260" w:type="dxa"/>
            <w:vAlign w:val="bottom"/>
            <w:gridSpan w:val="3"/>
            <w:shd w:val="clear" w:color="auto" w:fill="CCECFF"/>
          </w:tcPr>
          <w:p>
            <w:pPr>
              <w:jc w:val="right"/>
              <w:ind w:right="266"/>
              <w:spacing w:after="0"/>
              <w:rPr>
                <w:sz w:val="20"/>
                <w:szCs w:val="20"/>
                <w:color w:val="auto"/>
              </w:rPr>
            </w:pPr>
            <w:r>
              <w:rPr>
                <w:rFonts w:ascii="Arial" w:cs="Arial" w:eastAsia="Arial" w:hAnsi="Arial"/>
                <w:sz w:val="11"/>
                <w:szCs w:val="11"/>
                <w:color w:val="auto"/>
              </w:rPr>
              <w:t>10.75 %</w:t>
            </w:r>
          </w:p>
        </w:tc>
        <w:tc>
          <w:tcPr>
            <w:tcW w:w="9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L+850</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14,810</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14,486</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14,588</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tcPr>
          <w:p>
            <w:pPr>
              <w:ind w:left="20"/>
              <w:spacing w:after="0"/>
              <w:rPr>
                <w:sz w:val="20"/>
                <w:szCs w:val="20"/>
                <w:color w:val="auto"/>
              </w:rPr>
            </w:pPr>
            <w:r>
              <w:rPr>
                <w:rFonts w:ascii="Arial" w:cs="Arial" w:eastAsia="Arial" w:hAnsi="Arial"/>
                <w:sz w:val="11"/>
                <w:szCs w:val="11"/>
                <w:color w:val="auto"/>
              </w:rPr>
              <w:t>Smile Brands Inc.</w:t>
            </w:r>
          </w:p>
        </w:tc>
        <w:tc>
          <w:tcPr>
            <w:tcW w:w="820" w:type="dxa"/>
            <w:vAlign w:val="bottom"/>
            <w:gridSpan w:val="2"/>
          </w:tcPr>
          <w:p>
            <w:pPr>
              <w:jc w:val="center"/>
              <w:ind w:left="86"/>
              <w:spacing w:after="0"/>
              <w:rPr>
                <w:sz w:val="20"/>
                <w:szCs w:val="20"/>
                <w:color w:val="auto"/>
              </w:rPr>
            </w:pPr>
            <w:r>
              <w:rPr>
                <w:rFonts w:ascii="Arial" w:cs="Arial" w:eastAsia="Arial" w:hAnsi="Arial"/>
                <w:sz w:val="11"/>
                <w:szCs w:val="11"/>
                <w:color w:val="auto"/>
                <w:w w:val="89"/>
              </w:rPr>
              <w:t>7/31/2022</w:t>
            </w:r>
          </w:p>
        </w:tc>
        <w:tc>
          <w:tcPr>
            <w:tcW w:w="2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86"/>
              </w:rPr>
              <w:t>Healthcare and Pharmaceuticals</w:t>
            </w:r>
          </w:p>
        </w:tc>
        <w:tc>
          <w:tcPr>
            <w:tcW w:w="1260" w:type="dxa"/>
            <w:vAlign w:val="bottom"/>
            <w:gridSpan w:val="3"/>
          </w:tcPr>
          <w:p>
            <w:pPr>
              <w:jc w:val="right"/>
              <w:ind w:right="266"/>
              <w:spacing w:after="0"/>
              <w:rPr>
                <w:sz w:val="20"/>
                <w:szCs w:val="20"/>
                <w:color w:val="auto"/>
              </w:rPr>
            </w:pPr>
            <w:r>
              <w:rPr>
                <w:rFonts w:ascii="Arial" w:cs="Arial" w:eastAsia="Arial" w:hAnsi="Arial"/>
                <w:sz w:val="11"/>
                <w:szCs w:val="11"/>
                <w:color w:val="auto"/>
              </w:rPr>
              <w:t>5.62 %</w:t>
            </w:r>
          </w:p>
        </w:tc>
        <w:tc>
          <w:tcPr>
            <w:tcW w:w="900" w:type="dxa"/>
            <w:vAlign w:val="bottom"/>
          </w:tcPr>
          <w:p>
            <w:pPr>
              <w:jc w:val="right"/>
              <w:spacing w:after="0"/>
              <w:rPr>
                <w:sz w:val="20"/>
                <w:szCs w:val="20"/>
                <w:color w:val="auto"/>
              </w:rPr>
            </w:pPr>
            <w:r>
              <w:rPr>
                <w:rFonts w:ascii="Arial" w:cs="Arial" w:eastAsia="Arial" w:hAnsi="Arial"/>
                <w:sz w:val="11"/>
                <w:szCs w:val="11"/>
                <w:color w:val="auto"/>
              </w:rPr>
              <w:t>3M L+450</w:t>
            </w: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12,480</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12,356</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12,137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shd w:val="clear" w:color="auto" w:fill="CCECFF"/>
          </w:tcPr>
          <w:p>
            <w:pPr>
              <w:ind w:left="20"/>
              <w:spacing w:after="0"/>
              <w:rPr>
                <w:sz w:val="20"/>
                <w:szCs w:val="20"/>
                <w:color w:val="auto"/>
              </w:rPr>
            </w:pPr>
            <w:r>
              <w:rPr>
                <w:rFonts w:ascii="Arial" w:cs="Arial" w:eastAsia="Arial" w:hAnsi="Arial"/>
                <w:sz w:val="11"/>
                <w:szCs w:val="11"/>
                <w:color w:val="auto"/>
              </w:rPr>
              <w:t>Solutionreach, Inc.</w:t>
            </w:r>
          </w:p>
        </w:tc>
        <w:tc>
          <w:tcPr>
            <w:tcW w:w="82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9"/>
              </w:rPr>
              <w:t>11/5/2019</w:t>
            </w:r>
          </w:p>
        </w:tc>
        <w:tc>
          <w:tcPr>
            <w:tcW w:w="240" w:type="dxa"/>
            <w:vAlign w:val="bottom"/>
            <w:shd w:val="clear" w:color="auto" w:fill="CCECFF"/>
          </w:tcPr>
          <w:p>
            <w:pPr>
              <w:spacing w:after="0"/>
              <w:rPr>
                <w:sz w:val="11"/>
                <w:szCs w:val="11"/>
                <w:color w:val="auto"/>
              </w:rPr>
            </w:pPr>
          </w:p>
        </w:tc>
        <w:tc>
          <w:tcPr>
            <w:tcW w:w="23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Healthcare and Pharmaceuticals</w:t>
            </w:r>
          </w:p>
        </w:tc>
        <w:tc>
          <w:tcPr>
            <w:tcW w:w="1260" w:type="dxa"/>
            <w:vAlign w:val="bottom"/>
            <w:gridSpan w:val="3"/>
            <w:shd w:val="clear" w:color="auto" w:fill="CCECFF"/>
          </w:tcPr>
          <w:p>
            <w:pPr>
              <w:jc w:val="right"/>
              <w:ind w:right="266"/>
              <w:spacing w:after="0"/>
              <w:rPr>
                <w:sz w:val="20"/>
                <w:szCs w:val="20"/>
                <w:color w:val="auto"/>
              </w:rPr>
            </w:pPr>
            <w:r>
              <w:rPr>
                <w:rFonts w:ascii="Arial" w:cs="Arial" w:eastAsia="Arial" w:hAnsi="Arial"/>
                <w:sz w:val="11"/>
                <w:szCs w:val="11"/>
                <w:color w:val="auto"/>
              </w:rPr>
              <w:t>7.42 %</w:t>
            </w:r>
          </w:p>
        </w:tc>
        <w:tc>
          <w:tcPr>
            <w:tcW w:w="9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L+575</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5,663</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5,638</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5,448</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tcPr>
          <w:p>
            <w:pPr>
              <w:ind w:left="20"/>
              <w:spacing w:after="0"/>
              <w:rPr>
                <w:sz w:val="20"/>
                <w:szCs w:val="20"/>
                <w:color w:val="auto"/>
              </w:rPr>
            </w:pPr>
            <w:r>
              <w:rPr>
                <w:rFonts w:ascii="Arial" w:cs="Arial" w:eastAsia="Arial" w:hAnsi="Arial"/>
                <w:sz w:val="11"/>
                <w:szCs w:val="11"/>
                <w:color w:val="auto"/>
              </w:rPr>
              <w:t>Spendmend Holdings LLC</w:t>
            </w:r>
          </w:p>
        </w:tc>
        <w:tc>
          <w:tcPr>
            <w:tcW w:w="820" w:type="dxa"/>
            <w:vAlign w:val="bottom"/>
            <w:gridSpan w:val="2"/>
          </w:tcPr>
          <w:p>
            <w:pPr>
              <w:jc w:val="center"/>
              <w:ind w:left="86"/>
              <w:spacing w:after="0"/>
              <w:rPr>
                <w:sz w:val="20"/>
                <w:szCs w:val="20"/>
                <w:color w:val="auto"/>
              </w:rPr>
            </w:pPr>
            <w:r>
              <w:rPr>
                <w:rFonts w:ascii="Arial" w:cs="Arial" w:eastAsia="Arial" w:hAnsi="Arial"/>
                <w:sz w:val="11"/>
                <w:szCs w:val="11"/>
                <w:color w:val="auto"/>
                <w:w w:val="89"/>
              </w:rPr>
              <w:t>3/23/2022</w:t>
            </w:r>
          </w:p>
        </w:tc>
        <w:tc>
          <w:tcPr>
            <w:tcW w:w="2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90"/>
              </w:rPr>
              <w:t>Healthcare Technology</w:t>
            </w:r>
          </w:p>
        </w:tc>
        <w:tc>
          <w:tcPr>
            <w:tcW w:w="1260" w:type="dxa"/>
            <w:vAlign w:val="bottom"/>
            <w:gridSpan w:val="3"/>
          </w:tcPr>
          <w:p>
            <w:pPr>
              <w:jc w:val="right"/>
              <w:ind w:right="266"/>
              <w:spacing w:after="0"/>
              <w:rPr>
                <w:sz w:val="20"/>
                <w:szCs w:val="20"/>
                <w:color w:val="auto"/>
              </w:rPr>
            </w:pPr>
            <w:r>
              <w:rPr>
                <w:rFonts w:ascii="Arial" w:cs="Arial" w:eastAsia="Arial" w:hAnsi="Arial"/>
                <w:sz w:val="11"/>
                <w:szCs w:val="11"/>
                <w:color w:val="auto"/>
              </w:rPr>
              <w:t>7.38 %</w:t>
            </w:r>
          </w:p>
        </w:tc>
        <w:tc>
          <w:tcPr>
            <w:tcW w:w="900" w:type="dxa"/>
            <w:vAlign w:val="bottom"/>
          </w:tcPr>
          <w:p>
            <w:pPr>
              <w:jc w:val="right"/>
              <w:spacing w:after="0"/>
              <w:rPr>
                <w:sz w:val="20"/>
                <w:szCs w:val="20"/>
                <w:color w:val="auto"/>
              </w:rPr>
            </w:pPr>
            <w:r>
              <w:rPr>
                <w:rFonts w:ascii="Arial" w:cs="Arial" w:eastAsia="Arial" w:hAnsi="Arial"/>
                <w:sz w:val="11"/>
                <w:szCs w:val="11"/>
                <w:color w:val="auto"/>
              </w:rPr>
              <w:t>SOFR+575</w:t>
            </w: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2,964</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2,922</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2,887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shd w:val="clear" w:color="auto" w:fill="CCECFF"/>
          </w:tcPr>
          <w:p>
            <w:pPr>
              <w:ind w:left="20"/>
              <w:spacing w:after="0"/>
              <w:rPr>
                <w:sz w:val="20"/>
                <w:szCs w:val="20"/>
                <w:color w:val="auto"/>
              </w:rPr>
            </w:pPr>
            <w:r>
              <w:rPr>
                <w:rFonts w:ascii="Arial" w:cs="Arial" w:eastAsia="Arial" w:hAnsi="Arial"/>
                <w:sz w:val="11"/>
                <w:szCs w:val="11"/>
                <w:color w:val="auto"/>
              </w:rPr>
              <w:t>STV Group Incorporated</w:t>
            </w:r>
          </w:p>
        </w:tc>
        <w:tc>
          <w:tcPr>
            <w:tcW w:w="82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8"/>
              </w:rPr>
              <w:t>6/8/2021</w:t>
            </w:r>
          </w:p>
        </w:tc>
        <w:tc>
          <w:tcPr>
            <w:tcW w:w="240" w:type="dxa"/>
            <w:vAlign w:val="bottom"/>
            <w:shd w:val="clear" w:color="auto" w:fill="CCECFF"/>
          </w:tcPr>
          <w:p>
            <w:pPr>
              <w:spacing w:after="0"/>
              <w:rPr>
                <w:sz w:val="11"/>
                <w:szCs w:val="11"/>
                <w:color w:val="auto"/>
              </w:rPr>
            </w:pPr>
          </w:p>
        </w:tc>
        <w:tc>
          <w:tcPr>
            <w:tcW w:w="23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Construction and Building</w:t>
            </w:r>
          </w:p>
        </w:tc>
        <w:tc>
          <w:tcPr>
            <w:tcW w:w="1260" w:type="dxa"/>
            <w:vAlign w:val="bottom"/>
            <w:gridSpan w:val="3"/>
            <w:shd w:val="clear" w:color="auto" w:fill="CCECFF"/>
          </w:tcPr>
          <w:p>
            <w:pPr>
              <w:jc w:val="right"/>
              <w:ind w:right="266"/>
              <w:spacing w:after="0"/>
              <w:rPr>
                <w:sz w:val="20"/>
                <w:szCs w:val="20"/>
                <w:color w:val="auto"/>
              </w:rPr>
            </w:pPr>
            <w:r>
              <w:rPr>
                <w:rFonts w:ascii="Arial" w:cs="Arial" w:eastAsia="Arial" w:hAnsi="Arial"/>
                <w:sz w:val="11"/>
                <w:szCs w:val="11"/>
                <w:color w:val="auto"/>
              </w:rPr>
              <w:t>6.92 %</w:t>
            </w:r>
          </w:p>
        </w:tc>
        <w:tc>
          <w:tcPr>
            <w:tcW w:w="9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L+525</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9,075</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9,008</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8,939</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820" w:type="dxa"/>
            <w:vAlign w:val="bottom"/>
          </w:tcPr>
          <w:p>
            <w:pPr>
              <w:ind w:left="20"/>
              <w:spacing w:after="0" w:line="99" w:lineRule="exact"/>
              <w:rPr>
                <w:sz w:val="20"/>
                <w:szCs w:val="20"/>
                <w:color w:val="auto"/>
              </w:rPr>
            </w:pPr>
            <w:r>
              <w:rPr>
                <w:rFonts w:ascii="Arial" w:cs="Arial" w:eastAsia="Arial" w:hAnsi="Arial"/>
                <w:sz w:val="11"/>
                <w:szCs w:val="11"/>
                <w:color w:val="auto"/>
              </w:rPr>
              <w:t>System Planning and Analysis, Inc. (f/k/a Management</w:t>
            </w:r>
          </w:p>
        </w:tc>
        <w:tc>
          <w:tcPr>
            <w:tcW w:w="820" w:type="dxa"/>
            <w:vAlign w:val="bottom"/>
            <w:gridSpan w:val="2"/>
            <w:vMerge w:val="restart"/>
          </w:tcPr>
          <w:p>
            <w:pPr>
              <w:jc w:val="center"/>
              <w:ind w:left="86"/>
              <w:spacing w:after="0"/>
              <w:rPr>
                <w:sz w:val="20"/>
                <w:szCs w:val="20"/>
                <w:color w:val="auto"/>
              </w:rPr>
            </w:pPr>
            <w:r>
              <w:rPr>
                <w:rFonts w:ascii="Arial" w:cs="Arial" w:eastAsia="Arial" w:hAnsi="Arial"/>
                <w:sz w:val="11"/>
                <w:szCs w:val="11"/>
                <w:color w:val="auto"/>
                <w:w w:val="89"/>
              </w:rPr>
              <w:t>12/3/2021</w:t>
            </w:r>
          </w:p>
        </w:tc>
        <w:tc>
          <w:tcPr>
            <w:tcW w:w="240" w:type="dxa"/>
            <w:vAlign w:val="bottom"/>
          </w:tcPr>
          <w:p>
            <w:pPr>
              <w:spacing w:after="0"/>
              <w:rPr>
                <w:sz w:val="8"/>
                <w:szCs w:val="8"/>
                <w:color w:val="auto"/>
              </w:rPr>
            </w:pPr>
          </w:p>
        </w:tc>
        <w:tc>
          <w:tcPr>
            <w:tcW w:w="2340" w:type="dxa"/>
            <w:vAlign w:val="bottom"/>
            <w:vMerge w:val="restart"/>
          </w:tcPr>
          <w:p>
            <w:pPr>
              <w:jc w:val="center"/>
              <w:spacing w:after="0"/>
              <w:rPr>
                <w:sz w:val="20"/>
                <w:szCs w:val="20"/>
                <w:color w:val="auto"/>
              </w:rPr>
            </w:pPr>
            <w:r>
              <w:rPr>
                <w:rFonts w:ascii="Arial" w:cs="Arial" w:eastAsia="Arial" w:hAnsi="Arial"/>
                <w:sz w:val="11"/>
                <w:szCs w:val="11"/>
                <w:color w:val="auto"/>
                <w:w w:val="86"/>
              </w:rPr>
              <w:t>Aerospace and Defense</w:t>
            </w:r>
          </w:p>
        </w:tc>
        <w:tc>
          <w:tcPr>
            <w:tcW w:w="1260" w:type="dxa"/>
            <w:vAlign w:val="bottom"/>
            <w:gridSpan w:val="3"/>
            <w:vMerge w:val="restart"/>
          </w:tcPr>
          <w:p>
            <w:pPr>
              <w:jc w:val="right"/>
              <w:ind w:right="266"/>
              <w:spacing w:after="0"/>
              <w:rPr>
                <w:sz w:val="20"/>
                <w:szCs w:val="20"/>
                <w:color w:val="auto"/>
              </w:rPr>
            </w:pPr>
            <w:r>
              <w:rPr>
                <w:rFonts w:ascii="Arial" w:cs="Arial" w:eastAsia="Arial" w:hAnsi="Arial"/>
                <w:sz w:val="11"/>
                <w:szCs w:val="11"/>
                <w:color w:val="auto"/>
              </w:rPr>
              <w:t>8.83 %</w:t>
            </w:r>
          </w:p>
        </w:tc>
        <w:tc>
          <w:tcPr>
            <w:tcW w:w="900" w:type="dxa"/>
            <w:vAlign w:val="bottom"/>
            <w:vMerge w:val="restart"/>
          </w:tcPr>
          <w:p>
            <w:pPr>
              <w:jc w:val="right"/>
              <w:spacing w:after="0"/>
              <w:rPr>
                <w:sz w:val="20"/>
                <w:szCs w:val="20"/>
                <w:color w:val="auto"/>
              </w:rPr>
            </w:pPr>
            <w:r>
              <w:rPr>
                <w:rFonts w:ascii="Arial" w:cs="Arial" w:eastAsia="Arial" w:hAnsi="Arial"/>
                <w:sz w:val="11"/>
                <w:szCs w:val="11"/>
                <w:color w:val="auto"/>
              </w:rPr>
              <w:t>SOFR+600</w:t>
            </w:r>
          </w:p>
        </w:tc>
        <w:tc>
          <w:tcPr>
            <w:tcW w:w="960" w:type="dxa"/>
            <w:vAlign w:val="bottom"/>
            <w:gridSpan w:val="2"/>
            <w:vMerge w:val="restart"/>
          </w:tcPr>
          <w:p>
            <w:pPr>
              <w:jc w:val="right"/>
              <w:spacing w:after="0"/>
              <w:rPr>
                <w:sz w:val="20"/>
                <w:szCs w:val="20"/>
                <w:color w:val="auto"/>
              </w:rPr>
            </w:pPr>
            <w:r>
              <w:rPr>
                <w:rFonts w:ascii="Arial" w:cs="Arial" w:eastAsia="Arial" w:hAnsi="Arial"/>
                <w:sz w:val="11"/>
                <w:szCs w:val="11"/>
                <w:color w:val="auto"/>
              </w:rPr>
              <w:t>14,925</w:t>
            </w: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14,645</w:t>
            </w: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vMerge w:val="restart"/>
          </w:tcPr>
          <w:p>
            <w:pPr>
              <w:jc w:val="right"/>
              <w:spacing w:after="0"/>
              <w:rPr>
                <w:sz w:val="20"/>
                <w:szCs w:val="20"/>
                <w:color w:val="auto"/>
              </w:rPr>
            </w:pPr>
            <w:r>
              <w:rPr>
                <w:rFonts w:ascii="Arial" w:cs="Arial" w:eastAsia="Arial" w:hAnsi="Arial"/>
                <w:sz w:val="11"/>
                <w:szCs w:val="11"/>
                <w:color w:val="auto"/>
              </w:rPr>
              <w:t>14,686</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2820" w:type="dxa"/>
            <w:vAlign w:val="bottom"/>
          </w:tcPr>
          <w:p>
            <w:pPr>
              <w:ind w:left="20"/>
              <w:spacing w:after="0"/>
              <w:rPr>
                <w:sz w:val="20"/>
                <w:szCs w:val="20"/>
                <w:color w:val="auto"/>
              </w:rPr>
            </w:pPr>
            <w:r>
              <w:rPr>
                <w:rFonts w:ascii="Arial" w:cs="Arial" w:eastAsia="Arial" w:hAnsi="Arial"/>
                <w:sz w:val="11"/>
                <w:szCs w:val="11"/>
                <w:color w:val="auto"/>
              </w:rPr>
              <w:t>Consulting &amp; Research, LLC)</w:t>
            </w:r>
          </w:p>
        </w:tc>
        <w:tc>
          <w:tcPr>
            <w:tcW w:w="8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2340" w:type="dxa"/>
            <w:vAlign w:val="bottom"/>
            <w:vMerge w:val="continue"/>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820" w:type="dxa"/>
            <w:vAlign w:val="bottom"/>
            <w:shd w:val="clear" w:color="auto" w:fill="CCECFF"/>
          </w:tcPr>
          <w:p>
            <w:pPr>
              <w:ind w:left="20"/>
              <w:spacing w:after="0"/>
              <w:rPr>
                <w:sz w:val="20"/>
                <w:szCs w:val="20"/>
                <w:color w:val="auto"/>
              </w:rPr>
            </w:pPr>
            <w:r>
              <w:rPr>
                <w:rFonts w:ascii="Arial" w:cs="Arial" w:eastAsia="Arial" w:hAnsi="Arial"/>
                <w:sz w:val="11"/>
                <w:szCs w:val="11"/>
                <w:color w:val="auto"/>
              </w:rPr>
              <w:t>TAC LifePort Purchaser, LLC</w:t>
            </w:r>
          </w:p>
        </w:tc>
        <w:tc>
          <w:tcPr>
            <w:tcW w:w="82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9"/>
              </w:rPr>
              <w:t>3/17/2021</w:t>
            </w:r>
          </w:p>
        </w:tc>
        <w:tc>
          <w:tcPr>
            <w:tcW w:w="240" w:type="dxa"/>
            <w:vAlign w:val="bottom"/>
            <w:shd w:val="clear" w:color="auto" w:fill="CCECFF"/>
          </w:tcPr>
          <w:p>
            <w:pPr>
              <w:spacing w:after="0"/>
              <w:rPr>
                <w:sz w:val="12"/>
                <w:szCs w:val="12"/>
                <w:color w:val="auto"/>
              </w:rPr>
            </w:pPr>
          </w:p>
        </w:tc>
        <w:tc>
          <w:tcPr>
            <w:tcW w:w="23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Aerospace and Defense</w:t>
            </w:r>
          </w:p>
        </w:tc>
        <w:tc>
          <w:tcPr>
            <w:tcW w:w="1260" w:type="dxa"/>
            <w:vAlign w:val="bottom"/>
            <w:gridSpan w:val="3"/>
            <w:shd w:val="clear" w:color="auto" w:fill="CCECFF"/>
          </w:tcPr>
          <w:p>
            <w:pPr>
              <w:jc w:val="right"/>
              <w:ind w:right="266"/>
              <w:spacing w:after="0"/>
              <w:rPr>
                <w:sz w:val="20"/>
                <w:szCs w:val="20"/>
                <w:color w:val="auto"/>
              </w:rPr>
            </w:pPr>
            <w:r>
              <w:rPr>
                <w:rFonts w:ascii="Arial" w:cs="Arial" w:eastAsia="Arial" w:hAnsi="Arial"/>
                <w:sz w:val="11"/>
                <w:szCs w:val="11"/>
                <w:color w:val="auto"/>
              </w:rPr>
              <w:t>8.25 %</w:t>
            </w:r>
          </w:p>
        </w:tc>
        <w:tc>
          <w:tcPr>
            <w:tcW w:w="9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L+600</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4,424</w:t>
            </w:r>
          </w:p>
        </w:tc>
        <w:tc>
          <w:tcPr>
            <w:tcW w:w="2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4,356</w:t>
            </w:r>
          </w:p>
        </w:tc>
        <w:tc>
          <w:tcPr>
            <w:tcW w:w="2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4,406</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820" w:type="dxa"/>
            <w:vAlign w:val="bottom"/>
          </w:tcPr>
          <w:p>
            <w:pPr>
              <w:ind w:left="20"/>
              <w:spacing w:after="0"/>
              <w:rPr>
                <w:sz w:val="20"/>
                <w:szCs w:val="20"/>
                <w:color w:val="auto"/>
              </w:rPr>
            </w:pPr>
            <w:r>
              <w:rPr>
                <w:rFonts w:ascii="Arial" w:cs="Arial" w:eastAsia="Arial" w:hAnsi="Arial"/>
                <w:sz w:val="11"/>
                <w:szCs w:val="11"/>
                <w:color w:val="auto"/>
              </w:rPr>
              <w:t>TeleGuam Holdings, LLC</w:t>
            </w:r>
          </w:p>
        </w:tc>
        <w:tc>
          <w:tcPr>
            <w:tcW w:w="820" w:type="dxa"/>
            <w:vAlign w:val="bottom"/>
            <w:gridSpan w:val="2"/>
          </w:tcPr>
          <w:p>
            <w:pPr>
              <w:jc w:val="center"/>
              <w:ind w:left="66"/>
              <w:spacing w:after="0"/>
              <w:rPr>
                <w:sz w:val="20"/>
                <w:szCs w:val="20"/>
                <w:color w:val="auto"/>
              </w:rPr>
            </w:pPr>
            <w:r>
              <w:rPr>
                <w:rFonts w:ascii="Arial" w:cs="Arial" w:eastAsia="Arial" w:hAnsi="Arial"/>
                <w:sz w:val="11"/>
                <w:szCs w:val="11"/>
                <w:color w:val="auto"/>
                <w:w w:val="88"/>
              </w:rPr>
              <w:t>6/8/2021</w:t>
            </w:r>
          </w:p>
        </w:tc>
        <w:tc>
          <w:tcPr>
            <w:tcW w:w="2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89"/>
              </w:rPr>
              <w:t>Telecommunications</w:t>
            </w:r>
          </w:p>
        </w:tc>
        <w:tc>
          <w:tcPr>
            <w:tcW w:w="1260" w:type="dxa"/>
            <w:vAlign w:val="bottom"/>
            <w:gridSpan w:val="3"/>
          </w:tcPr>
          <w:p>
            <w:pPr>
              <w:jc w:val="right"/>
              <w:ind w:right="266"/>
              <w:spacing w:after="0"/>
              <w:rPr>
                <w:sz w:val="20"/>
                <w:szCs w:val="20"/>
                <w:color w:val="auto"/>
              </w:rPr>
            </w:pPr>
            <w:r>
              <w:rPr>
                <w:rFonts w:ascii="Arial" w:cs="Arial" w:eastAsia="Arial" w:hAnsi="Arial"/>
                <w:sz w:val="11"/>
                <w:szCs w:val="11"/>
                <w:color w:val="auto"/>
              </w:rPr>
              <w:t>8.25 %</w:t>
            </w:r>
          </w:p>
        </w:tc>
        <w:tc>
          <w:tcPr>
            <w:tcW w:w="900" w:type="dxa"/>
            <w:vAlign w:val="bottom"/>
          </w:tcPr>
          <w:p>
            <w:pPr>
              <w:jc w:val="right"/>
              <w:spacing w:after="0"/>
              <w:rPr>
                <w:sz w:val="20"/>
                <w:szCs w:val="20"/>
                <w:color w:val="auto"/>
              </w:rPr>
            </w:pPr>
            <w:r>
              <w:rPr>
                <w:rFonts w:ascii="Arial" w:cs="Arial" w:eastAsia="Arial" w:hAnsi="Arial"/>
                <w:sz w:val="11"/>
                <w:szCs w:val="11"/>
                <w:color w:val="auto"/>
              </w:rPr>
              <w:t>3M L+450</w:t>
            </w: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10,248</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10,228</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10,248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shd w:val="clear" w:color="auto" w:fill="CCECFF"/>
          </w:tcPr>
          <w:p>
            <w:pPr>
              <w:ind w:left="20"/>
              <w:spacing w:after="0"/>
              <w:rPr>
                <w:sz w:val="20"/>
                <w:szCs w:val="20"/>
                <w:color w:val="auto"/>
              </w:rPr>
            </w:pPr>
            <w:r>
              <w:rPr>
                <w:rFonts w:ascii="Arial" w:cs="Arial" w:eastAsia="Arial" w:hAnsi="Arial"/>
                <w:sz w:val="11"/>
                <w:szCs w:val="11"/>
                <w:color w:val="auto"/>
              </w:rPr>
              <w:t>Teneo Holdings LLC</w:t>
            </w:r>
          </w:p>
        </w:tc>
        <w:tc>
          <w:tcPr>
            <w:tcW w:w="82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9"/>
              </w:rPr>
              <w:t>1/27/2021</w:t>
            </w:r>
          </w:p>
        </w:tc>
        <w:tc>
          <w:tcPr>
            <w:tcW w:w="240" w:type="dxa"/>
            <w:vAlign w:val="bottom"/>
            <w:shd w:val="clear" w:color="auto" w:fill="CCECFF"/>
          </w:tcPr>
          <w:p>
            <w:pPr>
              <w:spacing w:after="0"/>
              <w:rPr>
                <w:sz w:val="11"/>
                <w:szCs w:val="11"/>
                <w:color w:val="auto"/>
              </w:rPr>
            </w:pPr>
          </w:p>
        </w:tc>
        <w:tc>
          <w:tcPr>
            <w:tcW w:w="23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Business Services</w:t>
            </w:r>
          </w:p>
        </w:tc>
        <w:tc>
          <w:tcPr>
            <w:tcW w:w="1260" w:type="dxa"/>
            <w:vAlign w:val="bottom"/>
            <w:gridSpan w:val="3"/>
            <w:shd w:val="clear" w:color="auto" w:fill="CCECFF"/>
          </w:tcPr>
          <w:p>
            <w:pPr>
              <w:jc w:val="right"/>
              <w:ind w:right="266"/>
              <w:spacing w:after="0"/>
              <w:rPr>
                <w:sz w:val="20"/>
                <w:szCs w:val="20"/>
                <w:color w:val="auto"/>
              </w:rPr>
            </w:pPr>
            <w:r>
              <w:rPr>
                <w:rFonts w:ascii="Arial" w:cs="Arial" w:eastAsia="Arial" w:hAnsi="Arial"/>
                <w:sz w:val="11"/>
                <w:szCs w:val="11"/>
                <w:color w:val="auto"/>
              </w:rPr>
              <w:t>6.85 %</w:t>
            </w:r>
          </w:p>
        </w:tc>
        <w:tc>
          <w:tcPr>
            <w:tcW w:w="9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L+625</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2,292</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2,289</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2,246</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tcPr>
          <w:p>
            <w:pPr>
              <w:ind w:left="20"/>
              <w:spacing w:after="0"/>
              <w:rPr>
                <w:sz w:val="20"/>
                <w:szCs w:val="20"/>
                <w:color w:val="auto"/>
              </w:rPr>
            </w:pPr>
            <w:r>
              <w:rPr>
                <w:rFonts w:ascii="Arial" w:cs="Arial" w:eastAsia="Arial" w:hAnsi="Arial"/>
                <w:sz w:val="11"/>
                <w:szCs w:val="11"/>
                <w:color w:val="auto"/>
              </w:rPr>
              <w:t>The Aegis Technologies Group, LLC</w:t>
            </w:r>
          </w:p>
        </w:tc>
        <w:tc>
          <w:tcPr>
            <w:tcW w:w="820" w:type="dxa"/>
            <w:vAlign w:val="bottom"/>
            <w:gridSpan w:val="2"/>
          </w:tcPr>
          <w:p>
            <w:pPr>
              <w:jc w:val="center"/>
              <w:ind w:left="86"/>
              <w:spacing w:after="0"/>
              <w:rPr>
                <w:sz w:val="20"/>
                <w:szCs w:val="20"/>
                <w:color w:val="auto"/>
              </w:rPr>
            </w:pPr>
            <w:r>
              <w:rPr>
                <w:rFonts w:ascii="Arial" w:cs="Arial" w:eastAsia="Arial" w:hAnsi="Arial"/>
                <w:sz w:val="11"/>
                <w:szCs w:val="11"/>
                <w:color w:val="auto"/>
                <w:w w:val="89"/>
              </w:rPr>
              <w:t>1/27/2021</w:t>
            </w:r>
          </w:p>
        </w:tc>
        <w:tc>
          <w:tcPr>
            <w:tcW w:w="2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86"/>
              </w:rPr>
              <w:t>Aerospace and Defense</w:t>
            </w:r>
          </w:p>
        </w:tc>
        <w:tc>
          <w:tcPr>
            <w:tcW w:w="1260" w:type="dxa"/>
            <w:vAlign w:val="bottom"/>
            <w:gridSpan w:val="3"/>
          </w:tcPr>
          <w:p>
            <w:pPr>
              <w:jc w:val="right"/>
              <w:ind w:right="266"/>
              <w:spacing w:after="0"/>
              <w:rPr>
                <w:sz w:val="20"/>
                <w:szCs w:val="20"/>
                <w:color w:val="auto"/>
              </w:rPr>
            </w:pPr>
            <w:r>
              <w:rPr>
                <w:rFonts w:ascii="Arial" w:cs="Arial" w:eastAsia="Arial" w:hAnsi="Arial"/>
                <w:sz w:val="11"/>
                <w:szCs w:val="11"/>
                <w:color w:val="auto"/>
              </w:rPr>
              <w:t>8.06 %</w:t>
            </w:r>
          </w:p>
        </w:tc>
        <w:tc>
          <w:tcPr>
            <w:tcW w:w="900" w:type="dxa"/>
            <w:vAlign w:val="bottom"/>
          </w:tcPr>
          <w:p>
            <w:pPr>
              <w:jc w:val="right"/>
              <w:spacing w:after="0"/>
              <w:rPr>
                <w:sz w:val="20"/>
                <w:szCs w:val="20"/>
                <w:color w:val="auto"/>
              </w:rPr>
            </w:pPr>
            <w:r>
              <w:rPr>
                <w:rFonts w:ascii="Arial" w:cs="Arial" w:eastAsia="Arial" w:hAnsi="Arial"/>
                <w:sz w:val="11"/>
                <w:szCs w:val="11"/>
                <w:color w:val="auto"/>
              </w:rPr>
              <w:t>3M L+500</w:t>
            </w: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5,674</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5,606</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5,617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shd w:val="clear" w:color="auto" w:fill="CCECFF"/>
          </w:tcPr>
          <w:p>
            <w:pPr>
              <w:ind w:left="20"/>
              <w:spacing w:after="0"/>
              <w:rPr>
                <w:sz w:val="20"/>
                <w:szCs w:val="20"/>
                <w:color w:val="auto"/>
              </w:rPr>
            </w:pPr>
            <w:r>
              <w:rPr>
                <w:rFonts w:ascii="Arial" w:cs="Arial" w:eastAsia="Arial" w:hAnsi="Arial"/>
                <w:sz w:val="11"/>
                <w:szCs w:val="11"/>
                <w:color w:val="auto"/>
              </w:rPr>
              <w:t>The Bluebird Group LLC</w:t>
            </w:r>
          </w:p>
        </w:tc>
        <w:tc>
          <w:tcPr>
            <w:tcW w:w="82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9"/>
              </w:rPr>
              <w:t>8/26/2021</w:t>
            </w:r>
          </w:p>
        </w:tc>
        <w:tc>
          <w:tcPr>
            <w:tcW w:w="240" w:type="dxa"/>
            <w:vAlign w:val="bottom"/>
            <w:shd w:val="clear" w:color="auto" w:fill="CCECFF"/>
          </w:tcPr>
          <w:p>
            <w:pPr>
              <w:spacing w:after="0"/>
              <w:rPr>
                <w:sz w:val="11"/>
                <w:szCs w:val="11"/>
                <w:color w:val="auto"/>
              </w:rPr>
            </w:pPr>
          </w:p>
        </w:tc>
        <w:tc>
          <w:tcPr>
            <w:tcW w:w="23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Professional Services</w:t>
            </w:r>
          </w:p>
        </w:tc>
        <w:tc>
          <w:tcPr>
            <w:tcW w:w="1260" w:type="dxa"/>
            <w:vAlign w:val="bottom"/>
            <w:gridSpan w:val="3"/>
            <w:shd w:val="clear" w:color="auto" w:fill="CCECFF"/>
          </w:tcPr>
          <w:p>
            <w:pPr>
              <w:jc w:val="right"/>
              <w:ind w:right="266"/>
              <w:spacing w:after="0"/>
              <w:rPr>
                <w:sz w:val="20"/>
                <w:szCs w:val="20"/>
                <w:color w:val="auto"/>
              </w:rPr>
            </w:pPr>
            <w:r>
              <w:rPr>
                <w:rFonts w:ascii="Arial" w:cs="Arial" w:eastAsia="Arial" w:hAnsi="Arial"/>
                <w:sz w:val="11"/>
                <w:szCs w:val="11"/>
                <w:color w:val="auto"/>
              </w:rPr>
              <w:t>8.75 %</w:t>
            </w:r>
          </w:p>
        </w:tc>
        <w:tc>
          <w:tcPr>
            <w:tcW w:w="9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L+700</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1,715</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1,686</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1,732</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tcPr>
          <w:p>
            <w:pPr>
              <w:ind w:left="20"/>
              <w:spacing w:after="0"/>
              <w:rPr>
                <w:sz w:val="20"/>
                <w:szCs w:val="20"/>
                <w:color w:val="auto"/>
              </w:rPr>
            </w:pPr>
            <w:r>
              <w:rPr>
                <w:rFonts w:ascii="Arial" w:cs="Arial" w:eastAsia="Arial" w:hAnsi="Arial"/>
                <w:sz w:val="11"/>
                <w:szCs w:val="11"/>
                <w:color w:val="auto"/>
              </w:rPr>
              <w:t>The Infosoft Group, LLC</w:t>
            </w:r>
          </w:p>
        </w:tc>
        <w:tc>
          <w:tcPr>
            <w:tcW w:w="820" w:type="dxa"/>
            <w:vAlign w:val="bottom"/>
            <w:gridSpan w:val="2"/>
          </w:tcPr>
          <w:p>
            <w:pPr>
              <w:jc w:val="center"/>
              <w:ind w:left="86"/>
              <w:spacing w:after="0"/>
              <w:rPr>
                <w:sz w:val="20"/>
                <w:szCs w:val="20"/>
                <w:color w:val="auto"/>
              </w:rPr>
            </w:pPr>
            <w:r>
              <w:rPr>
                <w:rFonts w:ascii="Arial" w:cs="Arial" w:eastAsia="Arial" w:hAnsi="Arial"/>
                <w:sz w:val="11"/>
                <w:szCs w:val="11"/>
                <w:color w:val="auto"/>
                <w:w w:val="89"/>
              </w:rPr>
              <w:t>5/26/2021</w:t>
            </w:r>
          </w:p>
        </w:tc>
        <w:tc>
          <w:tcPr>
            <w:tcW w:w="2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89"/>
              </w:rPr>
              <w:t>Media: Broadcasting and Subscription</w:t>
            </w:r>
          </w:p>
        </w:tc>
        <w:tc>
          <w:tcPr>
            <w:tcW w:w="1260" w:type="dxa"/>
            <w:vAlign w:val="bottom"/>
            <w:gridSpan w:val="3"/>
          </w:tcPr>
          <w:p>
            <w:pPr>
              <w:jc w:val="right"/>
              <w:ind w:right="266"/>
              <w:spacing w:after="0"/>
              <w:rPr>
                <w:sz w:val="20"/>
                <w:szCs w:val="20"/>
                <w:color w:val="auto"/>
              </w:rPr>
            </w:pPr>
            <w:r>
              <w:rPr>
                <w:rFonts w:ascii="Arial" w:cs="Arial" w:eastAsia="Arial" w:hAnsi="Arial"/>
                <w:sz w:val="11"/>
                <w:szCs w:val="11"/>
                <w:color w:val="auto"/>
              </w:rPr>
              <w:t>7.19 %</w:t>
            </w:r>
          </w:p>
        </w:tc>
        <w:tc>
          <w:tcPr>
            <w:tcW w:w="900" w:type="dxa"/>
            <w:vAlign w:val="bottom"/>
          </w:tcPr>
          <w:p>
            <w:pPr>
              <w:jc w:val="right"/>
              <w:spacing w:after="0"/>
              <w:rPr>
                <w:sz w:val="20"/>
                <w:szCs w:val="20"/>
                <w:color w:val="auto"/>
              </w:rPr>
            </w:pPr>
            <w:r>
              <w:rPr>
                <w:rFonts w:ascii="Arial" w:cs="Arial" w:eastAsia="Arial" w:hAnsi="Arial"/>
                <w:sz w:val="11"/>
                <w:szCs w:val="11"/>
                <w:color w:val="auto"/>
              </w:rPr>
              <w:t>3M L+525</w:t>
            </w: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13,030</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13,025</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12,900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shd w:val="clear" w:color="auto" w:fill="CCECFF"/>
          </w:tcPr>
          <w:p>
            <w:pPr>
              <w:ind w:left="20"/>
              <w:spacing w:after="0"/>
              <w:rPr>
                <w:sz w:val="20"/>
                <w:szCs w:val="20"/>
                <w:color w:val="auto"/>
              </w:rPr>
            </w:pPr>
            <w:r>
              <w:rPr>
                <w:rFonts w:ascii="Arial" w:cs="Arial" w:eastAsia="Arial" w:hAnsi="Arial"/>
                <w:sz w:val="11"/>
                <w:szCs w:val="11"/>
                <w:color w:val="auto"/>
              </w:rPr>
              <w:t>The Vertex Companies, LLC</w:t>
            </w:r>
          </w:p>
        </w:tc>
        <w:tc>
          <w:tcPr>
            <w:tcW w:w="82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12/20/2021</w:t>
            </w:r>
          </w:p>
        </w:tc>
        <w:tc>
          <w:tcPr>
            <w:tcW w:w="240" w:type="dxa"/>
            <w:vAlign w:val="bottom"/>
            <w:shd w:val="clear" w:color="auto" w:fill="CCECFF"/>
          </w:tcPr>
          <w:p>
            <w:pPr>
              <w:spacing w:after="0"/>
              <w:rPr>
                <w:sz w:val="11"/>
                <w:szCs w:val="11"/>
                <w:color w:val="auto"/>
              </w:rPr>
            </w:pPr>
          </w:p>
        </w:tc>
        <w:tc>
          <w:tcPr>
            <w:tcW w:w="23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Construction and Engineering</w:t>
            </w:r>
          </w:p>
        </w:tc>
        <w:tc>
          <w:tcPr>
            <w:tcW w:w="1260" w:type="dxa"/>
            <w:vAlign w:val="bottom"/>
            <w:gridSpan w:val="3"/>
            <w:shd w:val="clear" w:color="auto" w:fill="CCECFF"/>
          </w:tcPr>
          <w:p>
            <w:pPr>
              <w:jc w:val="right"/>
              <w:ind w:right="266"/>
              <w:spacing w:after="0"/>
              <w:rPr>
                <w:sz w:val="20"/>
                <w:szCs w:val="20"/>
                <w:color w:val="auto"/>
              </w:rPr>
            </w:pPr>
            <w:r>
              <w:rPr>
                <w:rFonts w:ascii="Arial" w:cs="Arial" w:eastAsia="Arial" w:hAnsi="Arial"/>
                <w:sz w:val="11"/>
                <w:szCs w:val="11"/>
                <w:color w:val="auto"/>
              </w:rPr>
              <w:t>7.17 %</w:t>
            </w:r>
          </w:p>
        </w:tc>
        <w:tc>
          <w:tcPr>
            <w:tcW w:w="9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L+550</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5,592</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5,489</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5,491</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tcPr>
          <w:p>
            <w:pPr>
              <w:ind w:left="20"/>
              <w:spacing w:after="0"/>
              <w:rPr>
                <w:sz w:val="20"/>
                <w:szCs w:val="20"/>
                <w:color w:val="auto"/>
              </w:rPr>
            </w:pPr>
            <w:r>
              <w:rPr>
                <w:rFonts w:ascii="Arial" w:cs="Arial" w:eastAsia="Arial" w:hAnsi="Arial"/>
                <w:sz w:val="11"/>
                <w:szCs w:val="11"/>
                <w:color w:val="auto"/>
              </w:rPr>
              <w:t>TPC Canada Parent, Inc. and TPC US Parent, LLC</w:t>
            </w:r>
          </w:p>
        </w:tc>
        <w:tc>
          <w:tcPr>
            <w:tcW w:w="820" w:type="dxa"/>
            <w:vAlign w:val="bottom"/>
            <w:gridSpan w:val="2"/>
          </w:tcPr>
          <w:p>
            <w:pPr>
              <w:jc w:val="center"/>
              <w:ind w:left="66"/>
              <w:spacing w:after="0"/>
              <w:rPr>
                <w:sz w:val="20"/>
                <w:szCs w:val="20"/>
                <w:color w:val="auto"/>
              </w:rPr>
            </w:pPr>
            <w:r>
              <w:rPr>
                <w:rFonts w:ascii="Arial" w:cs="Arial" w:eastAsia="Arial" w:hAnsi="Arial"/>
                <w:sz w:val="11"/>
                <w:szCs w:val="11"/>
                <w:color w:val="auto"/>
                <w:w w:val="88"/>
              </w:rPr>
              <w:t>2/7/2020</w:t>
            </w:r>
          </w:p>
        </w:tc>
        <w:tc>
          <w:tcPr>
            <w:tcW w:w="2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89"/>
              </w:rPr>
              <w:t>Consumer Goods: Non-Durable</w:t>
            </w:r>
          </w:p>
        </w:tc>
        <w:tc>
          <w:tcPr>
            <w:tcW w:w="1260" w:type="dxa"/>
            <w:vAlign w:val="bottom"/>
            <w:gridSpan w:val="3"/>
          </w:tcPr>
          <w:p>
            <w:pPr>
              <w:jc w:val="right"/>
              <w:ind w:right="266"/>
              <w:spacing w:after="0"/>
              <w:rPr>
                <w:sz w:val="20"/>
                <w:szCs w:val="20"/>
                <w:color w:val="auto"/>
              </w:rPr>
            </w:pPr>
            <w:r>
              <w:rPr>
                <w:rFonts w:ascii="Arial" w:cs="Arial" w:eastAsia="Arial" w:hAnsi="Arial"/>
                <w:sz w:val="11"/>
                <w:szCs w:val="11"/>
                <w:color w:val="auto"/>
              </w:rPr>
              <w:t>6.97 %</w:t>
            </w:r>
          </w:p>
        </w:tc>
        <w:tc>
          <w:tcPr>
            <w:tcW w:w="900" w:type="dxa"/>
            <w:vAlign w:val="bottom"/>
          </w:tcPr>
          <w:p>
            <w:pPr>
              <w:jc w:val="right"/>
              <w:spacing w:after="0"/>
              <w:rPr>
                <w:sz w:val="20"/>
                <w:szCs w:val="20"/>
                <w:color w:val="auto"/>
              </w:rPr>
            </w:pPr>
            <w:r>
              <w:rPr>
                <w:rFonts w:ascii="Arial" w:cs="Arial" w:eastAsia="Arial" w:hAnsi="Arial"/>
                <w:sz w:val="11"/>
                <w:szCs w:val="11"/>
                <w:color w:val="auto"/>
              </w:rPr>
              <w:t>3M L+475</w:t>
            </w: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8,767</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8,618</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8,504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shd w:val="clear" w:color="auto" w:fill="CCECFF"/>
          </w:tcPr>
          <w:p>
            <w:pPr>
              <w:ind w:left="20"/>
              <w:spacing w:after="0"/>
              <w:rPr>
                <w:sz w:val="20"/>
                <w:szCs w:val="20"/>
                <w:color w:val="auto"/>
              </w:rPr>
            </w:pPr>
            <w:r>
              <w:rPr>
                <w:rFonts w:ascii="Arial" w:cs="Arial" w:eastAsia="Arial" w:hAnsi="Arial"/>
                <w:sz w:val="11"/>
                <w:szCs w:val="11"/>
                <w:color w:val="auto"/>
              </w:rPr>
              <w:t>TVC Enterprises, LLC</w:t>
            </w:r>
          </w:p>
        </w:tc>
        <w:tc>
          <w:tcPr>
            <w:tcW w:w="82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8"/>
              </w:rPr>
              <w:t>5/6/2022</w:t>
            </w:r>
          </w:p>
        </w:tc>
        <w:tc>
          <w:tcPr>
            <w:tcW w:w="240" w:type="dxa"/>
            <w:vAlign w:val="bottom"/>
            <w:shd w:val="clear" w:color="auto" w:fill="CCECFF"/>
          </w:tcPr>
          <w:p>
            <w:pPr>
              <w:spacing w:after="0"/>
              <w:rPr>
                <w:sz w:val="11"/>
                <w:szCs w:val="11"/>
                <w:color w:val="auto"/>
              </w:rPr>
            </w:pPr>
          </w:p>
        </w:tc>
        <w:tc>
          <w:tcPr>
            <w:tcW w:w="23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Diversified Consumer Services</w:t>
            </w:r>
          </w:p>
        </w:tc>
        <w:tc>
          <w:tcPr>
            <w:tcW w:w="1260" w:type="dxa"/>
            <w:vAlign w:val="bottom"/>
            <w:gridSpan w:val="3"/>
            <w:shd w:val="clear" w:color="auto" w:fill="CCECFF"/>
          </w:tcPr>
          <w:p>
            <w:pPr>
              <w:jc w:val="right"/>
              <w:ind w:right="266"/>
              <w:spacing w:after="0"/>
              <w:rPr>
                <w:sz w:val="20"/>
                <w:szCs w:val="20"/>
                <w:color w:val="auto"/>
              </w:rPr>
            </w:pPr>
            <w:r>
              <w:rPr>
                <w:rFonts w:ascii="Arial" w:cs="Arial" w:eastAsia="Arial" w:hAnsi="Arial"/>
                <w:sz w:val="11"/>
                <w:szCs w:val="11"/>
                <w:color w:val="auto"/>
              </w:rPr>
              <w:t>7.67 %</w:t>
            </w:r>
          </w:p>
        </w:tc>
        <w:tc>
          <w:tcPr>
            <w:tcW w:w="9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L+550</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14,990</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14,887</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14,690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tcPr>
          <w:p>
            <w:pPr>
              <w:ind w:left="20"/>
              <w:spacing w:after="0"/>
              <w:rPr>
                <w:sz w:val="20"/>
                <w:szCs w:val="20"/>
                <w:color w:val="auto"/>
              </w:rPr>
            </w:pPr>
            <w:r>
              <w:rPr>
                <w:rFonts w:ascii="Arial" w:cs="Arial" w:eastAsia="Arial" w:hAnsi="Arial"/>
                <w:sz w:val="11"/>
                <w:szCs w:val="11"/>
                <w:color w:val="auto"/>
              </w:rPr>
              <w:t>TWS Acquisition Corporation</w:t>
            </w:r>
          </w:p>
        </w:tc>
        <w:tc>
          <w:tcPr>
            <w:tcW w:w="820" w:type="dxa"/>
            <w:vAlign w:val="bottom"/>
            <w:gridSpan w:val="2"/>
          </w:tcPr>
          <w:p>
            <w:pPr>
              <w:jc w:val="center"/>
              <w:ind w:left="86"/>
              <w:spacing w:after="0"/>
              <w:rPr>
                <w:sz w:val="20"/>
                <w:szCs w:val="20"/>
                <w:color w:val="auto"/>
              </w:rPr>
            </w:pPr>
            <w:r>
              <w:rPr>
                <w:rFonts w:ascii="Arial" w:cs="Arial" w:eastAsia="Arial" w:hAnsi="Arial"/>
                <w:sz w:val="11"/>
                <w:szCs w:val="11"/>
                <w:color w:val="auto"/>
                <w:w w:val="89"/>
              </w:rPr>
              <w:t>7/17/2019</w:t>
            </w:r>
          </w:p>
        </w:tc>
        <w:tc>
          <w:tcPr>
            <w:tcW w:w="2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89"/>
              </w:rPr>
              <w:t>Diversified Consumer Services</w:t>
            </w:r>
          </w:p>
        </w:tc>
        <w:tc>
          <w:tcPr>
            <w:tcW w:w="1260" w:type="dxa"/>
            <w:vAlign w:val="bottom"/>
            <w:gridSpan w:val="3"/>
          </w:tcPr>
          <w:p>
            <w:pPr>
              <w:jc w:val="right"/>
              <w:ind w:right="266"/>
              <w:spacing w:after="0"/>
              <w:rPr>
                <w:sz w:val="20"/>
                <w:szCs w:val="20"/>
                <w:color w:val="auto"/>
              </w:rPr>
            </w:pPr>
            <w:r>
              <w:rPr>
                <w:rFonts w:ascii="Arial" w:cs="Arial" w:eastAsia="Arial" w:hAnsi="Arial"/>
                <w:sz w:val="11"/>
                <w:szCs w:val="11"/>
                <w:color w:val="auto"/>
              </w:rPr>
              <w:t>8.76 %</w:t>
            </w:r>
          </w:p>
        </w:tc>
        <w:tc>
          <w:tcPr>
            <w:tcW w:w="900" w:type="dxa"/>
            <w:vAlign w:val="bottom"/>
          </w:tcPr>
          <w:p>
            <w:pPr>
              <w:jc w:val="right"/>
              <w:spacing w:after="0"/>
              <w:rPr>
                <w:sz w:val="20"/>
                <w:szCs w:val="20"/>
                <w:color w:val="auto"/>
              </w:rPr>
            </w:pPr>
            <w:r>
              <w:rPr>
                <w:rFonts w:ascii="Arial" w:cs="Arial" w:eastAsia="Arial" w:hAnsi="Arial"/>
                <w:sz w:val="11"/>
                <w:szCs w:val="11"/>
                <w:color w:val="auto"/>
              </w:rPr>
              <w:t>3M L+625</w:t>
            </w: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5,468</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5,448</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5,441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shd w:val="clear" w:color="auto" w:fill="CCECFF"/>
          </w:tcPr>
          <w:p>
            <w:pPr>
              <w:ind w:left="20"/>
              <w:spacing w:after="0"/>
              <w:rPr>
                <w:sz w:val="20"/>
                <w:szCs w:val="20"/>
                <w:color w:val="auto"/>
              </w:rPr>
            </w:pPr>
            <w:r>
              <w:rPr>
                <w:rFonts w:ascii="Arial" w:cs="Arial" w:eastAsia="Arial" w:hAnsi="Arial"/>
                <w:sz w:val="11"/>
                <w:szCs w:val="11"/>
                <w:color w:val="auto"/>
              </w:rPr>
              <w:t>Tyto Athene, LLC (New Issue)</w:t>
            </w:r>
          </w:p>
        </w:tc>
        <w:tc>
          <w:tcPr>
            <w:tcW w:w="82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10/21/2021</w:t>
            </w:r>
          </w:p>
        </w:tc>
        <w:tc>
          <w:tcPr>
            <w:tcW w:w="240" w:type="dxa"/>
            <w:vAlign w:val="bottom"/>
            <w:shd w:val="clear" w:color="auto" w:fill="CCECFF"/>
          </w:tcPr>
          <w:p>
            <w:pPr>
              <w:spacing w:after="0"/>
              <w:rPr>
                <w:sz w:val="11"/>
                <w:szCs w:val="11"/>
                <w:color w:val="auto"/>
              </w:rPr>
            </w:pPr>
          </w:p>
        </w:tc>
        <w:tc>
          <w:tcPr>
            <w:tcW w:w="23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IT Services</w:t>
            </w:r>
          </w:p>
        </w:tc>
        <w:tc>
          <w:tcPr>
            <w:tcW w:w="1260" w:type="dxa"/>
            <w:vAlign w:val="bottom"/>
            <w:gridSpan w:val="3"/>
            <w:shd w:val="clear" w:color="auto" w:fill="CCECFF"/>
          </w:tcPr>
          <w:p>
            <w:pPr>
              <w:jc w:val="right"/>
              <w:ind w:right="266"/>
              <w:spacing w:after="0"/>
              <w:rPr>
                <w:sz w:val="20"/>
                <w:szCs w:val="20"/>
                <w:color w:val="auto"/>
              </w:rPr>
            </w:pPr>
            <w:r>
              <w:rPr>
                <w:rFonts w:ascii="Arial" w:cs="Arial" w:eastAsia="Arial" w:hAnsi="Arial"/>
                <w:sz w:val="11"/>
                <w:szCs w:val="11"/>
                <w:color w:val="auto"/>
              </w:rPr>
              <w:t>6.47 %</w:t>
            </w:r>
          </w:p>
        </w:tc>
        <w:tc>
          <w:tcPr>
            <w:tcW w:w="9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L+550</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15,589</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15,455</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14,747</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tcPr>
          <w:p>
            <w:pPr>
              <w:ind w:left="20"/>
              <w:spacing w:after="0"/>
              <w:rPr>
                <w:sz w:val="20"/>
                <w:szCs w:val="20"/>
                <w:color w:val="auto"/>
              </w:rPr>
            </w:pPr>
            <w:r>
              <w:rPr>
                <w:rFonts w:ascii="Arial" w:cs="Arial" w:eastAsia="Arial" w:hAnsi="Arial"/>
                <w:sz w:val="11"/>
                <w:szCs w:val="11"/>
                <w:color w:val="auto"/>
              </w:rPr>
              <w:t>UBEO, LLC</w:t>
            </w:r>
          </w:p>
        </w:tc>
        <w:tc>
          <w:tcPr>
            <w:tcW w:w="820" w:type="dxa"/>
            <w:vAlign w:val="bottom"/>
            <w:gridSpan w:val="2"/>
          </w:tcPr>
          <w:p>
            <w:pPr>
              <w:jc w:val="center"/>
              <w:ind w:left="86"/>
              <w:spacing w:after="0"/>
              <w:rPr>
                <w:sz w:val="20"/>
                <w:szCs w:val="20"/>
                <w:color w:val="auto"/>
              </w:rPr>
            </w:pPr>
            <w:r>
              <w:rPr>
                <w:rFonts w:ascii="Arial" w:cs="Arial" w:eastAsia="Arial" w:hAnsi="Arial"/>
                <w:sz w:val="11"/>
                <w:szCs w:val="11"/>
                <w:color w:val="auto"/>
                <w:w w:val="89"/>
              </w:rPr>
              <w:t>11/6/2018</w:t>
            </w:r>
          </w:p>
        </w:tc>
        <w:tc>
          <w:tcPr>
            <w:tcW w:w="2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91"/>
              </w:rPr>
              <w:t>Capital Equipment</w:t>
            </w:r>
          </w:p>
        </w:tc>
        <w:tc>
          <w:tcPr>
            <w:tcW w:w="1260" w:type="dxa"/>
            <w:vAlign w:val="bottom"/>
            <w:gridSpan w:val="3"/>
          </w:tcPr>
          <w:p>
            <w:pPr>
              <w:jc w:val="right"/>
              <w:ind w:right="266"/>
              <w:spacing w:after="0"/>
              <w:rPr>
                <w:sz w:val="20"/>
                <w:szCs w:val="20"/>
                <w:color w:val="auto"/>
              </w:rPr>
            </w:pPr>
            <w:r>
              <w:rPr>
                <w:rFonts w:ascii="Arial" w:cs="Arial" w:eastAsia="Arial" w:hAnsi="Arial"/>
                <w:sz w:val="11"/>
                <w:szCs w:val="11"/>
                <w:color w:val="auto"/>
              </w:rPr>
              <w:t>6.75 %</w:t>
            </w:r>
          </w:p>
        </w:tc>
        <w:tc>
          <w:tcPr>
            <w:tcW w:w="900" w:type="dxa"/>
            <w:vAlign w:val="bottom"/>
          </w:tcPr>
          <w:p>
            <w:pPr>
              <w:jc w:val="right"/>
              <w:spacing w:after="0"/>
              <w:rPr>
                <w:sz w:val="20"/>
                <w:szCs w:val="20"/>
                <w:color w:val="auto"/>
              </w:rPr>
            </w:pPr>
            <w:r>
              <w:rPr>
                <w:rFonts w:ascii="Arial" w:cs="Arial" w:eastAsia="Arial" w:hAnsi="Arial"/>
                <w:sz w:val="11"/>
                <w:szCs w:val="11"/>
                <w:color w:val="auto"/>
              </w:rPr>
              <w:t>3M L+450</w:t>
            </w: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17,436</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17,340</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17,087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shd w:val="clear" w:color="auto" w:fill="CCECFF"/>
          </w:tcPr>
          <w:p>
            <w:pPr>
              <w:ind w:left="20"/>
              <w:spacing w:after="0"/>
              <w:rPr>
                <w:sz w:val="20"/>
                <w:szCs w:val="20"/>
                <w:color w:val="auto"/>
              </w:rPr>
            </w:pPr>
            <w:r>
              <w:rPr>
                <w:rFonts w:ascii="Arial" w:cs="Arial" w:eastAsia="Arial" w:hAnsi="Arial"/>
                <w:sz w:val="11"/>
                <w:szCs w:val="11"/>
                <w:color w:val="auto"/>
              </w:rPr>
              <w:t>Walker Edison Furniture Company LLC</w:t>
            </w:r>
          </w:p>
        </w:tc>
        <w:tc>
          <w:tcPr>
            <w:tcW w:w="82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8"/>
              </w:rPr>
              <w:t>6/9/2021</w:t>
            </w:r>
          </w:p>
        </w:tc>
        <w:tc>
          <w:tcPr>
            <w:tcW w:w="240" w:type="dxa"/>
            <w:vAlign w:val="bottom"/>
            <w:shd w:val="clear" w:color="auto" w:fill="CCECFF"/>
          </w:tcPr>
          <w:p>
            <w:pPr>
              <w:spacing w:after="0"/>
              <w:rPr>
                <w:sz w:val="11"/>
                <w:szCs w:val="11"/>
                <w:color w:val="auto"/>
              </w:rPr>
            </w:pPr>
          </w:p>
        </w:tc>
        <w:tc>
          <w:tcPr>
            <w:tcW w:w="23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Wholesale</w:t>
            </w:r>
          </w:p>
        </w:tc>
        <w:tc>
          <w:tcPr>
            <w:tcW w:w="1260" w:type="dxa"/>
            <w:vAlign w:val="bottom"/>
            <w:gridSpan w:val="3"/>
            <w:shd w:val="clear" w:color="auto" w:fill="CCECFF"/>
          </w:tcPr>
          <w:p>
            <w:pPr>
              <w:jc w:val="right"/>
              <w:ind w:right="266"/>
              <w:spacing w:after="0"/>
              <w:rPr>
                <w:sz w:val="20"/>
                <w:szCs w:val="20"/>
                <w:color w:val="auto"/>
              </w:rPr>
            </w:pPr>
            <w:r>
              <w:rPr>
                <w:rFonts w:ascii="Arial" w:cs="Arial" w:eastAsia="Arial" w:hAnsi="Arial"/>
                <w:sz w:val="11"/>
                <w:szCs w:val="11"/>
                <w:color w:val="auto"/>
              </w:rPr>
              <w:t>11.00 %</w:t>
            </w:r>
          </w:p>
        </w:tc>
        <w:tc>
          <w:tcPr>
            <w:tcW w:w="9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L+575</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12,619</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12,361</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12,240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tcPr>
          <w:p>
            <w:pPr>
              <w:ind w:left="20"/>
              <w:spacing w:after="0"/>
              <w:rPr>
                <w:sz w:val="20"/>
                <w:szCs w:val="20"/>
                <w:color w:val="auto"/>
              </w:rPr>
            </w:pPr>
            <w:r>
              <w:rPr>
                <w:rFonts w:ascii="Arial" w:cs="Arial" w:eastAsia="Arial" w:hAnsi="Arial"/>
                <w:sz w:val="11"/>
                <w:szCs w:val="11"/>
                <w:color w:val="auto"/>
              </w:rPr>
              <w:t>Wildcat Buyerco, Inc.</w:t>
            </w:r>
          </w:p>
        </w:tc>
        <w:tc>
          <w:tcPr>
            <w:tcW w:w="820" w:type="dxa"/>
            <w:vAlign w:val="bottom"/>
            <w:gridSpan w:val="2"/>
          </w:tcPr>
          <w:p>
            <w:pPr>
              <w:jc w:val="center"/>
              <w:ind w:left="86"/>
              <w:spacing w:after="0"/>
              <w:rPr>
                <w:sz w:val="20"/>
                <w:szCs w:val="20"/>
                <w:color w:val="auto"/>
              </w:rPr>
            </w:pPr>
            <w:r>
              <w:rPr>
                <w:rFonts w:ascii="Arial" w:cs="Arial" w:eastAsia="Arial" w:hAnsi="Arial"/>
                <w:sz w:val="11"/>
                <w:szCs w:val="11"/>
                <w:color w:val="auto"/>
                <w:w w:val="89"/>
              </w:rPr>
              <w:t>7/31/2022</w:t>
            </w:r>
          </w:p>
        </w:tc>
        <w:tc>
          <w:tcPr>
            <w:tcW w:w="2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89"/>
              </w:rPr>
              <w:t>Electronic Equipment, Instruments, and Components</w:t>
            </w:r>
          </w:p>
        </w:tc>
        <w:tc>
          <w:tcPr>
            <w:tcW w:w="1260" w:type="dxa"/>
            <w:vAlign w:val="bottom"/>
            <w:gridSpan w:val="3"/>
          </w:tcPr>
          <w:p>
            <w:pPr>
              <w:jc w:val="right"/>
              <w:ind w:right="266"/>
              <w:spacing w:after="0"/>
              <w:rPr>
                <w:sz w:val="20"/>
                <w:szCs w:val="20"/>
                <w:color w:val="auto"/>
              </w:rPr>
            </w:pPr>
            <w:r>
              <w:rPr>
                <w:rFonts w:ascii="Arial" w:cs="Arial" w:eastAsia="Arial" w:hAnsi="Arial"/>
                <w:sz w:val="11"/>
                <w:szCs w:val="11"/>
                <w:color w:val="auto"/>
              </w:rPr>
              <w:t>7.95 %</w:t>
            </w:r>
          </w:p>
        </w:tc>
        <w:tc>
          <w:tcPr>
            <w:tcW w:w="900" w:type="dxa"/>
            <w:vAlign w:val="bottom"/>
          </w:tcPr>
          <w:p>
            <w:pPr>
              <w:jc w:val="right"/>
              <w:spacing w:after="0"/>
              <w:rPr>
                <w:sz w:val="20"/>
                <w:szCs w:val="20"/>
                <w:color w:val="auto"/>
              </w:rPr>
            </w:pPr>
            <w:r>
              <w:rPr>
                <w:rFonts w:ascii="Arial" w:cs="Arial" w:eastAsia="Arial" w:hAnsi="Arial"/>
                <w:sz w:val="11"/>
                <w:szCs w:val="11"/>
                <w:color w:val="auto"/>
              </w:rPr>
              <w:t>SOFR+550</w:t>
            </w: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8,575</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8,532</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8,345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shd w:val="clear" w:color="auto" w:fill="CCECFF"/>
          </w:tcPr>
          <w:p>
            <w:pPr>
              <w:ind w:left="20"/>
              <w:spacing w:after="0"/>
              <w:rPr>
                <w:sz w:val="20"/>
                <w:szCs w:val="20"/>
                <w:color w:val="auto"/>
              </w:rPr>
            </w:pPr>
            <w:r>
              <w:rPr>
                <w:rFonts w:ascii="Arial" w:cs="Arial" w:eastAsia="Arial" w:hAnsi="Arial"/>
                <w:sz w:val="11"/>
                <w:szCs w:val="11"/>
                <w:color w:val="auto"/>
              </w:rPr>
              <w:t>Zips Car Wash, LLC</w:t>
            </w:r>
          </w:p>
        </w:tc>
        <w:tc>
          <w:tcPr>
            <w:tcW w:w="82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12/29/2021</w:t>
            </w:r>
          </w:p>
        </w:tc>
        <w:tc>
          <w:tcPr>
            <w:tcW w:w="240" w:type="dxa"/>
            <w:vAlign w:val="bottom"/>
            <w:shd w:val="clear" w:color="auto" w:fill="CCECFF"/>
          </w:tcPr>
          <w:p>
            <w:pPr>
              <w:spacing w:after="0"/>
              <w:rPr>
                <w:sz w:val="11"/>
                <w:szCs w:val="11"/>
                <w:color w:val="auto"/>
              </w:rPr>
            </w:pPr>
          </w:p>
        </w:tc>
        <w:tc>
          <w:tcPr>
            <w:tcW w:w="23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Automobiles</w:t>
            </w:r>
          </w:p>
        </w:tc>
        <w:tc>
          <w:tcPr>
            <w:tcW w:w="1260" w:type="dxa"/>
            <w:vAlign w:val="bottom"/>
            <w:gridSpan w:val="3"/>
            <w:shd w:val="clear" w:color="auto" w:fill="CCECFF"/>
          </w:tcPr>
          <w:p>
            <w:pPr>
              <w:jc w:val="right"/>
              <w:ind w:right="266"/>
              <w:spacing w:after="0"/>
              <w:rPr>
                <w:sz w:val="20"/>
                <w:szCs w:val="20"/>
                <w:color w:val="auto"/>
              </w:rPr>
            </w:pPr>
            <w:r>
              <w:rPr>
                <w:rFonts w:ascii="Arial" w:cs="Arial" w:eastAsia="Arial" w:hAnsi="Arial"/>
                <w:sz w:val="11"/>
                <w:szCs w:val="11"/>
                <w:color w:val="auto"/>
              </w:rPr>
              <w:t>8.25 %</w:t>
            </w:r>
          </w:p>
        </w:tc>
        <w:tc>
          <w:tcPr>
            <w:tcW w:w="9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L+725</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17,000</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16,741</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16,660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82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1"/>
                <w:szCs w:val="11"/>
                <w:b w:val="1"/>
                <w:bCs w:val="1"/>
                <w:color w:val="auto"/>
              </w:rPr>
              <w:t>Total First Lien Secured Debt</w:t>
            </w:r>
          </w:p>
        </w:tc>
        <w:tc>
          <w:tcPr>
            <w:tcW w:w="140" w:type="dxa"/>
            <w:vAlign w:val="bottom"/>
            <w:tcBorders>
              <w:bottom w:val="single" w:sz="8" w:color="CCECFF"/>
            </w:tcBorders>
            <w:shd w:val="clear" w:color="auto" w:fill="CCECFF"/>
          </w:tcPr>
          <w:p>
            <w:pPr>
              <w:spacing w:after="0"/>
              <w:rPr>
                <w:sz w:val="11"/>
                <w:szCs w:val="11"/>
                <w:color w:val="auto"/>
              </w:rPr>
            </w:pPr>
          </w:p>
        </w:tc>
        <w:tc>
          <w:tcPr>
            <w:tcW w:w="680" w:type="dxa"/>
            <w:vAlign w:val="bottom"/>
            <w:tcBorders>
              <w:bottom w:val="single" w:sz="8" w:color="CCECFF"/>
            </w:tcBorders>
            <w:shd w:val="clear" w:color="auto" w:fill="CCECFF"/>
          </w:tcPr>
          <w:p>
            <w:pPr>
              <w:spacing w:after="0"/>
              <w:rPr>
                <w:sz w:val="11"/>
                <w:szCs w:val="11"/>
                <w:color w:val="auto"/>
              </w:rPr>
            </w:pPr>
          </w:p>
        </w:tc>
        <w:tc>
          <w:tcPr>
            <w:tcW w:w="240" w:type="dxa"/>
            <w:vAlign w:val="bottom"/>
            <w:tcBorders>
              <w:bottom w:val="single" w:sz="8" w:color="CCECFF"/>
            </w:tcBorders>
            <w:shd w:val="clear" w:color="auto" w:fill="CCECFF"/>
          </w:tcPr>
          <w:p>
            <w:pPr>
              <w:spacing w:after="0"/>
              <w:rPr>
                <w:sz w:val="11"/>
                <w:szCs w:val="11"/>
                <w:color w:val="auto"/>
              </w:rPr>
            </w:pPr>
          </w:p>
        </w:tc>
        <w:tc>
          <w:tcPr>
            <w:tcW w:w="2340" w:type="dxa"/>
            <w:vAlign w:val="bottom"/>
            <w:tcBorders>
              <w:bottom w:val="single" w:sz="8" w:color="CCECFF"/>
            </w:tcBorders>
            <w:shd w:val="clear" w:color="auto" w:fill="CCECFF"/>
          </w:tcPr>
          <w:p>
            <w:pPr>
              <w:spacing w:after="0"/>
              <w:rPr>
                <w:sz w:val="11"/>
                <w:szCs w:val="11"/>
                <w:color w:val="auto"/>
              </w:rPr>
            </w:pPr>
          </w:p>
        </w:tc>
        <w:tc>
          <w:tcPr>
            <w:tcW w:w="100" w:type="dxa"/>
            <w:vAlign w:val="bottom"/>
            <w:tcBorders>
              <w:bottom w:val="single" w:sz="8" w:color="CCECFF"/>
            </w:tcBorders>
            <w:shd w:val="clear" w:color="auto" w:fill="CCECFF"/>
          </w:tcPr>
          <w:p>
            <w:pPr>
              <w:spacing w:after="0"/>
              <w:rPr>
                <w:sz w:val="11"/>
                <w:szCs w:val="11"/>
                <w:color w:val="auto"/>
              </w:rPr>
            </w:pPr>
          </w:p>
        </w:tc>
        <w:tc>
          <w:tcPr>
            <w:tcW w:w="740" w:type="dxa"/>
            <w:vAlign w:val="bottom"/>
            <w:tcBorders>
              <w:bottom w:val="single" w:sz="8" w:color="CCECFF"/>
            </w:tcBorders>
            <w:shd w:val="clear" w:color="auto" w:fill="CCECFF"/>
          </w:tcPr>
          <w:p>
            <w:pPr>
              <w:spacing w:after="0"/>
              <w:rPr>
                <w:sz w:val="11"/>
                <w:szCs w:val="11"/>
                <w:color w:val="auto"/>
              </w:rPr>
            </w:pPr>
          </w:p>
        </w:tc>
        <w:tc>
          <w:tcPr>
            <w:tcW w:w="420" w:type="dxa"/>
            <w:vAlign w:val="bottom"/>
            <w:tcBorders>
              <w:bottom w:val="single" w:sz="8" w:color="CCECFF"/>
            </w:tcBorders>
            <w:shd w:val="clear" w:color="auto" w:fill="CCECFF"/>
          </w:tcPr>
          <w:p>
            <w:pPr>
              <w:spacing w:after="0"/>
              <w:rPr>
                <w:sz w:val="11"/>
                <w:szCs w:val="11"/>
                <w:color w:val="auto"/>
              </w:rPr>
            </w:pPr>
          </w:p>
        </w:tc>
        <w:tc>
          <w:tcPr>
            <w:tcW w:w="90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74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auto"/>
            </w:tcBorders>
            <w:shd w:val="clear" w:color="auto" w:fill="CCECFF"/>
          </w:tcPr>
          <w:p>
            <w:pPr>
              <w:spacing w:after="0"/>
              <w:rPr>
                <w:sz w:val="11"/>
                <w:szCs w:val="11"/>
                <w:color w:val="auto"/>
              </w:rPr>
            </w:pPr>
          </w:p>
        </w:tc>
        <w:tc>
          <w:tcPr>
            <w:tcW w:w="5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749,409</w:t>
            </w:r>
          </w:p>
        </w:tc>
        <w:tc>
          <w:tcPr>
            <w:tcW w:w="22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auto"/>
            </w:tcBorders>
            <w:shd w:val="clear" w:color="auto" w:fill="CCECFF"/>
          </w:tcPr>
          <w:p>
            <w:pPr>
              <w:spacing w:after="0"/>
              <w:rPr>
                <w:sz w:val="11"/>
                <w:szCs w:val="11"/>
                <w:color w:val="auto"/>
              </w:rPr>
            </w:pPr>
          </w:p>
        </w:tc>
        <w:tc>
          <w:tcPr>
            <w:tcW w:w="5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743,558</w:t>
            </w:r>
          </w:p>
        </w:tc>
        <w:tc>
          <w:tcPr>
            <w:tcW w:w="10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820" w:type="dxa"/>
            <w:vAlign w:val="bottom"/>
          </w:tcPr>
          <w:p>
            <w:pPr>
              <w:ind w:left="20"/>
              <w:spacing w:after="0"/>
              <w:rPr>
                <w:sz w:val="20"/>
                <w:szCs w:val="20"/>
                <w:color w:val="auto"/>
              </w:rPr>
            </w:pPr>
            <w:r>
              <w:rPr>
                <w:rFonts w:ascii="Arial" w:cs="Arial" w:eastAsia="Arial" w:hAnsi="Arial"/>
                <w:sz w:val="11"/>
                <w:szCs w:val="11"/>
                <w:b w:val="1"/>
                <w:bCs w:val="1"/>
                <w:color w:val="auto"/>
              </w:rPr>
              <w:t>Second Lien Secured Debt - 4.4%</w:t>
            </w: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vMerge w:val="restart"/>
          </w:tcPr>
          <w:p>
            <w:pPr>
              <w:jc w:val="right"/>
              <w:ind w:right="386"/>
              <w:spacing w:after="0"/>
              <w:rPr>
                <w:sz w:val="20"/>
                <w:szCs w:val="20"/>
                <w:color w:val="auto"/>
              </w:rPr>
            </w:pPr>
            <w:r>
              <w:rPr>
                <w:rFonts w:ascii="Arial" w:cs="Arial" w:eastAsia="Arial" w:hAnsi="Arial"/>
                <w:sz w:val="11"/>
                <w:szCs w:val="11"/>
                <w:color w:val="auto"/>
              </w:rPr>
              <w:t>P(IK 9.00%)</w:t>
            </w: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82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1"/>
                <w:szCs w:val="11"/>
                <w:color w:val="auto"/>
              </w:rPr>
              <w:t>Inventus Power, Inc.</w:t>
            </w:r>
          </w:p>
        </w:tc>
        <w:tc>
          <w:tcPr>
            <w:tcW w:w="820" w:type="dxa"/>
            <w:vAlign w:val="bottom"/>
            <w:tcBorders>
              <w:bottom w:val="single" w:sz="8" w:color="CCECFF"/>
            </w:tcBorders>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09/29/2024</w:t>
            </w:r>
          </w:p>
        </w:tc>
        <w:tc>
          <w:tcPr>
            <w:tcW w:w="240" w:type="dxa"/>
            <w:vAlign w:val="bottom"/>
            <w:tcBorders>
              <w:bottom w:val="single" w:sz="8" w:color="CCECFF"/>
            </w:tcBorders>
            <w:shd w:val="clear" w:color="auto" w:fill="CCECFF"/>
          </w:tcPr>
          <w:p>
            <w:pPr>
              <w:spacing w:after="0"/>
              <w:rPr>
                <w:sz w:val="12"/>
                <w:szCs w:val="12"/>
                <w:color w:val="auto"/>
              </w:rPr>
            </w:pPr>
          </w:p>
        </w:tc>
        <w:tc>
          <w:tcPr>
            <w:tcW w:w="2340" w:type="dxa"/>
            <w:vAlign w:val="bottom"/>
            <w:tcBorders>
              <w:bottom w:val="single" w:sz="8" w:color="CCECFF"/>
            </w:tcBorders>
            <w:shd w:val="clear" w:color="auto" w:fill="CCECFF"/>
          </w:tcPr>
          <w:p>
            <w:pPr>
              <w:jc w:val="center"/>
              <w:spacing w:after="0"/>
              <w:rPr>
                <w:sz w:val="20"/>
                <w:szCs w:val="20"/>
                <w:color w:val="auto"/>
              </w:rPr>
            </w:pPr>
            <w:r>
              <w:rPr>
                <w:rFonts w:ascii="Arial" w:cs="Arial" w:eastAsia="Arial" w:hAnsi="Arial"/>
                <w:sz w:val="11"/>
                <w:szCs w:val="11"/>
                <w:color w:val="auto"/>
                <w:w w:val="87"/>
              </w:rPr>
              <w:t>Consumer Goods: Durable</w:t>
            </w:r>
          </w:p>
        </w:tc>
        <w:tc>
          <w:tcPr>
            <w:tcW w:w="1260" w:type="dxa"/>
            <w:vAlign w:val="bottom"/>
            <w:tcBorders>
              <w:bottom w:val="single" w:sz="8" w:color="CCECFF"/>
            </w:tcBorders>
            <w:gridSpan w:val="3"/>
            <w:shd w:val="clear" w:color="auto" w:fill="CCECFF"/>
          </w:tcPr>
          <w:p>
            <w:pPr>
              <w:jc w:val="right"/>
              <w:ind w:right="266"/>
              <w:spacing w:after="0"/>
              <w:rPr>
                <w:sz w:val="20"/>
                <w:szCs w:val="20"/>
                <w:color w:val="auto"/>
              </w:rPr>
            </w:pPr>
            <w:r>
              <w:rPr>
                <w:rFonts w:ascii="Arial" w:cs="Arial" w:eastAsia="Arial" w:hAnsi="Arial"/>
                <w:sz w:val="11"/>
                <w:szCs w:val="11"/>
                <w:color w:val="auto"/>
              </w:rPr>
              <w:t>10.75 %</w:t>
            </w:r>
          </w:p>
        </w:tc>
        <w:tc>
          <w:tcPr>
            <w:tcW w:w="90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1"/>
                <w:szCs w:val="11"/>
                <w:color w:val="auto"/>
              </w:rPr>
              <w:t>3M L+850</w:t>
            </w:r>
          </w:p>
        </w:tc>
        <w:tc>
          <w:tcPr>
            <w:tcW w:w="960" w:type="dxa"/>
            <w:vAlign w:val="bottom"/>
            <w:tcBorders>
              <w:bottom w:val="single" w:sz="8" w:color="CCECFF"/>
            </w:tcBorders>
            <w:gridSpan w:val="2"/>
            <w:shd w:val="clear" w:color="auto" w:fill="CCECFF"/>
          </w:tcPr>
          <w:p>
            <w:pPr>
              <w:jc w:val="right"/>
              <w:spacing w:after="0"/>
              <w:rPr>
                <w:sz w:val="20"/>
                <w:szCs w:val="20"/>
                <w:color w:val="auto"/>
              </w:rPr>
            </w:pPr>
            <w:r>
              <w:rPr>
                <w:rFonts w:ascii="Arial" w:cs="Arial" w:eastAsia="Arial" w:hAnsi="Arial"/>
                <w:sz w:val="11"/>
                <w:szCs w:val="11"/>
                <w:color w:val="auto"/>
              </w:rPr>
              <w:t>3,000</w:t>
            </w:r>
          </w:p>
        </w:tc>
        <w:tc>
          <w:tcPr>
            <w:tcW w:w="220" w:type="dxa"/>
            <w:vAlign w:val="bottom"/>
            <w:tcBorders>
              <w:bottom w:val="single" w:sz="8" w:color="CCECFF"/>
            </w:tcBorders>
            <w:shd w:val="clear" w:color="auto" w:fill="CCECFF"/>
          </w:tcPr>
          <w:p>
            <w:pPr>
              <w:spacing w:after="0"/>
              <w:rPr>
                <w:sz w:val="12"/>
                <w:szCs w:val="12"/>
                <w:color w:val="auto"/>
              </w:rPr>
            </w:pPr>
          </w:p>
        </w:tc>
        <w:tc>
          <w:tcPr>
            <w:tcW w:w="140" w:type="dxa"/>
            <w:vAlign w:val="bottom"/>
            <w:tcBorders>
              <w:bottom w:val="single" w:sz="8" w:color="auto"/>
            </w:tcBorders>
            <w:shd w:val="clear" w:color="auto" w:fill="CCECFF"/>
          </w:tcPr>
          <w:p>
            <w:pPr>
              <w:spacing w:after="0"/>
              <w:rPr>
                <w:sz w:val="12"/>
                <w:szCs w:val="12"/>
                <w:color w:val="auto"/>
              </w:rPr>
            </w:pPr>
          </w:p>
        </w:tc>
        <w:tc>
          <w:tcPr>
            <w:tcW w:w="5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2,959</w:t>
            </w:r>
          </w:p>
        </w:tc>
        <w:tc>
          <w:tcPr>
            <w:tcW w:w="220" w:type="dxa"/>
            <w:vAlign w:val="bottom"/>
            <w:tcBorders>
              <w:bottom w:val="single" w:sz="8" w:color="CCECFF"/>
            </w:tcBorders>
            <w:shd w:val="clear" w:color="auto" w:fill="CCECFF"/>
          </w:tcPr>
          <w:p>
            <w:pPr>
              <w:spacing w:after="0"/>
              <w:rPr>
                <w:sz w:val="12"/>
                <w:szCs w:val="12"/>
                <w:color w:val="auto"/>
              </w:rPr>
            </w:pPr>
          </w:p>
        </w:tc>
        <w:tc>
          <w:tcPr>
            <w:tcW w:w="160" w:type="dxa"/>
            <w:vAlign w:val="bottom"/>
            <w:tcBorders>
              <w:bottom w:val="single" w:sz="8" w:color="auto"/>
            </w:tcBorders>
            <w:shd w:val="clear" w:color="auto" w:fill="CCECFF"/>
          </w:tcPr>
          <w:p>
            <w:pPr>
              <w:spacing w:after="0"/>
              <w:rPr>
                <w:sz w:val="12"/>
                <w:szCs w:val="12"/>
                <w:color w:val="auto"/>
              </w:rPr>
            </w:pPr>
          </w:p>
        </w:tc>
        <w:tc>
          <w:tcPr>
            <w:tcW w:w="5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2,925</w:t>
            </w:r>
          </w:p>
        </w:tc>
        <w:tc>
          <w:tcPr>
            <w:tcW w:w="10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820" w:type="dxa"/>
            <w:vAlign w:val="bottom"/>
          </w:tcPr>
          <w:p>
            <w:pPr>
              <w:ind w:left="20"/>
              <w:spacing w:after="0"/>
              <w:rPr>
                <w:sz w:val="20"/>
                <w:szCs w:val="20"/>
                <w:color w:val="auto"/>
              </w:rPr>
            </w:pPr>
            <w:r>
              <w:rPr>
                <w:rFonts w:ascii="Arial" w:cs="Arial" w:eastAsia="Arial" w:hAnsi="Arial"/>
                <w:sz w:val="11"/>
                <w:szCs w:val="11"/>
                <w:b w:val="1"/>
                <w:bCs w:val="1"/>
                <w:color w:val="auto"/>
              </w:rPr>
              <w:t>Total Second Lien Secured Debt</w:t>
            </w: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2,959</w:t>
            </w:r>
          </w:p>
        </w:tc>
        <w:tc>
          <w:tcPr>
            <w:tcW w:w="2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2,925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820" w:type="dxa"/>
            <w:vAlign w:val="bottom"/>
            <w:shd w:val="clear" w:color="auto" w:fill="CCECFF"/>
          </w:tcPr>
          <w:p>
            <w:pPr>
              <w:ind w:left="20"/>
              <w:spacing w:after="0"/>
              <w:rPr>
                <w:sz w:val="20"/>
                <w:szCs w:val="20"/>
                <w:color w:val="auto"/>
              </w:rPr>
            </w:pPr>
            <w:r>
              <w:rPr>
                <w:rFonts w:ascii="Arial" w:cs="Arial" w:eastAsia="Arial" w:hAnsi="Arial"/>
                <w:sz w:val="11"/>
                <w:szCs w:val="11"/>
                <w:b w:val="1"/>
                <w:bCs w:val="1"/>
                <w:color w:val="auto"/>
              </w:rPr>
              <w:t>Equity Securities - .9%</w:t>
            </w:r>
          </w:p>
        </w:tc>
        <w:tc>
          <w:tcPr>
            <w:tcW w:w="1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3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40" w:type="dxa"/>
            <w:vAlign w:val="bottom"/>
            <w:shd w:val="clear" w:color="auto" w:fill="CCECFF"/>
          </w:tcPr>
          <w:p>
            <w:pPr>
              <w:spacing w:after="0"/>
              <w:rPr>
                <w:sz w:val="11"/>
                <w:szCs w:val="11"/>
                <w:color w:val="auto"/>
              </w:rPr>
            </w:pPr>
          </w:p>
        </w:tc>
        <w:tc>
          <w:tcPr>
            <w:tcW w:w="420" w:type="dxa"/>
            <w:vAlign w:val="bottom"/>
            <w:shd w:val="clear" w:color="auto" w:fill="CCECFF"/>
          </w:tcPr>
          <w:p>
            <w:pPr>
              <w:spacing w:after="0"/>
              <w:rPr>
                <w:sz w:val="11"/>
                <w:szCs w:val="11"/>
                <w:color w:val="auto"/>
              </w:rPr>
            </w:pPr>
          </w:p>
        </w:tc>
        <w:tc>
          <w:tcPr>
            <w:tcW w:w="90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7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tcPr>
          <w:p>
            <w:pPr>
              <w:ind w:left="20"/>
              <w:spacing w:after="0"/>
              <w:rPr>
                <w:sz w:val="20"/>
                <w:szCs w:val="20"/>
                <w:color w:val="auto"/>
              </w:rPr>
            </w:pPr>
            <w:r>
              <w:rPr>
                <w:rFonts w:ascii="Arial" w:cs="Arial" w:eastAsia="Arial" w:hAnsi="Arial"/>
                <w:sz w:val="11"/>
                <w:szCs w:val="11"/>
                <w:color w:val="auto"/>
              </w:rPr>
              <w:t>New MPE Holdings, LLC</w:t>
            </w:r>
          </w:p>
        </w:tc>
        <w:tc>
          <w:tcPr>
            <w:tcW w:w="140" w:type="dxa"/>
            <w:vAlign w:val="bottom"/>
          </w:tcPr>
          <w:p>
            <w:pPr>
              <w:spacing w:after="0"/>
              <w:rPr>
                <w:sz w:val="11"/>
                <w:szCs w:val="11"/>
                <w:color w:val="auto"/>
              </w:rPr>
            </w:pPr>
          </w:p>
        </w:tc>
        <w:tc>
          <w:tcPr>
            <w:tcW w:w="680" w:type="dxa"/>
            <w:vAlign w:val="bottom"/>
          </w:tcPr>
          <w:p>
            <w:pPr>
              <w:ind w:left="560"/>
              <w:spacing w:after="0"/>
              <w:rPr>
                <w:sz w:val="20"/>
                <w:szCs w:val="20"/>
                <w:color w:val="auto"/>
              </w:rPr>
            </w:pPr>
            <w:r>
              <w:rPr>
                <w:rFonts w:ascii="Arial" w:cs="Arial" w:eastAsia="Arial" w:hAnsi="Arial"/>
                <w:sz w:val="11"/>
                <w:szCs w:val="11"/>
                <w:color w:val="auto"/>
                <w:w w:val="90"/>
              </w:rPr>
              <w:t>—</w:t>
            </w:r>
          </w:p>
        </w:tc>
        <w:tc>
          <w:tcPr>
            <w:tcW w:w="2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91"/>
              </w:rPr>
              <w:t>Media: Diversified and Production</w:t>
            </w:r>
          </w:p>
        </w:tc>
        <w:tc>
          <w:tcPr>
            <w:tcW w:w="100" w:type="dxa"/>
            <w:vAlign w:val="bottom"/>
          </w:tcPr>
          <w:p>
            <w:pPr>
              <w:spacing w:after="0"/>
              <w:rPr>
                <w:sz w:val="11"/>
                <w:szCs w:val="11"/>
                <w:color w:val="auto"/>
              </w:rPr>
            </w:pPr>
          </w:p>
        </w:tc>
        <w:tc>
          <w:tcPr>
            <w:tcW w:w="1160" w:type="dxa"/>
            <w:vAlign w:val="bottom"/>
            <w:gridSpan w:val="2"/>
          </w:tcPr>
          <w:p>
            <w:pPr>
              <w:jc w:val="right"/>
              <w:ind w:right="386"/>
              <w:spacing w:after="0"/>
              <w:rPr>
                <w:sz w:val="20"/>
                <w:szCs w:val="20"/>
                <w:color w:val="auto"/>
              </w:rPr>
            </w:pPr>
            <w:r>
              <w:rPr>
                <w:rFonts w:ascii="Arial" w:cs="Arial" w:eastAsia="Arial" w:hAnsi="Arial"/>
                <w:sz w:val="11"/>
                <w:szCs w:val="11"/>
                <w:color w:val="auto"/>
              </w:rPr>
              <w:t>—</w:t>
            </w:r>
          </w:p>
        </w:tc>
        <w:tc>
          <w:tcPr>
            <w:tcW w:w="90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336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82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1"/>
                <w:szCs w:val="11"/>
                <w:b w:val="1"/>
                <w:bCs w:val="1"/>
                <w:color w:val="auto"/>
              </w:rPr>
              <w:t>Total Equity Securities</w:t>
            </w:r>
          </w:p>
        </w:tc>
        <w:tc>
          <w:tcPr>
            <w:tcW w:w="140" w:type="dxa"/>
            <w:vAlign w:val="bottom"/>
            <w:tcBorders>
              <w:bottom w:val="single" w:sz="8" w:color="CCECFF"/>
            </w:tcBorders>
            <w:shd w:val="clear" w:color="auto" w:fill="CCECFF"/>
          </w:tcPr>
          <w:p>
            <w:pPr>
              <w:spacing w:after="0"/>
              <w:rPr>
                <w:sz w:val="11"/>
                <w:szCs w:val="11"/>
                <w:color w:val="auto"/>
              </w:rPr>
            </w:pPr>
          </w:p>
        </w:tc>
        <w:tc>
          <w:tcPr>
            <w:tcW w:w="680" w:type="dxa"/>
            <w:vAlign w:val="bottom"/>
            <w:tcBorders>
              <w:bottom w:val="single" w:sz="8" w:color="CCECFF"/>
            </w:tcBorders>
            <w:shd w:val="clear" w:color="auto" w:fill="CCECFF"/>
          </w:tcPr>
          <w:p>
            <w:pPr>
              <w:spacing w:after="0"/>
              <w:rPr>
                <w:sz w:val="11"/>
                <w:szCs w:val="11"/>
                <w:color w:val="auto"/>
              </w:rPr>
            </w:pPr>
          </w:p>
        </w:tc>
        <w:tc>
          <w:tcPr>
            <w:tcW w:w="240" w:type="dxa"/>
            <w:vAlign w:val="bottom"/>
            <w:tcBorders>
              <w:bottom w:val="single" w:sz="8" w:color="CCECFF"/>
            </w:tcBorders>
            <w:shd w:val="clear" w:color="auto" w:fill="CCECFF"/>
          </w:tcPr>
          <w:p>
            <w:pPr>
              <w:spacing w:after="0"/>
              <w:rPr>
                <w:sz w:val="11"/>
                <w:szCs w:val="11"/>
                <w:color w:val="auto"/>
              </w:rPr>
            </w:pPr>
          </w:p>
        </w:tc>
        <w:tc>
          <w:tcPr>
            <w:tcW w:w="2340" w:type="dxa"/>
            <w:vAlign w:val="bottom"/>
            <w:tcBorders>
              <w:bottom w:val="single" w:sz="8" w:color="CCECFF"/>
            </w:tcBorders>
            <w:shd w:val="clear" w:color="auto" w:fill="CCECFF"/>
          </w:tcPr>
          <w:p>
            <w:pPr>
              <w:spacing w:after="0"/>
              <w:rPr>
                <w:sz w:val="11"/>
                <w:szCs w:val="11"/>
                <w:color w:val="auto"/>
              </w:rPr>
            </w:pPr>
          </w:p>
        </w:tc>
        <w:tc>
          <w:tcPr>
            <w:tcW w:w="100" w:type="dxa"/>
            <w:vAlign w:val="bottom"/>
            <w:tcBorders>
              <w:bottom w:val="single" w:sz="8" w:color="CCECFF"/>
            </w:tcBorders>
            <w:shd w:val="clear" w:color="auto" w:fill="CCECFF"/>
          </w:tcPr>
          <w:p>
            <w:pPr>
              <w:spacing w:after="0"/>
              <w:rPr>
                <w:sz w:val="11"/>
                <w:szCs w:val="11"/>
                <w:color w:val="auto"/>
              </w:rPr>
            </w:pPr>
          </w:p>
        </w:tc>
        <w:tc>
          <w:tcPr>
            <w:tcW w:w="740" w:type="dxa"/>
            <w:vAlign w:val="bottom"/>
            <w:tcBorders>
              <w:bottom w:val="single" w:sz="8" w:color="CCECFF"/>
            </w:tcBorders>
            <w:shd w:val="clear" w:color="auto" w:fill="CCECFF"/>
          </w:tcPr>
          <w:p>
            <w:pPr>
              <w:spacing w:after="0"/>
              <w:rPr>
                <w:sz w:val="11"/>
                <w:szCs w:val="11"/>
                <w:color w:val="auto"/>
              </w:rPr>
            </w:pPr>
          </w:p>
        </w:tc>
        <w:tc>
          <w:tcPr>
            <w:tcW w:w="420" w:type="dxa"/>
            <w:vAlign w:val="bottom"/>
            <w:tcBorders>
              <w:bottom w:val="single" w:sz="8" w:color="CCECFF"/>
            </w:tcBorders>
            <w:shd w:val="clear" w:color="auto" w:fill="CCECFF"/>
          </w:tcPr>
          <w:p>
            <w:pPr>
              <w:spacing w:after="0"/>
              <w:rPr>
                <w:sz w:val="11"/>
                <w:szCs w:val="11"/>
                <w:color w:val="auto"/>
              </w:rPr>
            </w:pPr>
          </w:p>
        </w:tc>
        <w:tc>
          <w:tcPr>
            <w:tcW w:w="90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74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auto"/>
            </w:tcBorders>
            <w:shd w:val="clear" w:color="auto" w:fill="CCECFF"/>
          </w:tcPr>
          <w:p>
            <w:pPr>
              <w:spacing w:after="0"/>
              <w:rPr>
                <w:sz w:val="11"/>
                <w:szCs w:val="11"/>
                <w:color w:val="auto"/>
              </w:rPr>
            </w:pPr>
          </w:p>
        </w:tc>
        <w:tc>
          <w:tcPr>
            <w:tcW w:w="5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auto"/>
            </w:tcBorders>
            <w:shd w:val="clear" w:color="auto" w:fill="CCECFF"/>
          </w:tcPr>
          <w:p>
            <w:pPr>
              <w:spacing w:after="0"/>
              <w:rPr>
                <w:sz w:val="11"/>
                <w:szCs w:val="11"/>
                <w:color w:val="auto"/>
              </w:rPr>
            </w:pPr>
          </w:p>
        </w:tc>
        <w:tc>
          <w:tcPr>
            <w:tcW w:w="5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336</w:t>
            </w:r>
          </w:p>
        </w:tc>
        <w:tc>
          <w:tcPr>
            <w:tcW w:w="10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820" w:type="dxa"/>
            <w:vAlign w:val="bottom"/>
          </w:tcPr>
          <w:p>
            <w:pPr>
              <w:ind w:left="20"/>
              <w:spacing w:after="0"/>
              <w:rPr>
                <w:sz w:val="20"/>
                <w:szCs w:val="20"/>
                <w:color w:val="auto"/>
              </w:rPr>
            </w:pPr>
            <w:r>
              <w:rPr>
                <w:rFonts w:ascii="Arial" w:cs="Arial" w:eastAsia="Arial" w:hAnsi="Arial"/>
                <w:sz w:val="11"/>
                <w:szCs w:val="11"/>
                <w:b w:val="1"/>
                <w:bCs w:val="1"/>
                <w:color w:val="auto"/>
              </w:rPr>
              <w:t>Total Investments - 1,112.2%</w:t>
            </w: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752,368</w:t>
            </w:r>
          </w:p>
        </w:tc>
        <w:tc>
          <w:tcPr>
            <w:tcW w:w="2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746,819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820" w:type="dxa"/>
            <w:vAlign w:val="bottom"/>
            <w:shd w:val="clear" w:color="auto" w:fill="CCECFF"/>
          </w:tcPr>
          <w:p>
            <w:pPr>
              <w:ind w:left="20"/>
              <w:spacing w:after="0"/>
              <w:rPr>
                <w:sz w:val="20"/>
                <w:szCs w:val="20"/>
                <w:color w:val="auto"/>
              </w:rPr>
            </w:pPr>
            <w:r>
              <w:rPr>
                <w:rFonts w:ascii="Arial" w:cs="Arial" w:eastAsia="Arial" w:hAnsi="Arial"/>
                <w:sz w:val="11"/>
                <w:szCs w:val="11"/>
                <w:b w:val="1"/>
                <w:bCs w:val="1"/>
                <w:color w:val="auto"/>
              </w:rPr>
              <w:t>Cash and Cash Equivalents - 58.4%</w:t>
            </w:r>
          </w:p>
        </w:tc>
        <w:tc>
          <w:tcPr>
            <w:tcW w:w="1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3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40" w:type="dxa"/>
            <w:vAlign w:val="bottom"/>
            <w:shd w:val="clear" w:color="auto" w:fill="CCECFF"/>
          </w:tcPr>
          <w:p>
            <w:pPr>
              <w:spacing w:after="0"/>
              <w:rPr>
                <w:sz w:val="11"/>
                <w:szCs w:val="11"/>
                <w:color w:val="auto"/>
              </w:rPr>
            </w:pPr>
          </w:p>
        </w:tc>
        <w:tc>
          <w:tcPr>
            <w:tcW w:w="420" w:type="dxa"/>
            <w:vAlign w:val="bottom"/>
            <w:shd w:val="clear" w:color="auto" w:fill="CCECFF"/>
          </w:tcPr>
          <w:p>
            <w:pPr>
              <w:spacing w:after="0"/>
              <w:rPr>
                <w:sz w:val="11"/>
                <w:szCs w:val="11"/>
                <w:color w:val="auto"/>
              </w:rPr>
            </w:pPr>
          </w:p>
        </w:tc>
        <w:tc>
          <w:tcPr>
            <w:tcW w:w="90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7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tcPr>
          <w:p>
            <w:pPr>
              <w:ind w:left="20"/>
              <w:spacing w:after="0"/>
              <w:rPr>
                <w:sz w:val="20"/>
                <w:szCs w:val="20"/>
                <w:color w:val="auto"/>
              </w:rPr>
            </w:pPr>
            <w:r>
              <w:rPr>
                <w:rFonts w:ascii="Arial" w:cs="Arial" w:eastAsia="Arial" w:hAnsi="Arial"/>
                <w:sz w:val="11"/>
                <w:szCs w:val="11"/>
                <w:color w:val="auto"/>
              </w:rPr>
              <w:t>BlackRock Federal FD Institutional 30</w:t>
            </w: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39,197</w:t>
            </w:r>
          </w:p>
        </w:tc>
        <w:tc>
          <w:tcPr>
            <w:tcW w:w="2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39,190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82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1"/>
                <w:szCs w:val="11"/>
                <w:b w:val="1"/>
                <w:bCs w:val="1"/>
                <w:color w:val="auto"/>
              </w:rPr>
              <w:t>Total Cash and Cash Equivalents</w:t>
            </w:r>
          </w:p>
        </w:tc>
        <w:tc>
          <w:tcPr>
            <w:tcW w:w="140" w:type="dxa"/>
            <w:vAlign w:val="bottom"/>
            <w:tcBorders>
              <w:bottom w:val="single" w:sz="8" w:color="CCECFF"/>
            </w:tcBorders>
            <w:shd w:val="clear" w:color="auto" w:fill="CCECFF"/>
          </w:tcPr>
          <w:p>
            <w:pPr>
              <w:spacing w:after="0"/>
              <w:rPr>
                <w:sz w:val="11"/>
                <w:szCs w:val="11"/>
                <w:color w:val="auto"/>
              </w:rPr>
            </w:pPr>
          </w:p>
        </w:tc>
        <w:tc>
          <w:tcPr>
            <w:tcW w:w="680" w:type="dxa"/>
            <w:vAlign w:val="bottom"/>
            <w:tcBorders>
              <w:bottom w:val="single" w:sz="8" w:color="CCECFF"/>
            </w:tcBorders>
            <w:shd w:val="clear" w:color="auto" w:fill="CCECFF"/>
          </w:tcPr>
          <w:p>
            <w:pPr>
              <w:spacing w:after="0"/>
              <w:rPr>
                <w:sz w:val="11"/>
                <w:szCs w:val="11"/>
                <w:color w:val="auto"/>
              </w:rPr>
            </w:pPr>
          </w:p>
        </w:tc>
        <w:tc>
          <w:tcPr>
            <w:tcW w:w="240" w:type="dxa"/>
            <w:vAlign w:val="bottom"/>
            <w:tcBorders>
              <w:bottom w:val="single" w:sz="8" w:color="CCECFF"/>
            </w:tcBorders>
            <w:shd w:val="clear" w:color="auto" w:fill="CCECFF"/>
          </w:tcPr>
          <w:p>
            <w:pPr>
              <w:spacing w:after="0"/>
              <w:rPr>
                <w:sz w:val="11"/>
                <w:szCs w:val="11"/>
                <w:color w:val="auto"/>
              </w:rPr>
            </w:pPr>
          </w:p>
        </w:tc>
        <w:tc>
          <w:tcPr>
            <w:tcW w:w="2340" w:type="dxa"/>
            <w:vAlign w:val="bottom"/>
            <w:tcBorders>
              <w:bottom w:val="single" w:sz="8" w:color="CCECFF"/>
            </w:tcBorders>
            <w:shd w:val="clear" w:color="auto" w:fill="CCECFF"/>
          </w:tcPr>
          <w:p>
            <w:pPr>
              <w:spacing w:after="0"/>
              <w:rPr>
                <w:sz w:val="11"/>
                <w:szCs w:val="11"/>
                <w:color w:val="auto"/>
              </w:rPr>
            </w:pPr>
          </w:p>
        </w:tc>
        <w:tc>
          <w:tcPr>
            <w:tcW w:w="100" w:type="dxa"/>
            <w:vAlign w:val="bottom"/>
            <w:tcBorders>
              <w:bottom w:val="single" w:sz="8" w:color="CCECFF"/>
            </w:tcBorders>
            <w:shd w:val="clear" w:color="auto" w:fill="CCECFF"/>
          </w:tcPr>
          <w:p>
            <w:pPr>
              <w:spacing w:after="0"/>
              <w:rPr>
                <w:sz w:val="11"/>
                <w:szCs w:val="11"/>
                <w:color w:val="auto"/>
              </w:rPr>
            </w:pPr>
          </w:p>
        </w:tc>
        <w:tc>
          <w:tcPr>
            <w:tcW w:w="740" w:type="dxa"/>
            <w:vAlign w:val="bottom"/>
            <w:tcBorders>
              <w:bottom w:val="single" w:sz="8" w:color="CCECFF"/>
            </w:tcBorders>
            <w:shd w:val="clear" w:color="auto" w:fill="CCECFF"/>
          </w:tcPr>
          <w:p>
            <w:pPr>
              <w:spacing w:after="0"/>
              <w:rPr>
                <w:sz w:val="11"/>
                <w:szCs w:val="11"/>
                <w:color w:val="auto"/>
              </w:rPr>
            </w:pPr>
          </w:p>
        </w:tc>
        <w:tc>
          <w:tcPr>
            <w:tcW w:w="420" w:type="dxa"/>
            <w:vAlign w:val="bottom"/>
            <w:tcBorders>
              <w:bottom w:val="single" w:sz="8" w:color="CCECFF"/>
            </w:tcBorders>
            <w:shd w:val="clear" w:color="auto" w:fill="CCECFF"/>
          </w:tcPr>
          <w:p>
            <w:pPr>
              <w:spacing w:after="0"/>
              <w:rPr>
                <w:sz w:val="11"/>
                <w:szCs w:val="11"/>
                <w:color w:val="auto"/>
              </w:rPr>
            </w:pPr>
          </w:p>
        </w:tc>
        <w:tc>
          <w:tcPr>
            <w:tcW w:w="90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74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auto"/>
            </w:tcBorders>
            <w:shd w:val="clear" w:color="auto" w:fill="CCECFF"/>
          </w:tcPr>
          <w:p>
            <w:pPr>
              <w:spacing w:after="0"/>
              <w:rPr>
                <w:sz w:val="11"/>
                <w:szCs w:val="11"/>
                <w:color w:val="auto"/>
              </w:rPr>
            </w:pPr>
          </w:p>
        </w:tc>
        <w:tc>
          <w:tcPr>
            <w:tcW w:w="5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39,197</w:t>
            </w:r>
          </w:p>
        </w:tc>
        <w:tc>
          <w:tcPr>
            <w:tcW w:w="22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auto"/>
            </w:tcBorders>
            <w:shd w:val="clear" w:color="auto" w:fill="CCECFF"/>
          </w:tcPr>
          <w:p>
            <w:pPr>
              <w:spacing w:after="0"/>
              <w:rPr>
                <w:sz w:val="11"/>
                <w:szCs w:val="11"/>
                <w:color w:val="auto"/>
              </w:rPr>
            </w:pPr>
          </w:p>
        </w:tc>
        <w:tc>
          <w:tcPr>
            <w:tcW w:w="5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39,190</w:t>
            </w:r>
          </w:p>
        </w:tc>
        <w:tc>
          <w:tcPr>
            <w:tcW w:w="10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820" w:type="dxa"/>
            <w:vAlign w:val="bottom"/>
          </w:tcPr>
          <w:p>
            <w:pPr>
              <w:ind w:left="20"/>
              <w:spacing w:after="0"/>
              <w:rPr>
                <w:sz w:val="20"/>
                <w:szCs w:val="20"/>
                <w:color w:val="auto"/>
              </w:rPr>
            </w:pPr>
            <w:r>
              <w:rPr>
                <w:rFonts w:ascii="Arial" w:cs="Arial" w:eastAsia="Arial" w:hAnsi="Arial"/>
                <w:sz w:val="11"/>
                <w:szCs w:val="11"/>
                <w:b w:val="1"/>
                <w:bCs w:val="1"/>
                <w:color w:val="auto"/>
              </w:rPr>
              <w:t>Total Investments and Cash Equivalents —1,170.5%</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791,565</w:t>
            </w:r>
          </w:p>
        </w:tc>
        <w:tc>
          <w:tcPr>
            <w:tcW w:w="220" w:type="dxa"/>
            <w:vAlign w:val="bottom"/>
          </w:tcPr>
          <w:p>
            <w:pPr>
              <w:spacing w:after="0"/>
              <w:rPr>
                <w:sz w:val="12"/>
                <w:szCs w:val="12"/>
                <w:color w:val="auto"/>
              </w:rPr>
            </w:pPr>
          </w:p>
        </w:tc>
        <w:tc>
          <w:tcPr>
            <w:tcW w:w="16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786,009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820" w:type="dxa"/>
            <w:vAlign w:val="bottom"/>
            <w:tcBorders>
              <w:bottom w:val="single" w:sz="8" w:color="CCECFF"/>
            </w:tcBorders>
            <w:shd w:val="clear" w:color="auto" w:fill="CCECFF"/>
          </w:tcPr>
          <w:p>
            <w:pPr>
              <w:ind w:left="20"/>
              <w:spacing w:after="0" w:line="102" w:lineRule="exact"/>
              <w:rPr>
                <w:sz w:val="20"/>
                <w:szCs w:val="20"/>
                <w:color w:val="auto"/>
              </w:rPr>
            </w:pPr>
            <w:r>
              <w:rPr>
                <w:rFonts w:ascii="Arial" w:cs="Arial" w:eastAsia="Arial" w:hAnsi="Arial"/>
                <w:sz w:val="11"/>
                <w:szCs w:val="11"/>
                <w:b w:val="1"/>
                <w:bCs w:val="1"/>
                <w:color w:val="auto"/>
              </w:rPr>
              <w:t>Liabilities in Excess of Other Assets — (1,070.5)%</w:t>
            </w:r>
          </w:p>
        </w:tc>
        <w:tc>
          <w:tcPr>
            <w:tcW w:w="140" w:type="dxa"/>
            <w:vAlign w:val="bottom"/>
            <w:tcBorders>
              <w:bottom w:val="single" w:sz="8" w:color="CCECFF"/>
            </w:tcBorders>
            <w:shd w:val="clear" w:color="auto" w:fill="CCECFF"/>
          </w:tcPr>
          <w:p>
            <w:pPr>
              <w:spacing w:after="0"/>
              <w:rPr>
                <w:sz w:val="8"/>
                <w:szCs w:val="8"/>
                <w:color w:val="auto"/>
              </w:rPr>
            </w:pPr>
          </w:p>
        </w:tc>
        <w:tc>
          <w:tcPr>
            <w:tcW w:w="680" w:type="dxa"/>
            <w:vAlign w:val="bottom"/>
            <w:tcBorders>
              <w:bottom w:val="single" w:sz="8" w:color="CCECFF"/>
            </w:tcBorders>
            <w:shd w:val="clear" w:color="auto" w:fill="CCECFF"/>
          </w:tcPr>
          <w:p>
            <w:pPr>
              <w:spacing w:after="0"/>
              <w:rPr>
                <w:sz w:val="8"/>
                <w:szCs w:val="8"/>
                <w:color w:val="auto"/>
              </w:rPr>
            </w:pPr>
          </w:p>
        </w:tc>
        <w:tc>
          <w:tcPr>
            <w:tcW w:w="240" w:type="dxa"/>
            <w:vAlign w:val="bottom"/>
            <w:tcBorders>
              <w:bottom w:val="single" w:sz="8" w:color="CCECFF"/>
            </w:tcBorders>
            <w:shd w:val="clear" w:color="auto" w:fill="CCECFF"/>
          </w:tcPr>
          <w:p>
            <w:pPr>
              <w:spacing w:after="0"/>
              <w:rPr>
                <w:sz w:val="8"/>
                <w:szCs w:val="8"/>
                <w:color w:val="auto"/>
              </w:rPr>
            </w:pPr>
          </w:p>
        </w:tc>
        <w:tc>
          <w:tcPr>
            <w:tcW w:w="2340" w:type="dxa"/>
            <w:vAlign w:val="bottom"/>
            <w:tcBorders>
              <w:bottom w:val="single" w:sz="8" w:color="CCECFF"/>
            </w:tcBorders>
            <w:shd w:val="clear" w:color="auto" w:fill="CCECFF"/>
          </w:tcPr>
          <w:p>
            <w:pPr>
              <w:spacing w:after="0"/>
              <w:rPr>
                <w:sz w:val="8"/>
                <w:szCs w:val="8"/>
                <w:color w:val="auto"/>
              </w:rPr>
            </w:pPr>
          </w:p>
        </w:tc>
        <w:tc>
          <w:tcPr>
            <w:tcW w:w="100" w:type="dxa"/>
            <w:vAlign w:val="bottom"/>
            <w:tcBorders>
              <w:bottom w:val="single" w:sz="8" w:color="CCECFF"/>
            </w:tcBorders>
            <w:shd w:val="clear" w:color="auto" w:fill="CCECFF"/>
          </w:tcPr>
          <w:p>
            <w:pPr>
              <w:spacing w:after="0"/>
              <w:rPr>
                <w:sz w:val="8"/>
                <w:szCs w:val="8"/>
                <w:color w:val="auto"/>
              </w:rPr>
            </w:pPr>
          </w:p>
        </w:tc>
        <w:tc>
          <w:tcPr>
            <w:tcW w:w="740" w:type="dxa"/>
            <w:vAlign w:val="bottom"/>
            <w:tcBorders>
              <w:bottom w:val="single" w:sz="8" w:color="CCECFF"/>
            </w:tcBorders>
            <w:shd w:val="clear" w:color="auto" w:fill="CCECFF"/>
          </w:tcPr>
          <w:p>
            <w:pPr>
              <w:spacing w:after="0"/>
              <w:rPr>
                <w:sz w:val="8"/>
                <w:szCs w:val="8"/>
                <w:color w:val="auto"/>
              </w:rPr>
            </w:pPr>
          </w:p>
        </w:tc>
        <w:tc>
          <w:tcPr>
            <w:tcW w:w="420" w:type="dxa"/>
            <w:vAlign w:val="bottom"/>
            <w:tcBorders>
              <w:bottom w:val="single" w:sz="8" w:color="CCECFF"/>
            </w:tcBorders>
            <w:shd w:val="clear" w:color="auto" w:fill="CCECFF"/>
          </w:tcPr>
          <w:p>
            <w:pPr>
              <w:spacing w:after="0"/>
              <w:rPr>
                <w:sz w:val="8"/>
                <w:szCs w:val="8"/>
                <w:color w:val="auto"/>
              </w:rPr>
            </w:pPr>
          </w:p>
        </w:tc>
        <w:tc>
          <w:tcPr>
            <w:tcW w:w="900" w:type="dxa"/>
            <w:vAlign w:val="bottom"/>
            <w:tcBorders>
              <w:bottom w:val="single" w:sz="8" w:color="CCECFF"/>
            </w:tcBorders>
            <w:shd w:val="clear" w:color="auto" w:fill="CCECFF"/>
          </w:tcPr>
          <w:p>
            <w:pPr>
              <w:spacing w:after="0"/>
              <w:rPr>
                <w:sz w:val="8"/>
                <w:szCs w:val="8"/>
                <w:color w:val="auto"/>
              </w:rPr>
            </w:pPr>
          </w:p>
        </w:tc>
        <w:tc>
          <w:tcPr>
            <w:tcW w:w="220" w:type="dxa"/>
            <w:vAlign w:val="bottom"/>
            <w:tcBorders>
              <w:bottom w:val="single" w:sz="8" w:color="CCECFF"/>
            </w:tcBorders>
            <w:shd w:val="clear" w:color="auto" w:fill="CCECFF"/>
          </w:tcPr>
          <w:p>
            <w:pPr>
              <w:spacing w:after="0"/>
              <w:rPr>
                <w:sz w:val="8"/>
                <w:szCs w:val="8"/>
                <w:color w:val="auto"/>
              </w:rPr>
            </w:pPr>
          </w:p>
        </w:tc>
        <w:tc>
          <w:tcPr>
            <w:tcW w:w="740" w:type="dxa"/>
            <w:vAlign w:val="bottom"/>
            <w:tcBorders>
              <w:bottom w:val="single" w:sz="8" w:color="CCECFF"/>
            </w:tcBorders>
            <w:shd w:val="clear" w:color="auto" w:fill="CCECFF"/>
          </w:tcPr>
          <w:p>
            <w:pPr>
              <w:spacing w:after="0"/>
              <w:rPr>
                <w:sz w:val="8"/>
                <w:szCs w:val="8"/>
                <w:color w:val="auto"/>
              </w:rPr>
            </w:pPr>
          </w:p>
        </w:tc>
        <w:tc>
          <w:tcPr>
            <w:tcW w:w="220" w:type="dxa"/>
            <w:vAlign w:val="bottom"/>
            <w:tcBorders>
              <w:bottom w:val="single" w:sz="8" w:color="CCECFF"/>
            </w:tcBorders>
            <w:shd w:val="clear" w:color="auto" w:fill="CCECFF"/>
          </w:tcPr>
          <w:p>
            <w:pPr>
              <w:spacing w:after="0"/>
              <w:rPr>
                <w:sz w:val="8"/>
                <w:szCs w:val="8"/>
                <w:color w:val="auto"/>
              </w:rPr>
            </w:pPr>
          </w:p>
        </w:tc>
        <w:tc>
          <w:tcPr>
            <w:tcW w:w="140" w:type="dxa"/>
            <w:vAlign w:val="bottom"/>
            <w:tcBorders>
              <w:top w:val="single" w:sz="8" w:color="auto"/>
              <w:bottom w:val="single" w:sz="8" w:color="CCECFF"/>
            </w:tcBorders>
            <w:shd w:val="clear" w:color="auto" w:fill="CCECFF"/>
          </w:tcPr>
          <w:p>
            <w:pPr>
              <w:spacing w:after="0"/>
              <w:rPr>
                <w:sz w:val="8"/>
                <w:szCs w:val="8"/>
                <w:color w:val="auto"/>
              </w:rPr>
            </w:pPr>
          </w:p>
        </w:tc>
        <w:tc>
          <w:tcPr>
            <w:tcW w:w="540" w:type="dxa"/>
            <w:vAlign w:val="bottom"/>
            <w:tcBorders>
              <w:top w:val="single" w:sz="8" w:color="auto"/>
              <w:bottom w:val="single" w:sz="8" w:color="CCECFF"/>
            </w:tcBorders>
            <w:shd w:val="clear" w:color="auto" w:fill="CCECFF"/>
          </w:tcPr>
          <w:p>
            <w:pPr>
              <w:spacing w:after="0"/>
              <w:rPr>
                <w:sz w:val="8"/>
                <w:szCs w:val="8"/>
                <w:color w:val="auto"/>
              </w:rPr>
            </w:pPr>
          </w:p>
        </w:tc>
        <w:tc>
          <w:tcPr>
            <w:tcW w:w="220" w:type="dxa"/>
            <w:vAlign w:val="bottom"/>
            <w:tcBorders>
              <w:bottom w:val="single" w:sz="8" w:color="CCECFF"/>
            </w:tcBorders>
            <w:shd w:val="clear" w:color="auto" w:fill="CCECFF"/>
          </w:tcPr>
          <w:p>
            <w:pPr>
              <w:spacing w:after="0"/>
              <w:rPr>
                <w:sz w:val="8"/>
                <w:szCs w:val="8"/>
                <w:color w:val="auto"/>
              </w:rPr>
            </w:pPr>
          </w:p>
        </w:tc>
        <w:tc>
          <w:tcPr>
            <w:tcW w:w="160" w:type="dxa"/>
            <w:vAlign w:val="bottom"/>
            <w:tcBorders>
              <w:top w:val="single" w:sz="8" w:color="auto"/>
              <w:bottom w:val="single" w:sz="8" w:color="auto"/>
            </w:tcBorders>
            <w:shd w:val="clear" w:color="auto" w:fill="CCECFF"/>
          </w:tcPr>
          <w:p>
            <w:pPr>
              <w:spacing w:after="0"/>
              <w:rPr>
                <w:sz w:val="8"/>
                <w:szCs w:val="8"/>
                <w:color w:val="auto"/>
              </w:rPr>
            </w:pPr>
          </w:p>
        </w:tc>
        <w:tc>
          <w:tcPr>
            <w:tcW w:w="520" w:type="dxa"/>
            <w:vAlign w:val="bottom"/>
            <w:tcBorders>
              <w:top w:val="single" w:sz="8" w:color="auto"/>
              <w:bottom w:val="single" w:sz="8" w:color="auto"/>
            </w:tcBorders>
            <w:shd w:val="clear" w:color="auto" w:fill="CCECFF"/>
          </w:tcPr>
          <w:p>
            <w:pPr>
              <w:jc w:val="right"/>
              <w:spacing w:after="0" w:line="102" w:lineRule="exact"/>
              <w:rPr>
                <w:sz w:val="20"/>
                <w:szCs w:val="20"/>
                <w:color w:val="auto"/>
              </w:rPr>
            </w:pPr>
            <w:r>
              <w:rPr>
                <w:rFonts w:ascii="Arial" w:cs="Arial" w:eastAsia="Arial" w:hAnsi="Arial"/>
                <w:sz w:val="11"/>
                <w:szCs w:val="11"/>
                <w:color w:val="auto"/>
              </w:rPr>
              <w:t>(718,859</w:t>
            </w:r>
          </w:p>
        </w:tc>
        <w:tc>
          <w:tcPr>
            <w:tcW w:w="100" w:type="dxa"/>
            <w:vAlign w:val="bottom"/>
            <w:tcBorders>
              <w:bottom w:val="single" w:sz="8" w:color="CCECFF"/>
            </w:tcBorders>
            <w:shd w:val="clear" w:color="auto" w:fill="CCECFF"/>
          </w:tcPr>
          <w:p>
            <w:pPr>
              <w:jc w:val="right"/>
              <w:ind w:right="22"/>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42"/>
        </w:trPr>
        <w:tc>
          <w:tcPr>
            <w:tcW w:w="2820" w:type="dxa"/>
            <w:vAlign w:val="bottom"/>
          </w:tcPr>
          <w:p>
            <w:pPr>
              <w:ind w:left="20"/>
              <w:spacing w:after="0"/>
              <w:rPr>
                <w:sz w:val="20"/>
                <w:szCs w:val="20"/>
                <w:color w:val="auto"/>
              </w:rPr>
            </w:pPr>
            <w:r>
              <w:rPr>
                <w:rFonts w:ascii="Arial" w:cs="Arial" w:eastAsia="Arial" w:hAnsi="Arial"/>
                <w:sz w:val="11"/>
                <w:szCs w:val="11"/>
                <w:b w:val="1"/>
                <w:bCs w:val="1"/>
                <w:color w:val="auto"/>
              </w:rPr>
              <w:t>Members' Equity—100.0%</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gridSpan w:val="2"/>
          </w:tcPr>
          <w:p>
            <w:pPr>
              <w:jc w:val="right"/>
              <w:ind w:right="50"/>
              <w:spacing w:after="0"/>
              <w:rPr>
                <w:sz w:val="20"/>
                <w:szCs w:val="20"/>
                <w:color w:val="auto"/>
              </w:rPr>
            </w:pPr>
            <w:r>
              <w:rPr>
                <w:rFonts w:ascii="Arial" w:cs="Arial" w:eastAsia="Arial" w:hAnsi="Arial"/>
                <w:sz w:val="11"/>
                <w:szCs w:val="11"/>
                <w:color w:val="auto"/>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67,149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6503035</wp:posOffset>
            </wp:positionH>
            <wp:positionV relativeFrom="paragraph">
              <wp:posOffset>-1325245</wp:posOffset>
            </wp:positionV>
            <wp:extent cx="68580" cy="571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-1325245</wp:posOffset>
            </wp:positionV>
            <wp:extent cx="68580" cy="571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-1059180</wp:posOffset>
            </wp:positionV>
            <wp:extent cx="68580" cy="571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-1059180</wp:posOffset>
            </wp:positionV>
            <wp:extent cx="68580" cy="571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-690880</wp:posOffset>
            </wp:positionV>
            <wp:extent cx="68580" cy="571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-690880</wp:posOffset>
            </wp:positionV>
            <wp:extent cx="68580" cy="571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-321945</wp:posOffset>
            </wp:positionV>
            <wp:extent cx="68580" cy="571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-321945</wp:posOffset>
            </wp:positionV>
            <wp:extent cx="68580" cy="571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-116205</wp:posOffset>
            </wp:positionV>
            <wp:extent cx="68580" cy="571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03" w:lineRule="exact"/>
        <w:rPr>
          <w:sz w:val="20"/>
          <w:szCs w:val="20"/>
          <w:color w:val="auto"/>
        </w:rPr>
      </w:pPr>
    </w:p>
    <w:p>
      <w:pPr>
        <w:jc w:val="both"/>
        <w:ind w:left="380" w:right="120" w:hanging="372"/>
        <w:spacing w:after="0" w:line="248" w:lineRule="auto"/>
        <w:tabs>
          <w:tab w:leader="none" w:pos="380" w:val="left"/>
        </w:tabs>
        <w:numPr>
          <w:ilvl w:val="0"/>
          <w:numId w:val="8"/>
        </w:numPr>
        <w:rPr>
          <w:rFonts w:ascii="Arial" w:cs="Arial" w:eastAsia="Arial" w:hAnsi="Arial"/>
          <w:sz w:val="13"/>
          <w:szCs w:val="13"/>
          <w:color w:val="auto"/>
          <w:vertAlign w:val="superscript"/>
        </w:rPr>
      </w:pPr>
      <w:r>
        <w:rPr>
          <w:rFonts w:ascii="Arial" w:cs="Arial" w:eastAsia="Arial" w:hAnsi="Arial"/>
          <w:sz w:val="10"/>
          <w:szCs w:val="10"/>
          <w:color w:val="auto"/>
        </w:rPr>
        <w:t>Represents floating rate instruments that accrue interest at a predetermined spread relative to an index, typically the applicable LIBOR or “L”, Secured Overnight Financing Rate or "SOFR", or Prime rate or “P”. The spread may change based on the type of rate used. The terms in the Schedule of Investments disclose the actual interest rate in effect as of the reporting period. LIBOR loans are typically indexed to a 30-day, 60-day, 90-day or 180-day LIBOR rate (1M L, 2M L, 3M L, or 6M L, respectively), at the borrower’s option. All securities are subject to a LIBOR or Prime rate floor where a spread is provided, unless noted. The spread provided includes PIK interest and other fee rates, if any.</w:t>
      </w:r>
    </w:p>
    <w:p>
      <w:pPr>
        <w:ind w:left="380" w:hanging="372"/>
        <w:spacing w:after="0" w:line="221" w:lineRule="auto"/>
        <w:tabs>
          <w:tab w:leader="none" w:pos="380" w:val="left"/>
        </w:tabs>
        <w:numPr>
          <w:ilvl w:val="0"/>
          <w:numId w:val="8"/>
        </w:numPr>
        <w:rPr>
          <w:rFonts w:ascii="Arial" w:cs="Arial" w:eastAsia="Arial" w:hAnsi="Arial"/>
          <w:sz w:val="14"/>
          <w:szCs w:val="14"/>
          <w:color w:val="auto"/>
          <w:vertAlign w:val="superscript"/>
        </w:rPr>
      </w:pPr>
      <w:r>
        <w:rPr>
          <w:rFonts w:ascii="Arial" w:cs="Arial" w:eastAsia="Arial" w:hAnsi="Arial"/>
          <w:sz w:val="11"/>
          <w:szCs w:val="11"/>
          <w:color w:val="auto"/>
        </w:rPr>
        <w:t>Valued based on PSSL’s accounting policy.</w:t>
      </w:r>
    </w:p>
    <w:p>
      <w:pPr>
        <w:spacing w:after="0" w:line="34" w:lineRule="exact"/>
        <w:rPr>
          <w:rFonts w:ascii="Arial" w:cs="Arial" w:eastAsia="Arial" w:hAnsi="Arial"/>
          <w:sz w:val="14"/>
          <w:szCs w:val="14"/>
          <w:color w:val="auto"/>
          <w:vertAlign w:val="superscript"/>
        </w:rPr>
      </w:pPr>
    </w:p>
    <w:p>
      <w:pPr>
        <w:ind w:left="380" w:hanging="372"/>
        <w:spacing w:after="0" w:line="191" w:lineRule="auto"/>
        <w:tabs>
          <w:tab w:leader="none" w:pos="380" w:val="left"/>
        </w:tabs>
        <w:numPr>
          <w:ilvl w:val="0"/>
          <w:numId w:val="8"/>
        </w:numPr>
        <w:rPr>
          <w:rFonts w:ascii="Arial" w:cs="Arial" w:eastAsia="Arial" w:hAnsi="Arial"/>
          <w:sz w:val="14"/>
          <w:szCs w:val="14"/>
          <w:color w:val="auto"/>
          <w:vertAlign w:val="superscript"/>
        </w:rPr>
      </w:pPr>
      <w:r>
        <w:rPr>
          <w:rFonts w:ascii="Arial" w:cs="Arial" w:eastAsia="Arial" w:hAnsi="Arial"/>
          <w:sz w:val="11"/>
          <w:szCs w:val="11"/>
          <w:color w:val="auto"/>
        </w:rPr>
        <w:t>Non-U.S. company or principal place of business outside the United States.</w:t>
      </w:r>
    </w:p>
    <w:p>
      <w:pPr>
        <w:spacing w:after="0" w:line="33" w:lineRule="exact"/>
        <w:rPr>
          <w:rFonts w:ascii="Arial" w:cs="Arial" w:eastAsia="Arial" w:hAnsi="Arial"/>
          <w:sz w:val="14"/>
          <w:szCs w:val="14"/>
          <w:color w:val="auto"/>
          <w:vertAlign w:val="superscript"/>
        </w:rPr>
      </w:pPr>
    </w:p>
    <w:p>
      <w:pPr>
        <w:ind w:left="380" w:hanging="372"/>
        <w:spacing w:after="0" w:line="191" w:lineRule="auto"/>
        <w:tabs>
          <w:tab w:leader="none" w:pos="380" w:val="left"/>
        </w:tabs>
        <w:numPr>
          <w:ilvl w:val="0"/>
          <w:numId w:val="8"/>
        </w:numPr>
        <w:rPr>
          <w:rFonts w:ascii="Arial" w:cs="Arial" w:eastAsia="Arial" w:hAnsi="Arial"/>
          <w:sz w:val="14"/>
          <w:szCs w:val="14"/>
          <w:color w:val="auto"/>
          <w:vertAlign w:val="superscript"/>
        </w:rPr>
      </w:pPr>
      <w:r>
        <w:rPr>
          <w:rFonts w:ascii="Arial" w:cs="Arial" w:eastAsia="Arial" w:hAnsi="Arial"/>
          <w:sz w:val="11"/>
          <w:szCs w:val="11"/>
          <w:color w:val="auto"/>
        </w:rPr>
        <w:t>Non-income producing security.</w:t>
      </w:r>
    </w:p>
    <w:p>
      <w:pPr>
        <w:spacing w:after="0" w:line="20" w:lineRule="exact"/>
        <w:rPr>
          <w:rFonts w:ascii="Arial" w:cs="Arial" w:eastAsia="Arial" w:hAnsi="Arial"/>
          <w:sz w:val="14"/>
          <w:szCs w:val="14"/>
          <w:color w:val="auto"/>
          <w:vertAlign w:val="superscript"/>
        </w:rPr>
      </w:pPr>
    </w:p>
    <w:p>
      <w:pPr>
        <w:ind w:left="380" w:hanging="372"/>
        <w:spacing w:after="0" w:line="191" w:lineRule="auto"/>
        <w:tabs>
          <w:tab w:leader="none" w:pos="380" w:val="left"/>
        </w:tabs>
        <w:numPr>
          <w:ilvl w:val="0"/>
          <w:numId w:val="8"/>
        </w:numPr>
        <w:rPr>
          <w:rFonts w:ascii="Arial" w:cs="Arial" w:eastAsia="Arial" w:hAnsi="Arial"/>
          <w:sz w:val="14"/>
          <w:szCs w:val="14"/>
          <w:color w:val="auto"/>
          <w:vertAlign w:val="superscript"/>
        </w:rPr>
      </w:pPr>
      <w:r>
        <w:rPr>
          <w:rFonts w:ascii="Arial" w:cs="Arial" w:eastAsia="Arial" w:hAnsi="Arial"/>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June 30, 2022</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Below is a listing of PSSL’s individual investments as of September 30, 2021 (Par and $ in thousands)</w:t>
      </w:r>
    </w:p>
    <w:tbl>
      <w:tblPr>
        <w:tblLayout w:type="fixed"/>
        <w:tblInd w:w="0" w:type="dxa"/>
        <w:tblCellMar>
          <w:top w:w="0" w:type="dxa"/>
          <w:left w:w="0" w:type="dxa"/>
          <w:bottom w:w="0" w:type="dxa"/>
          <w:right w:w="0" w:type="dxa"/>
        </w:tblCellMar>
      </w:tblPr>
      <w:tr>
        <w:trPr>
          <w:trHeight w:val="114"/>
        </w:trPr>
        <w:tc>
          <w:tcPr>
            <w:tcW w:w="29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2"/>
            <w:vMerge w:val="restart"/>
          </w:tcPr>
          <w:p>
            <w:pPr>
              <w:jc w:val="right"/>
              <w:ind w:right="440"/>
              <w:spacing w:after="0"/>
              <w:rPr>
                <w:sz w:val="20"/>
                <w:szCs w:val="20"/>
                <w:color w:val="auto"/>
              </w:rPr>
            </w:pPr>
            <w:r>
              <w:rPr>
                <w:rFonts w:ascii="Arial" w:cs="Arial" w:eastAsia="Arial" w:hAnsi="Arial"/>
                <w:sz w:val="11"/>
                <w:szCs w:val="11"/>
                <w:b w:val="1"/>
                <w:bCs w:val="1"/>
                <w:color w:val="auto"/>
              </w:rPr>
              <w:t>Current</w:t>
            </w:r>
          </w:p>
        </w:tc>
        <w:tc>
          <w:tcPr>
            <w:tcW w:w="780" w:type="dxa"/>
            <w:vAlign w:val="bottom"/>
          </w:tcPr>
          <w:p>
            <w:pPr>
              <w:jc w:val="center"/>
              <w:spacing w:after="0" w:line="114" w:lineRule="exact"/>
              <w:rPr>
                <w:sz w:val="20"/>
                <w:szCs w:val="20"/>
                <w:color w:val="auto"/>
              </w:rPr>
            </w:pPr>
            <w:r>
              <w:rPr>
                <w:rFonts w:ascii="Arial" w:cs="Arial" w:eastAsia="Arial" w:hAnsi="Arial"/>
                <w:sz w:val="11"/>
                <w:szCs w:val="11"/>
                <w:b w:val="1"/>
                <w:bCs w:val="1"/>
                <w:color w:val="auto"/>
                <w:w w:val="86"/>
              </w:rPr>
              <w:t>Basis Point</w:t>
            </w: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9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Issuer Name</w:t>
            </w:r>
          </w:p>
        </w:tc>
        <w:tc>
          <w:tcPr>
            <w:tcW w:w="140" w:type="dxa"/>
            <w:vAlign w:val="bottom"/>
          </w:tcPr>
          <w:p>
            <w:pPr>
              <w:spacing w:after="0"/>
              <w:rPr>
                <w:sz w:val="9"/>
                <w:szCs w:val="9"/>
                <w:color w:val="auto"/>
              </w:rPr>
            </w:pP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Maturity</w:t>
            </w:r>
          </w:p>
        </w:tc>
        <w:tc>
          <w:tcPr>
            <w:tcW w:w="120" w:type="dxa"/>
            <w:vAlign w:val="bottom"/>
          </w:tcPr>
          <w:p>
            <w:pPr>
              <w:spacing w:after="0"/>
              <w:rPr>
                <w:sz w:val="9"/>
                <w:szCs w:val="9"/>
                <w:color w:val="auto"/>
              </w:rPr>
            </w:pPr>
          </w:p>
        </w:tc>
        <w:tc>
          <w:tcPr>
            <w:tcW w:w="246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6"/>
              </w:rPr>
              <w:t>Industry</w:t>
            </w:r>
          </w:p>
        </w:tc>
        <w:tc>
          <w:tcPr>
            <w:tcW w:w="12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78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86"/>
              </w:rPr>
              <w:t>Spread Above</w:t>
            </w:r>
          </w:p>
        </w:tc>
        <w:tc>
          <w:tcPr>
            <w:tcW w:w="120" w:type="dxa"/>
            <w:vAlign w:val="bottom"/>
          </w:tcPr>
          <w:p>
            <w:pPr>
              <w:spacing w:after="0"/>
              <w:rPr>
                <w:sz w:val="9"/>
                <w:szCs w:val="9"/>
                <w:color w:val="auto"/>
              </w:rPr>
            </w:pPr>
          </w:p>
        </w:tc>
        <w:tc>
          <w:tcPr>
            <w:tcW w:w="740" w:type="dxa"/>
            <w:vAlign w:val="bottom"/>
            <w:vMerge w:val="restart"/>
          </w:tcPr>
          <w:p>
            <w:pPr>
              <w:jc w:val="right"/>
              <w:ind w:right="226"/>
              <w:spacing w:after="0"/>
              <w:rPr>
                <w:sz w:val="20"/>
                <w:szCs w:val="20"/>
                <w:color w:val="auto"/>
              </w:rPr>
            </w:pPr>
            <w:r>
              <w:rPr>
                <w:rFonts w:ascii="Arial" w:cs="Arial" w:eastAsia="Arial" w:hAnsi="Arial"/>
                <w:sz w:val="11"/>
                <w:szCs w:val="11"/>
                <w:b w:val="1"/>
                <w:bCs w:val="1"/>
                <w:color w:val="auto"/>
              </w:rPr>
              <w:t>Par</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vMerge w:val="restart"/>
          </w:tcPr>
          <w:p>
            <w:pPr>
              <w:jc w:val="right"/>
              <w:ind w:right="206"/>
              <w:spacing w:after="0"/>
              <w:rPr>
                <w:sz w:val="20"/>
                <w:szCs w:val="20"/>
                <w:color w:val="auto"/>
              </w:rPr>
            </w:pPr>
            <w:r>
              <w:rPr>
                <w:rFonts w:ascii="Arial" w:cs="Arial" w:eastAsia="Arial" w:hAnsi="Arial"/>
                <w:sz w:val="11"/>
                <w:szCs w:val="11"/>
                <w:b w:val="1"/>
                <w:bCs w:val="1"/>
                <w:color w:val="auto"/>
              </w:rPr>
              <w:t>Cost</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vMerge w:val="restart"/>
          </w:tcPr>
          <w:p>
            <w:pPr>
              <w:jc w:val="right"/>
              <w:ind w:right="66"/>
              <w:spacing w:after="0"/>
              <w:rPr>
                <w:sz w:val="20"/>
                <w:szCs w:val="20"/>
                <w:color w:val="auto"/>
              </w:rPr>
            </w:pPr>
            <w:r>
              <w:rPr>
                <w:rFonts w:ascii="Arial" w:cs="Arial" w:eastAsia="Arial" w:hAnsi="Arial"/>
                <w:sz w:val="11"/>
                <w:szCs w:val="11"/>
                <w:b w:val="1"/>
                <w:bCs w:val="1"/>
                <w:color w:val="auto"/>
                <w:w w:val="92"/>
              </w:rPr>
              <w:t xml:space="preserve">Fair Value </w:t>
            </w:r>
            <w:r>
              <w:rPr>
                <w:rFonts w:ascii="Arial" w:cs="Arial" w:eastAsia="Arial" w:hAnsi="Arial"/>
                <w:sz w:val="14"/>
                <w:szCs w:val="14"/>
                <w:b w:val="1"/>
                <w:bCs w:val="1"/>
                <w:color w:val="auto"/>
                <w:w w:val="92"/>
                <w:vertAlign w:val="superscript"/>
              </w:rPr>
              <w:t>(2)</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9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4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1"/>
                <w:szCs w:val="11"/>
                <w:b w:val="1"/>
                <w:bCs w:val="1"/>
                <w:color w:val="auto"/>
              </w:rPr>
              <w:t>Coupon</w:t>
            </w:r>
          </w:p>
        </w:tc>
        <w:tc>
          <w:tcPr>
            <w:tcW w:w="780" w:type="dxa"/>
            <w:vAlign w:val="bottom"/>
          </w:tcPr>
          <w:p>
            <w:pPr>
              <w:jc w:val="center"/>
              <w:spacing w:after="0" w:line="149" w:lineRule="exact"/>
              <w:rPr>
                <w:sz w:val="20"/>
                <w:szCs w:val="20"/>
                <w:color w:val="auto"/>
              </w:rPr>
            </w:pPr>
            <w:r>
              <w:rPr>
                <w:rFonts w:ascii="Arial" w:cs="Arial" w:eastAsia="Arial" w:hAnsi="Arial"/>
                <w:sz w:val="11"/>
                <w:szCs w:val="11"/>
                <w:b w:val="1"/>
                <w:bCs w:val="1"/>
                <w:color w:val="auto"/>
                <w:w w:val="87"/>
              </w:rPr>
              <w:t xml:space="preserve">Index </w:t>
            </w:r>
            <w:r>
              <w:rPr>
                <w:rFonts w:ascii="Arial" w:cs="Arial" w:eastAsia="Arial" w:hAnsi="Arial"/>
                <w:sz w:val="14"/>
                <w:szCs w:val="14"/>
                <w:b w:val="1"/>
                <w:bCs w:val="1"/>
                <w:color w:val="auto"/>
                <w:w w:val="87"/>
                <w:vertAlign w:val="superscript"/>
              </w:rPr>
              <w:t>(1)</w:t>
            </w:r>
          </w:p>
        </w:tc>
        <w:tc>
          <w:tcPr>
            <w:tcW w:w="1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960" w:type="dxa"/>
            <w:vAlign w:val="bottom"/>
            <w:tcBorders>
              <w:top w:val="single" w:sz="8" w:color="auto"/>
            </w:tcBorders>
          </w:tcPr>
          <w:p>
            <w:pPr>
              <w:ind w:left="20"/>
              <w:spacing w:after="0"/>
              <w:rPr>
                <w:sz w:val="20"/>
                <w:szCs w:val="20"/>
                <w:color w:val="auto"/>
              </w:rPr>
            </w:pPr>
            <w:r>
              <w:rPr>
                <w:rFonts w:ascii="Arial" w:cs="Arial" w:eastAsia="Arial" w:hAnsi="Arial"/>
                <w:sz w:val="11"/>
                <w:szCs w:val="11"/>
                <w:b w:val="1"/>
                <w:bCs w:val="1"/>
                <w:color w:val="auto"/>
              </w:rPr>
              <w:t>First Lien Secured Debt - 1,088.%</w:t>
            </w:r>
          </w:p>
        </w:tc>
        <w:tc>
          <w:tcPr>
            <w:tcW w:w="14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4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shd w:val="clear" w:color="auto" w:fill="CCECFF"/>
          </w:tcPr>
          <w:p>
            <w:pPr>
              <w:ind w:left="20"/>
              <w:spacing w:after="0"/>
              <w:rPr>
                <w:sz w:val="20"/>
                <w:szCs w:val="20"/>
                <w:color w:val="auto"/>
              </w:rPr>
            </w:pPr>
            <w:r>
              <w:rPr>
                <w:rFonts w:ascii="Arial" w:cs="Arial" w:eastAsia="Arial" w:hAnsi="Arial"/>
                <w:sz w:val="11"/>
                <w:szCs w:val="11"/>
                <w:color w:val="auto"/>
              </w:rPr>
              <w:t>Ad.net Acquisition, LLC</w:t>
            </w:r>
          </w:p>
        </w:tc>
        <w:tc>
          <w:tcPr>
            <w:tcW w:w="7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7"/>
              </w:rPr>
              <w:t>05/06/2026</w:t>
            </w:r>
          </w:p>
        </w:tc>
        <w:tc>
          <w:tcPr>
            <w:tcW w:w="120" w:type="dxa"/>
            <w:vAlign w:val="bottom"/>
            <w:shd w:val="clear" w:color="auto" w:fill="CCECFF"/>
          </w:tcPr>
          <w:p>
            <w:pPr>
              <w:spacing w:after="0"/>
              <w:rPr>
                <w:sz w:val="11"/>
                <w:szCs w:val="11"/>
                <w:color w:val="auto"/>
              </w:rPr>
            </w:pPr>
          </w:p>
        </w:tc>
        <w:tc>
          <w:tcPr>
            <w:tcW w:w="24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Media</w:t>
            </w:r>
          </w:p>
        </w:tc>
        <w:tc>
          <w:tcPr>
            <w:tcW w:w="1120" w:type="dxa"/>
            <w:vAlign w:val="bottom"/>
            <w:gridSpan w:val="3"/>
            <w:shd w:val="clear" w:color="auto" w:fill="CCECFF"/>
          </w:tcPr>
          <w:p>
            <w:pPr>
              <w:jc w:val="right"/>
              <w:ind w:right="160"/>
              <w:spacing w:after="0"/>
              <w:rPr>
                <w:sz w:val="20"/>
                <w:szCs w:val="20"/>
                <w:color w:val="auto"/>
              </w:rPr>
            </w:pPr>
            <w:r>
              <w:rPr>
                <w:rFonts w:ascii="Arial" w:cs="Arial" w:eastAsia="Arial" w:hAnsi="Arial"/>
                <w:sz w:val="11"/>
                <w:szCs w:val="11"/>
                <w:color w:val="auto"/>
              </w:rPr>
              <w:t>7.00 %</w:t>
            </w:r>
          </w:p>
        </w:tc>
        <w:tc>
          <w:tcPr>
            <w:tcW w:w="7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L+600</w:t>
            </w:r>
          </w:p>
        </w:tc>
        <w:tc>
          <w:tcPr>
            <w:tcW w:w="8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8,978</w:t>
            </w:r>
          </w:p>
        </w:tc>
        <w:tc>
          <w:tcPr>
            <w:tcW w:w="400" w:type="dxa"/>
            <w:vAlign w:val="bottom"/>
            <w:gridSpan w:val="2"/>
            <w:shd w:val="clear" w:color="auto" w:fill="CCECFF"/>
          </w:tcPr>
          <w:p>
            <w:pPr>
              <w:jc w:val="right"/>
              <w:ind w:right="100"/>
              <w:spacing w:after="0"/>
              <w:rPr>
                <w:sz w:val="20"/>
                <w:szCs w:val="20"/>
                <w:color w:val="auto"/>
              </w:rPr>
            </w:pPr>
            <w:r>
              <w:rPr>
                <w:rFonts w:ascii="Arial" w:cs="Arial" w:eastAsia="Arial" w:hAnsi="Arial"/>
                <w:sz w:val="11"/>
                <w:szCs w:val="11"/>
                <w:color w:val="auto"/>
              </w:rPr>
              <w:t>$</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8,852</w:t>
            </w:r>
          </w:p>
        </w:tc>
        <w:tc>
          <w:tcPr>
            <w:tcW w:w="32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w:t>
            </w:r>
          </w:p>
        </w:tc>
        <w:tc>
          <w:tcPr>
            <w:tcW w:w="7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8,843</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tcPr>
          <w:p>
            <w:pPr>
              <w:ind w:left="20"/>
              <w:spacing w:after="0"/>
              <w:rPr>
                <w:sz w:val="20"/>
                <w:szCs w:val="20"/>
                <w:color w:val="auto"/>
              </w:rPr>
            </w:pPr>
            <w:r>
              <w:rPr>
                <w:rFonts w:ascii="Arial" w:cs="Arial" w:eastAsia="Arial" w:hAnsi="Arial"/>
                <w:sz w:val="11"/>
                <w:szCs w:val="11"/>
                <w:color w:val="auto"/>
              </w:rPr>
              <w:t>Altamira Technologies, LLC</w:t>
            </w:r>
          </w:p>
        </w:tc>
        <w:tc>
          <w:tcPr>
            <w:tcW w:w="78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07/24/2025</w:t>
            </w:r>
          </w:p>
        </w:tc>
        <w:tc>
          <w:tcPr>
            <w:tcW w:w="120" w:type="dxa"/>
            <w:vAlign w:val="bottom"/>
          </w:tcPr>
          <w:p>
            <w:pPr>
              <w:spacing w:after="0"/>
              <w:rPr>
                <w:sz w:val="11"/>
                <w:szCs w:val="11"/>
                <w:color w:val="auto"/>
              </w:rPr>
            </w:pPr>
          </w:p>
        </w:tc>
        <w:tc>
          <w:tcPr>
            <w:tcW w:w="2460" w:type="dxa"/>
            <w:vAlign w:val="bottom"/>
          </w:tcPr>
          <w:p>
            <w:pPr>
              <w:jc w:val="center"/>
              <w:spacing w:after="0"/>
              <w:rPr>
                <w:sz w:val="20"/>
                <w:szCs w:val="20"/>
                <w:color w:val="auto"/>
              </w:rPr>
            </w:pPr>
            <w:r>
              <w:rPr>
                <w:rFonts w:ascii="Arial" w:cs="Arial" w:eastAsia="Arial" w:hAnsi="Arial"/>
                <w:sz w:val="11"/>
                <w:szCs w:val="11"/>
                <w:color w:val="auto"/>
                <w:w w:val="86"/>
              </w:rPr>
              <w:t>Business Services</w:t>
            </w:r>
          </w:p>
        </w:tc>
        <w:tc>
          <w:tcPr>
            <w:tcW w:w="1120" w:type="dxa"/>
            <w:vAlign w:val="bottom"/>
            <w:gridSpan w:val="3"/>
          </w:tcPr>
          <w:p>
            <w:pPr>
              <w:jc w:val="right"/>
              <w:ind w:right="160"/>
              <w:spacing w:after="0"/>
              <w:rPr>
                <w:sz w:val="20"/>
                <w:szCs w:val="20"/>
                <w:color w:val="auto"/>
              </w:rPr>
            </w:pPr>
            <w:r>
              <w:rPr>
                <w:rFonts w:ascii="Arial" w:cs="Arial" w:eastAsia="Arial" w:hAnsi="Arial"/>
                <w:sz w:val="11"/>
                <w:szCs w:val="11"/>
                <w:color w:val="auto"/>
              </w:rPr>
              <w:t>8.00 %</w:t>
            </w:r>
          </w:p>
        </w:tc>
        <w:tc>
          <w:tcPr>
            <w:tcW w:w="780" w:type="dxa"/>
            <w:vAlign w:val="bottom"/>
          </w:tcPr>
          <w:p>
            <w:pPr>
              <w:jc w:val="right"/>
              <w:spacing w:after="0"/>
              <w:rPr>
                <w:sz w:val="20"/>
                <w:szCs w:val="20"/>
                <w:color w:val="auto"/>
              </w:rPr>
            </w:pPr>
            <w:r>
              <w:rPr>
                <w:rFonts w:ascii="Arial" w:cs="Arial" w:eastAsia="Arial" w:hAnsi="Arial"/>
                <w:sz w:val="11"/>
                <w:szCs w:val="11"/>
                <w:color w:val="auto"/>
              </w:rPr>
              <w:t>3M L+700</w:t>
            </w: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5,525</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5,376</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5,180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shd w:val="clear" w:color="auto" w:fill="CCECFF"/>
          </w:tcPr>
          <w:p>
            <w:pPr>
              <w:ind w:left="20"/>
              <w:spacing w:after="0"/>
              <w:rPr>
                <w:sz w:val="20"/>
                <w:szCs w:val="20"/>
                <w:color w:val="auto"/>
              </w:rPr>
            </w:pPr>
            <w:r>
              <w:rPr>
                <w:rFonts w:ascii="Arial" w:cs="Arial" w:eastAsia="Arial" w:hAnsi="Arial"/>
                <w:sz w:val="11"/>
                <w:szCs w:val="11"/>
                <w:color w:val="auto"/>
              </w:rPr>
              <w:t>American Insulated Glass, LLC</w:t>
            </w:r>
          </w:p>
        </w:tc>
        <w:tc>
          <w:tcPr>
            <w:tcW w:w="7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7"/>
              </w:rPr>
              <w:t>12/21/2023</w:t>
            </w:r>
          </w:p>
        </w:tc>
        <w:tc>
          <w:tcPr>
            <w:tcW w:w="120" w:type="dxa"/>
            <w:vAlign w:val="bottom"/>
            <w:shd w:val="clear" w:color="auto" w:fill="CCECFF"/>
          </w:tcPr>
          <w:p>
            <w:pPr>
              <w:spacing w:after="0"/>
              <w:rPr>
                <w:sz w:val="11"/>
                <w:szCs w:val="11"/>
                <w:color w:val="auto"/>
              </w:rPr>
            </w:pPr>
          </w:p>
        </w:tc>
        <w:tc>
          <w:tcPr>
            <w:tcW w:w="24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1"/>
              </w:rPr>
              <w:t>Building Products</w:t>
            </w:r>
          </w:p>
        </w:tc>
        <w:tc>
          <w:tcPr>
            <w:tcW w:w="1120" w:type="dxa"/>
            <w:vAlign w:val="bottom"/>
            <w:gridSpan w:val="3"/>
            <w:shd w:val="clear" w:color="auto" w:fill="CCECFF"/>
          </w:tcPr>
          <w:p>
            <w:pPr>
              <w:jc w:val="right"/>
              <w:ind w:right="160"/>
              <w:spacing w:after="0"/>
              <w:rPr>
                <w:sz w:val="20"/>
                <w:szCs w:val="20"/>
                <w:color w:val="auto"/>
              </w:rPr>
            </w:pPr>
            <w:r>
              <w:rPr>
                <w:rFonts w:ascii="Arial" w:cs="Arial" w:eastAsia="Arial" w:hAnsi="Arial"/>
                <w:sz w:val="11"/>
                <w:szCs w:val="11"/>
                <w:color w:val="auto"/>
              </w:rPr>
              <w:t>6.50 %</w:t>
            </w:r>
          </w:p>
        </w:tc>
        <w:tc>
          <w:tcPr>
            <w:tcW w:w="7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L+550</w:t>
            </w:r>
          </w:p>
        </w:tc>
        <w:tc>
          <w:tcPr>
            <w:tcW w:w="8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5,721</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5,653</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5,663</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tcPr>
          <w:p>
            <w:pPr>
              <w:ind w:left="20"/>
              <w:spacing w:after="0"/>
              <w:rPr>
                <w:sz w:val="20"/>
                <w:szCs w:val="20"/>
                <w:color w:val="auto"/>
              </w:rPr>
            </w:pPr>
            <w:r>
              <w:rPr>
                <w:rFonts w:ascii="Arial" w:cs="Arial" w:eastAsia="Arial" w:hAnsi="Arial"/>
                <w:sz w:val="11"/>
                <w:szCs w:val="11"/>
                <w:color w:val="auto"/>
              </w:rPr>
              <w:t>Apex Service Partners, LLC</w:t>
            </w:r>
          </w:p>
        </w:tc>
        <w:tc>
          <w:tcPr>
            <w:tcW w:w="78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07/31/2025</w:t>
            </w:r>
          </w:p>
        </w:tc>
        <w:tc>
          <w:tcPr>
            <w:tcW w:w="120" w:type="dxa"/>
            <w:vAlign w:val="bottom"/>
          </w:tcPr>
          <w:p>
            <w:pPr>
              <w:spacing w:after="0"/>
              <w:rPr>
                <w:sz w:val="11"/>
                <w:szCs w:val="11"/>
                <w:color w:val="auto"/>
              </w:rPr>
            </w:pPr>
          </w:p>
        </w:tc>
        <w:tc>
          <w:tcPr>
            <w:tcW w:w="2460" w:type="dxa"/>
            <w:vAlign w:val="bottom"/>
          </w:tcPr>
          <w:p>
            <w:pPr>
              <w:jc w:val="center"/>
              <w:spacing w:after="0"/>
              <w:rPr>
                <w:sz w:val="20"/>
                <w:szCs w:val="20"/>
                <w:color w:val="auto"/>
              </w:rPr>
            </w:pPr>
            <w:r>
              <w:rPr>
                <w:rFonts w:ascii="Arial" w:cs="Arial" w:eastAsia="Arial" w:hAnsi="Arial"/>
                <w:sz w:val="11"/>
                <w:szCs w:val="11"/>
                <w:color w:val="auto"/>
                <w:w w:val="89"/>
              </w:rPr>
              <w:t>Diversified Consumer Services</w:t>
            </w:r>
          </w:p>
        </w:tc>
        <w:tc>
          <w:tcPr>
            <w:tcW w:w="1120" w:type="dxa"/>
            <w:vAlign w:val="bottom"/>
            <w:gridSpan w:val="3"/>
          </w:tcPr>
          <w:p>
            <w:pPr>
              <w:jc w:val="right"/>
              <w:ind w:right="160"/>
              <w:spacing w:after="0"/>
              <w:rPr>
                <w:sz w:val="20"/>
                <w:szCs w:val="20"/>
                <w:color w:val="auto"/>
              </w:rPr>
            </w:pPr>
            <w:r>
              <w:rPr>
                <w:rFonts w:ascii="Arial" w:cs="Arial" w:eastAsia="Arial" w:hAnsi="Arial"/>
                <w:sz w:val="11"/>
                <w:szCs w:val="11"/>
                <w:color w:val="auto"/>
              </w:rPr>
              <w:t>6.25 %</w:t>
            </w:r>
          </w:p>
        </w:tc>
        <w:tc>
          <w:tcPr>
            <w:tcW w:w="780" w:type="dxa"/>
            <w:vAlign w:val="bottom"/>
          </w:tcPr>
          <w:p>
            <w:pPr>
              <w:jc w:val="right"/>
              <w:spacing w:after="0"/>
              <w:rPr>
                <w:sz w:val="20"/>
                <w:szCs w:val="20"/>
                <w:color w:val="auto"/>
              </w:rPr>
            </w:pPr>
            <w:r>
              <w:rPr>
                <w:rFonts w:ascii="Arial" w:cs="Arial" w:eastAsia="Arial" w:hAnsi="Arial"/>
                <w:sz w:val="11"/>
                <w:szCs w:val="11"/>
                <w:color w:val="auto"/>
              </w:rPr>
              <w:t>3M L+525</w:t>
            </w: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1,021</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1,021</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1,010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shd w:val="clear" w:color="auto" w:fill="CCECFF"/>
          </w:tcPr>
          <w:p>
            <w:pPr>
              <w:ind w:left="20"/>
              <w:spacing w:after="0"/>
              <w:rPr>
                <w:sz w:val="20"/>
                <w:szCs w:val="20"/>
                <w:color w:val="auto"/>
              </w:rPr>
            </w:pPr>
            <w:r>
              <w:rPr>
                <w:rFonts w:ascii="Arial" w:cs="Arial" w:eastAsia="Arial" w:hAnsi="Arial"/>
                <w:sz w:val="11"/>
                <w:szCs w:val="11"/>
                <w:color w:val="auto"/>
              </w:rPr>
              <w:t>Apex Service Partners, LLC Term Loan B</w:t>
            </w:r>
          </w:p>
        </w:tc>
        <w:tc>
          <w:tcPr>
            <w:tcW w:w="7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7"/>
              </w:rPr>
              <w:t>07/31/2025</w:t>
            </w:r>
          </w:p>
        </w:tc>
        <w:tc>
          <w:tcPr>
            <w:tcW w:w="120" w:type="dxa"/>
            <w:vAlign w:val="bottom"/>
            <w:shd w:val="clear" w:color="auto" w:fill="CCECFF"/>
          </w:tcPr>
          <w:p>
            <w:pPr>
              <w:spacing w:after="0"/>
              <w:rPr>
                <w:sz w:val="11"/>
                <w:szCs w:val="11"/>
                <w:color w:val="auto"/>
              </w:rPr>
            </w:pPr>
          </w:p>
        </w:tc>
        <w:tc>
          <w:tcPr>
            <w:tcW w:w="24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Diversified Consumer Services</w:t>
            </w:r>
          </w:p>
        </w:tc>
        <w:tc>
          <w:tcPr>
            <w:tcW w:w="1120" w:type="dxa"/>
            <w:vAlign w:val="bottom"/>
            <w:gridSpan w:val="3"/>
            <w:shd w:val="clear" w:color="auto" w:fill="CCECFF"/>
          </w:tcPr>
          <w:p>
            <w:pPr>
              <w:jc w:val="right"/>
              <w:ind w:right="160"/>
              <w:spacing w:after="0"/>
              <w:rPr>
                <w:sz w:val="20"/>
                <w:szCs w:val="20"/>
                <w:color w:val="auto"/>
              </w:rPr>
            </w:pPr>
            <w:r>
              <w:rPr>
                <w:rFonts w:ascii="Arial" w:cs="Arial" w:eastAsia="Arial" w:hAnsi="Arial"/>
                <w:sz w:val="11"/>
                <w:szCs w:val="11"/>
                <w:color w:val="auto"/>
              </w:rPr>
              <w:t>6.50 %</w:t>
            </w:r>
          </w:p>
        </w:tc>
        <w:tc>
          <w:tcPr>
            <w:tcW w:w="7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L+550</w:t>
            </w:r>
          </w:p>
        </w:tc>
        <w:tc>
          <w:tcPr>
            <w:tcW w:w="8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2,222</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2,222</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2,200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tcPr>
          <w:p>
            <w:pPr>
              <w:ind w:left="20"/>
              <w:spacing w:after="0"/>
              <w:rPr>
                <w:sz w:val="20"/>
                <w:szCs w:val="20"/>
                <w:color w:val="auto"/>
              </w:rPr>
            </w:pPr>
            <w:r>
              <w:rPr>
                <w:rFonts w:ascii="Arial" w:cs="Arial" w:eastAsia="Arial" w:hAnsi="Arial"/>
                <w:sz w:val="11"/>
                <w:szCs w:val="11"/>
                <w:color w:val="auto"/>
              </w:rPr>
              <w:t>Apex Service Partners, LLC Term Loan C</w:t>
            </w:r>
          </w:p>
        </w:tc>
        <w:tc>
          <w:tcPr>
            <w:tcW w:w="78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07/31/2025</w:t>
            </w:r>
          </w:p>
        </w:tc>
        <w:tc>
          <w:tcPr>
            <w:tcW w:w="120" w:type="dxa"/>
            <w:vAlign w:val="bottom"/>
          </w:tcPr>
          <w:p>
            <w:pPr>
              <w:spacing w:after="0"/>
              <w:rPr>
                <w:sz w:val="11"/>
                <w:szCs w:val="11"/>
                <w:color w:val="auto"/>
              </w:rPr>
            </w:pPr>
          </w:p>
        </w:tc>
        <w:tc>
          <w:tcPr>
            <w:tcW w:w="2460" w:type="dxa"/>
            <w:vAlign w:val="bottom"/>
          </w:tcPr>
          <w:p>
            <w:pPr>
              <w:jc w:val="center"/>
              <w:spacing w:after="0"/>
              <w:rPr>
                <w:sz w:val="20"/>
                <w:szCs w:val="20"/>
                <w:color w:val="auto"/>
              </w:rPr>
            </w:pPr>
            <w:r>
              <w:rPr>
                <w:rFonts w:ascii="Arial" w:cs="Arial" w:eastAsia="Arial" w:hAnsi="Arial"/>
                <w:sz w:val="11"/>
                <w:szCs w:val="11"/>
                <w:color w:val="auto"/>
                <w:w w:val="89"/>
              </w:rPr>
              <w:t>Diversified Consumer Services</w:t>
            </w:r>
          </w:p>
        </w:tc>
        <w:tc>
          <w:tcPr>
            <w:tcW w:w="1120" w:type="dxa"/>
            <w:vAlign w:val="bottom"/>
            <w:gridSpan w:val="3"/>
          </w:tcPr>
          <w:p>
            <w:pPr>
              <w:jc w:val="right"/>
              <w:ind w:right="160"/>
              <w:spacing w:after="0"/>
              <w:rPr>
                <w:sz w:val="20"/>
                <w:szCs w:val="20"/>
                <w:color w:val="auto"/>
              </w:rPr>
            </w:pPr>
            <w:r>
              <w:rPr>
                <w:rFonts w:ascii="Arial" w:cs="Arial" w:eastAsia="Arial" w:hAnsi="Arial"/>
                <w:sz w:val="11"/>
                <w:szCs w:val="11"/>
                <w:color w:val="auto"/>
              </w:rPr>
              <w:t>6.25 %</w:t>
            </w:r>
          </w:p>
        </w:tc>
        <w:tc>
          <w:tcPr>
            <w:tcW w:w="780" w:type="dxa"/>
            <w:vAlign w:val="bottom"/>
          </w:tcPr>
          <w:p>
            <w:pPr>
              <w:jc w:val="right"/>
              <w:spacing w:after="0"/>
              <w:rPr>
                <w:sz w:val="20"/>
                <w:szCs w:val="20"/>
                <w:color w:val="auto"/>
              </w:rPr>
            </w:pPr>
            <w:r>
              <w:rPr>
                <w:rFonts w:ascii="Arial" w:cs="Arial" w:eastAsia="Arial" w:hAnsi="Arial"/>
                <w:sz w:val="11"/>
                <w:szCs w:val="11"/>
                <w:color w:val="auto"/>
              </w:rPr>
              <w:t>3M L+525</w:t>
            </w: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4,174</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4,103</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4,132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shd w:val="clear" w:color="auto" w:fill="CCECFF"/>
          </w:tcPr>
          <w:p>
            <w:pPr>
              <w:ind w:left="20"/>
              <w:spacing w:after="0"/>
              <w:rPr>
                <w:sz w:val="20"/>
                <w:szCs w:val="20"/>
                <w:color w:val="auto"/>
              </w:rPr>
            </w:pPr>
            <w:r>
              <w:rPr>
                <w:rFonts w:ascii="Arial" w:cs="Arial" w:eastAsia="Arial" w:hAnsi="Arial"/>
                <w:sz w:val="11"/>
                <w:szCs w:val="11"/>
                <w:color w:val="auto"/>
              </w:rPr>
              <w:t>Applied Technical Services, LLC</w:t>
            </w:r>
          </w:p>
        </w:tc>
        <w:tc>
          <w:tcPr>
            <w:tcW w:w="7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7"/>
              </w:rPr>
              <w:t>12/29/2026</w:t>
            </w:r>
          </w:p>
        </w:tc>
        <w:tc>
          <w:tcPr>
            <w:tcW w:w="120" w:type="dxa"/>
            <w:vAlign w:val="bottom"/>
            <w:shd w:val="clear" w:color="auto" w:fill="CCECFF"/>
          </w:tcPr>
          <w:p>
            <w:pPr>
              <w:spacing w:after="0"/>
              <w:rPr>
                <w:sz w:val="11"/>
                <w:szCs w:val="11"/>
                <w:color w:val="auto"/>
              </w:rPr>
            </w:pPr>
          </w:p>
        </w:tc>
        <w:tc>
          <w:tcPr>
            <w:tcW w:w="24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Commercial Services &amp; Supplies</w:t>
            </w:r>
          </w:p>
        </w:tc>
        <w:tc>
          <w:tcPr>
            <w:tcW w:w="1120" w:type="dxa"/>
            <w:vAlign w:val="bottom"/>
            <w:gridSpan w:val="3"/>
            <w:shd w:val="clear" w:color="auto" w:fill="CCECFF"/>
          </w:tcPr>
          <w:p>
            <w:pPr>
              <w:jc w:val="right"/>
              <w:ind w:right="160"/>
              <w:spacing w:after="0"/>
              <w:rPr>
                <w:sz w:val="20"/>
                <w:szCs w:val="20"/>
                <w:color w:val="auto"/>
              </w:rPr>
            </w:pPr>
            <w:r>
              <w:rPr>
                <w:rFonts w:ascii="Arial" w:cs="Arial" w:eastAsia="Arial" w:hAnsi="Arial"/>
                <w:sz w:val="11"/>
                <w:szCs w:val="11"/>
                <w:color w:val="auto"/>
              </w:rPr>
              <w:t>6.75 %</w:t>
            </w:r>
          </w:p>
        </w:tc>
        <w:tc>
          <w:tcPr>
            <w:tcW w:w="7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L+575</w:t>
            </w:r>
          </w:p>
        </w:tc>
        <w:tc>
          <w:tcPr>
            <w:tcW w:w="8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4,511</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4,419</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4,421</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tcPr>
          <w:p>
            <w:pPr>
              <w:ind w:left="20"/>
              <w:spacing w:after="0"/>
              <w:rPr>
                <w:sz w:val="20"/>
                <w:szCs w:val="20"/>
                <w:color w:val="auto"/>
              </w:rPr>
            </w:pPr>
            <w:r>
              <w:rPr>
                <w:rFonts w:ascii="Arial" w:cs="Arial" w:eastAsia="Arial" w:hAnsi="Arial"/>
                <w:sz w:val="11"/>
                <w:szCs w:val="11"/>
                <w:color w:val="auto"/>
              </w:rPr>
              <w:t>By Light Professional IT Services, LLC</w:t>
            </w:r>
          </w:p>
        </w:tc>
        <w:tc>
          <w:tcPr>
            <w:tcW w:w="78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05/16/2022</w:t>
            </w:r>
          </w:p>
        </w:tc>
        <w:tc>
          <w:tcPr>
            <w:tcW w:w="120" w:type="dxa"/>
            <w:vAlign w:val="bottom"/>
          </w:tcPr>
          <w:p>
            <w:pPr>
              <w:spacing w:after="0"/>
              <w:rPr>
                <w:sz w:val="11"/>
                <w:szCs w:val="11"/>
                <w:color w:val="auto"/>
              </w:rPr>
            </w:pPr>
          </w:p>
        </w:tc>
        <w:tc>
          <w:tcPr>
            <w:tcW w:w="2460" w:type="dxa"/>
            <w:vAlign w:val="bottom"/>
          </w:tcPr>
          <w:p>
            <w:pPr>
              <w:jc w:val="center"/>
              <w:spacing w:after="0"/>
              <w:rPr>
                <w:sz w:val="20"/>
                <w:szCs w:val="20"/>
                <w:color w:val="auto"/>
              </w:rPr>
            </w:pPr>
            <w:r>
              <w:rPr>
                <w:rFonts w:ascii="Arial" w:cs="Arial" w:eastAsia="Arial" w:hAnsi="Arial"/>
                <w:sz w:val="11"/>
                <w:szCs w:val="11"/>
                <w:color w:val="auto"/>
                <w:w w:val="89"/>
              </w:rPr>
              <w:t>High Tech Industries</w:t>
            </w:r>
          </w:p>
        </w:tc>
        <w:tc>
          <w:tcPr>
            <w:tcW w:w="1120" w:type="dxa"/>
            <w:vAlign w:val="bottom"/>
            <w:gridSpan w:val="3"/>
          </w:tcPr>
          <w:p>
            <w:pPr>
              <w:jc w:val="right"/>
              <w:ind w:right="160"/>
              <w:spacing w:after="0"/>
              <w:rPr>
                <w:sz w:val="20"/>
                <w:szCs w:val="20"/>
                <w:color w:val="auto"/>
              </w:rPr>
            </w:pPr>
            <w:r>
              <w:rPr>
                <w:rFonts w:ascii="Arial" w:cs="Arial" w:eastAsia="Arial" w:hAnsi="Arial"/>
                <w:sz w:val="11"/>
                <w:szCs w:val="11"/>
                <w:color w:val="auto"/>
              </w:rPr>
              <w:t>7.25 %</w:t>
            </w:r>
          </w:p>
        </w:tc>
        <w:tc>
          <w:tcPr>
            <w:tcW w:w="780" w:type="dxa"/>
            <w:vAlign w:val="bottom"/>
          </w:tcPr>
          <w:p>
            <w:pPr>
              <w:jc w:val="right"/>
              <w:spacing w:after="0"/>
              <w:rPr>
                <w:sz w:val="20"/>
                <w:szCs w:val="20"/>
                <w:color w:val="auto"/>
              </w:rPr>
            </w:pPr>
            <w:r>
              <w:rPr>
                <w:rFonts w:ascii="Arial" w:cs="Arial" w:eastAsia="Arial" w:hAnsi="Arial"/>
                <w:sz w:val="11"/>
                <w:szCs w:val="11"/>
                <w:color w:val="auto"/>
              </w:rPr>
              <w:t>1M L+625</w:t>
            </w: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12,880</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12,869</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12,880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960" w:type="dxa"/>
            <w:vAlign w:val="bottom"/>
            <w:shd w:val="clear" w:color="auto" w:fill="CCECFF"/>
          </w:tcPr>
          <w:p>
            <w:pPr>
              <w:ind w:left="20"/>
              <w:spacing w:after="0" w:line="125" w:lineRule="exact"/>
              <w:rPr>
                <w:sz w:val="20"/>
                <w:szCs w:val="20"/>
                <w:color w:val="auto"/>
              </w:rPr>
            </w:pPr>
            <w:r>
              <w:rPr>
                <w:rFonts w:ascii="Arial" w:cs="Arial" w:eastAsia="Arial" w:hAnsi="Arial"/>
                <w:sz w:val="11"/>
                <w:szCs w:val="11"/>
                <w:color w:val="auto"/>
              </w:rPr>
              <w:t>Cadence Aerospace, LLC</w:t>
            </w:r>
          </w:p>
        </w:tc>
        <w:tc>
          <w:tcPr>
            <w:tcW w:w="780" w:type="dxa"/>
            <w:vAlign w:val="bottom"/>
            <w:gridSpan w:val="2"/>
            <w:shd w:val="clear" w:color="auto" w:fill="CCECFF"/>
          </w:tcPr>
          <w:p>
            <w:pPr>
              <w:jc w:val="center"/>
              <w:ind w:left="86"/>
              <w:spacing w:after="0" w:line="125" w:lineRule="exact"/>
              <w:rPr>
                <w:sz w:val="20"/>
                <w:szCs w:val="20"/>
                <w:color w:val="auto"/>
              </w:rPr>
            </w:pPr>
            <w:r>
              <w:rPr>
                <w:rFonts w:ascii="Arial" w:cs="Arial" w:eastAsia="Arial" w:hAnsi="Arial"/>
                <w:sz w:val="11"/>
                <w:szCs w:val="11"/>
                <w:color w:val="auto"/>
                <w:w w:val="87"/>
              </w:rPr>
              <w:t>11/14/2023</w:t>
            </w:r>
          </w:p>
        </w:tc>
        <w:tc>
          <w:tcPr>
            <w:tcW w:w="120" w:type="dxa"/>
            <w:vAlign w:val="bottom"/>
            <w:shd w:val="clear" w:color="auto" w:fill="CCECFF"/>
          </w:tcPr>
          <w:p>
            <w:pPr>
              <w:spacing w:after="0"/>
              <w:rPr>
                <w:sz w:val="10"/>
                <w:szCs w:val="10"/>
                <w:color w:val="auto"/>
              </w:rPr>
            </w:pPr>
          </w:p>
        </w:tc>
        <w:tc>
          <w:tcPr>
            <w:tcW w:w="2460" w:type="dxa"/>
            <w:vAlign w:val="bottom"/>
            <w:shd w:val="clear" w:color="auto" w:fill="CCECFF"/>
          </w:tcPr>
          <w:p>
            <w:pPr>
              <w:jc w:val="center"/>
              <w:spacing w:after="0" w:line="125" w:lineRule="exact"/>
              <w:rPr>
                <w:sz w:val="20"/>
                <w:szCs w:val="20"/>
                <w:color w:val="auto"/>
              </w:rPr>
            </w:pPr>
            <w:r>
              <w:rPr>
                <w:rFonts w:ascii="Arial" w:cs="Arial" w:eastAsia="Arial" w:hAnsi="Arial"/>
                <w:sz w:val="11"/>
                <w:szCs w:val="11"/>
                <w:color w:val="auto"/>
                <w:w w:val="86"/>
              </w:rPr>
              <w:t>Aerospace and Defense</w:t>
            </w:r>
          </w:p>
        </w:tc>
        <w:tc>
          <w:tcPr>
            <w:tcW w:w="1120" w:type="dxa"/>
            <w:vAlign w:val="bottom"/>
            <w:gridSpan w:val="3"/>
            <w:shd w:val="clear" w:color="auto" w:fill="CCECFF"/>
          </w:tcPr>
          <w:p>
            <w:pPr>
              <w:jc w:val="right"/>
              <w:ind w:right="160"/>
              <w:spacing w:after="0" w:line="125" w:lineRule="exact"/>
              <w:rPr>
                <w:sz w:val="20"/>
                <w:szCs w:val="20"/>
                <w:color w:val="auto"/>
              </w:rPr>
            </w:pPr>
            <w:r>
              <w:rPr>
                <w:rFonts w:ascii="Arial" w:cs="Arial" w:eastAsia="Arial" w:hAnsi="Arial"/>
                <w:sz w:val="11"/>
                <w:szCs w:val="11"/>
                <w:color w:val="auto"/>
              </w:rPr>
              <w:t>9.50 %</w:t>
            </w:r>
          </w:p>
        </w:tc>
        <w:tc>
          <w:tcPr>
            <w:tcW w:w="780" w:type="dxa"/>
            <w:vAlign w:val="bottom"/>
            <w:shd w:val="clear" w:color="auto" w:fill="CCECFF"/>
          </w:tcPr>
          <w:p>
            <w:pPr>
              <w:jc w:val="right"/>
              <w:spacing w:after="0" w:line="125" w:lineRule="exact"/>
              <w:rPr>
                <w:sz w:val="20"/>
                <w:szCs w:val="20"/>
                <w:color w:val="auto"/>
              </w:rPr>
            </w:pPr>
            <w:r>
              <w:rPr>
                <w:rFonts w:ascii="Arial" w:cs="Arial" w:eastAsia="Arial" w:hAnsi="Arial"/>
                <w:sz w:val="11"/>
                <w:szCs w:val="11"/>
                <w:color w:val="auto"/>
              </w:rPr>
              <w:t>3M L+850</w:t>
            </w:r>
          </w:p>
        </w:tc>
        <w:tc>
          <w:tcPr>
            <w:tcW w:w="860" w:type="dxa"/>
            <w:vAlign w:val="bottom"/>
            <w:gridSpan w:val="2"/>
            <w:shd w:val="clear" w:color="auto" w:fill="CCECFF"/>
          </w:tcPr>
          <w:p>
            <w:pPr>
              <w:jc w:val="right"/>
              <w:spacing w:after="0" w:line="125" w:lineRule="exact"/>
              <w:rPr>
                <w:sz w:val="20"/>
                <w:szCs w:val="20"/>
                <w:color w:val="auto"/>
              </w:rPr>
            </w:pPr>
            <w:r>
              <w:rPr>
                <w:rFonts w:ascii="Arial" w:cs="Arial" w:eastAsia="Arial" w:hAnsi="Arial"/>
                <w:sz w:val="11"/>
                <w:szCs w:val="11"/>
                <w:color w:val="auto"/>
              </w:rPr>
              <w:t>12,282</w:t>
            </w:r>
          </w:p>
        </w:tc>
        <w:tc>
          <w:tcPr>
            <w:tcW w:w="22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line="125" w:lineRule="exact"/>
              <w:rPr>
                <w:sz w:val="20"/>
                <w:szCs w:val="20"/>
                <w:color w:val="auto"/>
              </w:rPr>
            </w:pPr>
            <w:r>
              <w:rPr>
                <w:rFonts w:ascii="Arial" w:cs="Arial" w:eastAsia="Arial" w:hAnsi="Arial"/>
                <w:sz w:val="11"/>
                <w:szCs w:val="11"/>
                <w:color w:val="auto"/>
              </w:rPr>
              <w:t>12,231</w:t>
            </w:r>
          </w:p>
        </w:tc>
        <w:tc>
          <w:tcPr>
            <w:tcW w:w="24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5" w:lineRule="exact"/>
              <w:rPr>
                <w:sz w:val="20"/>
                <w:szCs w:val="20"/>
                <w:color w:val="auto"/>
              </w:rPr>
            </w:pPr>
            <w:r>
              <w:rPr>
                <w:rFonts w:ascii="Arial" w:cs="Arial" w:eastAsia="Arial" w:hAnsi="Arial"/>
                <w:sz w:val="11"/>
                <w:szCs w:val="11"/>
                <w:color w:val="auto"/>
              </w:rPr>
              <w:t>11,981</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96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24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00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P(IK 9.50%)</w:t>
            </w:r>
          </w:p>
        </w:tc>
        <w:tc>
          <w:tcPr>
            <w:tcW w:w="7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960" w:type="dxa"/>
            <w:vAlign w:val="bottom"/>
          </w:tcPr>
          <w:p>
            <w:pPr>
              <w:ind w:left="20"/>
              <w:spacing w:after="0"/>
              <w:rPr>
                <w:sz w:val="20"/>
                <w:szCs w:val="20"/>
                <w:color w:val="auto"/>
              </w:rPr>
            </w:pPr>
            <w:r>
              <w:rPr>
                <w:rFonts w:ascii="Arial" w:cs="Arial" w:eastAsia="Arial" w:hAnsi="Arial"/>
                <w:sz w:val="11"/>
                <w:szCs w:val="11"/>
                <w:color w:val="auto"/>
              </w:rPr>
              <w:t>Cano Health</w:t>
            </w:r>
          </w:p>
        </w:tc>
        <w:tc>
          <w:tcPr>
            <w:tcW w:w="78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11/23/2027</w:t>
            </w:r>
          </w:p>
        </w:tc>
        <w:tc>
          <w:tcPr>
            <w:tcW w:w="120" w:type="dxa"/>
            <w:vAlign w:val="bottom"/>
          </w:tcPr>
          <w:p>
            <w:pPr>
              <w:spacing w:after="0"/>
              <w:rPr>
                <w:sz w:val="11"/>
                <w:szCs w:val="11"/>
                <w:color w:val="auto"/>
              </w:rPr>
            </w:pPr>
          </w:p>
        </w:tc>
        <w:tc>
          <w:tcPr>
            <w:tcW w:w="2460" w:type="dxa"/>
            <w:vAlign w:val="bottom"/>
          </w:tcPr>
          <w:p>
            <w:pPr>
              <w:jc w:val="center"/>
              <w:spacing w:after="0"/>
              <w:rPr>
                <w:sz w:val="20"/>
                <w:szCs w:val="20"/>
                <w:color w:val="auto"/>
              </w:rPr>
            </w:pPr>
            <w:r>
              <w:rPr>
                <w:rFonts w:ascii="Arial" w:cs="Arial" w:eastAsia="Arial" w:hAnsi="Arial"/>
                <w:sz w:val="11"/>
                <w:szCs w:val="11"/>
                <w:color w:val="auto"/>
                <w:w w:val="89"/>
              </w:rPr>
              <w:t>Healthcare, Education &amp; Childcare</w:t>
            </w:r>
          </w:p>
        </w:tc>
        <w:tc>
          <w:tcPr>
            <w:tcW w:w="1120" w:type="dxa"/>
            <w:vAlign w:val="bottom"/>
            <w:gridSpan w:val="3"/>
          </w:tcPr>
          <w:p>
            <w:pPr>
              <w:jc w:val="right"/>
              <w:ind w:right="160"/>
              <w:spacing w:after="0"/>
              <w:rPr>
                <w:sz w:val="20"/>
                <w:szCs w:val="20"/>
                <w:color w:val="auto"/>
              </w:rPr>
            </w:pPr>
            <w:r>
              <w:rPr>
                <w:rFonts w:ascii="Arial" w:cs="Arial" w:eastAsia="Arial" w:hAnsi="Arial"/>
                <w:sz w:val="11"/>
                <w:szCs w:val="11"/>
                <w:color w:val="auto"/>
              </w:rPr>
              <w:t>5.25 %</w:t>
            </w:r>
          </w:p>
        </w:tc>
        <w:tc>
          <w:tcPr>
            <w:tcW w:w="780" w:type="dxa"/>
            <w:vAlign w:val="bottom"/>
          </w:tcPr>
          <w:p>
            <w:pPr>
              <w:jc w:val="right"/>
              <w:spacing w:after="0"/>
              <w:rPr>
                <w:sz w:val="20"/>
                <w:szCs w:val="20"/>
                <w:color w:val="auto"/>
              </w:rPr>
            </w:pPr>
            <w:r>
              <w:rPr>
                <w:rFonts w:ascii="Arial" w:cs="Arial" w:eastAsia="Arial" w:hAnsi="Arial"/>
                <w:sz w:val="11"/>
                <w:szCs w:val="11"/>
                <w:color w:val="auto"/>
              </w:rPr>
              <w:t>3M L+450</w:t>
            </w: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2,653</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2,647</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2,654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shd w:val="clear" w:color="auto" w:fill="CCECFF"/>
          </w:tcPr>
          <w:p>
            <w:pPr>
              <w:ind w:left="20"/>
              <w:spacing w:after="0"/>
              <w:rPr>
                <w:sz w:val="20"/>
                <w:szCs w:val="20"/>
                <w:color w:val="auto"/>
              </w:rPr>
            </w:pPr>
            <w:r>
              <w:rPr>
                <w:rFonts w:ascii="Arial" w:cs="Arial" w:eastAsia="Arial" w:hAnsi="Arial"/>
                <w:sz w:val="11"/>
                <w:szCs w:val="11"/>
                <w:color w:val="auto"/>
              </w:rPr>
              <w:t>CHA Holdings, Inc.</w:t>
            </w:r>
          </w:p>
        </w:tc>
        <w:tc>
          <w:tcPr>
            <w:tcW w:w="7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7"/>
              </w:rPr>
              <w:t>04/10/2025</w:t>
            </w:r>
          </w:p>
        </w:tc>
        <w:tc>
          <w:tcPr>
            <w:tcW w:w="120" w:type="dxa"/>
            <w:vAlign w:val="bottom"/>
            <w:shd w:val="clear" w:color="auto" w:fill="CCECFF"/>
          </w:tcPr>
          <w:p>
            <w:pPr>
              <w:spacing w:after="0"/>
              <w:rPr>
                <w:sz w:val="11"/>
                <w:szCs w:val="11"/>
                <w:color w:val="auto"/>
              </w:rPr>
            </w:pPr>
          </w:p>
        </w:tc>
        <w:tc>
          <w:tcPr>
            <w:tcW w:w="24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Construction and Engineering</w:t>
            </w:r>
          </w:p>
        </w:tc>
        <w:tc>
          <w:tcPr>
            <w:tcW w:w="1120" w:type="dxa"/>
            <w:vAlign w:val="bottom"/>
            <w:gridSpan w:val="3"/>
            <w:shd w:val="clear" w:color="auto" w:fill="CCECFF"/>
          </w:tcPr>
          <w:p>
            <w:pPr>
              <w:jc w:val="right"/>
              <w:ind w:right="160"/>
              <w:spacing w:after="0"/>
              <w:rPr>
                <w:sz w:val="20"/>
                <w:szCs w:val="20"/>
                <w:color w:val="auto"/>
              </w:rPr>
            </w:pPr>
            <w:r>
              <w:rPr>
                <w:rFonts w:ascii="Arial" w:cs="Arial" w:eastAsia="Arial" w:hAnsi="Arial"/>
                <w:sz w:val="11"/>
                <w:szCs w:val="11"/>
                <w:color w:val="auto"/>
              </w:rPr>
              <w:t>5.50 %</w:t>
            </w:r>
          </w:p>
        </w:tc>
        <w:tc>
          <w:tcPr>
            <w:tcW w:w="7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L+450</w:t>
            </w:r>
          </w:p>
        </w:tc>
        <w:tc>
          <w:tcPr>
            <w:tcW w:w="8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5,615</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5,519</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5,530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960" w:type="dxa"/>
            <w:vAlign w:val="bottom"/>
          </w:tcPr>
          <w:p>
            <w:pPr>
              <w:ind w:left="20"/>
              <w:spacing w:after="0" w:line="125" w:lineRule="exact"/>
              <w:rPr>
                <w:sz w:val="20"/>
                <w:szCs w:val="20"/>
                <w:color w:val="auto"/>
              </w:rPr>
            </w:pPr>
            <w:r>
              <w:rPr>
                <w:rFonts w:ascii="Arial" w:cs="Arial" w:eastAsia="Arial" w:hAnsi="Arial"/>
                <w:sz w:val="11"/>
                <w:szCs w:val="11"/>
                <w:color w:val="auto"/>
              </w:rPr>
              <w:t>Challenger Performance Optimization, Inc.</w:t>
            </w:r>
          </w:p>
        </w:tc>
        <w:tc>
          <w:tcPr>
            <w:tcW w:w="780" w:type="dxa"/>
            <w:vAlign w:val="bottom"/>
            <w:gridSpan w:val="2"/>
          </w:tcPr>
          <w:p>
            <w:pPr>
              <w:jc w:val="center"/>
              <w:ind w:left="86"/>
              <w:spacing w:after="0" w:line="125" w:lineRule="exact"/>
              <w:rPr>
                <w:sz w:val="20"/>
                <w:szCs w:val="20"/>
                <w:color w:val="auto"/>
              </w:rPr>
            </w:pPr>
            <w:r>
              <w:rPr>
                <w:rFonts w:ascii="Arial" w:cs="Arial" w:eastAsia="Arial" w:hAnsi="Arial"/>
                <w:sz w:val="11"/>
                <w:szCs w:val="11"/>
                <w:color w:val="auto"/>
                <w:w w:val="87"/>
              </w:rPr>
              <w:t>08/31/2023</w:t>
            </w:r>
          </w:p>
        </w:tc>
        <w:tc>
          <w:tcPr>
            <w:tcW w:w="120" w:type="dxa"/>
            <w:vAlign w:val="bottom"/>
          </w:tcPr>
          <w:p>
            <w:pPr>
              <w:spacing w:after="0"/>
              <w:rPr>
                <w:sz w:val="10"/>
                <w:szCs w:val="10"/>
                <w:color w:val="auto"/>
              </w:rPr>
            </w:pPr>
          </w:p>
        </w:tc>
        <w:tc>
          <w:tcPr>
            <w:tcW w:w="2460" w:type="dxa"/>
            <w:vAlign w:val="bottom"/>
          </w:tcPr>
          <w:p>
            <w:pPr>
              <w:jc w:val="center"/>
              <w:spacing w:after="0" w:line="125" w:lineRule="exact"/>
              <w:rPr>
                <w:sz w:val="20"/>
                <w:szCs w:val="20"/>
                <w:color w:val="auto"/>
              </w:rPr>
            </w:pPr>
            <w:r>
              <w:rPr>
                <w:rFonts w:ascii="Arial" w:cs="Arial" w:eastAsia="Arial" w:hAnsi="Arial"/>
                <w:sz w:val="11"/>
                <w:szCs w:val="11"/>
                <w:color w:val="auto"/>
                <w:w w:val="86"/>
              </w:rPr>
              <w:t>Business Services</w:t>
            </w:r>
          </w:p>
        </w:tc>
        <w:tc>
          <w:tcPr>
            <w:tcW w:w="1120" w:type="dxa"/>
            <w:vAlign w:val="bottom"/>
            <w:gridSpan w:val="3"/>
          </w:tcPr>
          <w:p>
            <w:pPr>
              <w:jc w:val="right"/>
              <w:ind w:right="160"/>
              <w:spacing w:after="0" w:line="125" w:lineRule="exact"/>
              <w:rPr>
                <w:sz w:val="20"/>
                <w:szCs w:val="20"/>
                <w:color w:val="auto"/>
              </w:rPr>
            </w:pPr>
            <w:r>
              <w:rPr>
                <w:rFonts w:ascii="Arial" w:cs="Arial" w:eastAsia="Arial" w:hAnsi="Arial"/>
                <w:sz w:val="11"/>
                <w:szCs w:val="11"/>
                <w:color w:val="auto"/>
              </w:rPr>
              <w:t>8.00 %</w:t>
            </w:r>
          </w:p>
        </w:tc>
        <w:tc>
          <w:tcPr>
            <w:tcW w:w="780" w:type="dxa"/>
            <w:vAlign w:val="bottom"/>
          </w:tcPr>
          <w:p>
            <w:pPr>
              <w:jc w:val="right"/>
              <w:spacing w:after="0" w:line="125" w:lineRule="exact"/>
              <w:rPr>
                <w:sz w:val="20"/>
                <w:szCs w:val="20"/>
                <w:color w:val="auto"/>
              </w:rPr>
            </w:pPr>
            <w:r>
              <w:rPr>
                <w:rFonts w:ascii="Arial" w:cs="Arial" w:eastAsia="Arial" w:hAnsi="Arial"/>
                <w:sz w:val="11"/>
                <w:szCs w:val="11"/>
                <w:color w:val="auto"/>
              </w:rPr>
              <w:t>1M L+675</w:t>
            </w:r>
          </w:p>
        </w:tc>
        <w:tc>
          <w:tcPr>
            <w:tcW w:w="860" w:type="dxa"/>
            <w:vAlign w:val="bottom"/>
            <w:gridSpan w:val="2"/>
          </w:tcPr>
          <w:p>
            <w:pPr>
              <w:jc w:val="right"/>
              <w:spacing w:after="0" w:line="125" w:lineRule="exact"/>
              <w:rPr>
                <w:sz w:val="20"/>
                <w:szCs w:val="20"/>
                <w:color w:val="auto"/>
              </w:rPr>
            </w:pPr>
            <w:r>
              <w:rPr>
                <w:rFonts w:ascii="Arial" w:cs="Arial" w:eastAsia="Arial" w:hAnsi="Arial"/>
                <w:sz w:val="11"/>
                <w:szCs w:val="11"/>
                <w:color w:val="auto"/>
              </w:rPr>
              <w:t>9,501</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jc w:val="right"/>
              <w:spacing w:after="0" w:line="125" w:lineRule="exact"/>
              <w:rPr>
                <w:sz w:val="20"/>
                <w:szCs w:val="20"/>
                <w:color w:val="auto"/>
              </w:rPr>
            </w:pPr>
            <w:r>
              <w:rPr>
                <w:rFonts w:ascii="Arial" w:cs="Arial" w:eastAsia="Arial" w:hAnsi="Arial"/>
                <w:sz w:val="11"/>
                <w:szCs w:val="11"/>
                <w:color w:val="auto"/>
              </w:rPr>
              <w:t>9,454</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line="125" w:lineRule="exact"/>
              <w:rPr>
                <w:sz w:val="20"/>
                <w:szCs w:val="20"/>
                <w:color w:val="auto"/>
              </w:rPr>
            </w:pPr>
            <w:r>
              <w:rPr>
                <w:rFonts w:ascii="Arial" w:cs="Arial" w:eastAsia="Arial" w:hAnsi="Arial"/>
                <w:sz w:val="11"/>
                <w:szCs w:val="11"/>
                <w:color w:val="auto"/>
              </w:rPr>
              <w:t>9,216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1"/>
                <w:szCs w:val="11"/>
                <w:color w:val="auto"/>
              </w:rPr>
              <w:t>P(IK 1.00%)</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960" w:type="dxa"/>
            <w:vAlign w:val="bottom"/>
            <w:shd w:val="clear" w:color="auto" w:fill="CCECFF"/>
          </w:tcPr>
          <w:p>
            <w:pPr>
              <w:ind w:left="20"/>
              <w:spacing w:after="0"/>
              <w:rPr>
                <w:sz w:val="20"/>
                <w:szCs w:val="20"/>
                <w:color w:val="auto"/>
              </w:rPr>
            </w:pPr>
            <w:r>
              <w:rPr>
                <w:rFonts w:ascii="Arial" w:cs="Arial" w:eastAsia="Arial" w:hAnsi="Arial"/>
                <w:sz w:val="11"/>
                <w:szCs w:val="11"/>
                <w:color w:val="auto"/>
              </w:rPr>
              <w:t>Connatix Buyer, Inc</w:t>
            </w:r>
          </w:p>
        </w:tc>
        <w:tc>
          <w:tcPr>
            <w:tcW w:w="7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7"/>
              </w:rPr>
              <w:t>07/13/2027</w:t>
            </w:r>
          </w:p>
        </w:tc>
        <w:tc>
          <w:tcPr>
            <w:tcW w:w="120" w:type="dxa"/>
            <w:vAlign w:val="bottom"/>
            <w:shd w:val="clear" w:color="auto" w:fill="CCECFF"/>
          </w:tcPr>
          <w:p>
            <w:pPr>
              <w:spacing w:after="0"/>
              <w:rPr>
                <w:sz w:val="12"/>
                <w:szCs w:val="12"/>
                <w:color w:val="auto"/>
              </w:rPr>
            </w:pPr>
          </w:p>
        </w:tc>
        <w:tc>
          <w:tcPr>
            <w:tcW w:w="24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Media</w:t>
            </w:r>
          </w:p>
        </w:tc>
        <w:tc>
          <w:tcPr>
            <w:tcW w:w="1120" w:type="dxa"/>
            <w:vAlign w:val="bottom"/>
            <w:gridSpan w:val="3"/>
            <w:shd w:val="clear" w:color="auto" w:fill="CCECFF"/>
          </w:tcPr>
          <w:p>
            <w:pPr>
              <w:jc w:val="right"/>
              <w:ind w:right="160"/>
              <w:spacing w:after="0"/>
              <w:rPr>
                <w:sz w:val="20"/>
                <w:szCs w:val="20"/>
                <w:color w:val="auto"/>
              </w:rPr>
            </w:pPr>
            <w:r>
              <w:rPr>
                <w:rFonts w:ascii="Arial" w:cs="Arial" w:eastAsia="Arial" w:hAnsi="Arial"/>
                <w:sz w:val="11"/>
                <w:szCs w:val="11"/>
                <w:color w:val="auto"/>
              </w:rPr>
              <w:t>6.25 %</w:t>
            </w:r>
          </w:p>
        </w:tc>
        <w:tc>
          <w:tcPr>
            <w:tcW w:w="7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L+550</w:t>
            </w:r>
          </w:p>
        </w:tc>
        <w:tc>
          <w:tcPr>
            <w:tcW w:w="8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4,000</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3,922</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3,920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960" w:type="dxa"/>
            <w:vAlign w:val="bottom"/>
          </w:tcPr>
          <w:p>
            <w:pPr>
              <w:ind w:left="20"/>
              <w:spacing w:after="0"/>
              <w:rPr>
                <w:sz w:val="20"/>
                <w:szCs w:val="20"/>
                <w:color w:val="auto"/>
              </w:rPr>
            </w:pPr>
            <w:r>
              <w:rPr>
                <w:rFonts w:ascii="Arial" w:cs="Arial" w:eastAsia="Arial" w:hAnsi="Arial"/>
                <w:sz w:val="11"/>
                <w:szCs w:val="11"/>
                <w:color w:val="auto"/>
              </w:rPr>
              <w:t>CoolSys, Inc</w:t>
            </w:r>
          </w:p>
        </w:tc>
        <w:tc>
          <w:tcPr>
            <w:tcW w:w="78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08/04/2028</w:t>
            </w:r>
          </w:p>
        </w:tc>
        <w:tc>
          <w:tcPr>
            <w:tcW w:w="120" w:type="dxa"/>
            <w:vAlign w:val="bottom"/>
          </w:tcPr>
          <w:p>
            <w:pPr>
              <w:spacing w:after="0"/>
              <w:rPr>
                <w:sz w:val="11"/>
                <w:szCs w:val="11"/>
                <w:color w:val="auto"/>
              </w:rPr>
            </w:pPr>
          </w:p>
        </w:tc>
        <w:tc>
          <w:tcPr>
            <w:tcW w:w="2460" w:type="dxa"/>
            <w:vAlign w:val="bottom"/>
          </w:tcPr>
          <w:p>
            <w:pPr>
              <w:jc w:val="center"/>
              <w:spacing w:after="0"/>
              <w:rPr>
                <w:sz w:val="20"/>
                <w:szCs w:val="20"/>
                <w:color w:val="auto"/>
              </w:rPr>
            </w:pPr>
            <w:r>
              <w:rPr>
                <w:rFonts w:ascii="Arial" w:cs="Arial" w:eastAsia="Arial" w:hAnsi="Arial"/>
                <w:sz w:val="11"/>
                <w:szCs w:val="11"/>
                <w:color w:val="auto"/>
                <w:w w:val="86"/>
              </w:rPr>
              <w:t>Business Services</w:t>
            </w:r>
          </w:p>
        </w:tc>
        <w:tc>
          <w:tcPr>
            <w:tcW w:w="1120" w:type="dxa"/>
            <w:vAlign w:val="bottom"/>
            <w:gridSpan w:val="3"/>
          </w:tcPr>
          <w:p>
            <w:pPr>
              <w:jc w:val="right"/>
              <w:ind w:right="160"/>
              <w:spacing w:after="0"/>
              <w:rPr>
                <w:sz w:val="20"/>
                <w:szCs w:val="20"/>
                <w:color w:val="auto"/>
              </w:rPr>
            </w:pPr>
            <w:r>
              <w:rPr>
                <w:rFonts w:ascii="Arial" w:cs="Arial" w:eastAsia="Arial" w:hAnsi="Arial"/>
                <w:sz w:val="11"/>
                <w:szCs w:val="11"/>
                <w:color w:val="auto"/>
              </w:rPr>
              <w:t>5.50 %</w:t>
            </w:r>
          </w:p>
        </w:tc>
        <w:tc>
          <w:tcPr>
            <w:tcW w:w="780" w:type="dxa"/>
            <w:vAlign w:val="bottom"/>
          </w:tcPr>
          <w:p>
            <w:pPr>
              <w:jc w:val="right"/>
              <w:spacing w:after="0"/>
              <w:rPr>
                <w:sz w:val="20"/>
                <w:szCs w:val="20"/>
                <w:color w:val="auto"/>
              </w:rPr>
            </w:pPr>
            <w:r>
              <w:rPr>
                <w:rFonts w:ascii="Arial" w:cs="Arial" w:eastAsia="Arial" w:hAnsi="Arial"/>
                <w:sz w:val="11"/>
                <w:szCs w:val="11"/>
                <w:color w:val="auto"/>
              </w:rPr>
              <w:t>1M L+475</w:t>
            </w: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1,909</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1,890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1,914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shd w:val="clear" w:color="auto" w:fill="CCECFF"/>
          </w:tcPr>
          <w:p>
            <w:pPr>
              <w:ind w:left="20"/>
              <w:spacing w:after="0"/>
              <w:rPr>
                <w:sz w:val="20"/>
                <w:szCs w:val="20"/>
                <w:color w:val="auto"/>
              </w:rPr>
            </w:pPr>
            <w:r>
              <w:rPr>
                <w:rFonts w:ascii="Arial" w:cs="Arial" w:eastAsia="Arial" w:hAnsi="Arial"/>
                <w:sz w:val="11"/>
                <w:szCs w:val="11"/>
                <w:color w:val="auto"/>
              </w:rPr>
              <w:t>Crane 1 Services Inc</w:t>
            </w:r>
          </w:p>
        </w:tc>
        <w:tc>
          <w:tcPr>
            <w:tcW w:w="7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7"/>
              </w:rPr>
              <w:t>08/16/2027</w:t>
            </w:r>
          </w:p>
        </w:tc>
        <w:tc>
          <w:tcPr>
            <w:tcW w:w="120" w:type="dxa"/>
            <w:vAlign w:val="bottom"/>
            <w:shd w:val="clear" w:color="auto" w:fill="CCECFF"/>
          </w:tcPr>
          <w:p>
            <w:pPr>
              <w:spacing w:after="0"/>
              <w:rPr>
                <w:sz w:val="11"/>
                <w:szCs w:val="11"/>
                <w:color w:val="auto"/>
              </w:rPr>
            </w:pPr>
          </w:p>
        </w:tc>
        <w:tc>
          <w:tcPr>
            <w:tcW w:w="24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Commercial Services &amp; Supplies</w:t>
            </w:r>
          </w:p>
        </w:tc>
        <w:tc>
          <w:tcPr>
            <w:tcW w:w="1120" w:type="dxa"/>
            <w:vAlign w:val="bottom"/>
            <w:gridSpan w:val="3"/>
            <w:shd w:val="clear" w:color="auto" w:fill="CCECFF"/>
          </w:tcPr>
          <w:p>
            <w:pPr>
              <w:jc w:val="right"/>
              <w:ind w:right="160"/>
              <w:spacing w:after="0"/>
              <w:rPr>
                <w:sz w:val="20"/>
                <w:szCs w:val="20"/>
                <w:color w:val="auto"/>
              </w:rPr>
            </w:pPr>
            <w:r>
              <w:rPr>
                <w:rFonts w:ascii="Arial" w:cs="Arial" w:eastAsia="Arial" w:hAnsi="Arial"/>
                <w:sz w:val="11"/>
                <w:szCs w:val="11"/>
                <w:color w:val="auto"/>
              </w:rPr>
              <w:t>6.75 %</w:t>
            </w:r>
          </w:p>
        </w:tc>
        <w:tc>
          <w:tcPr>
            <w:tcW w:w="7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L+575</w:t>
            </w:r>
          </w:p>
        </w:tc>
        <w:tc>
          <w:tcPr>
            <w:tcW w:w="8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2,132</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2,100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2,110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tcPr>
          <w:p>
            <w:pPr>
              <w:ind w:left="20"/>
              <w:spacing w:after="0"/>
              <w:rPr>
                <w:sz w:val="20"/>
                <w:szCs w:val="20"/>
                <w:color w:val="auto"/>
              </w:rPr>
            </w:pPr>
            <w:r>
              <w:rPr>
                <w:rFonts w:ascii="Arial" w:cs="Arial" w:eastAsia="Arial" w:hAnsi="Arial"/>
                <w:sz w:val="11"/>
                <w:szCs w:val="11"/>
                <w:color w:val="auto"/>
              </w:rPr>
              <w:t>Crash Champions, LLC</w:t>
            </w:r>
          </w:p>
        </w:tc>
        <w:tc>
          <w:tcPr>
            <w:tcW w:w="78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08/05/2025</w:t>
            </w:r>
          </w:p>
        </w:tc>
        <w:tc>
          <w:tcPr>
            <w:tcW w:w="120" w:type="dxa"/>
            <w:vAlign w:val="bottom"/>
          </w:tcPr>
          <w:p>
            <w:pPr>
              <w:spacing w:after="0"/>
              <w:rPr>
                <w:sz w:val="11"/>
                <w:szCs w:val="11"/>
                <w:color w:val="auto"/>
              </w:rPr>
            </w:pPr>
          </w:p>
        </w:tc>
        <w:tc>
          <w:tcPr>
            <w:tcW w:w="2460" w:type="dxa"/>
            <w:vAlign w:val="bottom"/>
          </w:tcPr>
          <w:p>
            <w:pPr>
              <w:jc w:val="center"/>
              <w:spacing w:after="0"/>
              <w:rPr>
                <w:sz w:val="20"/>
                <w:szCs w:val="20"/>
                <w:color w:val="auto"/>
              </w:rPr>
            </w:pPr>
            <w:r>
              <w:rPr>
                <w:rFonts w:ascii="Arial" w:cs="Arial" w:eastAsia="Arial" w:hAnsi="Arial"/>
                <w:sz w:val="11"/>
                <w:szCs w:val="11"/>
                <w:color w:val="auto"/>
                <w:w w:val="89"/>
              </w:rPr>
              <w:t>Automobiles</w:t>
            </w:r>
          </w:p>
        </w:tc>
        <w:tc>
          <w:tcPr>
            <w:tcW w:w="1120" w:type="dxa"/>
            <w:vAlign w:val="bottom"/>
            <w:gridSpan w:val="3"/>
          </w:tcPr>
          <w:p>
            <w:pPr>
              <w:jc w:val="right"/>
              <w:ind w:right="160"/>
              <w:spacing w:after="0"/>
              <w:rPr>
                <w:sz w:val="20"/>
                <w:szCs w:val="20"/>
                <w:color w:val="auto"/>
              </w:rPr>
            </w:pPr>
            <w:r>
              <w:rPr>
                <w:rFonts w:ascii="Arial" w:cs="Arial" w:eastAsia="Arial" w:hAnsi="Arial"/>
                <w:sz w:val="11"/>
                <w:szCs w:val="11"/>
                <w:color w:val="auto"/>
              </w:rPr>
              <w:t>6.00 %</w:t>
            </w:r>
          </w:p>
        </w:tc>
        <w:tc>
          <w:tcPr>
            <w:tcW w:w="780" w:type="dxa"/>
            <w:vAlign w:val="bottom"/>
          </w:tcPr>
          <w:p>
            <w:pPr>
              <w:jc w:val="right"/>
              <w:spacing w:after="0"/>
              <w:rPr>
                <w:sz w:val="20"/>
                <w:szCs w:val="20"/>
                <w:color w:val="auto"/>
              </w:rPr>
            </w:pPr>
            <w:r>
              <w:rPr>
                <w:rFonts w:ascii="Arial" w:cs="Arial" w:eastAsia="Arial" w:hAnsi="Arial"/>
                <w:sz w:val="11"/>
                <w:szCs w:val="11"/>
                <w:color w:val="auto"/>
              </w:rPr>
              <w:t>3M L+500</w:t>
            </w: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8,978</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8,802</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8,798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shd w:val="clear" w:color="auto" w:fill="CCECFF"/>
          </w:tcPr>
          <w:p>
            <w:pPr>
              <w:ind w:left="20"/>
              <w:spacing w:after="0"/>
              <w:rPr>
                <w:sz w:val="20"/>
                <w:szCs w:val="20"/>
                <w:color w:val="auto"/>
              </w:rPr>
            </w:pPr>
            <w:r>
              <w:rPr>
                <w:rFonts w:ascii="Arial" w:cs="Arial" w:eastAsia="Arial" w:hAnsi="Arial"/>
                <w:sz w:val="11"/>
                <w:szCs w:val="11"/>
                <w:color w:val="auto"/>
              </w:rPr>
              <w:t>Digital Room Holdings, Inc.</w:t>
            </w:r>
          </w:p>
        </w:tc>
        <w:tc>
          <w:tcPr>
            <w:tcW w:w="7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7"/>
              </w:rPr>
              <w:t>05/22/2026</w:t>
            </w:r>
          </w:p>
        </w:tc>
        <w:tc>
          <w:tcPr>
            <w:tcW w:w="120" w:type="dxa"/>
            <w:vAlign w:val="bottom"/>
            <w:shd w:val="clear" w:color="auto" w:fill="CCECFF"/>
          </w:tcPr>
          <w:p>
            <w:pPr>
              <w:spacing w:after="0"/>
              <w:rPr>
                <w:sz w:val="11"/>
                <w:szCs w:val="11"/>
                <w:color w:val="auto"/>
              </w:rPr>
            </w:pPr>
          </w:p>
        </w:tc>
        <w:tc>
          <w:tcPr>
            <w:tcW w:w="24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Commercial Services &amp; Supplies</w:t>
            </w:r>
          </w:p>
        </w:tc>
        <w:tc>
          <w:tcPr>
            <w:tcW w:w="1120" w:type="dxa"/>
            <w:vAlign w:val="bottom"/>
            <w:gridSpan w:val="3"/>
            <w:shd w:val="clear" w:color="auto" w:fill="CCECFF"/>
          </w:tcPr>
          <w:p>
            <w:pPr>
              <w:jc w:val="right"/>
              <w:ind w:right="160"/>
              <w:spacing w:after="0"/>
              <w:rPr>
                <w:sz w:val="20"/>
                <w:szCs w:val="20"/>
                <w:color w:val="auto"/>
              </w:rPr>
            </w:pPr>
            <w:r>
              <w:rPr>
                <w:rFonts w:ascii="Arial" w:cs="Arial" w:eastAsia="Arial" w:hAnsi="Arial"/>
                <w:sz w:val="11"/>
                <w:szCs w:val="11"/>
                <w:color w:val="auto"/>
              </w:rPr>
              <w:t>5.08 %</w:t>
            </w:r>
          </w:p>
        </w:tc>
        <w:tc>
          <w:tcPr>
            <w:tcW w:w="7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L+500</w:t>
            </w:r>
          </w:p>
        </w:tc>
        <w:tc>
          <w:tcPr>
            <w:tcW w:w="8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3,228</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3,111</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3,186</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tcPr>
          <w:p>
            <w:pPr>
              <w:ind w:left="20"/>
              <w:spacing w:after="0"/>
              <w:rPr>
                <w:sz w:val="20"/>
                <w:szCs w:val="20"/>
                <w:color w:val="auto"/>
              </w:rPr>
            </w:pPr>
            <w:r>
              <w:rPr>
                <w:rFonts w:ascii="Arial" w:cs="Arial" w:eastAsia="Arial" w:hAnsi="Arial"/>
                <w:sz w:val="11"/>
                <w:szCs w:val="11"/>
                <w:color w:val="auto"/>
              </w:rPr>
              <w:t>Douglas Products and Packaging Company LLC</w:t>
            </w:r>
          </w:p>
        </w:tc>
        <w:tc>
          <w:tcPr>
            <w:tcW w:w="78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10/19/2022</w:t>
            </w:r>
          </w:p>
        </w:tc>
        <w:tc>
          <w:tcPr>
            <w:tcW w:w="120" w:type="dxa"/>
            <w:vAlign w:val="bottom"/>
          </w:tcPr>
          <w:p>
            <w:pPr>
              <w:spacing w:after="0"/>
              <w:rPr>
                <w:sz w:val="11"/>
                <w:szCs w:val="11"/>
                <w:color w:val="auto"/>
              </w:rPr>
            </w:pPr>
          </w:p>
        </w:tc>
        <w:tc>
          <w:tcPr>
            <w:tcW w:w="2460" w:type="dxa"/>
            <w:vAlign w:val="bottom"/>
          </w:tcPr>
          <w:p>
            <w:pPr>
              <w:jc w:val="center"/>
              <w:spacing w:after="0"/>
              <w:rPr>
                <w:sz w:val="20"/>
                <w:szCs w:val="20"/>
                <w:color w:val="auto"/>
              </w:rPr>
            </w:pPr>
            <w:r>
              <w:rPr>
                <w:rFonts w:ascii="Arial" w:cs="Arial" w:eastAsia="Arial" w:hAnsi="Arial"/>
                <w:sz w:val="11"/>
                <w:szCs w:val="11"/>
                <w:color w:val="auto"/>
                <w:w w:val="88"/>
              </w:rPr>
              <w:t>Chemicals, Plastics and Rubber</w:t>
            </w:r>
          </w:p>
        </w:tc>
        <w:tc>
          <w:tcPr>
            <w:tcW w:w="1120" w:type="dxa"/>
            <w:vAlign w:val="bottom"/>
            <w:gridSpan w:val="3"/>
          </w:tcPr>
          <w:p>
            <w:pPr>
              <w:jc w:val="right"/>
              <w:ind w:right="160"/>
              <w:spacing w:after="0"/>
              <w:rPr>
                <w:sz w:val="20"/>
                <w:szCs w:val="20"/>
                <w:color w:val="auto"/>
              </w:rPr>
            </w:pPr>
            <w:r>
              <w:rPr>
                <w:rFonts w:ascii="Arial" w:cs="Arial" w:eastAsia="Arial" w:hAnsi="Arial"/>
                <w:sz w:val="11"/>
                <w:szCs w:val="11"/>
                <w:color w:val="auto"/>
              </w:rPr>
              <w:t>6.75 %</w:t>
            </w:r>
          </w:p>
        </w:tc>
        <w:tc>
          <w:tcPr>
            <w:tcW w:w="780" w:type="dxa"/>
            <w:vAlign w:val="bottom"/>
          </w:tcPr>
          <w:p>
            <w:pPr>
              <w:jc w:val="right"/>
              <w:spacing w:after="0"/>
              <w:rPr>
                <w:sz w:val="20"/>
                <w:szCs w:val="20"/>
                <w:color w:val="auto"/>
              </w:rPr>
            </w:pPr>
            <w:r>
              <w:rPr>
                <w:rFonts w:ascii="Arial" w:cs="Arial" w:eastAsia="Arial" w:hAnsi="Arial"/>
                <w:sz w:val="11"/>
                <w:szCs w:val="11"/>
                <w:color w:val="auto"/>
              </w:rPr>
              <w:t>3M L+575</w:t>
            </w: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8,746</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8,695</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8,746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shd w:val="clear" w:color="auto" w:fill="CCECFF"/>
          </w:tcPr>
          <w:p>
            <w:pPr>
              <w:ind w:left="20"/>
              <w:spacing w:after="0"/>
              <w:rPr>
                <w:sz w:val="20"/>
                <w:szCs w:val="20"/>
                <w:color w:val="auto"/>
              </w:rPr>
            </w:pPr>
            <w:r>
              <w:rPr>
                <w:rFonts w:ascii="Arial" w:cs="Arial" w:eastAsia="Arial" w:hAnsi="Arial"/>
                <w:sz w:val="11"/>
                <w:szCs w:val="11"/>
                <w:color w:val="auto"/>
              </w:rPr>
              <w:t>Douglas Sewer Intermediate, LLC</w:t>
            </w:r>
          </w:p>
        </w:tc>
        <w:tc>
          <w:tcPr>
            <w:tcW w:w="7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7"/>
              </w:rPr>
              <w:t>10/19/2022</w:t>
            </w:r>
          </w:p>
        </w:tc>
        <w:tc>
          <w:tcPr>
            <w:tcW w:w="120" w:type="dxa"/>
            <w:vAlign w:val="bottom"/>
            <w:shd w:val="clear" w:color="auto" w:fill="CCECFF"/>
          </w:tcPr>
          <w:p>
            <w:pPr>
              <w:spacing w:after="0"/>
              <w:rPr>
                <w:sz w:val="11"/>
                <w:szCs w:val="11"/>
                <w:color w:val="auto"/>
              </w:rPr>
            </w:pPr>
          </w:p>
        </w:tc>
        <w:tc>
          <w:tcPr>
            <w:tcW w:w="24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Chemicals, Plastics and Rubber</w:t>
            </w:r>
          </w:p>
        </w:tc>
        <w:tc>
          <w:tcPr>
            <w:tcW w:w="1120" w:type="dxa"/>
            <w:vAlign w:val="bottom"/>
            <w:gridSpan w:val="3"/>
            <w:shd w:val="clear" w:color="auto" w:fill="CCECFF"/>
          </w:tcPr>
          <w:p>
            <w:pPr>
              <w:jc w:val="right"/>
              <w:ind w:right="160"/>
              <w:spacing w:after="0"/>
              <w:rPr>
                <w:sz w:val="20"/>
                <w:szCs w:val="20"/>
                <w:color w:val="auto"/>
              </w:rPr>
            </w:pPr>
            <w:r>
              <w:rPr>
                <w:rFonts w:ascii="Arial" w:cs="Arial" w:eastAsia="Arial" w:hAnsi="Arial"/>
                <w:sz w:val="11"/>
                <w:szCs w:val="11"/>
                <w:color w:val="auto"/>
              </w:rPr>
              <w:t>6.75 %</w:t>
            </w:r>
          </w:p>
        </w:tc>
        <w:tc>
          <w:tcPr>
            <w:tcW w:w="7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L+575</w:t>
            </w:r>
          </w:p>
        </w:tc>
        <w:tc>
          <w:tcPr>
            <w:tcW w:w="8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7,323</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7,278</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7,323</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tcPr>
          <w:p>
            <w:pPr>
              <w:ind w:left="20"/>
              <w:spacing w:after="0"/>
              <w:rPr>
                <w:sz w:val="20"/>
                <w:szCs w:val="20"/>
                <w:color w:val="auto"/>
              </w:rPr>
            </w:pPr>
            <w:r>
              <w:rPr>
                <w:rFonts w:ascii="Arial" w:cs="Arial" w:eastAsia="Arial" w:hAnsi="Arial"/>
                <w:sz w:val="11"/>
                <w:szCs w:val="11"/>
                <w:color w:val="auto"/>
              </w:rPr>
              <w:t>Dr. Squatch, LLC</w:t>
            </w:r>
          </w:p>
        </w:tc>
        <w:tc>
          <w:tcPr>
            <w:tcW w:w="780" w:type="dxa"/>
            <w:vAlign w:val="bottom"/>
            <w:gridSpan w:val="2"/>
          </w:tcPr>
          <w:p>
            <w:pPr>
              <w:jc w:val="center"/>
              <w:ind w:left="86"/>
              <w:spacing w:after="0"/>
              <w:rPr>
                <w:sz w:val="20"/>
                <w:szCs w:val="20"/>
                <w:color w:val="auto"/>
              </w:rPr>
            </w:pPr>
            <w:r>
              <w:rPr>
                <w:rFonts w:ascii="Arial" w:cs="Arial" w:eastAsia="Arial" w:hAnsi="Arial"/>
                <w:sz w:val="11"/>
                <w:szCs w:val="11"/>
                <w:color w:val="auto"/>
                <w:w w:val="89"/>
              </w:rPr>
              <w:t>8/27/2026</w:t>
            </w:r>
          </w:p>
        </w:tc>
        <w:tc>
          <w:tcPr>
            <w:tcW w:w="120" w:type="dxa"/>
            <w:vAlign w:val="bottom"/>
          </w:tcPr>
          <w:p>
            <w:pPr>
              <w:spacing w:after="0"/>
              <w:rPr>
                <w:sz w:val="11"/>
                <w:szCs w:val="11"/>
                <w:color w:val="auto"/>
              </w:rPr>
            </w:pPr>
          </w:p>
        </w:tc>
        <w:tc>
          <w:tcPr>
            <w:tcW w:w="2460" w:type="dxa"/>
            <w:vAlign w:val="bottom"/>
          </w:tcPr>
          <w:p>
            <w:pPr>
              <w:jc w:val="center"/>
              <w:spacing w:after="0"/>
              <w:rPr>
                <w:sz w:val="20"/>
                <w:szCs w:val="20"/>
                <w:color w:val="auto"/>
              </w:rPr>
            </w:pPr>
            <w:r>
              <w:rPr>
                <w:rFonts w:ascii="Arial" w:cs="Arial" w:eastAsia="Arial" w:hAnsi="Arial"/>
                <w:sz w:val="11"/>
                <w:szCs w:val="11"/>
                <w:color w:val="auto"/>
                <w:w w:val="86"/>
              </w:rPr>
              <w:t>Personal Products</w:t>
            </w:r>
          </w:p>
        </w:tc>
        <w:tc>
          <w:tcPr>
            <w:tcW w:w="1120" w:type="dxa"/>
            <w:vAlign w:val="bottom"/>
            <w:gridSpan w:val="3"/>
          </w:tcPr>
          <w:p>
            <w:pPr>
              <w:jc w:val="right"/>
              <w:ind w:right="160"/>
              <w:spacing w:after="0"/>
              <w:rPr>
                <w:sz w:val="20"/>
                <w:szCs w:val="20"/>
                <w:color w:val="auto"/>
              </w:rPr>
            </w:pPr>
            <w:r>
              <w:rPr>
                <w:rFonts w:ascii="Arial" w:cs="Arial" w:eastAsia="Arial" w:hAnsi="Arial"/>
                <w:sz w:val="11"/>
                <w:szCs w:val="11"/>
                <w:color w:val="auto"/>
              </w:rPr>
              <w:t>7.00 %</w:t>
            </w:r>
          </w:p>
        </w:tc>
        <w:tc>
          <w:tcPr>
            <w:tcW w:w="780" w:type="dxa"/>
            <w:vAlign w:val="bottom"/>
          </w:tcPr>
          <w:p>
            <w:pPr>
              <w:jc w:val="right"/>
              <w:spacing w:after="0"/>
              <w:rPr>
                <w:sz w:val="20"/>
                <w:szCs w:val="20"/>
                <w:color w:val="auto"/>
              </w:rPr>
            </w:pPr>
            <w:r>
              <w:rPr>
                <w:rFonts w:ascii="Arial" w:cs="Arial" w:eastAsia="Arial" w:hAnsi="Arial"/>
                <w:sz w:val="11"/>
                <w:szCs w:val="11"/>
                <w:color w:val="auto"/>
              </w:rPr>
              <w:t>3M L+600</w:t>
            </w: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10,000</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9,803</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9,800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shd w:val="clear" w:color="auto" w:fill="CCECFF"/>
          </w:tcPr>
          <w:p>
            <w:pPr>
              <w:ind w:left="20"/>
              <w:spacing w:after="0"/>
              <w:rPr>
                <w:sz w:val="20"/>
                <w:szCs w:val="20"/>
                <w:color w:val="auto"/>
              </w:rPr>
            </w:pPr>
            <w:r>
              <w:rPr>
                <w:rFonts w:ascii="Arial" w:cs="Arial" w:eastAsia="Arial" w:hAnsi="Arial"/>
                <w:sz w:val="11"/>
                <w:szCs w:val="11"/>
                <w:color w:val="auto"/>
              </w:rPr>
              <w:t>DRS Holdings III, Inc.</w:t>
            </w:r>
          </w:p>
        </w:tc>
        <w:tc>
          <w:tcPr>
            <w:tcW w:w="7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7"/>
              </w:rPr>
              <w:t>11/03/2025</w:t>
            </w:r>
          </w:p>
        </w:tc>
        <w:tc>
          <w:tcPr>
            <w:tcW w:w="120" w:type="dxa"/>
            <w:vAlign w:val="bottom"/>
            <w:shd w:val="clear" w:color="auto" w:fill="CCECFF"/>
          </w:tcPr>
          <w:p>
            <w:pPr>
              <w:spacing w:after="0"/>
              <w:rPr>
                <w:sz w:val="11"/>
                <w:szCs w:val="11"/>
                <w:color w:val="auto"/>
              </w:rPr>
            </w:pPr>
          </w:p>
        </w:tc>
        <w:tc>
          <w:tcPr>
            <w:tcW w:w="24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Consumer Goods: Durable</w:t>
            </w:r>
          </w:p>
        </w:tc>
        <w:tc>
          <w:tcPr>
            <w:tcW w:w="1120" w:type="dxa"/>
            <w:vAlign w:val="bottom"/>
            <w:gridSpan w:val="3"/>
            <w:shd w:val="clear" w:color="auto" w:fill="CCECFF"/>
          </w:tcPr>
          <w:p>
            <w:pPr>
              <w:jc w:val="right"/>
              <w:ind w:right="160"/>
              <w:spacing w:after="0"/>
              <w:rPr>
                <w:sz w:val="20"/>
                <w:szCs w:val="20"/>
                <w:color w:val="auto"/>
              </w:rPr>
            </w:pPr>
            <w:r>
              <w:rPr>
                <w:rFonts w:ascii="Arial" w:cs="Arial" w:eastAsia="Arial" w:hAnsi="Arial"/>
                <w:sz w:val="11"/>
                <w:szCs w:val="11"/>
                <w:color w:val="auto"/>
              </w:rPr>
              <w:t>7.25 %</w:t>
            </w:r>
          </w:p>
        </w:tc>
        <w:tc>
          <w:tcPr>
            <w:tcW w:w="7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L+625</w:t>
            </w:r>
          </w:p>
        </w:tc>
        <w:tc>
          <w:tcPr>
            <w:tcW w:w="8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15,676</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15,584</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15,566</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960" w:type="dxa"/>
            <w:vAlign w:val="bottom"/>
          </w:tcPr>
          <w:p>
            <w:pPr>
              <w:ind w:left="20"/>
              <w:spacing w:after="0" w:line="125" w:lineRule="exact"/>
              <w:rPr>
                <w:sz w:val="20"/>
                <w:szCs w:val="20"/>
                <w:color w:val="auto"/>
              </w:rPr>
            </w:pPr>
            <w:r>
              <w:rPr>
                <w:rFonts w:ascii="Arial" w:cs="Arial" w:eastAsia="Arial" w:hAnsi="Arial"/>
                <w:sz w:val="11"/>
                <w:szCs w:val="11"/>
                <w:color w:val="auto"/>
              </w:rPr>
              <w:t>East Valley Tourist Development Authority</w:t>
            </w:r>
          </w:p>
        </w:tc>
        <w:tc>
          <w:tcPr>
            <w:tcW w:w="780" w:type="dxa"/>
            <w:vAlign w:val="bottom"/>
            <w:gridSpan w:val="2"/>
          </w:tcPr>
          <w:p>
            <w:pPr>
              <w:jc w:val="center"/>
              <w:ind w:left="86"/>
              <w:spacing w:after="0" w:line="125" w:lineRule="exact"/>
              <w:rPr>
                <w:sz w:val="20"/>
                <w:szCs w:val="20"/>
                <w:color w:val="auto"/>
              </w:rPr>
            </w:pPr>
            <w:r>
              <w:rPr>
                <w:rFonts w:ascii="Arial" w:cs="Arial" w:eastAsia="Arial" w:hAnsi="Arial"/>
                <w:sz w:val="11"/>
                <w:szCs w:val="11"/>
                <w:color w:val="auto"/>
                <w:w w:val="87"/>
              </w:rPr>
              <w:t>03/07/2022</w:t>
            </w:r>
          </w:p>
        </w:tc>
        <w:tc>
          <w:tcPr>
            <w:tcW w:w="120" w:type="dxa"/>
            <w:vAlign w:val="bottom"/>
          </w:tcPr>
          <w:p>
            <w:pPr>
              <w:spacing w:after="0"/>
              <w:rPr>
                <w:sz w:val="10"/>
                <w:szCs w:val="10"/>
                <w:color w:val="auto"/>
              </w:rPr>
            </w:pPr>
          </w:p>
        </w:tc>
        <w:tc>
          <w:tcPr>
            <w:tcW w:w="2460" w:type="dxa"/>
            <w:vAlign w:val="bottom"/>
          </w:tcPr>
          <w:p>
            <w:pPr>
              <w:jc w:val="center"/>
              <w:spacing w:after="0" w:line="125" w:lineRule="exact"/>
              <w:rPr>
                <w:sz w:val="20"/>
                <w:szCs w:val="20"/>
                <w:color w:val="auto"/>
              </w:rPr>
            </w:pPr>
            <w:r>
              <w:rPr>
                <w:rFonts w:ascii="Arial" w:cs="Arial" w:eastAsia="Arial" w:hAnsi="Arial"/>
                <w:sz w:val="11"/>
                <w:szCs w:val="11"/>
                <w:color w:val="auto"/>
                <w:w w:val="87"/>
              </w:rPr>
              <w:t>Hotels, Restaurants and Leisure</w:t>
            </w:r>
          </w:p>
        </w:tc>
        <w:tc>
          <w:tcPr>
            <w:tcW w:w="1120" w:type="dxa"/>
            <w:vAlign w:val="bottom"/>
            <w:gridSpan w:val="3"/>
          </w:tcPr>
          <w:p>
            <w:pPr>
              <w:jc w:val="right"/>
              <w:ind w:right="160"/>
              <w:spacing w:after="0" w:line="125" w:lineRule="exact"/>
              <w:rPr>
                <w:sz w:val="20"/>
                <w:szCs w:val="20"/>
                <w:color w:val="auto"/>
              </w:rPr>
            </w:pPr>
            <w:r>
              <w:rPr>
                <w:rFonts w:ascii="Arial" w:cs="Arial" w:eastAsia="Arial" w:hAnsi="Arial"/>
                <w:sz w:val="11"/>
                <w:szCs w:val="11"/>
                <w:color w:val="auto"/>
              </w:rPr>
              <w:t>9.00 %</w:t>
            </w:r>
          </w:p>
        </w:tc>
        <w:tc>
          <w:tcPr>
            <w:tcW w:w="780" w:type="dxa"/>
            <w:vAlign w:val="bottom"/>
          </w:tcPr>
          <w:p>
            <w:pPr>
              <w:jc w:val="right"/>
              <w:spacing w:after="0" w:line="125" w:lineRule="exact"/>
              <w:rPr>
                <w:sz w:val="20"/>
                <w:szCs w:val="20"/>
                <w:color w:val="auto"/>
              </w:rPr>
            </w:pPr>
            <w:r>
              <w:rPr>
                <w:rFonts w:ascii="Arial" w:cs="Arial" w:eastAsia="Arial" w:hAnsi="Arial"/>
                <w:sz w:val="11"/>
                <w:szCs w:val="11"/>
                <w:color w:val="auto"/>
              </w:rPr>
              <w:t>3M L+800</w:t>
            </w:r>
          </w:p>
        </w:tc>
        <w:tc>
          <w:tcPr>
            <w:tcW w:w="860" w:type="dxa"/>
            <w:vAlign w:val="bottom"/>
            <w:gridSpan w:val="2"/>
          </w:tcPr>
          <w:p>
            <w:pPr>
              <w:jc w:val="right"/>
              <w:spacing w:after="0" w:line="125" w:lineRule="exact"/>
              <w:rPr>
                <w:sz w:val="20"/>
                <w:szCs w:val="20"/>
                <w:color w:val="auto"/>
              </w:rPr>
            </w:pPr>
            <w:r>
              <w:rPr>
                <w:rFonts w:ascii="Arial" w:cs="Arial" w:eastAsia="Arial" w:hAnsi="Arial"/>
                <w:sz w:val="11"/>
                <w:szCs w:val="11"/>
                <w:color w:val="auto"/>
              </w:rPr>
              <w:t>5,719</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jc w:val="right"/>
              <w:spacing w:after="0" w:line="125" w:lineRule="exact"/>
              <w:rPr>
                <w:sz w:val="20"/>
                <w:szCs w:val="20"/>
                <w:color w:val="auto"/>
              </w:rPr>
            </w:pPr>
            <w:r>
              <w:rPr>
                <w:rFonts w:ascii="Arial" w:cs="Arial" w:eastAsia="Arial" w:hAnsi="Arial"/>
                <w:sz w:val="11"/>
                <w:szCs w:val="11"/>
                <w:color w:val="auto"/>
              </w:rPr>
              <w:t>5,624</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line="125" w:lineRule="exact"/>
              <w:rPr>
                <w:sz w:val="20"/>
                <w:szCs w:val="20"/>
                <w:color w:val="auto"/>
              </w:rPr>
            </w:pPr>
            <w:r>
              <w:rPr>
                <w:rFonts w:ascii="Arial" w:cs="Arial" w:eastAsia="Arial" w:hAnsi="Arial"/>
                <w:sz w:val="11"/>
                <w:szCs w:val="11"/>
                <w:color w:val="auto"/>
              </w:rPr>
              <w:t>5,633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1"/>
                <w:szCs w:val="11"/>
                <w:color w:val="auto"/>
              </w:rPr>
              <w:t>P(IK 3.50%)</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960" w:type="dxa"/>
            <w:vAlign w:val="bottom"/>
            <w:shd w:val="clear" w:color="auto" w:fill="CCECFF"/>
          </w:tcPr>
          <w:p>
            <w:pPr>
              <w:ind w:left="20"/>
              <w:spacing w:after="0"/>
              <w:rPr>
                <w:sz w:val="20"/>
                <w:szCs w:val="20"/>
                <w:color w:val="auto"/>
              </w:rPr>
            </w:pPr>
            <w:r>
              <w:rPr>
                <w:rFonts w:ascii="Arial" w:cs="Arial" w:eastAsia="Arial" w:hAnsi="Arial"/>
                <w:sz w:val="11"/>
                <w:szCs w:val="11"/>
                <w:color w:val="auto"/>
              </w:rPr>
              <w:t>ECL Entertainment, LLC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8"/>
              </w:rPr>
              <w:t>03/312028</w:t>
            </w:r>
          </w:p>
        </w:tc>
        <w:tc>
          <w:tcPr>
            <w:tcW w:w="120" w:type="dxa"/>
            <w:vAlign w:val="bottom"/>
            <w:shd w:val="clear" w:color="auto" w:fill="CCECFF"/>
          </w:tcPr>
          <w:p>
            <w:pPr>
              <w:spacing w:after="0"/>
              <w:rPr>
                <w:sz w:val="12"/>
                <w:szCs w:val="12"/>
                <w:color w:val="auto"/>
              </w:rPr>
            </w:pPr>
          </w:p>
        </w:tc>
        <w:tc>
          <w:tcPr>
            <w:tcW w:w="24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Hotels, Restaurants and Leisure</w:t>
            </w:r>
          </w:p>
        </w:tc>
        <w:tc>
          <w:tcPr>
            <w:tcW w:w="1120" w:type="dxa"/>
            <w:vAlign w:val="bottom"/>
            <w:gridSpan w:val="3"/>
            <w:shd w:val="clear" w:color="auto" w:fill="CCECFF"/>
          </w:tcPr>
          <w:p>
            <w:pPr>
              <w:jc w:val="right"/>
              <w:ind w:right="160"/>
              <w:spacing w:after="0"/>
              <w:rPr>
                <w:sz w:val="20"/>
                <w:szCs w:val="20"/>
                <w:color w:val="auto"/>
              </w:rPr>
            </w:pPr>
            <w:r>
              <w:rPr>
                <w:rFonts w:ascii="Arial" w:cs="Arial" w:eastAsia="Arial" w:hAnsi="Arial"/>
                <w:sz w:val="11"/>
                <w:szCs w:val="11"/>
                <w:color w:val="auto"/>
              </w:rPr>
              <w:t>8.25 %</w:t>
            </w:r>
          </w:p>
        </w:tc>
        <w:tc>
          <w:tcPr>
            <w:tcW w:w="7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L+750</w:t>
            </w:r>
          </w:p>
        </w:tc>
        <w:tc>
          <w:tcPr>
            <w:tcW w:w="8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2,647</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2,621</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2,707</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960" w:type="dxa"/>
            <w:vAlign w:val="bottom"/>
          </w:tcPr>
          <w:p>
            <w:pPr>
              <w:ind w:left="20"/>
              <w:spacing w:after="0"/>
              <w:rPr>
                <w:sz w:val="20"/>
                <w:szCs w:val="20"/>
                <w:color w:val="auto"/>
              </w:rPr>
            </w:pPr>
            <w:r>
              <w:rPr>
                <w:rFonts w:ascii="Arial" w:cs="Arial" w:eastAsia="Arial" w:hAnsi="Arial"/>
                <w:sz w:val="11"/>
                <w:szCs w:val="11"/>
                <w:color w:val="auto"/>
              </w:rPr>
              <w:t>ECM Industries, LLC</w:t>
            </w:r>
          </w:p>
        </w:tc>
        <w:tc>
          <w:tcPr>
            <w:tcW w:w="78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12/23/2025</w:t>
            </w:r>
          </w:p>
        </w:tc>
        <w:tc>
          <w:tcPr>
            <w:tcW w:w="120" w:type="dxa"/>
            <w:vAlign w:val="bottom"/>
          </w:tcPr>
          <w:p>
            <w:pPr>
              <w:spacing w:after="0"/>
              <w:rPr>
                <w:sz w:val="11"/>
                <w:szCs w:val="11"/>
                <w:color w:val="auto"/>
              </w:rPr>
            </w:pPr>
          </w:p>
        </w:tc>
        <w:tc>
          <w:tcPr>
            <w:tcW w:w="2460" w:type="dxa"/>
            <w:vAlign w:val="bottom"/>
          </w:tcPr>
          <w:p>
            <w:pPr>
              <w:jc w:val="center"/>
              <w:spacing w:after="0"/>
              <w:rPr>
                <w:sz w:val="20"/>
                <w:szCs w:val="20"/>
                <w:color w:val="auto"/>
              </w:rPr>
            </w:pPr>
            <w:r>
              <w:rPr>
                <w:rFonts w:ascii="Arial" w:cs="Arial" w:eastAsia="Arial" w:hAnsi="Arial"/>
                <w:sz w:val="11"/>
                <w:szCs w:val="11"/>
                <w:color w:val="auto"/>
                <w:w w:val="89"/>
              </w:rPr>
              <w:t>Electronic Equipment, Instruments, and Components</w:t>
            </w:r>
          </w:p>
        </w:tc>
        <w:tc>
          <w:tcPr>
            <w:tcW w:w="1120" w:type="dxa"/>
            <w:vAlign w:val="bottom"/>
            <w:gridSpan w:val="3"/>
          </w:tcPr>
          <w:p>
            <w:pPr>
              <w:jc w:val="right"/>
              <w:ind w:right="160"/>
              <w:spacing w:after="0"/>
              <w:rPr>
                <w:sz w:val="20"/>
                <w:szCs w:val="20"/>
                <w:color w:val="auto"/>
              </w:rPr>
            </w:pPr>
            <w:r>
              <w:rPr>
                <w:rFonts w:ascii="Arial" w:cs="Arial" w:eastAsia="Arial" w:hAnsi="Arial"/>
                <w:sz w:val="11"/>
                <w:szCs w:val="11"/>
                <w:color w:val="auto"/>
              </w:rPr>
              <w:t>5.50 %</w:t>
            </w:r>
          </w:p>
        </w:tc>
        <w:tc>
          <w:tcPr>
            <w:tcW w:w="780" w:type="dxa"/>
            <w:vAlign w:val="bottom"/>
          </w:tcPr>
          <w:p>
            <w:pPr>
              <w:jc w:val="right"/>
              <w:spacing w:after="0"/>
              <w:rPr>
                <w:sz w:val="20"/>
                <w:szCs w:val="20"/>
                <w:color w:val="auto"/>
              </w:rPr>
            </w:pPr>
            <w:r>
              <w:rPr>
                <w:rFonts w:ascii="Arial" w:cs="Arial" w:eastAsia="Arial" w:hAnsi="Arial"/>
                <w:sz w:val="11"/>
                <w:szCs w:val="11"/>
                <w:color w:val="auto"/>
              </w:rPr>
              <w:t>1M L+450</w:t>
            </w: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4,994</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4,994</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4,894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shd w:val="clear" w:color="auto" w:fill="CCECFF"/>
          </w:tcPr>
          <w:p>
            <w:pPr>
              <w:ind w:left="20"/>
              <w:spacing w:after="0"/>
              <w:rPr>
                <w:sz w:val="20"/>
                <w:szCs w:val="20"/>
                <w:color w:val="auto"/>
              </w:rPr>
            </w:pPr>
            <w:r>
              <w:rPr>
                <w:rFonts w:ascii="Arial" w:cs="Arial" w:eastAsia="Arial" w:hAnsi="Arial"/>
                <w:sz w:val="11"/>
                <w:szCs w:val="11"/>
                <w:color w:val="auto"/>
              </w:rPr>
              <w:t>Fairbanks More Defense</w:t>
            </w:r>
          </w:p>
        </w:tc>
        <w:tc>
          <w:tcPr>
            <w:tcW w:w="7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7"/>
              </w:rPr>
              <w:t>06/17/2028</w:t>
            </w:r>
          </w:p>
        </w:tc>
        <w:tc>
          <w:tcPr>
            <w:tcW w:w="120" w:type="dxa"/>
            <w:vAlign w:val="bottom"/>
            <w:shd w:val="clear" w:color="auto" w:fill="CCECFF"/>
          </w:tcPr>
          <w:p>
            <w:pPr>
              <w:spacing w:after="0"/>
              <w:rPr>
                <w:sz w:val="11"/>
                <w:szCs w:val="11"/>
                <w:color w:val="auto"/>
              </w:rPr>
            </w:pPr>
          </w:p>
        </w:tc>
        <w:tc>
          <w:tcPr>
            <w:tcW w:w="24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Aerospace and Defense</w:t>
            </w:r>
          </w:p>
        </w:tc>
        <w:tc>
          <w:tcPr>
            <w:tcW w:w="1120" w:type="dxa"/>
            <w:vAlign w:val="bottom"/>
            <w:gridSpan w:val="3"/>
            <w:shd w:val="clear" w:color="auto" w:fill="CCECFF"/>
          </w:tcPr>
          <w:p>
            <w:pPr>
              <w:jc w:val="right"/>
              <w:ind w:right="160"/>
              <w:spacing w:after="0"/>
              <w:rPr>
                <w:sz w:val="20"/>
                <w:szCs w:val="20"/>
                <w:color w:val="auto"/>
              </w:rPr>
            </w:pPr>
            <w:r>
              <w:rPr>
                <w:rFonts w:ascii="Arial" w:cs="Arial" w:eastAsia="Arial" w:hAnsi="Arial"/>
                <w:sz w:val="11"/>
                <w:szCs w:val="11"/>
                <w:color w:val="auto"/>
              </w:rPr>
              <w:t>5.50 %</w:t>
            </w:r>
          </w:p>
        </w:tc>
        <w:tc>
          <w:tcPr>
            <w:tcW w:w="7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L+475</w:t>
            </w:r>
          </w:p>
        </w:tc>
        <w:tc>
          <w:tcPr>
            <w:tcW w:w="8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10,000</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9,955</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10,000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tcPr>
          <w:p>
            <w:pPr>
              <w:ind w:left="20"/>
              <w:spacing w:after="0"/>
              <w:rPr>
                <w:sz w:val="20"/>
                <w:szCs w:val="20"/>
                <w:color w:val="auto"/>
              </w:rPr>
            </w:pPr>
            <w:r>
              <w:rPr>
                <w:rFonts w:ascii="Arial" w:cs="Arial" w:eastAsia="Arial" w:hAnsi="Arial"/>
                <w:sz w:val="11"/>
                <w:szCs w:val="11"/>
                <w:color w:val="auto"/>
              </w:rPr>
              <w:t>FlexPrint, LLC</w:t>
            </w:r>
          </w:p>
        </w:tc>
        <w:tc>
          <w:tcPr>
            <w:tcW w:w="78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01/02/2024</w:t>
            </w:r>
          </w:p>
        </w:tc>
        <w:tc>
          <w:tcPr>
            <w:tcW w:w="120" w:type="dxa"/>
            <w:vAlign w:val="bottom"/>
          </w:tcPr>
          <w:p>
            <w:pPr>
              <w:spacing w:after="0"/>
              <w:rPr>
                <w:sz w:val="11"/>
                <w:szCs w:val="11"/>
                <w:color w:val="auto"/>
              </w:rPr>
            </w:pPr>
          </w:p>
        </w:tc>
        <w:tc>
          <w:tcPr>
            <w:tcW w:w="2460" w:type="dxa"/>
            <w:vAlign w:val="bottom"/>
          </w:tcPr>
          <w:p>
            <w:pPr>
              <w:jc w:val="center"/>
              <w:spacing w:after="0"/>
              <w:rPr>
                <w:sz w:val="20"/>
                <w:szCs w:val="20"/>
                <w:color w:val="auto"/>
              </w:rPr>
            </w:pPr>
            <w:r>
              <w:rPr>
                <w:rFonts w:ascii="Arial" w:cs="Arial" w:eastAsia="Arial" w:hAnsi="Arial"/>
                <w:sz w:val="11"/>
                <w:szCs w:val="11"/>
                <w:color w:val="auto"/>
                <w:w w:val="88"/>
              </w:rPr>
              <w:t>Commercial Services &amp; Supplies</w:t>
            </w:r>
          </w:p>
        </w:tc>
        <w:tc>
          <w:tcPr>
            <w:tcW w:w="1120" w:type="dxa"/>
            <w:vAlign w:val="bottom"/>
            <w:gridSpan w:val="3"/>
          </w:tcPr>
          <w:p>
            <w:pPr>
              <w:jc w:val="right"/>
              <w:ind w:right="160"/>
              <w:spacing w:after="0"/>
              <w:rPr>
                <w:sz w:val="20"/>
                <w:szCs w:val="20"/>
                <w:color w:val="auto"/>
              </w:rPr>
            </w:pPr>
            <w:r>
              <w:rPr>
                <w:rFonts w:ascii="Arial" w:cs="Arial" w:eastAsia="Arial" w:hAnsi="Arial"/>
                <w:sz w:val="11"/>
                <w:szCs w:val="11"/>
                <w:color w:val="auto"/>
              </w:rPr>
              <w:t>6.02 %</w:t>
            </w:r>
          </w:p>
        </w:tc>
        <w:tc>
          <w:tcPr>
            <w:tcW w:w="780" w:type="dxa"/>
            <w:vAlign w:val="bottom"/>
          </w:tcPr>
          <w:p>
            <w:pPr>
              <w:jc w:val="right"/>
              <w:spacing w:after="0"/>
              <w:rPr>
                <w:sz w:val="20"/>
                <w:szCs w:val="20"/>
                <w:color w:val="auto"/>
              </w:rPr>
            </w:pPr>
            <w:r>
              <w:rPr>
                <w:rFonts w:ascii="Arial" w:cs="Arial" w:eastAsia="Arial" w:hAnsi="Arial"/>
                <w:sz w:val="11"/>
                <w:szCs w:val="11"/>
                <w:color w:val="auto"/>
              </w:rPr>
              <w:t>1M L+590</w:t>
            </w: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4,770</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4,732</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4,746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shd w:val="clear" w:color="auto" w:fill="CCECFF"/>
          </w:tcPr>
          <w:p>
            <w:pPr>
              <w:ind w:left="20"/>
              <w:spacing w:after="0"/>
              <w:rPr>
                <w:sz w:val="20"/>
                <w:szCs w:val="20"/>
                <w:color w:val="auto"/>
              </w:rPr>
            </w:pPr>
            <w:r>
              <w:rPr>
                <w:rFonts w:ascii="Arial" w:cs="Arial" w:eastAsia="Arial" w:hAnsi="Arial"/>
                <w:sz w:val="11"/>
                <w:szCs w:val="11"/>
                <w:color w:val="auto"/>
              </w:rPr>
              <w:t>Gantech Acquisition Corp.</w:t>
            </w:r>
          </w:p>
        </w:tc>
        <w:tc>
          <w:tcPr>
            <w:tcW w:w="7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7"/>
              </w:rPr>
              <w:t>05/14/2026</w:t>
            </w:r>
          </w:p>
        </w:tc>
        <w:tc>
          <w:tcPr>
            <w:tcW w:w="120" w:type="dxa"/>
            <w:vAlign w:val="bottom"/>
            <w:shd w:val="clear" w:color="auto" w:fill="CCECFF"/>
          </w:tcPr>
          <w:p>
            <w:pPr>
              <w:spacing w:after="0"/>
              <w:rPr>
                <w:sz w:val="11"/>
                <w:szCs w:val="11"/>
                <w:color w:val="auto"/>
              </w:rPr>
            </w:pPr>
          </w:p>
        </w:tc>
        <w:tc>
          <w:tcPr>
            <w:tcW w:w="24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IT Services</w:t>
            </w:r>
          </w:p>
        </w:tc>
        <w:tc>
          <w:tcPr>
            <w:tcW w:w="1120" w:type="dxa"/>
            <w:vAlign w:val="bottom"/>
            <w:gridSpan w:val="3"/>
            <w:shd w:val="clear" w:color="auto" w:fill="CCECFF"/>
          </w:tcPr>
          <w:p>
            <w:pPr>
              <w:jc w:val="right"/>
              <w:ind w:right="160"/>
              <w:spacing w:after="0"/>
              <w:rPr>
                <w:sz w:val="20"/>
                <w:szCs w:val="20"/>
                <w:color w:val="auto"/>
              </w:rPr>
            </w:pPr>
            <w:r>
              <w:rPr>
                <w:rFonts w:ascii="Arial" w:cs="Arial" w:eastAsia="Arial" w:hAnsi="Arial"/>
                <w:sz w:val="11"/>
                <w:szCs w:val="11"/>
                <w:color w:val="auto"/>
              </w:rPr>
              <w:t>7.25 %</w:t>
            </w:r>
          </w:p>
        </w:tc>
        <w:tc>
          <w:tcPr>
            <w:tcW w:w="7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L+625</w:t>
            </w:r>
          </w:p>
        </w:tc>
        <w:tc>
          <w:tcPr>
            <w:tcW w:w="8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14,925</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14,648</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14,627</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tcPr>
          <w:p>
            <w:pPr>
              <w:ind w:left="20"/>
              <w:spacing w:after="0"/>
              <w:rPr>
                <w:sz w:val="20"/>
                <w:szCs w:val="20"/>
                <w:color w:val="auto"/>
              </w:rPr>
            </w:pPr>
            <w:r>
              <w:rPr>
                <w:rFonts w:ascii="Arial" w:cs="Arial" w:eastAsia="Arial" w:hAnsi="Arial"/>
                <w:sz w:val="11"/>
                <w:szCs w:val="11"/>
                <w:color w:val="auto"/>
              </w:rPr>
              <w:t>Global Holdings InterCo LLC</w:t>
            </w:r>
          </w:p>
        </w:tc>
        <w:tc>
          <w:tcPr>
            <w:tcW w:w="78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03/16/2026</w:t>
            </w:r>
          </w:p>
        </w:tc>
        <w:tc>
          <w:tcPr>
            <w:tcW w:w="120" w:type="dxa"/>
            <w:vAlign w:val="bottom"/>
          </w:tcPr>
          <w:p>
            <w:pPr>
              <w:spacing w:after="0"/>
              <w:rPr>
                <w:sz w:val="11"/>
                <w:szCs w:val="11"/>
                <w:color w:val="auto"/>
              </w:rPr>
            </w:pPr>
          </w:p>
        </w:tc>
        <w:tc>
          <w:tcPr>
            <w:tcW w:w="2460" w:type="dxa"/>
            <w:vAlign w:val="bottom"/>
          </w:tcPr>
          <w:p>
            <w:pPr>
              <w:jc w:val="center"/>
              <w:spacing w:after="0"/>
              <w:rPr>
                <w:sz w:val="20"/>
                <w:szCs w:val="20"/>
                <w:color w:val="auto"/>
              </w:rPr>
            </w:pPr>
            <w:r>
              <w:rPr>
                <w:rFonts w:ascii="Arial" w:cs="Arial" w:eastAsia="Arial" w:hAnsi="Arial"/>
                <w:sz w:val="11"/>
                <w:szCs w:val="11"/>
                <w:color w:val="auto"/>
                <w:w w:val="90"/>
              </w:rPr>
              <w:t>Diversified Financial Services</w:t>
            </w:r>
          </w:p>
        </w:tc>
        <w:tc>
          <w:tcPr>
            <w:tcW w:w="1120" w:type="dxa"/>
            <w:vAlign w:val="bottom"/>
            <w:gridSpan w:val="3"/>
          </w:tcPr>
          <w:p>
            <w:pPr>
              <w:jc w:val="right"/>
              <w:ind w:right="160"/>
              <w:spacing w:after="0"/>
              <w:rPr>
                <w:sz w:val="20"/>
                <w:szCs w:val="20"/>
                <w:color w:val="auto"/>
              </w:rPr>
            </w:pPr>
            <w:r>
              <w:rPr>
                <w:rFonts w:ascii="Arial" w:cs="Arial" w:eastAsia="Arial" w:hAnsi="Arial"/>
                <w:sz w:val="11"/>
                <w:szCs w:val="11"/>
                <w:color w:val="auto"/>
              </w:rPr>
              <w:t>7.00 %</w:t>
            </w:r>
          </w:p>
        </w:tc>
        <w:tc>
          <w:tcPr>
            <w:tcW w:w="780" w:type="dxa"/>
            <w:vAlign w:val="bottom"/>
          </w:tcPr>
          <w:p>
            <w:pPr>
              <w:jc w:val="right"/>
              <w:spacing w:after="0"/>
              <w:rPr>
                <w:sz w:val="20"/>
                <w:szCs w:val="20"/>
                <w:color w:val="auto"/>
              </w:rPr>
            </w:pPr>
            <w:r>
              <w:rPr>
                <w:rFonts w:ascii="Arial" w:cs="Arial" w:eastAsia="Arial" w:hAnsi="Arial"/>
                <w:sz w:val="11"/>
                <w:szCs w:val="11"/>
                <w:color w:val="auto"/>
              </w:rPr>
              <w:t>3M L+600</w:t>
            </w: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3,968</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3,948</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3,948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shd w:val="clear" w:color="auto" w:fill="CCECFF"/>
          </w:tcPr>
          <w:p>
            <w:pPr>
              <w:ind w:left="20"/>
              <w:spacing w:after="0"/>
              <w:rPr>
                <w:sz w:val="20"/>
                <w:szCs w:val="20"/>
                <w:color w:val="auto"/>
              </w:rPr>
            </w:pPr>
            <w:r>
              <w:rPr>
                <w:rFonts w:ascii="Arial" w:cs="Arial" w:eastAsia="Arial" w:hAnsi="Arial"/>
                <w:sz w:val="11"/>
                <w:szCs w:val="11"/>
                <w:color w:val="auto"/>
              </w:rPr>
              <w:t>Graffiti Buyer, Inc</w:t>
            </w:r>
          </w:p>
        </w:tc>
        <w:tc>
          <w:tcPr>
            <w:tcW w:w="7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7"/>
              </w:rPr>
              <w:t>08/10/2027</w:t>
            </w:r>
          </w:p>
        </w:tc>
        <w:tc>
          <w:tcPr>
            <w:tcW w:w="120" w:type="dxa"/>
            <w:vAlign w:val="bottom"/>
            <w:shd w:val="clear" w:color="auto" w:fill="CCECFF"/>
          </w:tcPr>
          <w:p>
            <w:pPr>
              <w:spacing w:after="0"/>
              <w:rPr>
                <w:sz w:val="11"/>
                <w:szCs w:val="11"/>
                <w:color w:val="auto"/>
              </w:rPr>
            </w:pPr>
          </w:p>
        </w:tc>
        <w:tc>
          <w:tcPr>
            <w:tcW w:w="24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1"/>
              </w:rPr>
              <w:t>Trding Companies &amp; Distributors</w:t>
            </w:r>
          </w:p>
        </w:tc>
        <w:tc>
          <w:tcPr>
            <w:tcW w:w="1120" w:type="dxa"/>
            <w:vAlign w:val="bottom"/>
            <w:gridSpan w:val="3"/>
            <w:shd w:val="clear" w:color="auto" w:fill="CCECFF"/>
          </w:tcPr>
          <w:p>
            <w:pPr>
              <w:jc w:val="right"/>
              <w:ind w:right="160"/>
              <w:spacing w:after="0"/>
              <w:rPr>
                <w:sz w:val="20"/>
                <w:szCs w:val="20"/>
                <w:color w:val="auto"/>
              </w:rPr>
            </w:pPr>
            <w:r>
              <w:rPr>
                <w:rFonts w:ascii="Arial" w:cs="Arial" w:eastAsia="Arial" w:hAnsi="Arial"/>
                <w:sz w:val="11"/>
                <w:szCs w:val="11"/>
                <w:color w:val="auto"/>
              </w:rPr>
              <w:t>6.75 %</w:t>
            </w:r>
          </w:p>
        </w:tc>
        <w:tc>
          <w:tcPr>
            <w:tcW w:w="7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L+575</w:t>
            </w:r>
          </w:p>
        </w:tc>
        <w:tc>
          <w:tcPr>
            <w:tcW w:w="8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2,393</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2,346</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2,357</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tcPr>
          <w:p>
            <w:pPr>
              <w:ind w:left="20"/>
              <w:spacing w:after="0"/>
              <w:rPr>
                <w:sz w:val="20"/>
                <w:szCs w:val="20"/>
                <w:color w:val="auto"/>
              </w:rPr>
            </w:pPr>
            <w:r>
              <w:rPr>
                <w:rFonts w:ascii="Arial" w:cs="Arial" w:eastAsia="Arial" w:hAnsi="Arial"/>
                <w:sz w:val="11"/>
                <w:szCs w:val="11"/>
                <w:color w:val="auto"/>
              </w:rPr>
              <w:t>Hancock Roofing and Construction L.L.C.</w:t>
            </w:r>
          </w:p>
        </w:tc>
        <w:tc>
          <w:tcPr>
            <w:tcW w:w="78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12/31/2026</w:t>
            </w:r>
          </w:p>
        </w:tc>
        <w:tc>
          <w:tcPr>
            <w:tcW w:w="120" w:type="dxa"/>
            <w:vAlign w:val="bottom"/>
          </w:tcPr>
          <w:p>
            <w:pPr>
              <w:spacing w:after="0"/>
              <w:rPr>
                <w:sz w:val="11"/>
                <w:szCs w:val="11"/>
                <w:color w:val="auto"/>
              </w:rPr>
            </w:pPr>
          </w:p>
        </w:tc>
        <w:tc>
          <w:tcPr>
            <w:tcW w:w="2460" w:type="dxa"/>
            <w:vAlign w:val="bottom"/>
          </w:tcPr>
          <w:p>
            <w:pPr>
              <w:jc w:val="center"/>
              <w:spacing w:after="0"/>
              <w:rPr>
                <w:sz w:val="20"/>
                <w:szCs w:val="20"/>
                <w:color w:val="auto"/>
              </w:rPr>
            </w:pPr>
            <w:r>
              <w:rPr>
                <w:rFonts w:ascii="Arial" w:cs="Arial" w:eastAsia="Arial" w:hAnsi="Arial"/>
                <w:sz w:val="11"/>
                <w:szCs w:val="11"/>
                <w:color w:val="auto"/>
                <w:w w:val="86"/>
              </w:rPr>
              <w:t>Insurance</w:t>
            </w:r>
          </w:p>
        </w:tc>
        <w:tc>
          <w:tcPr>
            <w:tcW w:w="1120" w:type="dxa"/>
            <w:vAlign w:val="bottom"/>
            <w:gridSpan w:val="3"/>
          </w:tcPr>
          <w:p>
            <w:pPr>
              <w:jc w:val="right"/>
              <w:ind w:right="160"/>
              <w:spacing w:after="0"/>
              <w:rPr>
                <w:sz w:val="20"/>
                <w:szCs w:val="20"/>
                <w:color w:val="auto"/>
              </w:rPr>
            </w:pPr>
            <w:r>
              <w:rPr>
                <w:rFonts w:ascii="Arial" w:cs="Arial" w:eastAsia="Arial" w:hAnsi="Arial"/>
                <w:sz w:val="11"/>
                <w:szCs w:val="11"/>
                <w:color w:val="auto"/>
              </w:rPr>
              <w:t>6.00 %</w:t>
            </w:r>
          </w:p>
        </w:tc>
        <w:tc>
          <w:tcPr>
            <w:tcW w:w="780" w:type="dxa"/>
            <w:vAlign w:val="bottom"/>
          </w:tcPr>
          <w:p>
            <w:pPr>
              <w:jc w:val="right"/>
              <w:spacing w:after="0"/>
              <w:rPr>
                <w:sz w:val="20"/>
                <w:szCs w:val="20"/>
                <w:color w:val="auto"/>
              </w:rPr>
            </w:pPr>
            <w:r>
              <w:rPr>
                <w:rFonts w:ascii="Arial" w:cs="Arial" w:eastAsia="Arial" w:hAnsi="Arial"/>
                <w:sz w:val="11"/>
                <w:szCs w:val="11"/>
                <w:color w:val="auto"/>
              </w:rPr>
              <w:t>3M L+500</w:t>
            </w: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2,481</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2,425</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2,456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shd w:val="clear" w:color="auto" w:fill="CCECFF"/>
          </w:tcPr>
          <w:p>
            <w:pPr>
              <w:ind w:left="20"/>
              <w:spacing w:after="0"/>
              <w:rPr>
                <w:sz w:val="20"/>
                <w:szCs w:val="20"/>
                <w:color w:val="auto"/>
              </w:rPr>
            </w:pPr>
            <w:r>
              <w:rPr>
                <w:rFonts w:ascii="Arial" w:cs="Arial" w:eastAsia="Arial" w:hAnsi="Arial"/>
                <w:sz w:val="11"/>
                <w:szCs w:val="11"/>
                <w:color w:val="auto"/>
              </w:rPr>
              <w:t>Holdco Sands Intermediate, LLC</w:t>
            </w:r>
          </w:p>
        </w:tc>
        <w:tc>
          <w:tcPr>
            <w:tcW w:w="7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7"/>
              </w:rPr>
              <w:t>12/19/2025</w:t>
            </w:r>
          </w:p>
        </w:tc>
        <w:tc>
          <w:tcPr>
            <w:tcW w:w="120" w:type="dxa"/>
            <w:vAlign w:val="bottom"/>
            <w:shd w:val="clear" w:color="auto" w:fill="CCECFF"/>
          </w:tcPr>
          <w:p>
            <w:pPr>
              <w:spacing w:after="0"/>
              <w:rPr>
                <w:sz w:val="11"/>
                <w:szCs w:val="11"/>
                <w:color w:val="auto"/>
              </w:rPr>
            </w:pPr>
          </w:p>
        </w:tc>
        <w:tc>
          <w:tcPr>
            <w:tcW w:w="24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Aerospace and Defense</w:t>
            </w:r>
          </w:p>
        </w:tc>
        <w:tc>
          <w:tcPr>
            <w:tcW w:w="1120" w:type="dxa"/>
            <w:vAlign w:val="bottom"/>
            <w:gridSpan w:val="3"/>
            <w:shd w:val="clear" w:color="auto" w:fill="CCECFF"/>
          </w:tcPr>
          <w:p>
            <w:pPr>
              <w:jc w:val="right"/>
              <w:ind w:right="160"/>
              <w:spacing w:after="0"/>
              <w:rPr>
                <w:sz w:val="20"/>
                <w:szCs w:val="20"/>
                <w:color w:val="auto"/>
              </w:rPr>
            </w:pPr>
            <w:r>
              <w:rPr>
                <w:rFonts w:ascii="Arial" w:cs="Arial" w:eastAsia="Arial" w:hAnsi="Arial"/>
                <w:sz w:val="11"/>
                <w:szCs w:val="11"/>
                <w:color w:val="auto"/>
              </w:rPr>
              <w:t>7.50 %</w:t>
            </w:r>
          </w:p>
        </w:tc>
        <w:tc>
          <w:tcPr>
            <w:tcW w:w="7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L+600</w:t>
            </w:r>
          </w:p>
        </w:tc>
        <w:tc>
          <w:tcPr>
            <w:tcW w:w="8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6,474</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6,407</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6,441</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tcPr>
          <w:p>
            <w:pPr>
              <w:ind w:left="20"/>
              <w:spacing w:after="0"/>
              <w:rPr>
                <w:sz w:val="20"/>
                <w:szCs w:val="20"/>
                <w:color w:val="auto"/>
              </w:rPr>
            </w:pPr>
            <w:r>
              <w:rPr>
                <w:rFonts w:ascii="Arial" w:cs="Arial" w:eastAsia="Arial" w:hAnsi="Arial"/>
                <w:sz w:val="11"/>
                <w:szCs w:val="11"/>
                <w:color w:val="auto"/>
              </w:rPr>
              <w:t>IMIA Holdings, Inc.</w:t>
            </w:r>
          </w:p>
        </w:tc>
        <w:tc>
          <w:tcPr>
            <w:tcW w:w="78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04/09/2027</w:t>
            </w:r>
          </w:p>
        </w:tc>
        <w:tc>
          <w:tcPr>
            <w:tcW w:w="120" w:type="dxa"/>
            <w:vAlign w:val="bottom"/>
          </w:tcPr>
          <w:p>
            <w:pPr>
              <w:spacing w:after="0"/>
              <w:rPr>
                <w:sz w:val="11"/>
                <w:szCs w:val="11"/>
                <w:color w:val="auto"/>
              </w:rPr>
            </w:pPr>
          </w:p>
        </w:tc>
        <w:tc>
          <w:tcPr>
            <w:tcW w:w="2460" w:type="dxa"/>
            <w:vAlign w:val="bottom"/>
          </w:tcPr>
          <w:p>
            <w:pPr>
              <w:jc w:val="center"/>
              <w:spacing w:after="0"/>
              <w:rPr>
                <w:sz w:val="20"/>
                <w:szCs w:val="20"/>
                <w:color w:val="auto"/>
              </w:rPr>
            </w:pPr>
            <w:r>
              <w:rPr>
                <w:rFonts w:ascii="Arial" w:cs="Arial" w:eastAsia="Arial" w:hAnsi="Arial"/>
                <w:sz w:val="11"/>
                <w:szCs w:val="11"/>
                <w:color w:val="auto"/>
                <w:w w:val="86"/>
              </w:rPr>
              <w:t>Aerospace and Defense</w:t>
            </w:r>
          </w:p>
        </w:tc>
        <w:tc>
          <w:tcPr>
            <w:tcW w:w="1120" w:type="dxa"/>
            <w:vAlign w:val="bottom"/>
            <w:gridSpan w:val="3"/>
          </w:tcPr>
          <w:p>
            <w:pPr>
              <w:jc w:val="right"/>
              <w:ind w:right="160"/>
              <w:spacing w:after="0"/>
              <w:rPr>
                <w:sz w:val="20"/>
                <w:szCs w:val="20"/>
                <w:color w:val="auto"/>
              </w:rPr>
            </w:pPr>
            <w:r>
              <w:rPr>
                <w:rFonts w:ascii="Arial" w:cs="Arial" w:eastAsia="Arial" w:hAnsi="Arial"/>
                <w:sz w:val="11"/>
                <w:szCs w:val="11"/>
                <w:color w:val="auto"/>
              </w:rPr>
              <w:t>6.75 %</w:t>
            </w:r>
          </w:p>
        </w:tc>
        <w:tc>
          <w:tcPr>
            <w:tcW w:w="780" w:type="dxa"/>
            <w:vAlign w:val="bottom"/>
          </w:tcPr>
          <w:p>
            <w:pPr>
              <w:jc w:val="right"/>
              <w:spacing w:after="0"/>
              <w:rPr>
                <w:sz w:val="20"/>
                <w:szCs w:val="20"/>
                <w:color w:val="auto"/>
              </w:rPr>
            </w:pPr>
            <w:r>
              <w:rPr>
                <w:rFonts w:ascii="Arial" w:cs="Arial" w:eastAsia="Arial" w:hAnsi="Arial"/>
                <w:sz w:val="11"/>
                <w:szCs w:val="11"/>
                <w:color w:val="auto"/>
              </w:rPr>
              <w:t>3M L+575</w:t>
            </w: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13,589</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13,338</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13,317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shd w:val="clear" w:color="auto" w:fill="CCECFF"/>
          </w:tcPr>
          <w:p>
            <w:pPr>
              <w:ind w:left="20"/>
              <w:spacing w:after="0"/>
              <w:rPr>
                <w:sz w:val="20"/>
                <w:szCs w:val="20"/>
                <w:color w:val="auto"/>
              </w:rPr>
            </w:pPr>
            <w:r>
              <w:rPr>
                <w:rFonts w:ascii="Arial" w:cs="Arial" w:eastAsia="Arial" w:hAnsi="Arial"/>
                <w:sz w:val="11"/>
                <w:szCs w:val="11"/>
                <w:color w:val="auto"/>
              </w:rPr>
              <w:t>Integrative Nutrition, LLC</w:t>
            </w:r>
          </w:p>
        </w:tc>
        <w:tc>
          <w:tcPr>
            <w:tcW w:w="7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7"/>
              </w:rPr>
              <w:t>09/29/2023</w:t>
            </w:r>
          </w:p>
        </w:tc>
        <w:tc>
          <w:tcPr>
            <w:tcW w:w="120" w:type="dxa"/>
            <w:vAlign w:val="bottom"/>
            <w:shd w:val="clear" w:color="auto" w:fill="CCECFF"/>
          </w:tcPr>
          <w:p>
            <w:pPr>
              <w:spacing w:after="0"/>
              <w:rPr>
                <w:sz w:val="11"/>
                <w:szCs w:val="11"/>
                <w:color w:val="auto"/>
              </w:rPr>
            </w:pPr>
          </w:p>
        </w:tc>
        <w:tc>
          <w:tcPr>
            <w:tcW w:w="24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Diversified Consumer Services</w:t>
            </w:r>
          </w:p>
        </w:tc>
        <w:tc>
          <w:tcPr>
            <w:tcW w:w="1120" w:type="dxa"/>
            <w:vAlign w:val="bottom"/>
            <w:gridSpan w:val="3"/>
            <w:shd w:val="clear" w:color="auto" w:fill="CCECFF"/>
          </w:tcPr>
          <w:p>
            <w:pPr>
              <w:jc w:val="right"/>
              <w:ind w:right="160"/>
              <w:spacing w:after="0"/>
              <w:rPr>
                <w:sz w:val="20"/>
                <w:szCs w:val="20"/>
                <w:color w:val="auto"/>
              </w:rPr>
            </w:pPr>
            <w:r>
              <w:rPr>
                <w:rFonts w:ascii="Arial" w:cs="Arial" w:eastAsia="Arial" w:hAnsi="Arial"/>
                <w:sz w:val="11"/>
                <w:szCs w:val="11"/>
                <w:color w:val="auto"/>
              </w:rPr>
              <w:t>5.50 %</w:t>
            </w:r>
          </w:p>
        </w:tc>
        <w:tc>
          <w:tcPr>
            <w:tcW w:w="7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L+450</w:t>
            </w:r>
          </w:p>
        </w:tc>
        <w:tc>
          <w:tcPr>
            <w:tcW w:w="8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11,567</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11,528</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11,567</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tcPr>
          <w:p>
            <w:pPr>
              <w:ind w:left="20"/>
              <w:spacing w:after="0"/>
              <w:rPr>
                <w:sz w:val="20"/>
                <w:szCs w:val="20"/>
                <w:color w:val="auto"/>
              </w:rPr>
            </w:pPr>
            <w:r>
              <w:rPr>
                <w:rFonts w:ascii="Arial" w:cs="Arial" w:eastAsia="Arial" w:hAnsi="Arial"/>
                <w:sz w:val="11"/>
                <w:szCs w:val="11"/>
                <w:color w:val="auto"/>
              </w:rPr>
              <w:t>K2 Pure Solutions NoCal, L.P.</w:t>
            </w:r>
          </w:p>
        </w:tc>
        <w:tc>
          <w:tcPr>
            <w:tcW w:w="78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12/20/2023</w:t>
            </w:r>
          </w:p>
        </w:tc>
        <w:tc>
          <w:tcPr>
            <w:tcW w:w="120" w:type="dxa"/>
            <w:vAlign w:val="bottom"/>
          </w:tcPr>
          <w:p>
            <w:pPr>
              <w:spacing w:after="0"/>
              <w:rPr>
                <w:sz w:val="11"/>
                <w:szCs w:val="11"/>
                <w:color w:val="auto"/>
              </w:rPr>
            </w:pPr>
          </w:p>
        </w:tc>
        <w:tc>
          <w:tcPr>
            <w:tcW w:w="2460" w:type="dxa"/>
            <w:vAlign w:val="bottom"/>
          </w:tcPr>
          <w:p>
            <w:pPr>
              <w:jc w:val="center"/>
              <w:spacing w:after="0"/>
              <w:rPr>
                <w:sz w:val="20"/>
                <w:szCs w:val="20"/>
                <w:color w:val="auto"/>
              </w:rPr>
            </w:pPr>
            <w:r>
              <w:rPr>
                <w:rFonts w:ascii="Arial" w:cs="Arial" w:eastAsia="Arial" w:hAnsi="Arial"/>
                <w:sz w:val="11"/>
                <w:szCs w:val="11"/>
                <w:color w:val="auto"/>
                <w:w w:val="88"/>
              </w:rPr>
              <w:t>Chemicals, Plastics and Rubber</w:t>
            </w:r>
          </w:p>
        </w:tc>
        <w:tc>
          <w:tcPr>
            <w:tcW w:w="1120" w:type="dxa"/>
            <w:vAlign w:val="bottom"/>
            <w:gridSpan w:val="3"/>
          </w:tcPr>
          <w:p>
            <w:pPr>
              <w:jc w:val="right"/>
              <w:ind w:right="160"/>
              <w:spacing w:after="0"/>
              <w:rPr>
                <w:sz w:val="20"/>
                <w:szCs w:val="20"/>
                <w:color w:val="auto"/>
              </w:rPr>
            </w:pPr>
            <w:r>
              <w:rPr>
                <w:rFonts w:ascii="Arial" w:cs="Arial" w:eastAsia="Arial" w:hAnsi="Arial"/>
                <w:sz w:val="11"/>
                <w:szCs w:val="11"/>
                <w:color w:val="auto"/>
              </w:rPr>
              <w:t>8.00 %</w:t>
            </w:r>
          </w:p>
        </w:tc>
        <w:tc>
          <w:tcPr>
            <w:tcW w:w="780" w:type="dxa"/>
            <w:vAlign w:val="bottom"/>
          </w:tcPr>
          <w:p>
            <w:pPr>
              <w:jc w:val="right"/>
              <w:spacing w:after="0"/>
              <w:rPr>
                <w:sz w:val="20"/>
                <w:szCs w:val="20"/>
                <w:color w:val="auto"/>
              </w:rPr>
            </w:pPr>
            <w:r>
              <w:rPr>
                <w:rFonts w:ascii="Arial" w:cs="Arial" w:eastAsia="Arial" w:hAnsi="Arial"/>
                <w:sz w:val="11"/>
                <w:szCs w:val="11"/>
                <w:color w:val="auto"/>
              </w:rPr>
              <w:t>1M L+700</w:t>
            </w: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19,450</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19,193</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18,933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960" w:type="dxa"/>
            <w:vAlign w:val="bottom"/>
            <w:shd w:val="clear" w:color="auto" w:fill="CCECFF"/>
          </w:tcPr>
          <w:p>
            <w:pPr>
              <w:ind w:left="20"/>
              <w:spacing w:after="0" w:line="125" w:lineRule="exact"/>
              <w:rPr>
                <w:sz w:val="20"/>
                <w:szCs w:val="20"/>
                <w:color w:val="auto"/>
              </w:rPr>
            </w:pPr>
            <w:r>
              <w:rPr>
                <w:rFonts w:ascii="Arial" w:cs="Arial" w:eastAsia="Arial" w:hAnsi="Arial"/>
                <w:sz w:val="11"/>
                <w:szCs w:val="11"/>
                <w:color w:val="auto"/>
              </w:rPr>
              <w:t>LAV Gear Holdings, Inc.</w:t>
            </w:r>
          </w:p>
        </w:tc>
        <w:tc>
          <w:tcPr>
            <w:tcW w:w="780" w:type="dxa"/>
            <w:vAlign w:val="bottom"/>
            <w:gridSpan w:val="2"/>
            <w:shd w:val="clear" w:color="auto" w:fill="CCECFF"/>
          </w:tcPr>
          <w:p>
            <w:pPr>
              <w:jc w:val="center"/>
              <w:ind w:left="86"/>
              <w:spacing w:after="0" w:line="125" w:lineRule="exact"/>
              <w:rPr>
                <w:sz w:val="20"/>
                <w:szCs w:val="20"/>
                <w:color w:val="auto"/>
              </w:rPr>
            </w:pPr>
            <w:r>
              <w:rPr>
                <w:rFonts w:ascii="Arial" w:cs="Arial" w:eastAsia="Arial" w:hAnsi="Arial"/>
                <w:sz w:val="11"/>
                <w:szCs w:val="11"/>
                <w:color w:val="auto"/>
                <w:w w:val="87"/>
              </w:rPr>
              <w:t>10/31/2024</w:t>
            </w:r>
          </w:p>
        </w:tc>
        <w:tc>
          <w:tcPr>
            <w:tcW w:w="120" w:type="dxa"/>
            <w:vAlign w:val="bottom"/>
            <w:shd w:val="clear" w:color="auto" w:fill="CCECFF"/>
          </w:tcPr>
          <w:p>
            <w:pPr>
              <w:spacing w:after="0"/>
              <w:rPr>
                <w:sz w:val="10"/>
                <w:szCs w:val="10"/>
                <w:color w:val="auto"/>
              </w:rPr>
            </w:pPr>
          </w:p>
        </w:tc>
        <w:tc>
          <w:tcPr>
            <w:tcW w:w="2460" w:type="dxa"/>
            <w:vAlign w:val="bottom"/>
            <w:shd w:val="clear" w:color="auto" w:fill="CCECFF"/>
          </w:tcPr>
          <w:p>
            <w:pPr>
              <w:jc w:val="center"/>
              <w:spacing w:after="0" w:line="125" w:lineRule="exact"/>
              <w:rPr>
                <w:sz w:val="20"/>
                <w:szCs w:val="20"/>
                <w:color w:val="auto"/>
              </w:rPr>
            </w:pPr>
            <w:r>
              <w:rPr>
                <w:rFonts w:ascii="Arial" w:cs="Arial" w:eastAsia="Arial" w:hAnsi="Arial"/>
                <w:sz w:val="11"/>
                <w:szCs w:val="11"/>
                <w:color w:val="auto"/>
                <w:w w:val="91"/>
              </w:rPr>
              <w:t>Capital Equipment</w:t>
            </w:r>
          </w:p>
        </w:tc>
        <w:tc>
          <w:tcPr>
            <w:tcW w:w="1120" w:type="dxa"/>
            <w:vAlign w:val="bottom"/>
            <w:gridSpan w:val="3"/>
            <w:shd w:val="clear" w:color="auto" w:fill="CCECFF"/>
          </w:tcPr>
          <w:p>
            <w:pPr>
              <w:jc w:val="right"/>
              <w:ind w:right="160"/>
              <w:spacing w:after="0" w:line="125" w:lineRule="exact"/>
              <w:rPr>
                <w:sz w:val="20"/>
                <w:szCs w:val="20"/>
                <w:color w:val="auto"/>
              </w:rPr>
            </w:pPr>
            <w:r>
              <w:rPr>
                <w:rFonts w:ascii="Arial" w:cs="Arial" w:eastAsia="Arial" w:hAnsi="Arial"/>
                <w:sz w:val="11"/>
                <w:szCs w:val="11"/>
                <w:color w:val="auto"/>
              </w:rPr>
              <w:t>8.50 %</w:t>
            </w:r>
          </w:p>
        </w:tc>
        <w:tc>
          <w:tcPr>
            <w:tcW w:w="780" w:type="dxa"/>
            <w:vAlign w:val="bottom"/>
            <w:shd w:val="clear" w:color="auto" w:fill="CCECFF"/>
          </w:tcPr>
          <w:p>
            <w:pPr>
              <w:jc w:val="right"/>
              <w:spacing w:after="0" w:line="125" w:lineRule="exact"/>
              <w:rPr>
                <w:sz w:val="20"/>
                <w:szCs w:val="20"/>
                <w:color w:val="auto"/>
              </w:rPr>
            </w:pPr>
            <w:r>
              <w:rPr>
                <w:rFonts w:ascii="Arial" w:cs="Arial" w:eastAsia="Arial" w:hAnsi="Arial"/>
                <w:sz w:val="11"/>
                <w:szCs w:val="11"/>
                <w:color w:val="auto"/>
              </w:rPr>
              <w:t>3M L+750</w:t>
            </w:r>
          </w:p>
        </w:tc>
        <w:tc>
          <w:tcPr>
            <w:tcW w:w="860" w:type="dxa"/>
            <w:vAlign w:val="bottom"/>
            <w:gridSpan w:val="2"/>
            <w:shd w:val="clear" w:color="auto" w:fill="CCECFF"/>
          </w:tcPr>
          <w:p>
            <w:pPr>
              <w:jc w:val="right"/>
              <w:spacing w:after="0" w:line="125" w:lineRule="exact"/>
              <w:rPr>
                <w:sz w:val="20"/>
                <w:szCs w:val="20"/>
                <w:color w:val="auto"/>
              </w:rPr>
            </w:pPr>
            <w:r>
              <w:rPr>
                <w:rFonts w:ascii="Arial" w:cs="Arial" w:eastAsia="Arial" w:hAnsi="Arial"/>
                <w:sz w:val="11"/>
                <w:szCs w:val="11"/>
                <w:color w:val="auto"/>
              </w:rPr>
              <w:t>10,491</w:t>
            </w:r>
          </w:p>
        </w:tc>
        <w:tc>
          <w:tcPr>
            <w:tcW w:w="22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line="125" w:lineRule="exact"/>
              <w:rPr>
                <w:sz w:val="20"/>
                <w:szCs w:val="20"/>
                <w:color w:val="auto"/>
              </w:rPr>
            </w:pPr>
            <w:r>
              <w:rPr>
                <w:rFonts w:ascii="Arial" w:cs="Arial" w:eastAsia="Arial" w:hAnsi="Arial"/>
                <w:sz w:val="11"/>
                <w:szCs w:val="11"/>
                <w:color w:val="auto"/>
              </w:rPr>
              <w:t>10,435</w:t>
            </w:r>
          </w:p>
        </w:tc>
        <w:tc>
          <w:tcPr>
            <w:tcW w:w="24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5" w:lineRule="exact"/>
              <w:rPr>
                <w:sz w:val="20"/>
                <w:szCs w:val="20"/>
                <w:color w:val="auto"/>
              </w:rPr>
            </w:pPr>
            <w:r>
              <w:rPr>
                <w:rFonts w:ascii="Arial" w:cs="Arial" w:eastAsia="Arial" w:hAnsi="Arial"/>
                <w:sz w:val="11"/>
                <w:szCs w:val="11"/>
                <w:color w:val="auto"/>
              </w:rPr>
              <w:t>9,833</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96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24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00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P(IK 1.00%)</w:t>
            </w:r>
          </w:p>
        </w:tc>
        <w:tc>
          <w:tcPr>
            <w:tcW w:w="7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960" w:type="dxa"/>
            <w:vAlign w:val="bottom"/>
          </w:tcPr>
          <w:p>
            <w:pPr>
              <w:ind w:left="20"/>
              <w:spacing w:after="0" w:line="125" w:lineRule="exact"/>
              <w:rPr>
                <w:sz w:val="20"/>
                <w:szCs w:val="20"/>
                <w:color w:val="auto"/>
              </w:rPr>
            </w:pPr>
            <w:r>
              <w:rPr>
                <w:rFonts w:ascii="Arial" w:cs="Arial" w:eastAsia="Arial" w:hAnsi="Arial"/>
                <w:sz w:val="11"/>
                <w:szCs w:val="11"/>
                <w:color w:val="auto"/>
              </w:rPr>
              <w:t>Lightspeed Buyer Inc.</w:t>
            </w:r>
          </w:p>
        </w:tc>
        <w:tc>
          <w:tcPr>
            <w:tcW w:w="780" w:type="dxa"/>
            <w:vAlign w:val="bottom"/>
            <w:gridSpan w:val="2"/>
          </w:tcPr>
          <w:p>
            <w:pPr>
              <w:jc w:val="center"/>
              <w:ind w:left="86"/>
              <w:spacing w:after="0" w:line="125" w:lineRule="exact"/>
              <w:rPr>
                <w:sz w:val="20"/>
                <w:szCs w:val="20"/>
                <w:color w:val="auto"/>
              </w:rPr>
            </w:pPr>
            <w:r>
              <w:rPr>
                <w:rFonts w:ascii="Arial" w:cs="Arial" w:eastAsia="Arial" w:hAnsi="Arial"/>
                <w:sz w:val="11"/>
                <w:szCs w:val="11"/>
                <w:color w:val="auto"/>
                <w:w w:val="89"/>
              </w:rPr>
              <w:t>02/3/2026</w:t>
            </w:r>
          </w:p>
        </w:tc>
        <w:tc>
          <w:tcPr>
            <w:tcW w:w="120" w:type="dxa"/>
            <w:vAlign w:val="bottom"/>
          </w:tcPr>
          <w:p>
            <w:pPr>
              <w:spacing w:after="0"/>
              <w:rPr>
                <w:sz w:val="10"/>
                <w:szCs w:val="10"/>
                <w:color w:val="auto"/>
              </w:rPr>
            </w:pPr>
          </w:p>
        </w:tc>
        <w:tc>
          <w:tcPr>
            <w:tcW w:w="2460" w:type="dxa"/>
            <w:vAlign w:val="bottom"/>
          </w:tcPr>
          <w:p>
            <w:pPr>
              <w:jc w:val="center"/>
              <w:spacing w:after="0" w:line="125" w:lineRule="exact"/>
              <w:rPr>
                <w:sz w:val="20"/>
                <w:szCs w:val="20"/>
                <w:color w:val="auto"/>
              </w:rPr>
            </w:pPr>
            <w:r>
              <w:rPr>
                <w:rFonts w:ascii="Arial" w:cs="Arial" w:eastAsia="Arial" w:hAnsi="Arial"/>
                <w:sz w:val="11"/>
                <w:szCs w:val="11"/>
                <w:color w:val="auto"/>
                <w:w w:val="88"/>
              </w:rPr>
              <w:t>Healthcare Providers and Services</w:t>
            </w:r>
          </w:p>
        </w:tc>
        <w:tc>
          <w:tcPr>
            <w:tcW w:w="1120" w:type="dxa"/>
            <w:vAlign w:val="bottom"/>
            <w:gridSpan w:val="3"/>
          </w:tcPr>
          <w:p>
            <w:pPr>
              <w:jc w:val="right"/>
              <w:ind w:right="160"/>
              <w:spacing w:after="0" w:line="125" w:lineRule="exact"/>
              <w:rPr>
                <w:sz w:val="20"/>
                <w:szCs w:val="20"/>
                <w:color w:val="auto"/>
              </w:rPr>
            </w:pPr>
            <w:r>
              <w:rPr>
                <w:rFonts w:ascii="Arial" w:cs="Arial" w:eastAsia="Arial" w:hAnsi="Arial"/>
                <w:sz w:val="11"/>
                <w:szCs w:val="11"/>
                <w:color w:val="auto"/>
              </w:rPr>
              <w:t>6.75 %</w:t>
            </w:r>
          </w:p>
        </w:tc>
        <w:tc>
          <w:tcPr>
            <w:tcW w:w="780" w:type="dxa"/>
            <w:vAlign w:val="bottom"/>
          </w:tcPr>
          <w:p>
            <w:pPr>
              <w:jc w:val="right"/>
              <w:spacing w:after="0" w:line="125" w:lineRule="exact"/>
              <w:rPr>
                <w:sz w:val="20"/>
                <w:szCs w:val="20"/>
                <w:color w:val="auto"/>
              </w:rPr>
            </w:pPr>
            <w:r>
              <w:rPr>
                <w:rFonts w:ascii="Arial" w:cs="Arial" w:eastAsia="Arial" w:hAnsi="Arial"/>
                <w:sz w:val="11"/>
                <w:szCs w:val="11"/>
                <w:color w:val="auto"/>
              </w:rPr>
              <w:t>1M L+575</w:t>
            </w:r>
          </w:p>
        </w:tc>
        <w:tc>
          <w:tcPr>
            <w:tcW w:w="860" w:type="dxa"/>
            <w:vAlign w:val="bottom"/>
            <w:gridSpan w:val="2"/>
          </w:tcPr>
          <w:p>
            <w:pPr>
              <w:jc w:val="right"/>
              <w:spacing w:after="0" w:line="125" w:lineRule="exact"/>
              <w:rPr>
                <w:sz w:val="20"/>
                <w:szCs w:val="20"/>
                <w:color w:val="auto"/>
              </w:rPr>
            </w:pPr>
            <w:r>
              <w:rPr>
                <w:rFonts w:ascii="Arial" w:cs="Arial" w:eastAsia="Arial" w:hAnsi="Arial"/>
                <w:sz w:val="11"/>
                <w:szCs w:val="11"/>
                <w:color w:val="auto"/>
              </w:rPr>
              <w:t>5,707</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jc w:val="right"/>
              <w:spacing w:after="0" w:line="125" w:lineRule="exact"/>
              <w:rPr>
                <w:sz w:val="20"/>
                <w:szCs w:val="20"/>
                <w:color w:val="auto"/>
              </w:rPr>
            </w:pPr>
            <w:r>
              <w:rPr>
                <w:rFonts w:ascii="Arial" w:cs="Arial" w:eastAsia="Arial" w:hAnsi="Arial"/>
                <w:sz w:val="11"/>
                <w:szCs w:val="11"/>
                <w:color w:val="auto"/>
              </w:rPr>
              <w:t>5,606</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line="125" w:lineRule="exact"/>
              <w:rPr>
                <w:sz w:val="20"/>
                <w:szCs w:val="20"/>
                <w:color w:val="auto"/>
              </w:rPr>
            </w:pPr>
            <w:r>
              <w:rPr>
                <w:rFonts w:ascii="Arial" w:cs="Arial" w:eastAsia="Arial" w:hAnsi="Arial"/>
                <w:sz w:val="11"/>
                <w:szCs w:val="11"/>
                <w:color w:val="auto"/>
              </w:rPr>
              <w:t>5,707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960" w:type="dxa"/>
            <w:vAlign w:val="bottom"/>
          </w:tcPr>
          <w:p>
            <w:pPr>
              <w:ind w:left="20"/>
              <w:spacing w:after="0" w:line="115" w:lineRule="exact"/>
              <w:rPr>
                <w:sz w:val="20"/>
                <w:szCs w:val="20"/>
                <w:color w:val="auto"/>
              </w:rPr>
            </w:pPr>
            <w:r>
              <w:rPr>
                <w:rFonts w:ascii="Arial" w:cs="Arial" w:eastAsia="Arial" w:hAnsi="Arial"/>
                <w:sz w:val="11"/>
                <w:szCs w:val="11"/>
                <w:color w:val="auto"/>
              </w:rPr>
              <w:t>Lucky Bucks, LLC</w:t>
            </w:r>
          </w:p>
        </w:tc>
        <w:tc>
          <w:tcPr>
            <w:tcW w:w="780" w:type="dxa"/>
            <w:vAlign w:val="bottom"/>
            <w:gridSpan w:val="2"/>
          </w:tcPr>
          <w:p>
            <w:pPr>
              <w:jc w:val="center"/>
              <w:ind w:left="86"/>
              <w:spacing w:after="0" w:line="115" w:lineRule="exact"/>
              <w:rPr>
                <w:sz w:val="20"/>
                <w:szCs w:val="20"/>
                <w:color w:val="auto"/>
              </w:rPr>
            </w:pPr>
            <w:r>
              <w:rPr>
                <w:rFonts w:ascii="Arial" w:cs="Arial" w:eastAsia="Arial" w:hAnsi="Arial"/>
                <w:sz w:val="11"/>
                <w:szCs w:val="11"/>
                <w:color w:val="auto"/>
                <w:w w:val="87"/>
              </w:rPr>
              <w:t>07/20/2027</w:t>
            </w:r>
          </w:p>
        </w:tc>
        <w:tc>
          <w:tcPr>
            <w:tcW w:w="120" w:type="dxa"/>
            <w:vAlign w:val="bottom"/>
          </w:tcPr>
          <w:p>
            <w:pPr>
              <w:spacing w:after="0"/>
              <w:rPr>
                <w:sz w:val="9"/>
                <w:szCs w:val="9"/>
                <w:color w:val="auto"/>
              </w:rPr>
            </w:pPr>
          </w:p>
        </w:tc>
        <w:tc>
          <w:tcPr>
            <w:tcW w:w="2460" w:type="dxa"/>
            <w:vAlign w:val="bottom"/>
          </w:tcPr>
          <w:p>
            <w:pPr>
              <w:jc w:val="center"/>
              <w:spacing w:after="0" w:line="115" w:lineRule="exact"/>
              <w:rPr>
                <w:sz w:val="20"/>
                <w:szCs w:val="20"/>
                <w:color w:val="auto"/>
              </w:rPr>
            </w:pPr>
            <w:r>
              <w:rPr>
                <w:rFonts w:ascii="Arial" w:cs="Arial" w:eastAsia="Arial" w:hAnsi="Arial"/>
                <w:sz w:val="11"/>
                <w:szCs w:val="11"/>
                <w:color w:val="auto"/>
                <w:w w:val="90"/>
              </w:rPr>
              <w:t>Hotel, Gaming and Leisure</w:t>
            </w:r>
          </w:p>
        </w:tc>
        <w:tc>
          <w:tcPr>
            <w:tcW w:w="1120" w:type="dxa"/>
            <w:vAlign w:val="bottom"/>
            <w:gridSpan w:val="3"/>
          </w:tcPr>
          <w:p>
            <w:pPr>
              <w:jc w:val="right"/>
              <w:ind w:right="160"/>
              <w:spacing w:after="0" w:line="115" w:lineRule="exact"/>
              <w:rPr>
                <w:sz w:val="20"/>
                <w:szCs w:val="20"/>
                <w:color w:val="auto"/>
              </w:rPr>
            </w:pPr>
            <w:r>
              <w:rPr>
                <w:rFonts w:ascii="Arial" w:cs="Arial" w:eastAsia="Arial" w:hAnsi="Arial"/>
                <w:sz w:val="11"/>
                <w:szCs w:val="11"/>
                <w:color w:val="auto"/>
              </w:rPr>
              <w:t>6.25 %</w:t>
            </w:r>
          </w:p>
        </w:tc>
        <w:tc>
          <w:tcPr>
            <w:tcW w:w="780" w:type="dxa"/>
            <w:vAlign w:val="bottom"/>
          </w:tcPr>
          <w:p>
            <w:pPr>
              <w:jc w:val="right"/>
              <w:spacing w:after="0" w:line="115" w:lineRule="exact"/>
              <w:rPr>
                <w:sz w:val="20"/>
                <w:szCs w:val="20"/>
                <w:color w:val="auto"/>
              </w:rPr>
            </w:pPr>
            <w:r>
              <w:rPr>
                <w:rFonts w:ascii="Arial" w:cs="Arial" w:eastAsia="Arial" w:hAnsi="Arial"/>
                <w:sz w:val="11"/>
                <w:szCs w:val="11"/>
                <w:color w:val="auto"/>
              </w:rPr>
              <w:t>1M L+550</w:t>
            </w:r>
          </w:p>
        </w:tc>
        <w:tc>
          <w:tcPr>
            <w:tcW w:w="86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4,500</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jc w:val="right"/>
              <w:spacing w:after="0" w:line="115" w:lineRule="exact"/>
              <w:rPr>
                <w:sz w:val="20"/>
                <w:szCs w:val="20"/>
                <w:color w:val="auto"/>
              </w:rPr>
            </w:pPr>
            <w:r>
              <w:rPr>
                <w:rFonts w:ascii="Arial" w:cs="Arial" w:eastAsia="Arial" w:hAnsi="Arial"/>
                <w:sz w:val="11"/>
                <w:szCs w:val="11"/>
                <w:color w:val="auto"/>
              </w:rPr>
              <w:t>4,411</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jc w:val="right"/>
              <w:spacing w:after="0" w:line="115" w:lineRule="exact"/>
              <w:rPr>
                <w:sz w:val="20"/>
                <w:szCs w:val="20"/>
                <w:color w:val="auto"/>
              </w:rPr>
            </w:pPr>
            <w:r>
              <w:rPr>
                <w:rFonts w:ascii="Arial" w:cs="Arial" w:eastAsia="Arial" w:hAnsi="Arial"/>
                <w:sz w:val="11"/>
                <w:szCs w:val="11"/>
                <w:color w:val="auto"/>
              </w:rPr>
              <w:t>4,424</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96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Marketplace Events, LLC </w:t>
            </w:r>
            <w:r>
              <w:rPr>
                <w:rFonts w:ascii="Arial" w:cs="Arial" w:eastAsia="Arial" w:hAnsi="Arial"/>
                <w:sz w:val="14"/>
                <w:szCs w:val="14"/>
                <w:color w:val="auto"/>
                <w:vertAlign w:val="superscript"/>
              </w:rPr>
              <w:t>(3)(4)</w:t>
            </w:r>
          </w:p>
        </w:tc>
        <w:tc>
          <w:tcPr>
            <w:tcW w:w="78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09/30/2025</w:t>
            </w:r>
          </w:p>
        </w:tc>
        <w:tc>
          <w:tcPr>
            <w:tcW w:w="120" w:type="dxa"/>
            <w:vAlign w:val="bottom"/>
          </w:tcPr>
          <w:p>
            <w:pPr>
              <w:spacing w:after="0"/>
              <w:rPr>
                <w:sz w:val="13"/>
                <w:szCs w:val="13"/>
                <w:color w:val="auto"/>
              </w:rPr>
            </w:pPr>
          </w:p>
        </w:tc>
        <w:tc>
          <w:tcPr>
            <w:tcW w:w="2460" w:type="dxa"/>
            <w:vAlign w:val="bottom"/>
          </w:tcPr>
          <w:p>
            <w:pPr>
              <w:ind w:left="20"/>
              <w:spacing w:after="0"/>
              <w:rPr>
                <w:sz w:val="20"/>
                <w:szCs w:val="20"/>
                <w:color w:val="auto"/>
              </w:rPr>
            </w:pPr>
            <w:r>
              <w:rPr>
                <w:rFonts w:ascii="Arial" w:cs="Arial" w:eastAsia="Arial" w:hAnsi="Arial"/>
                <w:sz w:val="11"/>
                <w:szCs w:val="11"/>
                <w:color w:val="auto"/>
              </w:rPr>
              <w:t>Media: Diversified and Production</w:t>
            </w:r>
          </w:p>
        </w:tc>
        <w:tc>
          <w:tcPr>
            <w:tcW w:w="1120" w:type="dxa"/>
            <w:vAlign w:val="bottom"/>
            <w:gridSpan w:val="3"/>
          </w:tcPr>
          <w:p>
            <w:pPr>
              <w:jc w:val="right"/>
              <w:ind w:right="160"/>
              <w:spacing w:after="0"/>
              <w:rPr>
                <w:sz w:val="20"/>
                <w:szCs w:val="20"/>
                <w:color w:val="auto"/>
              </w:rPr>
            </w:pPr>
            <w:r>
              <w:rPr>
                <w:rFonts w:ascii="Arial" w:cs="Arial" w:eastAsia="Arial" w:hAnsi="Arial"/>
                <w:sz w:val="11"/>
                <w:szCs w:val="11"/>
                <w:color w:val="auto"/>
              </w:rPr>
              <w:t>6.25 %</w:t>
            </w:r>
          </w:p>
        </w:tc>
        <w:tc>
          <w:tcPr>
            <w:tcW w:w="780" w:type="dxa"/>
            <w:vAlign w:val="bottom"/>
          </w:tcPr>
          <w:p>
            <w:pPr>
              <w:jc w:val="right"/>
              <w:spacing w:after="0"/>
              <w:rPr>
                <w:sz w:val="20"/>
                <w:szCs w:val="20"/>
                <w:color w:val="auto"/>
              </w:rPr>
            </w:pPr>
            <w:r>
              <w:rPr>
                <w:rFonts w:ascii="Arial" w:cs="Arial" w:eastAsia="Arial" w:hAnsi="Arial"/>
                <w:sz w:val="11"/>
                <w:szCs w:val="11"/>
                <w:color w:val="auto"/>
              </w:rPr>
              <w:t>3M L+525</w:t>
            </w: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617</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617</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617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960" w:type="dxa"/>
            <w:vAlign w:val="bottom"/>
          </w:tcPr>
          <w:p>
            <w:pPr>
              <w:ind w:left="20"/>
              <w:spacing w:after="0"/>
              <w:rPr>
                <w:sz w:val="20"/>
                <w:szCs w:val="20"/>
                <w:color w:val="auto"/>
              </w:rPr>
            </w:pPr>
            <w:r>
              <w:rPr>
                <w:rFonts w:ascii="Arial" w:cs="Arial" w:eastAsia="Arial" w:hAnsi="Arial"/>
                <w:sz w:val="11"/>
                <w:szCs w:val="11"/>
                <w:color w:val="auto"/>
              </w:rPr>
              <w:t>Super Priority First Lien Term Loan</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1"/>
                <w:szCs w:val="11"/>
                <w:color w:val="auto"/>
              </w:rPr>
              <w:t>P(IK 6.25%)</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960" w:type="dxa"/>
            <w:vAlign w:val="bottom"/>
          </w:tcPr>
          <w:p>
            <w:pPr>
              <w:ind w:left="20"/>
              <w:spacing w:after="0" w:line="104" w:lineRule="exact"/>
              <w:rPr>
                <w:sz w:val="20"/>
                <w:szCs w:val="20"/>
                <w:color w:val="auto"/>
              </w:rPr>
            </w:pPr>
            <w:r>
              <w:rPr>
                <w:rFonts w:ascii="Arial" w:cs="Arial" w:eastAsia="Arial" w:hAnsi="Arial"/>
                <w:sz w:val="11"/>
                <w:szCs w:val="11"/>
                <w:color w:val="auto"/>
                <w:w w:val="97"/>
              </w:rPr>
              <w:t>Marketplace Events, LLC - Super Priority First Lien Unfunded</w:t>
            </w:r>
          </w:p>
        </w:tc>
        <w:tc>
          <w:tcPr>
            <w:tcW w:w="780" w:type="dxa"/>
            <w:vAlign w:val="bottom"/>
            <w:gridSpan w:val="2"/>
            <w:vMerge w:val="restart"/>
          </w:tcPr>
          <w:p>
            <w:pPr>
              <w:jc w:val="center"/>
              <w:ind w:left="86"/>
              <w:spacing w:after="0"/>
              <w:rPr>
                <w:sz w:val="20"/>
                <w:szCs w:val="20"/>
                <w:color w:val="auto"/>
              </w:rPr>
            </w:pPr>
            <w:r>
              <w:rPr>
                <w:rFonts w:ascii="Arial" w:cs="Arial" w:eastAsia="Arial" w:hAnsi="Arial"/>
                <w:sz w:val="11"/>
                <w:szCs w:val="11"/>
                <w:color w:val="auto"/>
                <w:w w:val="87"/>
              </w:rPr>
              <w:t>09/30/2025</w:t>
            </w:r>
          </w:p>
        </w:tc>
        <w:tc>
          <w:tcPr>
            <w:tcW w:w="120" w:type="dxa"/>
            <w:vAlign w:val="bottom"/>
          </w:tcPr>
          <w:p>
            <w:pPr>
              <w:spacing w:after="0"/>
              <w:rPr>
                <w:sz w:val="9"/>
                <w:szCs w:val="9"/>
                <w:color w:val="auto"/>
              </w:rPr>
            </w:pPr>
          </w:p>
        </w:tc>
        <w:tc>
          <w:tcPr>
            <w:tcW w:w="2460" w:type="dxa"/>
            <w:vAlign w:val="bottom"/>
            <w:vMerge w:val="restart"/>
          </w:tcPr>
          <w:p>
            <w:pPr>
              <w:jc w:val="center"/>
              <w:spacing w:after="0"/>
              <w:rPr>
                <w:sz w:val="20"/>
                <w:szCs w:val="20"/>
                <w:color w:val="auto"/>
              </w:rPr>
            </w:pPr>
            <w:r>
              <w:rPr>
                <w:rFonts w:ascii="Arial" w:cs="Arial" w:eastAsia="Arial" w:hAnsi="Arial"/>
                <w:sz w:val="11"/>
                <w:szCs w:val="11"/>
                <w:color w:val="auto"/>
                <w:w w:val="91"/>
              </w:rPr>
              <w:t>Media: Diversified and Production</w:t>
            </w:r>
          </w:p>
        </w:tc>
        <w:tc>
          <w:tcPr>
            <w:tcW w:w="120" w:type="dxa"/>
            <w:vAlign w:val="bottom"/>
          </w:tcPr>
          <w:p>
            <w:pPr>
              <w:spacing w:after="0"/>
              <w:rPr>
                <w:sz w:val="9"/>
                <w:szCs w:val="9"/>
                <w:color w:val="auto"/>
              </w:rPr>
            </w:pPr>
          </w:p>
        </w:tc>
        <w:tc>
          <w:tcPr>
            <w:tcW w:w="1000" w:type="dxa"/>
            <w:vAlign w:val="bottom"/>
            <w:gridSpan w:val="2"/>
            <w:vMerge w:val="restart"/>
          </w:tcPr>
          <w:p>
            <w:pPr>
              <w:jc w:val="right"/>
              <w:ind w:right="280"/>
              <w:spacing w:after="0"/>
              <w:rPr>
                <w:sz w:val="20"/>
                <w:szCs w:val="20"/>
                <w:color w:val="auto"/>
              </w:rPr>
            </w:pPr>
            <w:r>
              <w:rPr>
                <w:rFonts w:ascii="Arial" w:cs="Arial" w:eastAsia="Arial" w:hAnsi="Arial"/>
                <w:sz w:val="11"/>
                <w:szCs w:val="11"/>
                <w:color w:val="auto"/>
              </w:rPr>
              <w:t>—</w:t>
            </w:r>
          </w:p>
        </w:tc>
        <w:tc>
          <w:tcPr>
            <w:tcW w:w="7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860" w:type="dxa"/>
            <w:vAlign w:val="bottom"/>
            <w:gridSpan w:val="2"/>
            <w:vMerge w:val="restart"/>
          </w:tcPr>
          <w:p>
            <w:pPr>
              <w:jc w:val="right"/>
              <w:spacing w:after="0"/>
              <w:rPr>
                <w:sz w:val="20"/>
                <w:szCs w:val="20"/>
                <w:color w:val="auto"/>
              </w:rPr>
            </w:pPr>
            <w:r>
              <w:rPr>
                <w:rFonts w:ascii="Arial" w:cs="Arial" w:eastAsia="Arial" w:hAnsi="Arial"/>
                <w:sz w:val="11"/>
                <w:szCs w:val="11"/>
                <w:color w:val="auto"/>
              </w:rPr>
              <w:t>589</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2960" w:type="dxa"/>
            <w:vAlign w:val="bottom"/>
          </w:tcPr>
          <w:p>
            <w:pPr>
              <w:ind w:left="20"/>
              <w:spacing w:after="0" w:line="119" w:lineRule="exact"/>
              <w:rPr>
                <w:sz w:val="20"/>
                <w:szCs w:val="20"/>
                <w:color w:val="auto"/>
              </w:rPr>
            </w:pPr>
            <w:r>
              <w:rPr>
                <w:rFonts w:ascii="Arial" w:cs="Arial" w:eastAsia="Arial" w:hAnsi="Arial"/>
                <w:sz w:val="10"/>
                <w:szCs w:val="10"/>
                <w:color w:val="auto"/>
              </w:rPr>
              <w:t xml:space="preserve">Term Loan </w:t>
            </w:r>
            <w:r>
              <w:rPr>
                <w:rFonts w:ascii="Arial" w:cs="Arial" w:eastAsia="Arial" w:hAnsi="Arial"/>
                <w:sz w:val="13"/>
                <w:szCs w:val="13"/>
                <w:color w:val="auto"/>
                <w:vertAlign w:val="superscript"/>
              </w:rPr>
              <w:t>(3)(4)</w:t>
            </w:r>
          </w:p>
        </w:tc>
        <w:tc>
          <w:tcPr>
            <w:tcW w:w="7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24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960" w:type="dxa"/>
            <w:vAlign w:val="bottom"/>
          </w:tcPr>
          <w:p>
            <w:pPr>
              <w:ind w:left="20"/>
              <w:spacing w:after="0"/>
              <w:rPr>
                <w:sz w:val="20"/>
                <w:szCs w:val="20"/>
                <w:color w:val="auto"/>
              </w:rPr>
            </w:pPr>
            <w:r>
              <w:rPr>
                <w:rFonts w:ascii="Arial" w:cs="Arial" w:eastAsia="Arial" w:hAnsi="Arial"/>
                <w:sz w:val="11"/>
                <w:szCs w:val="11"/>
                <w:color w:val="auto"/>
              </w:rPr>
              <w:t xml:space="preserve">Marketplace Events LLC </w:t>
            </w:r>
            <w:r>
              <w:rPr>
                <w:rFonts w:ascii="Arial" w:cs="Arial" w:eastAsia="Arial" w:hAnsi="Arial"/>
                <w:sz w:val="14"/>
                <w:szCs w:val="14"/>
                <w:color w:val="auto"/>
                <w:vertAlign w:val="superscript"/>
              </w:rPr>
              <w:t>(4)</w:t>
            </w:r>
          </w:p>
        </w:tc>
        <w:tc>
          <w:tcPr>
            <w:tcW w:w="78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09/30/2026</w:t>
            </w:r>
          </w:p>
        </w:tc>
        <w:tc>
          <w:tcPr>
            <w:tcW w:w="120" w:type="dxa"/>
            <w:vAlign w:val="bottom"/>
          </w:tcPr>
          <w:p>
            <w:pPr>
              <w:spacing w:after="0"/>
              <w:rPr>
                <w:sz w:val="14"/>
                <w:szCs w:val="14"/>
                <w:color w:val="auto"/>
              </w:rPr>
            </w:pPr>
          </w:p>
        </w:tc>
        <w:tc>
          <w:tcPr>
            <w:tcW w:w="2460" w:type="dxa"/>
            <w:vAlign w:val="bottom"/>
          </w:tcPr>
          <w:p>
            <w:pPr>
              <w:jc w:val="center"/>
              <w:spacing w:after="0"/>
              <w:rPr>
                <w:sz w:val="20"/>
                <w:szCs w:val="20"/>
                <w:color w:val="auto"/>
              </w:rPr>
            </w:pPr>
            <w:r>
              <w:rPr>
                <w:rFonts w:ascii="Arial" w:cs="Arial" w:eastAsia="Arial" w:hAnsi="Arial"/>
                <w:sz w:val="11"/>
                <w:szCs w:val="11"/>
                <w:color w:val="auto"/>
                <w:w w:val="91"/>
              </w:rPr>
              <w:t>Media: Diversified and Production</w:t>
            </w:r>
          </w:p>
        </w:tc>
        <w:tc>
          <w:tcPr>
            <w:tcW w:w="1120" w:type="dxa"/>
            <w:vAlign w:val="bottom"/>
            <w:gridSpan w:val="3"/>
          </w:tcPr>
          <w:p>
            <w:pPr>
              <w:jc w:val="right"/>
              <w:ind w:right="160"/>
              <w:spacing w:after="0"/>
              <w:rPr>
                <w:sz w:val="20"/>
                <w:szCs w:val="20"/>
                <w:color w:val="auto"/>
              </w:rPr>
            </w:pPr>
            <w:r>
              <w:rPr>
                <w:rFonts w:ascii="Arial" w:cs="Arial" w:eastAsia="Arial" w:hAnsi="Arial"/>
                <w:sz w:val="11"/>
                <w:szCs w:val="11"/>
                <w:color w:val="auto"/>
              </w:rPr>
              <w:t>0.00 %</w:t>
            </w:r>
          </w:p>
        </w:tc>
        <w:tc>
          <w:tcPr>
            <w:tcW w:w="780" w:type="dxa"/>
            <w:vAlign w:val="bottom"/>
          </w:tcPr>
          <w:p>
            <w:pPr>
              <w:jc w:val="right"/>
              <w:spacing w:after="0"/>
              <w:rPr>
                <w:sz w:val="20"/>
                <w:szCs w:val="20"/>
                <w:color w:val="auto"/>
              </w:rPr>
            </w:pPr>
            <w:r>
              <w:rPr>
                <w:rFonts w:ascii="Arial" w:cs="Arial" w:eastAsia="Arial" w:hAnsi="Arial"/>
                <w:sz w:val="11"/>
                <w:szCs w:val="11"/>
                <w:color w:val="auto"/>
              </w:rPr>
              <w:t>—</w:t>
            </w: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4,615</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3,441</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4,615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960" w:type="dxa"/>
            <w:vAlign w:val="bottom"/>
            <w:shd w:val="clear" w:color="auto" w:fill="CCECFF"/>
          </w:tcPr>
          <w:p>
            <w:pPr>
              <w:ind w:left="20"/>
              <w:spacing w:after="0"/>
              <w:rPr>
                <w:sz w:val="20"/>
                <w:szCs w:val="20"/>
                <w:color w:val="auto"/>
              </w:rPr>
            </w:pPr>
            <w:r>
              <w:rPr>
                <w:rFonts w:ascii="Arial" w:cs="Arial" w:eastAsia="Arial" w:hAnsi="Arial"/>
                <w:sz w:val="11"/>
                <w:szCs w:val="11"/>
                <w:color w:val="auto"/>
              </w:rPr>
              <w:t>Mars Acquisition Holdings Corp.</w:t>
            </w:r>
          </w:p>
        </w:tc>
        <w:tc>
          <w:tcPr>
            <w:tcW w:w="7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7"/>
              </w:rPr>
              <w:t>05/14/2026</w:t>
            </w:r>
          </w:p>
        </w:tc>
        <w:tc>
          <w:tcPr>
            <w:tcW w:w="120" w:type="dxa"/>
            <w:vAlign w:val="bottom"/>
            <w:shd w:val="clear" w:color="auto" w:fill="CCECFF"/>
          </w:tcPr>
          <w:p>
            <w:pPr>
              <w:spacing w:after="0"/>
              <w:rPr>
                <w:sz w:val="11"/>
                <w:szCs w:val="11"/>
                <w:color w:val="auto"/>
              </w:rPr>
            </w:pPr>
          </w:p>
        </w:tc>
        <w:tc>
          <w:tcPr>
            <w:tcW w:w="24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Media</w:t>
            </w:r>
          </w:p>
        </w:tc>
        <w:tc>
          <w:tcPr>
            <w:tcW w:w="1120" w:type="dxa"/>
            <w:vAlign w:val="bottom"/>
            <w:gridSpan w:val="3"/>
            <w:shd w:val="clear" w:color="auto" w:fill="CCECFF"/>
          </w:tcPr>
          <w:p>
            <w:pPr>
              <w:jc w:val="right"/>
              <w:ind w:right="160"/>
              <w:spacing w:after="0"/>
              <w:rPr>
                <w:sz w:val="20"/>
                <w:szCs w:val="20"/>
                <w:color w:val="auto"/>
              </w:rPr>
            </w:pPr>
            <w:r>
              <w:rPr>
                <w:rFonts w:ascii="Arial" w:cs="Arial" w:eastAsia="Arial" w:hAnsi="Arial"/>
                <w:sz w:val="11"/>
                <w:szCs w:val="11"/>
                <w:color w:val="auto"/>
              </w:rPr>
              <w:t>6.50 %</w:t>
            </w:r>
          </w:p>
        </w:tc>
        <w:tc>
          <w:tcPr>
            <w:tcW w:w="7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L+550</w:t>
            </w:r>
          </w:p>
        </w:tc>
        <w:tc>
          <w:tcPr>
            <w:tcW w:w="8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10,000</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9,813</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9,900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tcPr>
          <w:p>
            <w:pPr>
              <w:ind w:left="20"/>
              <w:spacing w:after="0"/>
              <w:rPr>
                <w:sz w:val="20"/>
                <w:szCs w:val="20"/>
                <w:color w:val="auto"/>
              </w:rPr>
            </w:pPr>
            <w:r>
              <w:rPr>
                <w:rFonts w:ascii="Arial" w:cs="Arial" w:eastAsia="Arial" w:hAnsi="Arial"/>
                <w:sz w:val="11"/>
                <w:szCs w:val="11"/>
                <w:color w:val="auto"/>
              </w:rPr>
              <w:t>MBS Holdings, Inc.</w:t>
            </w:r>
          </w:p>
        </w:tc>
        <w:tc>
          <w:tcPr>
            <w:tcW w:w="78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04/16/2027</w:t>
            </w:r>
          </w:p>
        </w:tc>
        <w:tc>
          <w:tcPr>
            <w:tcW w:w="120" w:type="dxa"/>
            <w:vAlign w:val="bottom"/>
          </w:tcPr>
          <w:p>
            <w:pPr>
              <w:spacing w:after="0"/>
              <w:rPr>
                <w:sz w:val="11"/>
                <w:szCs w:val="11"/>
                <w:color w:val="auto"/>
              </w:rPr>
            </w:pPr>
          </w:p>
        </w:tc>
        <w:tc>
          <w:tcPr>
            <w:tcW w:w="2460" w:type="dxa"/>
            <w:vAlign w:val="bottom"/>
          </w:tcPr>
          <w:p>
            <w:pPr>
              <w:jc w:val="center"/>
              <w:spacing w:after="0"/>
              <w:rPr>
                <w:sz w:val="20"/>
                <w:szCs w:val="20"/>
                <w:color w:val="auto"/>
              </w:rPr>
            </w:pPr>
            <w:r>
              <w:rPr>
                <w:rFonts w:ascii="Arial" w:cs="Arial" w:eastAsia="Arial" w:hAnsi="Arial"/>
                <w:sz w:val="11"/>
                <w:szCs w:val="11"/>
                <w:color w:val="auto"/>
                <w:w w:val="89"/>
              </w:rPr>
              <w:t>Internet Software and Services</w:t>
            </w:r>
          </w:p>
        </w:tc>
        <w:tc>
          <w:tcPr>
            <w:tcW w:w="1120" w:type="dxa"/>
            <w:vAlign w:val="bottom"/>
            <w:gridSpan w:val="3"/>
          </w:tcPr>
          <w:p>
            <w:pPr>
              <w:jc w:val="right"/>
              <w:ind w:right="160"/>
              <w:spacing w:after="0"/>
              <w:rPr>
                <w:sz w:val="20"/>
                <w:szCs w:val="20"/>
                <w:color w:val="auto"/>
              </w:rPr>
            </w:pPr>
            <w:r>
              <w:rPr>
                <w:rFonts w:ascii="Arial" w:cs="Arial" w:eastAsia="Arial" w:hAnsi="Arial"/>
                <w:sz w:val="11"/>
                <w:szCs w:val="11"/>
                <w:color w:val="auto"/>
              </w:rPr>
              <w:t>6.75 %</w:t>
            </w:r>
          </w:p>
        </w:tc>
        <w:tc>
          <w:tcPr>
            <w:tcW w:w="780" w:type="dxa"/>
            <w:vAlign w:val="bottom"/>
          </w:tcPr>
          <w:p>
            <w:pPr>
              <w:jc w:val="right"/>
              <w:spacing w:after="0"/>
              <w:rPr>
                <w:sz w:val="20"/>
                <w:szCs w:val="20"/>
                <w:color w:val="auto"/>
              </w:rPr>
            </w:pPr>
            <w:r>
              <w:rPr>
                <w:rFonts w:ascii="Arial" w:cs="Arial" w:eastAsia="Arial" w:hAnsi="Arial"/>
                <w:sz w:val="11"/>
                <w:szCs w:val="11"/>
                <w:color w:val="auto"/>
              </w:rPr>
              <w:t>3M L+575</w:t>
            </w: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7,481</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7,338</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7,332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shd w:val="clear" w:color="auto" w:fill="CCECFF"/>
          </w:tcPr>
          <w:p>
            <w:pPr>
              <w:ind w:left="20"/>
              <w:spacing w:after="0"/>
              <w:rPr>
                <w:sz w:val="20"/>
                <w:szCs w:val="20"/>
                <w:color w:val="auto"/>
              </w:rPr>
            </w:pPr>
            <w:r>
              <w:rPr>
                <w:rFonts w:ascii="Arial" w:cs="Arial" w:eastAsia="Arial" w:hAnsi="Arial"/>
                <w:sz w:val="11"/>
                <w:szCs w:val="11"/>
                <w:color w:val="auto"/>
              </w:rPr>
              <w:t>MeritDirect, LLC</w:t>
            </w:r>
          </w:p>
        </w:tc>
        <w:tc>
          <w:tcPr>
            <w:tcW w:w="7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7"/>
              </w:rPr>
              <w:t>05/23/2024</w:t>
            </w:r>
          </w:p>
        </w:tc>
        <w:tc>
          <w:tcPr>
            <w:tcW w:w="120" w:type="dxa"/>
            <w:vAlign w:val="bottom"/>
            <w:shd w:val="clear" w:color="auto" w:fill="CCECFF"/>
          </w:tcPr>
          <w:p>
            <w:pPr>
              <w:spacing w:after="0"/>
              <w:rPr>
                <w:sz w:val="11"/>
                <w:szCs w:val="11"/>
                <w:color w:val="auto"/>
              </w:rPr>
            </w:pPr>
          </w:p>
        </w:tc>
        <w:tc>
          <w:tcPr>
            <w:tcW w:w="24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3"/>
              </w:rPr>
              <w:t>Media: Advertising, Printing &amp; Publishing</w:t>
            </w:r>
          </w:p>
        </w:tc>
        <w:tc>
          <w:tcPr>
            <w:tcW w:w="1120" w:type="dxa"/>
            <w:vAlign w:val="bottom"/>
            <w:gridSpan w:val="3"/>
            <w:shd w:val="clear" w:color="auto" w:fill="CCECFF"/>
          </w:tcPr>
          <w:p>
            <w:pPr>
              <w:jc w:val="right"/>
              <w:ind w:right="160"/>
              <w:spacing w:after="0"/>
              <w:rPr>
                <w:sz w:val="20"/>
                <w:szCs w:val="20"/>
                <w:color w:val="auto"/>
              </w:rPr>
            </w:pPr>
            <w:r>
              <w:rPr>
                <w:rFonts w:ascii="Arial" w:cs="Arial" w:eastAsia="Arial" w:hAnsi="Arial"/>
                <w:sz w:val="11"/>
                <w:szCs w:val="11"/>
                <w:color w:val="auto"/>
              </w:rPr>
              <w:t>6.50 %</w:t>
            </w:r>
          </w:p>
        </w:tc>
        <w:tc>
          <w:tcPr>
            <w:tcW w:w="7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L+550</w:t>
            </w:r>
          </w:p>
        </w:tc>
        <w:tc>
          <w:tcPr>
            <w:tcW w:w="8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5,532</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5,412</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5,477</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tcPr>
          <w:p>
            <w:pPr>
              <w:ind w:left="20"/>
              <w:spacing w:after="0"/>
              <w:rPr>
                <w:sz w:val="20"/>
                <w:szCs w:val="20"/>
                <w:color w:val="auto"/>
              </w:rPr>
            </w:pPr>
            <w:r>
              <w:rPr>
                <w:rFonts w:ascii="Arial" w:cs="Arial" w:eastAsia="Arial" w:hAnsi="Arial"/>
                <w:sz w:val="11"/>
                <w:szCs w:val="11"/>
                <w:color w:val="auto"/>
              </w:rPr>
              <w:t>Mission Critical Electronics, Inc.</w:t>
            </w:r>
          </w:p>
        </w:tc>
        <w:tc>
          <w:tcPr>
            <w:tcW w:w="78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09/28/2022</w:t>
            </w:r>
          </w:p>
        </w:tc>
        <w:tc>
          <w:tcPr>
            <w:tcW w:w="120" w:type="dxa"/>
            <w:vAlign w:val="bottom"/>
          </w:tcPr>
          <w:p>
            <w:pPr>
              <w:spacing w:after="0"/>
              <w:rPr>
                <w:sz w:val="11"/>
                <w:szCs w:val="11"/>
                <w:color w:val="auto"/>
              </w:rPr>
            </w:pPr>
          </w:p>
        </w:tc>
        <w:tc>
          <w:tcPr>
            <w:tcW w:w="2460" w:type="dxa"/>
            <w:vAlign w:val="bottom"/>
          </w:tcPr>
          <w:p>
            <w:pPr>
              <w:jc w:val="center"/>
              <w:spacing w:after="0"/>
              <w:rPr>
                <w:sz w:val="20"/>
                <w:szCs w:val="20"/>
                <w:color w:val="auto"/>
              </w:rPr>
            </w:pPr>
            <w:r>
              <w:rPr>
                <w:rFonts w:ascii="Arial" w:cs="Arial" w:eastAsia="Arial" w:hAnsi="Arial"/>
                <w:sz w:val="11"/>
                <w:szCs w:val="11"/>
                <w:color w:val="auto"/>
                <w:w w:val="91"/>
              </w:rPr>
              <w:t>Capital Equipment</w:t>
            </w:r>
          </w:p>
        </w:tc>
        <w:tc>
          <w:tcPr>
            <w:tcW w:w="1120" w:type="dxa"/>
            <w:vAlign w:val="bottom"/>
            <w:gridSpan w:val="3"/>
          </w:tcPr>
          <w:p>
            <w:pPr>
              <w:jc w:val="right"/>
              <w:ind w:right="160"/>
              <w:spacing w:after="0"/>
              <w:rPr>
                <w:sz w:val="20"/>
                <w:szCs w:val="20"/>
                <w:color w:val="auto"/>
              </w:rPr>
            </w:pPr>
            <w:r>
              <w:rPr>
                <w:rFonts w:ascii="Arial" w:cs="Arial" w:eastAsia="Arial" w:hAnsi="Arial"/>
                <w:sz w:val="11"/>
                <w:szCs w:val="11"/>
                <w:color w:val="auto"/>
              </w:rPr>
              <w:t>6.00 %</w:t>
            </w:r>
          </w:p>
        </w:tc>
        <w:tc>
          <w:tcPr>
            <w:tcW w:w="780" w:type="dxa"/>
            <w:vAlign w:val="bottom"/>
          </w:tcPr>
          <w:p>
            <w:pPr>
              <w:jc w:val="right"/>
              <w:spacing w:after="0"/>
              <w:rPr>
                <w:sz w:val="20"/>
                <w:szCs w:val="20"/>
                <w:color w:val="auto"/>
              </w:rPr>
            </w:pPr>
            <w:r>
              <w:rPr>
                <w:rFonts w:ascii="Arial" w:cs="Arial" w:eastAsia="Arial" w:hAnsi="Arial"/>
                <w:sz w:val="11"/>
                <w:szCs w:val="11"/>
                <w:color w:val="auto"/>
              </w:rPr>
              <w:t>3M L+500</w:t>
            </w: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5,890</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5,877</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5,890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shd w:val="clear" w:color="auto" w:fill="CCECFF"/>
          </w:tcPr>
          <w:p>
            <w:pPr>
              <w:ind w:left="20"/>
              <w:spacing w:after="0"/>
              <w:rPr>
                <w:sz w:val="20"/>
                <w:szCs w:val="20"/>
                <w:color w:val="auto"/>
              </w:rPr>
            </w:pPr>
            <w:r>
              <w:rPr>
                <w:rFonts w:ascii="Arial" w:cs="Arial" w:eastAsia="Arial" w:hAnsi="Arial"/>
                <w:sz w:val="11"/>
                <w:szCs w:val="11"/>
                <w:color w:val="auto"/>
              </w:rPr>
              <w:t>NBH Group LLC</w:t>
            </w:r>
          </w:p>
        </w:tc>
        <w:tc>
          <w:tcPr>
            <w:tcW w:w="7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7"/>
              </w:rPr>
              <w:t>08/19/2026</w:t>
            </w:r>
          </w:p>
        </w:tc>
        <w:tc>
          <w:tcPr>
            <w:tcW w:w="120" w:type="dxa"/>
            <w:vAlign w:val="bottom"/>
            <w:shd w:val="clear" w:color="auto" w:fill="CCECFF"/>
          </w:tcPr>
          <w:p>
            <w:pPr>
              <w:spacing w:after="0"/>
              <w:rPr>
                <w:sz w:val="11"/>
                <w:szCs w:val="11"/>
                <w:color w:val="auto"/>
              </w:rPr>
            </w:pPr>
          </w:p>
        </w:tc>
        <w:tc>
          <w:tcPr>
            <w:tcW w:w="24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Healthcare, Education &amp; Culture</w:t>
            </w:r>
          </w:p>
        </w:tc>
        <w:tc>
          <w:tcPr>
            <w:tcW w:w="1120" w:type="dxa"/>
            <w:vAlign w:val="bottom"/>
            <w:gridSpan w:val="3"/>
            <w:shd w:val="clear" w:color="auto" w:fill="CCECFF"/>
          </w:tcPr>
          <w:p>
            <w:pPr>
              <w:jc w:val="right"/>
              <w:ind w:right="160"/>
              <w:spacing w:after="0"/>
              <w:rPr>
                <w:sz w:val="20"/>
                <w:szCs w:val="20"/>
                <w:color w:val="auto"/>
              </w:rPr>
            </w:pPr>
            <w:r>
              <w:rPr>
                <w:rFonts w:ascii="Arial" w:cs="Arial" w:eastAsia="Arial" w:hAnsi="Arial"/>
                <w:sz w:val="11"/>
                <w:szCs w:val="11"/>
                <w:color w:val="auto"/>
              </w:rPr>
              <w:t>6.50 %</w:t>
            </w:r>
          </w:p>
        </w:tc>
        <w:tc>
          <w:tcPr>
            <w:tcW w:w="7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L+550</w:t>
            </w:r>
          </w:p>
        </w:tc>
        <w:tc>
          <w:tcPr>
            <w:tcW w:w="8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10,902</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10,687</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10,684</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tcPr>
          <w:p>
            <w:pPr>
              <w:ind w:left="20"/>
              <w:spacing w:after="0"/>
              <w:rPr>
                <w:sz w:val="20"/>
                <w:szCs w:val="20"/>
                <w:color w:val="auto"/>
              </w:rPr>
            </w:pPr>
            <w:r>
              <w:rPr>
                <w:rFonts w:ascii="Arial" w:cs="Arial" w:eastAsia="Arial" w:hAnsi="Arial"/>
                <w:sz w:val="11"/>
                <w:szCs w:val="11"/>
                <w:color w:val="auto"/>
              </w:rPr>
              <w:t>New Milani Group LLC</w:t>
            </w:r>
          </w:p>
        </w:tc>
        <w:tc>
          <w:tcPr>
            <w:tcW w:w="78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06/06/2024</w:t>
            </w:r>
          </w:p>
        </w:tc>
        <w:tc>
          <w:tcPr>
            <w:tcW w:w="120" w:type="dxa"/>
            <w:vAlign w:val="bottom"/>
          </w:tcPr>
          <w:p>
            <w:pPr>
              <w:spacing w:after="0"/>
              <w:rPr>
                <w:sz w:val="11"/>
                <w:szCs w:val="11"/>
                <w:color w:val="auto"/>
              </w:rPr>
            </w:pPr>
          </w:p>
        </w:tc>
        <w:tc>
          <w:tcPr>
            <w:tcW w:w="2460" w:type="dxa"/>
            <w:vAlign w:val="bottom"/>
          </w:tcPr>
          <w:p>
            <w:pPr>
              <w:jc w:val="center"/>
              <w:spacing w:after="0"/>
              <w:rPr>
                <w:sz w:val="20"/>
                <w:szCs w:val="20"/>
                <w:color w:val="auto"/>
              </w:rPr>
            </w:pPr>
            <w:r>
              <w:rPr>
                <w:rFonts w:ascii="Arial" w:cs="Arial" w:eastAsia="Arial" w:hAnsi="Arial"/>
                <w:sz w:val="11"/>
                <w:szCs w:val="11"/>
                <w:color w:val="auto"/>
                <w:w w:val="89"/>
              </w:rPr>
              <w:t>Consumer Goods: Non-Durable</w:t>
            </w:r>
          </w:p>
        </w:tc>
        <w:tc>
          <w:tcPr>
            <w:tcW w:w="1120" w:type="dxa"/>
            <w:vAlign w:val="bottom"/>
            <w:gridSpan w:val="3"/>
          </w:tcPr>
          <w:p>
            <w:pPr>
              <w:jc w:val="right"/>
              <w:ind w:right="160"/>
              <w:spacing w:after="0"/>
              <w:rPr>
                <w:sz w:val="20"/>
                <w:szCs w:val="20"/>
                <w:color w:val="auto"/>
              </w:rPr>
            </w:pPr>
            <w:r>
              <w:rPr>
                <w:rFonts w:ascii="Arial" w:cs="Arial" w:eastAsia="Arial" w:hAnsi="Arial"/>
                <w:sz w:val="11"/>
                <w:szCs w:val="11"/>
                <w:color w:val="auto"/>
              </w:rPr>
              <w:t>6.50 %</w:t>
            </w:r>
          </w:p>
        </w:tc>
        <w:tc>
          <w:tcPr>
            <w:tcW w:w="780" w:type="dxa"/>
            <w:vAlign w:val="bottom"/>
          </w:tcPr>
          <w:p>
            <w:pPr>
              <w:jc w:val="right"/>
              <w:spacing w:after="0"/>
              <w:rPr>
                <w:sz w:val="20"/>
                <w:szCs w:val="20"/>
                <w:color w:val="auto"/>
              </w:rPr>
            </w:pPr>
            <w:r>
              <w:rPr>
                <w:rFonts w:ascii="Arial" w:cs="Arial" w:eastAsia="Arial" w:hAnsi="Arial"/>
                <w:sz w:val="11"/>
                <w:szCs w:val="11"/>
                <w:color w:val="auto"/>
              </w:rPr>
              <w:t>1M L+550</w:t>
            </w: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14,550</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14,481</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13,895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shd w:val="clear" w:color="auto" w:fill="CCECFF"/>
          </w:tcPr>
          <w:p>
            <w:pPr>
              <w:ind w:left="20"/>
              <w:spacing w:after="0"/>
              <w:rPr>
                <w:sz w:val="20"/>
                <w:szCs w:val="20"/>
                <w:color w:val="auto"/>
              </w:rPr>
            </w:pPr>
            <w:r>
              <w:rPr>
                <w:rFonts w:ascii="Arial" w:cs="Arial" w:eastAsia="Arial" w:hAnsi="Arial"/>
                <w:sz w:val="11"/>
                <w:szCs w:val="11"/>
                <w:color w:val="auto"/>
              </w:rPr>
              <w:t>OIS Management Services LLC</w:t>
            </w:r>
          </w:p>
        </w:tc>
        <w:tc>
          <w:tcPr>
            <w:tcW w:w="7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7"/>
              </w:rPr>
              <w:t>07/09/2026</w:t>
            </w:r>
          </w:p>
        </w:tc>
        <w:tc>
          <w:tcPr>
            <w:tcW w:w="120" w:type="dxa"/>
            <w:vAlign w:val="bottom"/>
            <w:shd w:val="clear" w:color="auto" w:fill="CCECFF"/>
          </w:tcPr>
          <w:p>
            <w:pPr>
              <w:spacing w:after="0"/>
              <w:rPr>
                <w:sz w:val="11"/>
                <w:szCs w:val="11"/>
                <w:color w:val="auto"/>
              </w:rPr>
            </w:pPr>
          </w:p>
        </w:tc>
        <w:tc>
          <w:tcPr>
            <w:tcW w:w="24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Healthcare Equipment and Supplies</w:t>
            </w:r>
          </w:p>
        </w:tc>
        <w:tc>
          <w:tcPr>
            <w:tcW w:w="1120" w:type="dxa"/>
            <w:vAlign w:val="bottom"/>
            <w:gridSpan w:val="3"/>
            <w:shd w:val="clear" w:color="auto" w:fill="CCECFF"/>
          </w:tcPr>
          <w:p>
            <w:pPr>
              <w:jc w:val="right"/>
              <w:ind w:right="160"/>
              <w:spacing w:after="0"/>
              <w:rPr>
                <w:sz w:val="20"/>
                <w:szCs w:val="20"/>
                <w:color w:val="auto"/>
              </w:rPr>
            </w:pPr>
            <w:r>
              <w:rPr>
                <w:rFonts w:ascii="Arial" w:cs="Arial" w:eastAsia="Arial" w:hAnsi="Arial"/>
                <w:sz w:val="11"/>
                <w:szCs w:val="11"/>
                <w:color w:val="auto"/>
              </w:rPr>
              <w:t>5.75 %</w:t>
            </w:r>
          </w:p>
        </w:tc>
        <w:tc>
          <w:tcPr>
            <w:tcW w:w="7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L+475</w:t>
            </w:r>
          </w:p>
        </w:tc>
        <w:tc>
          <w:tcPr>
            <w:tcW w:w="8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1,995</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1,966</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1,965</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tcPr>
          <w:p>
            <w:pPr>
              <w:ind w:left="20"/>
              <w:spacing w:after="0"/>
              <w:rPr>
                <w:sz w:val="20"/>
                <w:szCs w:val="20"/>
                <w:color w:val="auto"/>
              </w:rPr>
            </w:pPr>
            <w:r>
              <w:rPr>
                <w:rFonts w:ascii="Arial" w:cs="Arial" w:eastAsia="Arial" w:hAnsi="Arial"/>
                <w:sz w:val="11"/>
                <w:szCs w:val="11"/>
                <w:color w:val="auto"/>
              </w:rPr>
              <w:t>One Stop Mailing, LLC</w:t>
            </w:r>
          </w:p>
        </w:tc>
        <w:tc>
          <w:tcPr>
            <w:tcW w:w="78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05/07/2027</w:t>
            </w:r>
          </w:p>
        </w:tc>
        <w:tc>
          <w:tcPr>
            <w:tcW w:w="120" w:type="dxa"/>
            <w:vAlign w:val="bottom"/>
          </w:tcPr>
          <w:p>
            <w:pPr>
              <w:spacing w:after="0"/>
              <w:rPr>
                <w:sz w:val="11"/>
                <w:szCs w:val="11"/>
                <w:color w:val="auto"/>
              </w:rPr>
            </w:pPr>
          </w:p>
        </w:tc>
        <w:tc>
          <w:tcPr>
            <w:tcW w:w="2460" w:type="dxa"/>
            <w:vAlign w:val="bottom"/>
          </w:tcPr>
          <w:p>
            <w:pPr>
              <w:jc w:val="center"/>
              <w:spacing w:after="0"/>
              <w:rPr>
                <w:sz w:val="20"/>
                <w:szCs w:val="20"/>
                <w:color w:val="auto"/>
              </w:rPr>
            </w:pPr>
            <w:r>
              <w:rPr>
                <w:rFonts w:ascii="Arial" w:cs="Arial" w:eastAsia="Arial" w:hAnsi="Arial"/>
                <w:sz w:val="11"/>
                <w:szCs w:val="11"/>
                <w:color w:val="auto"/>
                <w:w w:val="93"/>
              </w:rPr>
              <w:t>Air Freight and Logistics</w:t>
            </w:r>
          </w:p>
        </w:tc>
        <w:tc>
          <w:tcPr>
            <w:tcW w:w="1120" w:type="dxa"/>
            <w:vAlign w:val="bottom"/>
            <w:gridSpan w:val="3"/>
          </w:tcPr>
          <w:p>
            <w:pPr>
              <w:jc w:val="right"/>
              <w:ind w:right="160"/>
              <w:spacing w:after="0"/>
              <w:rPr>
                <w:sz w:val="20"/>
                <w:szCs w:val="20"/>
                <w:color w:val="auto"/>
              </w:rPr>
            </w:pPr>
            <w:r>
              <w:rPr>
                <w:rFonts w:ascii="Arial" w:cs="Arial" w:eastAsia="Arial" w:hAnsi="Arial"/>
                <w:sz w:val="11"/>
                <w:szCs w:val="11"/>
                <w:color w:val="auto"/>
              </w:rPr>
              <w:t>7.25 %</w:t>
            </w:r>
          </w:p>
        </w:tc>
        <w:tc>
          <w:tcPr>
            <w:tcW w:w="780" w:type="dxa"/>
            <w:vAlign w:val="bottom"/>
          </w:tcPr>
          <w:p>
            <w:pPr>
              <w:jc w:val="right"/>
              <w:spacing w:after="0"/>
              <w:rPr>
                <w:sz w:val="20"/>
                <w:szCs w:val="20"/>
                <w:color w:val="auto"/>
              </w:rPr>
            </w:pPr>
            <w:r>
              <w:rPr>
                <w:rFonts w:ascii="Arial" w:cs="Arial" w:eastAsia="Arial" w:hAnsi="Arial"/>
                <w:sz w:val="11"/>
                <w:szCs w:val="11"/>
                <w:color w:val="auto"/>
              </w:rPr>
              <w:t>1M L+625</w:t>
            </w: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14,920</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14,631</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14,659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shd w:val="clear" w:color="auto" w:fill="CCECFF"/>
          </w:tcPr>
          <w:p>
            <w:pPr>
              <w:ind w:left="20"/>
              <w:spacing w:after="0"/>
              <w:rPr>
                <w:sz w:val="20"/>
                <w:szCs w:val="20"/>
                <w:color w:val="auto"/>
              </w:rPr>
            </w:pPr>
            <w:r>
              <w:rPr>
                <w:rFonts w:ascii="Arial" w:cs="Arial" w:eastAsia="Arial" w:hAnsi="Arial"/>
                <w:sz w:val="11"/>
                <w:szCs w:val="11"/>
                <w:color w:val="auto"/>
              </w:rPr>
              <w:t>Output Services Group, Inc.</w:t>
            </w:r>
          </w:p>
        </w:tc>
        <w:tc>
          <w:tcPr>
            <w:tcW w:w="7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7"/>
              </w:rPr>
              <w:t>03/27/2024</w:t>
            </w:r>
          </w:p>
        </w:tc>
        <w:tc>
          <w:tcPr>
            <w:tcW w:w="120" w:type="dxa"/>
            <w:vAlign w:val="bottom"/>
            <w:shd w:val="clear" w:color="auto" w:fill="CCECFF"/>
          </w:tcPr>
          <w:p>
            <w:pPr>
              <w:spacing w:after="0"/>
              <w:rPr>
                <w:sz w:val="11"/>
                <w:szCs w:val="11"/>
                <w:color w:val="auto"/>
              </w:rPr>
            </w:pPr>
          </w:p>
        </w:tc>
        <w:tc>
          <w:tcPr>
            <w:tcW w:w="24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Business Services</w:t>
            </w:r>
          </w:p>
        </w:tc>
        <w:tc>
          <w:tcPr>
            <w:tcW w:w="1120" w:type="dxa"/>
            <w:vAlign w:val="bottom"/>
            <w:gridSpan w:val="3"/>
            <w:shd w:val="clear" w:color="auto" w:fill="CCECFF"/>
          </w:tcPr>
          <w:p>
            <w:pPr>
              <w:jc w:val="right"/>
              <w:ind w:right="160"/>
              <w:spacing w:after="0"/>
              <w:rPr>
                <w:sz w:val="20"/>
                <w:szCs w:val="20"/>
                <w:color w:val="auto"/>
              </w:rPr>
            </w:pPr>
            <w:r>
              <w:rPr>
                <w:rFonts w:ascii="Arial" w:cs="Arial" w:eastAsia="Arial" w:hAnsi="Arial"/>
                <w:sz w:val="11"/>
                <w:szCs w:val="11"/>
                <w:color w:val="auto"/>
              </w:rPr>
              <w:t>5.50 %</w:t>
            </w:r>
          </w:p>
        </w:tc>
        <w:tc>
          <w:tcPr>
            <w:tcW w:w="7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L+450</w:t>
            </w:r>
          </w:p>
        </w:tc>
        <w:tc>
          <w:tcPr>
            <w:tcW w:w="8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7,743</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7,733</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7,047</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tcPr>
          <w:p>
            <w:pPr>
              <w:ind w:left="20"/>
              <w:spacing w:after="0"/>
              <w:rPr>
                <w:sz w:val="20"/>
                <w:szCs w:val="20"/>
                <w:color w:val="auto"/>
              </w:rPr>
            </w:pPr>
            <w:r>
              <w:rPr>
                <w:rFonts w:ascii="Arial" w:cs="Arial" w:eastAsia="Arial" w:hAnsi="Arial"/>
                <w:sz w:val="11"/>
                <w:szCs w:val="11"/>
                <w:color w:val="auto"/>
              </w:rPr>
              <w:t>Ox Two, LLC</w:t>
            </w:r>
          </w:p>
        </w:tc>
        <w:tc>
          <w:tcPr>
            <w:tcW w:w="78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05/18/2026</w:t>
            </w:r>
          </w:p>
        </w:tc>
        <w:tc>
          <w:tcPr>
            <w:tcW w:w="120" w:type="dxa"/>
            <w:vAlign w:val="bottom"/>
          </w:tcPr>
          <w:p>
            <w:pPr>
              <w:spacing w:after="0"/>
              <w:rPr>
                <w:sz w:val="11"/>
                <w:szCs w:val="11"/>
                <w:color w:val="auto"/>
              </w:rPr>
            </w:pPr>
          </w:p>
        </w:tc>
        <w:tc>
          <w:tcPr>
            <w:tcW w:w="2460" w:type="dxa"/>
            <w:vAlign w:val="bottom"/>
          </w:tcPr>
          <w:p>
            <w:pPr>
              <w:jc w:val="center"/>
              <w:spacing w:after="0"/>
              <w:rPr>
                <w:sz w:val="20"/>
                <w:szCs w:val="20"/>
                <w:color w:val="auto"/>
              </w:rPr>
            </w:pPr>
            <w:r>
              <w:rPr>
                <w:rFonts w:ascii="Arial" w:cs="Arial" w:eastAsia="Arial" w:hAnsi="Arial"/>
                <w:sz w:val="11"/>
                <w:szCs w:val="11"/>
                <w:color w:val="auto"/>
                <w:w w:val="90"/>
              </w:rPr>
              <w:t>Construction and Building</w:t>
            </w:r>
          </w:p>
        </w:tc>
        <w:tc>
          <w:tcPr>
            <w:tcW w:w="1120" w:type="dxa"/>
            <w:vAlign w:val="bottom"/>
            <w:gridSpan w:val="3"/>
          </w:tcPr>
          <w:p>
            <w:pPr>
              <w:jc w:val="right"/>
              <w:ind w:right="160"/>
              <w:spacing w:after="0"/>
              <w:rPr>
                <w:sz w:val="20"/>
                <w:szCs w:val="20"/>
                <w:color w:val="auto"/>
              </w:rPr>
            </w:pPr>
            <w:r>
              <w:rPr>
                <w:rFonts w:ascii="Arial" w:cs="Arial" w:eastAsia="Arial" w:hAnsi="Arial"/>
                <w:sz w:val="11"/>
                <w:szCs w:val="11"/>
                <w:color w:val="auto"/>
              </w:rPr>
              <w:t>7.00 %</w:t>
            </w:r>
          </w:p>
        </w:tc>
        <w:tc>
          <w:tcPr>
            <w:tcW w:w="780" w:type="dxa"/>
            <w:vAlign w:val="bottom"/>
          </w:tcPr>
          <w:p>
            <w:pPr>
              <w:jc w:val="right"/>
              <w:spacing w:after="0"/>
              <w:rPr>
                <w:sz w:val="20"/>
                <w:szCs w:val="20"/>
                <w:color w:val="auto"/>
              </w:rPr>
            </w:pPr>
            <w:r>
              <w:rPr>
                <w:rFonts w:ascii="Arial" w:cs="Arial" w:eastAsia="Arial" w:hAnsi="Arial"/>
                <w:sz w:val="11"/>
                <w:szCs w:val="11"/>
                <w:color w:val="auto"/>
              </w:rPr>
              <w:t>3M L+600</w:t>
            </w: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4,975</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4,901</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4,876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shd w:val="clear" w:color="auto" w:fill="CCECFF"/>
          </w:tcPr>
          <w:p>
            <w:pPr>
              <w:ind w:left="20"/>
              <w:spacing w:after="0"/>
              <w:rPr>
                <w:sz w:val="20"/>
                <w:szCs w:val="20"/>
                <w:color w:val="auto"/>
              </w:rPr>
            </w:pPr>
            <w:r>
              <w:rPr>
                <w:rFonts w:ascii="Arial" w:cs="Arial" w:eastAsia="Arial" w:hAnsi="Arial"/>
                <w:sz w:val="11"/>
                <w:szCs w:val="11"/>
                <w:color w:val="auto"/>
              </w:rPr>
              <w:t>PH Beauty Holdings III, Inc.</w:t>
            </w:r>
          </w:p>
        </w:tc>
        <w:tc>
          <w:tcPr>
            <w:tcW w:w="7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7"/>
              </w:rPr>
              <w:t>09/29/2025</w:t>
            </w:r>
          </w:p>
        </w:tc>
        <w:tc>
          <w:tcPr>
            <w:tcW w:w="120" w:type="dxa"/>
            <w:vAlign w:val="bottom"/>
            <w:shd w:val="clear" w:color="auto" w:fill="CCECFF"/>
          </w:tcPr>
          <w:p>
            <w:pPr>
              <w:spacing w:after="0"/>
              <w:rPr>
                <w:sz w:val="11"/>
                <w:szCs w:val="11"/>
                <w:color w:val="auto"/>
              </w:rPr>
            </w:pPr>
          </w:p>
        </w:tc>
        <w:tc>
          <w:tcPr>
            <w:tcW w:w="24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Wholesale</w:t>
            </w:r>
          </w:p>
        </w:tc>
        <w:tc>
          <w:tcPr>
            <w:tcW w:w="1120" w:type="dxa"/>
            <w:vAlign w:val="bottom"/>
            <w:gridSpan w:val="3"/>
            <w:shd w:val="clear" w:color="auto" w:fill="CCECFF"/>
          </w:tcPr>
          <w:p>
            <w:pPr>
              <w:jc w:val="right"/>
              <w:ind w:right="160"/>
              <w:spacing w:after="0"/>
              <w:rPr>
                <w:sz w:val="20"/>
                <w:szCs w:val="20"/>
                <w:color w:val="auto"/>
              </w:rPr>
            </w:pPr>
            <w:r>
              <w:rPr>
                <w:rFonts w:ascii="Arial" w:cs="Arial" w:eastAsia="Arial" w:hAnsi="Arial"/>
                <w:sz w:val="11"/>
                <w:szCs w:val="11"/>
                <w:color w:val="auto"/>
              </w:rPr>
              <w:t>5.12 %</w:t>
            </w:r>
          </w:p>
        </w:tc>
        <w:tc>
          <w:tcPr>
            <w:tcW w:w="7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L+500</w:t>
            </w:r>
          </w:p>
        </w:tc>
        <w:tc>
          <w:tcPr>
            <w:tcW w:w="8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9,693</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9,514</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9,467</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tcPr>
          <w:p>
            <w:pPr>
              <w:ind w:left="20"/>
              <w:spacing w:after="0"/>
              <w:rPr>
                <w:sz w:val="20"/>
                <w:szCs w:val="20"/>
                <w:color w:val="auto"/>
              </w:rPr>
            </w:pPr>
            <w:r>
              <w:rPr>
                <w:rFonts w:ascii="Arial" w:cs="Arial" w:eastAsia="Arial" w:hAnsi="Arial"/>
                <w:sz w:val="11"/>
                <w:szCs w:val="11"/>
                <w:color w:val="auto"/>
              </w:rPr>
              <w:t>Plant Health Intermediate, Inc.</w:t>
            </w:r>
          </w:p>
        </w:tc>
        <w:tc>
          <w:tcPr>
            <w:tcW w:w="78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10/19/2022</w:t>
            </w:r>
          </w:p>
        </w:tc>
        <w:tc>
          <w:tcPr>
            <w:tcW w:w="120" w:type="dxa"/>
            <w:vAlign w:val="bottom"/>
          </w:tcPr>
          <w:p>
            <w:pPr>
              <w:spacing w:after="0"/>
              <w:rPr>
                <w:sz w:val="11"/>
                <w:szCs w:val="11"/>
                <w:color w:val="auto"/>
              </w:rPr>
            </w:pPr>
          </w:p>
        </w:tc>
        <w:tc>
          <w:tcPr>
            <w:tcW w:w="2460" w:type="dxa"/>
            <w:vAlign w:val="bottom"/>
          </w:tcPr>
          <w:p>
            <w:pPr>
              <w:jc w:val="center"/>
              <w:spacing w:after="0"/>
              <w:rPr>
                <w:sz w:val="20"/>
                <w:szCs w:val="20"/>
                <w:color w:val="auto"/>
              </w:rPr>
            </w:pPr>
            <w:r>
              <w:rPr>
                <w:rFonts w:ascii="Arial" w:cs="Arial" w:eastAsia="Arial" w:hAnsi="Arial"/>
                <w:sz w:val="11"/>
                <w:szCs w:val="11"/>
                <w:color w:val="auto"/>
                <w:w w:val="88"/>
              </w:rPr>
              <w:t>Chemicals, Plastics and Rubber</w:t>
            </w:r>
          </w:p>
        </w:tc>
        <w:tc>
          <w:tcPr>
            <w:tcW w:w="1120" w:type="dxa"/>
            <w:vAlign w:val="bottom"/>
            <w:gridSpan w:val="3"/>
          </w:tcPr>
          <w:p>
            <w:pPr>
              <w:jc w:val="right"/>
              <w:ind w:right="160"/>
              <w:spacing w:after="0"/>
              <w:rPr>
                <w:sz w:val="20"/>
                <w:szCs w:val="20"/>
                <w:color w:val="auto"/>
              </w:rPr>
            </w:pPr>
            <w:r>
              <w:rPr>
                <w:rFonts w:ascii="Arial" w:cs="Arial" w:eastAsia="Arial" w:hAnsi="Arial"/>
                <w:sz w:val="11"/>
                <w:szCs w:val="11"/>
                <w:color w:val="auto"/>
              </w:rPr>
              <w:t>6.75 %</w:t>
            </w:r>
          </w:p>
        </w:tc>
        <w:tc>
          <w:tcPr>
            <w:tcW w:w="780" w:type="dxa"/>
            <w:vAlign w:val="bottom"/>
          </w:tcPr>
          <w:p>
            <w:pPr>
              <w:jc w:val="right"/>
              <w:spacing w:after="0"/>
              <w:rPr>
                <w:sz w:val="20"/>
                <w:szCs w:val="20"/>
                <w:color w:val="auto"/>
              </w:rPr>
            </w:pPr>
            <w:r>
              <w:rPr>
                <w:rFonts w:ascii="Arial" w:cs="Arial" w:eastAsia="Arial" w:hAnsi="Arial"/>
                <w:sz w:val="11"/>
                <w:szCs w:val="11"/>
                <w:color w:val="auto"/>
              </w:rPr>
              <w:t>3M L+575</w:t>
            </w: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1,578</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1,568</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1,578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shd w:val="clear" w:color="auto" w:fill="CCECFF"/>
          </w:tcPr>
          <w:p>
            <w:pPr>
              <w:ind w:left="20"/>
              <w:spacing w:after="0"/>
              <w:rPr>
                <w:sz w:val="20"/>
                <w:szCs w:val="20"/>
                <w:color w:val="auto"/>
              </w:rPr>
            </w:pPr>
            <w:r>
              <w:rPr>
                <w:rFonts w:ascii="Arial" w:cs="Arial" w:eastAsia="Arial" w:hAnsi="Arial"/>
                <w:sz w:val="11"/>
                <w:szCs w:val="11"/>
                <w:color w:val="auto"/>
              </w:rPr>
              <w:t>PlayPower, Inc.</w:t>
            </w:r>
          </w:p>
        </w:tc>
        <w:tc>
          <w:tcPr>
            <w:tcW w:w="7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9"/>
              </w:rPr>
              <w:t>05/8/2026</w:t>
            </w:r>
          </w:p>
        </w:tc>
        <w:tc>
          <w:tcPr>
            <w:tcW w:w="120" w:type="dxa"/>
            <w:vAlign w:val="bottom"/>
            <w:shd w:val="clear" w:color="auto" w:fill="CCECFF"/>
          </w:tcPr>
          <w:p>
            <w:pPr>
              <w:spacing w:after="0"/>
              <w:rPr>
                <w:sz w:val="11"/>
                <w:szCs w:val="11"/>
                <w:color w:val="auto"/>
              </w:rPr>
            </w:pPr>
          </w:p>
        </w:tc>
        <w:tc>
          <w:tcPr>
            <w:tcW w:w="24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Consumer Goods: Durable</w:t>
            </w:r>
          </w:p>
        </w:tc>
        <w:tc>
          <w:tcPr>
            <w:tcW w:w="1120" w:type="dxa"/>
            <w:vAlign w:val="bottom"/>
            <w:gridSpan w:val="3"/>
            <w:shd w:val="clear" w:color="auto" w:fill="CCECFF"/>
          </w:tcPr>
          <w:p>
            <w:pPr>
              <w:jc w:val="right"/>
              <w:ind w:right="160"/>
              <w:spacing w:after="0"/>
              <w:rPr>
                <w:sz w:val="20"/>
                <w:szCs w:val="20"/>
                <w:color w:val="auto"/>
              </w:rPr>
            </w:pPr>
            <w:r>
              <w:rPr>
                <w:rFonts w:ascii="Arial" w:cs="Arial" w:eastAsia="Arial" w:hAnsi="Arial"/>
                <w:sz w:val="11"/>
                <w:szCs w:val="11"/>
                <w:color w:val="auto"/>
              </w:rPr>
              <w:t>5.63 %</w:t>
            </w:r>
          </w:p>
        </w:tc>
        <w:tc>
          <w:tcPr>
            <w:tcW w:w="7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L+550</w:t>
            </w:r>
          </w:p>
        </w:tc>
        <w:tc>
          <w:tcPr>
            <w:tcW w:w="8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3,805</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3,720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3,736</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tcPr>
          <w:p>
            <w:pPr>
              <w:ind w:left="20"/>
              <w:spacing w:after="0"/>
              <w:rPr>
                <w:sz w:val="20"/>
                <w:szCs w:val="20"/>
                <w:color w:val="auto"/>
              </w:rPr>
            </w:pPr>
            <w:r>
              <w:rPr>
                <w:rFonts w:ascii="Arial" w:cs="Arial" w:eastAsia="Arial" w:hAnsi="Arial"/>
                <w:sz w:val="11"/>
                <w:szCs w:val="11"/>
                <w:color w:val="auto"/>
              </w:rPr>
              <w:t>Recteq, LLC</w:t>
            </w:r>
          </w:p>
        </w:tc>
        <w:tc>
          <w:tcPr>
            <w:tcW w:w="78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01/29/2026</w:t>
            </w:r>
          </w:p>
        </w:tc>
        <w:tc>
          <w:tcPr>
            <w:tcW w:w="120" w:type="dxa"/>
            <w:vAlign w:val="bottom"/>
          </w:tcPr>
          <w:p>
            <w:pPr>
              <w:spacing w:after="0"/>
              <w:rPr>
                <w:sz w:val="11"/>
                <w:szCs w:val="11"/>
                <w:color w:val="auto"/>
              </w:rPr>
            </w:pPr>
          </w:p>
        </w:tc>
        <w:tc>
          <w:tcPr>
            <w:tcW w:w="2460" w:type="dxa"/>
            <w:vAlign w:val="bottom"/>
          </w:tcPr>
          <w:p>
            <w:pPr>
              <w:jc w:val="center"/>
              <w:spacing w:after="0"/>
              <w:rPr>
                <w:sz w:val="20"/>
                <w:szCs w:val="20"/>
                <w:color w:val="auto"/>
              </w:rPr>
            </w:pPr>
            <w:r>
              <w:rPr>
                <w:rFonts w:ascii="Arial" w:cs="Arial" w:eastAsia="Arial" w:hAnsi="Arial"/>
                <w:sz w:val="11"/>
                <w:szCs w:val="11"/>
                <w:color w:val="auto"/>
                <w:w w:val="89"/>
              </w:rPr>
              <w:t>Leisure Products</w:t>
            </w:r>
          </w:p>
        </w:tc>
        <w:tc>
          <w:tcPr>
            <w:tcW w:w="1120" w:type="dxa"/>
            <w:vAlign w:val="bottom"/>
            <w:gridSpan w:val="3"/>
          </w:tcPr>
          <w:p>
            <w:pPr>
              <w:jc w:val="right"/>
              <w:ind w:right="160"/>
              <w:spacing w:after="0"/>
              <w:rPr>
                <w:sz w:val="20"/>
                <w:szCs w:val="20"/>
                <w:color w:val="auto"/>
              </w:rPr>
            </w:pPr>
            <w:r>
              <w:rPr>
                <w:rFonts w:ascii="Arial" w:cs="Arial" w:eastAsia="Arial" w:hAnsi="Arial"/>
                <w:sz w:val="11"/>
                <w:szCs w:val="11"/>
                <w:color w:val="auto"/>
              </w:rPr>
              <w:t>7.00 %</w:t>
            </w:r>
          </w:p>
        </w:tc>
        <w:tc>
          <w:tcPr>
            <w:tcW w:w="780" w:type="dxa"/>
            <w:vAlign w:val="bottom"/>
          </w:tcPr>
          <w:p>
            <w:pPr>
              <w:jc w:val="right"/>
              <w:spacing w:after="0"/>
              <w:rPr>
                <w:sz w:val="20"/>
                <w:szCs w:val="20"/>
                <w:color w:val="auto"/>
              </w:rPr>
            </w:pPr>
            <w:r>
              <w:rPr>
                <w:rFonts w:ascii="Arial" w:cs="Arial" w:eastAsia="Arial" w:hAnsi="Arial"/>
                <w:sz w:val="11"/>
                <w:szCs w:val="11"/>
                <w:color w:val="auto"/>
              </w:rPr>
              <w:t>3M L+600</w:t>
            </w: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4,975</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4,888</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4,925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shd w:val="clear" w:color="auto" w:fill="CCECFF"/>
          </w:tcPr>
          <w:p>
            <w:pPr>
              <w:ind w:left="20"/>
              <w:spacing w:after="0"/>
              <w:rPr>
                <w:sz w:val="20"/>
                <w:szCs w:val="20"/>
                <w:color w:val="auto"/>
              </w:rPr>
            </w:pPr>
            <w:r>
              <w:rPr>
                <w:rFonts w:ascii="Arial" w:cs="Arial" w:eastAsia="Arial" w:hAnsi="Arial"/>
                <w:sz w:val="11"/>
                <w:szCs w:val="11"/>
                <w:color w:val="auto"/>
                <w:w w:val="90"/>
              </w:rPr>
              <w:t>Research Now Group, Inc. and Survey Sampling International LLC</w:t>
            </w:r>
          </w:p>
        </w:tc>
        <w:tc>
          <w:tcPr>
            <w:tcW w:w="7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7"/>
              </w:rPr>
              <w:t>12/20/2024</w:t>
            </w:r>
          </w:p>
        </w:tc>
        <w:tc>
          <w:tcPr>
            <w:tcW w:w="120" w:type="dxa"/>
            <w:vAlign w:val="bottom"/>
            <w:shd w:val="clear" w:color="auto" w:fill="CCECFF"/>
          </w:tcPr>
          <w:p>
            <w:pPr>
              <w:spacing w:after="0"/>
              <w:rPr>
                <w:sz w:val="11"/>
                <w:szCs w:val="11"/>
                <w:color w:val="auto"/>
              </w:rPr>
            </w:pPr>
          </w:p>
        </w:tc>
        <w:tc>
          <w:tcPr>
            <w:tcW w:w="24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Diversified Consumer Services</w:t>
            </w:r>
          </w:p>
        </w:tc>
        <w:tc>
          <w:tcPr>
            <w:tcW w:w="1120" w:type="dxa"/>
            <w:vAlign w:val="bottom"/>
            <w:gridSpan w:val="3"/>
            <w:shd w:val="clear" w:color="auto" w:fill="CCECFF"/>
          </w:tcPr>
          <w:p>
            <w:pPr>
              <w:jc w:val="right"/>
              <w:ind w:right="160"/>
              <w:spacing w:after="0"/>
              <w:rPr>
                <w:sz w:val="20"/>
                <w:szCs w:val="20"/>
                <w:color w:val="auto"/>
              </w:rPr>
            </w:pPr>
            <w:r>
              <w:rPr>
                <w:rFonts w:ascii="Arial" w:cs="Arial" w:eastAsia="Arial" w:hAnsi="Arial"/>
                <w:sz w:val="11"/>
                <w:szCs w:val="11"/>
                <w:color w:val="auto"/>
              </w:rPr>
              <w:t>6.50 %</w:t>
            </w:r>
          </w:p>
        </w:tc>
        <w:tc>
          <w:tcPr>
            <w:tcW w:w="7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L+550</w:t>
            </w:r>
          </w:p>
        </w:tc>
        <w:tc>
          <w:tcPr>
            <w:tcW w:w="8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10,680</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10,592</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10,544</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tcPr>
          <w:p>
            <w:pPr>
              <w:ind w:left="20"/>
              <w:spacing w:after="0"/>
              <w:rPr>
                <w:sz w:val="20"/>
                <w:szCs w:val="20"/>
                <w:color w:val="auto"/>
              </w:rPr>
            </w:pPr>
            <w:r>
              <w:rPr>
                <w:rFonts w:ascii="Arial" w:cs="Arial" w:eastAsia="Arial" w:hAnsi="Arial"/>
                <w:sz w:val="11"/>
                <w:szCs w:val="11"/>
                <w:color w:val="auto"/>
              </w:rPr>
              <w:t>Sales Benchmark Index LLC</w:t>
            </w:r>
          </w:p>
        </w:tc>
        <w:tc>
          <w:tcPr>
            <w:tcW w:w="78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01/03/2025</w:t>
            </w:r>
          </w:p>
        </w:tc>
        <w:tc>
          <w:tcPr>
            <w:tcW w:w="120" w:type="dxa"/>
            <w:vAlign w:val="bottom"/>
          </w:tcPr>
          <w:p>
            <w:pPr>
              <w:spacing w:after="0"/>
              <w:rPr>
                <w:sz w:val="11"/>
                <w:szCs w:val="11"/>
                <w:color w:val="auto"/>
              </w:rPr>
            </w:pPr>
          </w:p>
        </w:tc>
        <w:tc>
          <w:tcPr>
            <w:tcW w:w="2460" w:type="dxa"/>
            <w:vAlign w:val="bottom"/>
          </w:tcPr>
          <w:p>
            <w:pPr>
              <w:jc w:val="center"/>
              <w:spacing w:after="0"/>
              <w:rPr>
                <w:sz w:val="20"/>
                <w:szCs w:val="20"/>
                <w:color w:val="auto"/>
              </w:rPr>
            </w:pPr>
            <w:r>
              <w:rPr>
                <w:rFonts w:ascii="Arial" w:cs="Arial" w:eastAsia="Arial" w:hAnsi="Arial"/>
                <w:sz w:val="11"/>
                <w:szCs w:val="11"/>
                <w:color w:val="auto"/>
                <w:w w:val="88"/>
              </w:rPr>
              <w:t>Professional Services</w:t>
            </w:r>
          </w:p>
        </w:tc>
        <w:tc>
          <w:tcPr>
            <w:tcW w:w="1120" w:type="dxa"/>
            <w:vAlign w:val="bottom"/>
            <w:gridSpan w:val="3"/>
          </w:tcPr>
          <w:p>
            <w:pPr>
              <w:jc w:val="right"/>
              <w:ind w:right="160"/>
              <w:spacing w:after="0"/>
              <w:rPr>
                <w:sz w:val="20"/>
                <w:szCs w:val="20"/>
                <w:color w:val="auto"/>
              </w:rPr>
            </w:pPr>
            <w:r>
              <w:rPr>
                <w:rFonts w:ascii="Arial" w:cs="Arial" w:eastAsia="Arial" w:hAnsi="Arial"/>
                <w:sz w:val="11"/>
                <w:szCs w:val="11"/>
                <w:color w:val="auto"/>
              </w:rPr>
              <w:t>7.75 %</w:t>
            </w:r>
          </w:p>
        </w:tc>
        <w:tc>
          <w:tcPr>
            <w:tcW w:w="780" w:type="dxa"/>
            <w:vAlign w:val="bottom"/>
          </w:tcPr>
          <w:p>
            <w:pPr>
              <w:jc w:val="right"/>
              <w:spacing w:after="0"/>
              <w:rPr>
                <w:sz w:val="20"/>
                <w:szCs w:val="20"/>
                <w:color w:val="auto"/>
              </w:rPr>
            </w:pPr>
            <w:r>
              <w:rPr>
                <w:rFonts w:ascii="Arial" w:cs="Arial" w:eastAsia="Arial" w:hAnsi="Arial"/>
                <w:sz w:val="11"/>
                <w:szCs w:val="11"/>
                <w:color w:val="auto"/>
              </w:rPr>
              <w:t>3M L+600</w:t>
            </w: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5,578</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5,496</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5,439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shd w:val="clear" w:color="auto" w:fill="CCECFF"/>
          </w:tcPr>
          <w:p>
            <w:pPr>
              <w:ind w:left="20"/>
              <w:spacing w:after="0"/>
              <w:rPr>
                <w:sz w:val="20"/>
                <w:szCs w:val="20"/>
                <w:color w:val="auto"/>
              </w:rPr>
            </w:pPr>
            <w:r>
              <w:rPr>
                <w:rFonts w:ascii="Arial" w:cs="Arial" w:eastAsia="Arial" w:hAnsi="Arial"/>
                <w:sz w:val="11"/>
                <w:szCs w:val="11"/>
                <w:color w:val="auto"/>
              </w:rPr>
              <w:t>Sargent &amp; Greenleaf Inc.</w:t>
            </w:r>
          </w:p>
        </w:tc>
        <w:tc>
          <w:tcPr>
            <w:tcW w:w="7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7"/>
              </w:rPr>
              <w:t>12/20/2024</w:t>
            </w:r>
          </w:p>
        </w:tc>
        <w:tc>
          <w:tcPr>
            <w:tcW w:w="120" w:type="dxa"/>
            <w:vAlign w:val="bottom"/>
            <w:shd w:val="clear" w:color="auto" w:fill="CCECFF"/>
          </w:tcPr>
          <w:p>
            <w:pPr>
              <w:spacing w:after="0"/>
              <w:rPr>
                <w:sz w:val="11"/>
                <w:szCs w:val="11"/>
                <w:color w:val="auto"/>
              </w:rPr>
            </w:pPr>
          </w:p>
        </w:tc>
        <w:tc>
          <w:tcPr>
            <w:tcW w:w="24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Wholesale</w:t>
            </w:r>
          </w:p>
        </w:tc>
        <w:tc>
          <w:tcPr>
            <w:tcW w:w="1120" w:type="dxa"/>
            <w:vAlign w:val="bottom"/>
            <w:gridSpan w:val="3"/>
            <w:shd w:val="clear" w:color="auto" w:fill="CCECFF"/>
          </w:tcPr>
          <w:p>
            <w:pPr>
              <w:jc w:val="right"/>
              <w:ind w:right="160"/>
              <w:spacing w:after="0"/>
              <w:rPr>
                <w:sz w:val="20"/>
                <w:szCs w:val="20"/>
                <w:color w:val="auto"/>
              </w:rPr>
            </w:pPr>
            <w:r>
              <w:rPr>
                <w:rFonts w:ascii="Arial" w:cs="Arial" w:eastAsia="Arial" w:hAnsi="Arial"/>
                <w:sz w:val="11"/>
                <w:szCs w:val="11"/>
                <w:color w:val="auto"/>
              </w:rPr>
              <w:t>7.00 %</w:t>
            </w:r>
          </w:p>
        </w:tc>
        <w:tc>
          <w:tcPr>
            <w:tcW w:w="7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L+550</w:t>
            </w:r>
          </w:p>
        </w:tc>
        <w:tc>
          <w:tcPr>
            <w:tcW w:w="8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5,550</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5,493</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5,550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tcPr>
          <w:p>
            <w:pPr>
              <w:ind w:left="20"/>
              <w:spacing w:after="0"/>
              <w:rPr>
                <w:sz w:val="20"/>
                <w:szCs w:val="20"/>
                <w:color w:val="auto"/>
              </w:rPr>
            </w:pPr>
            <w:r>
              <w:rPr>
                <w:rFonts w:ascii="Arial" w:cs="Arial" w:eastAsia="Arial" w:hAnsi="Arial"/>
                <w:sz w:val="11"/>
                <w:szCs w:val="11"/>
                <w:color w:val="auto"/>
              </w:rPr>
              <w:t>Schlesinger Global, Inc.</w:t>
            </w:r>
          </w:p>
        </w:tc>
        <w:tc>
          <w:tcPr>
            <w:tcW w:w="78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07/14/2025</w:t>
            </w:r>
          </w:p>
        </w:tc>
        <w:tc>
          <w:tcPr>
            <w:tcW w:w="120" w:type="dxa"/>
            <w:vAlign w:val="bottom"/>
          </w:tcPr>
          <w:p>
            <w:pPr>
              <w:spacing w:after="0"/>
              <w:rPr>
                <w:sz w:val="11"/>
                <w:szCs w:val="11"/>
                <w:color w:val="auto"/>
              </w:rPr>
            </w:pPr>
          </w:p>
        </w:tc>
        <w:tc>
          <w:tcPr>
            <w:tcW w:w="2460" w:type="dxa"/>
            <w:vAlign w:val="bottom"/>
          </w:tcPr>
          <w:p>
            <w:pPr>
              <w:jc w:val="center"/>
              <w:spacing w:after="0"/>
              <w:rPr>
                <w:sz w:val="20"/>
                <w:szCs w:val="20"/>
                <w:color w:val="auto"/>
              </w:rPr>
            </w:pPr>
            <w:r>
              <w:rPr>
                <w:rFonts w:ascii="Arial" w:cs="Arial" w:eastAsia="Arial" w:hAnsi="Arial"/>
                <w:sz w:val="11"/>
                <w:szCs w:val="11"/>
                <w:color w:val="auto"/>
                <w:w w:val="86"/>
              </w:rPr>
              <w:t>Business Services</w:t>
            </w:r>
          </w:p>
        </w:tc>
        <w:tc>
          <w:tcPr>
            <w:tcW w:w="1120" w:type="dxa"/>
            <w:vAlign w:val="bottom"/>
            <w:gridSpan w:val="3"/>
          </w:tcPr>
          <w:p>
            <w:pPr>
              <w:jc w:val="right"/>
              <w:ind w:right="160"/>
              <w:spacing w:after="0"/>
              <w:rPr>
                <w:sz w:val="20"/>
                <w:szCs w:val="20"/>
                <w:color w:val="auto"/>
              </w:rPr>
            </w:pPr>
            <w:r>
              <w:rPr>
                <w:rFonts w:ascii="Arial" w:cs="Arial" w:eastAsia="Arial" w:hAnsi="Arial"/>
                <w:sz w:val="11"/>
                <w:szCs w:val="11"/>
                <w:color w:val="auto"/>
              </w:rPr>
              <w:t>8.00 %</w:t>
            </w:r>
          </w:p>
        </w:tc>
        <w:tc>
          <w:tcPr>
            <w:tcW w:w="780" w:type="dxa"/>
            <w:vAlign w:val="bottom"/>
          </w:tcPr>
          <w:p>
            <w:pPr>
              <w:jc w:val="right"/>
              <w:spacing w:after="0"/>
              <w:rPr>
                <w:sz w:val="20"/>
                <w:szCs w:val="20"/>
                <w:color w:val="auto"/>
              </w:rPr>
            </w:pPr>
            <w:r>
              <w:rPr>
                <w:rFonts w:ascii="Arial" w:cs="Arial" w:eastAsia="Arial" w:hAnsi="Arial"/>
                <w:sz w:val="11"/>
                <w:szCs w:val="11"/>
                <w:color w:val="auto"/>
              </w:rPr>
              <w:t>3M L+700</w:t>
            </w: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11,785</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11,760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11,254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shd w:val="clear" w:color="auto" w:fill="CCECFF"/>
          </w:tcPr>
          <w:p>
            <w:pPr>
              <w:ind w:left="20"/>
              <w:spacing w:after="0"/>
              <w:rPr>
                <w:sz w:val="20"/>
                <w:szCs w:val="20"/>
                <w:color w:val="auto"/>
              </w:rPr>
            </w:pPr>
            <w:r>
              <w:rPr>
                <w:rFonts w:ascii="Arial" w:cs="Arial" w:eastAsia="Arial" w:hAnsi="Arial"/>
                <w:sz w:val="11"/>
                <w:szCs w:val="11"/>
                <w:color w:val="auto"/>
              </w:rPr>
              <w:t>Smile Brands Inc.</w:t>
            </w:r>
          </w:p>
        </w:tc>
        <w:tc>
          <w:tcPr>
            <w:tcW w:w="7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7"/>
              </w:rPr>
              <w:t>10/14/2024</w:t>
            </w:r>
          </w:p>
        </w:tc>
        <w:tc>
          <w:tcPr>
            <w:tcW w:w="120" w:type="dxa"/>
            <w:vAlign w:val="bottom"/>
            <w:shd w:val="clear" w:color="auto" w:fill="CCECFF"/>
          </w:tcPr>
          <w:p>
            <w:pPr>
              <w:spacing w:after="0"/>
              <w:rPr>
                <w:sz w:val="11"/>
                <w:szCs w:val="11"/>
                <w:color w:val="auto"/>
              </w:rPr>
            </w:pPr>
          </w:p>
        </w:tc>
        <w:tc>
          <w:tcPr>
            <w:tcW w:w="24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Healthcare and Pharmaceuticals</w:t>
            </w:r>
          </w:p>
        </w:tc>
        <w:tc>
          <w:tcPr>
            <w:tcW w:w="1120" w:type="dxa"/>
            <w:vAlign w:val="bottom"/>
            <w:gridSpan w:val="3"/>
            <w:shd w:val="clear" w:color="auto" w:fill="CCECFF"/>
          </w:tcPr>
          <w:p>
            <w:pPr>
              <w:jc w:val="right"/>
              <w:ind w:right="160"/>
              <w:spacing w:after="0"/>
              <w:rPr>
                <w:sz w:val="20"/>
                <w:szCs w:val="20"/>
                <w:color w:val="auto"/>
              </w:rPr>
            </w:pPr>
            <w:r>
              <w:rPr>
                <w:rFonts w:ascii="Arial" w:cs="Arial" w:eastAsia="Arial" w:hAnsi="Arial"/>
                <w:sz w:val="11"/>
                <w:szCs w:val="11"/>
                <w:color w:val="auto"/>
              </w:rPr>
              <w:t>5.32 %</w:t>
            </w:r>
          </w:p>
        </w:tc>
        <w:tc>
          <w:tcPr>
            <w:tcW w:w="7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L+450</w:t>
            </w:r>
          </w:p>
        </w:tc>
        <w:tc>
          <w:tcPr>
            <w:tcW w:w="8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12,576</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12,459</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12,451</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tcPr>
          <w:p>
            <w:pPr>
              <w:ind w:left="20"/>
              <w:spacing w:after="0"/>
              <w:rPr>
                <w:sz w:val="20"/>
                <w:szCs w:val="20"/>
                <w:color w:val="auto"/>
              </w:rPr>
            </w:pPr>
            <w:r>
              <w:rPr>
                <w:rFonts w:ascii="Arial" w:cs="Arial" w:eastAsia="Arial" w:hAnsi="Arial"/>
                <w:sz w:val="11"/>
                <w:szCs w:val="11"/>
                <w:color w:val="auto"/>
              </w:rPr>
              <w:t>Snak Club, LLC</w:t>
            </w:r>
          </w:p>
        </w:tc>
        <w:tc>
          <w:tcPr>
            <w:tcW w:w="78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07/19/2022</w:t>
            </w:r>
          </w:p>
        </w:tc>
        <w:tc>
          <w:tcPr>
            <w:tcW w:w="120" w:type="dxa"/>
            <w:vAlign w:val="bottom"/>
          </w:tcPr>
          <w:p>
            <w:pPr>
              <w:spacing w:after="0"/>
              <w:rPr>
                <w:sz w:val="11"/>
                <w:szCs w:val="11"/>
                <w:color w:val="auto"/>
              </w:rPr>
            </w:pPr>
          </w:p>
        </w:tc>
        <w:tc>
          <w:tcPr>
            <w:tcW w:w="2460" w:type="dxa"/>
            <w:vAlign w:val="bottom"/>
          </w:tcPr>
          <w:p>
            <w:pPr>
              <w:jc w:val="center"/>
              <w:spacing w:after="0"/>
              <w:rPr>
                <w:sz w:val="20"/>
                <w:szCs w:val="20"/>
                <w:color w:val="auto"/>
              </w:rPr>
            </w:pPr>
            <w:r>
              <w:rPr>
                <w:rFonts w:ascii="Arial" w:cs="Arial" w:eastAsia="Arial" w:hAnsi="Arial"/>
                <w:sz w:val="11"/>
                <w:szCs w:val="11"/>
                <w:color w:val="auto"/>
                <w:w w:val="86"/>
              </w:rPr>
              <w:t>Beverage, Food and Tobacco</w:t>
            </w:r>
          </w:p>
        </w:tc>
        <w:tc>
          <w:tcPr>
            <w:tcW w:w="1120" w:type="dxa"/>
            <w:vAlign w:val="bottom"/>
            <w:gridSpan w:val="3"/>
          </w:tcPr>
          <w:p>
            <w:pPr>
              <w:jc w:val="right"/>
              <w:ind w:right="160"/>
              <w:spacing w:after="0"/>
              <w:rPr>
                <w:sz w:val="20"/>
                <w:szCs w:val="20"/>
                <w:color w:val="auto"/>
              </w:rPr>
            </w:pPr>
            <w:r>
              <w:rPr>
                <w:rFonts w:ascii="Arial" w:cs="Arial" w:eastAsia="Arial" w:hAnsi="Arial"/>
                <w:sz w:val="11"/>
                <w:szCs w:val="11"/>
                <w:color w:val="auto"/>
              </w:rPr>
              <w:t>7.00 %</w:t>
            </w:r>
          </w:p>
        </w:tc>
        <w:tc>
          <w:tcPr>
            <w:tcW w:w="780" w:type="dxa"/>
            <w:vAlign w:val="bottom"/>
          </w:tcPr>
          <w:p>
            <w:pPr>
              <w:jc w:val="right"/>
              <w:spacing w:after="0"/>
              <w:rPr>
                <w:sz w:val="20"/>
                <w:szCs w:val="20"/>
                <w:color w:val="auto"/>
              </w:rPr>
            </w:pPr>
            <w:r>
              <w:rPr>
                <w:rFonts w:ascii="Arial" w:cs="Arial" w:eastAsia="Arial" w:hAnsi="Arial"/>
                <w:sz w:val="11"/>
                <w:szCs w:val="11"/>
                <w:color w:val="auto"/>
              </w:rPr>
              <w:t>1M L+600</w:t>
            </w: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4,388</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4,362</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4,388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shd w:val="clear" w:color="auto" w:fill="CCECFF"/>
          </w:tcPr>
          <w:p>
            <w:pPr>
              <w:ind w:left="20"/>
              <w:spacing w:after="0"/>
              <w:rPr>
                <w:sz w:val="20"/>
                <w:szCs w:val="20"/>
                <w:color w:val="auto"/>
              </w:rPr>
            </w:pPr>
            <w:r>
              <w:rPr>
                <w:rFonts w:ascii="Arial" w:cs="Arial" w:eastAsia="Arial" w:hAnsi="Arial"/>
                <w:sz w:val="11"/>
                <w:szCs w:val="11"/>
                <w:color w:val="auto"/>
              </w:rPr>
              <w:t>Solutionreach, Inc.</w:t>
            </w:r>
          </w:p>
        </w:tc>
        <w:tc>
          <w:tcPr>
            <w:tcW w:w="7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7"/>
              </w:rPr>
              <w:t>01/17/2024</w:t>
            </w:r>
          </w:p>
        </w:tc>
        <w:tc>
          <w:tcPr>
            <w:tcW w:w="120" w:type="dxa"/>
            <w:vAlign w:val="bottom"/>
            <w:shd w:val="clear" w:color="auto" w:fill="CCECFF"/>
          </w:tcPr>
          <w:p>
            <w:pPr>
              <w:spacing w:after="0"/>
              <w:rPr>
                <w:sz w:val="11"/>
                <w:szCs w:val="11"/>
                <w:color w:val="auto"/>
              </w:rPr>
            </w:pPr>
          </w:p>
        </w:tc>
        <w:tc>
          <w:tcPr>
            <w:tcW w:w="24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Healthcare and Pharmaceuticals</w:t>
            </w:r>
          </w:p>
        </w:tc>
        <w:tc>
          <w:tcPr>
            <w:tcW w:w="1120" w:type="dxa"/>
            <w:vAlign w:val="bottom"/>
            <w:gridSpan w:val="3"/>
            <w:shd w:val="clear" w:color="auto" w:fill="CCECFF"/>
          </w:tcPr>
          <w:p>
            <w:pPr>
              <w:jc w:val="right"/>
              <w:ind w:right="160"/>
              <w:spacing w:after="0"/>
              <w:rPr>
                <w:sz w:val="20"/>
                <w:szCs w:val="20"/>
                <w:color w:val="auto"/>
              </w:rPr>
            </w:pPr>
            <w:r>
              <w:rPr>
                <w:rFonts w:ascii="Arial" w:cs="Arial" w:eastAsia="Arial" w:hAnsi="Arial"/>
                <w:sz w:val="11"/>
                <w:szCs w:val="11"/>
                <w:color w:val="auto"/>
              </w:rPr>
              <w:t>6.75 %</w:t>
            </w:r>
          </w:p>
        </w:tc>
        <w:tc>
          <w:tcPr>
            <w:tcW w:w="7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L+575</w:t>
            </w:r>
          </w:p>
        </w:tc>
        <w:tc>
          <w:tcPr>
            <w:tcW w:w="8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5,892</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5,854</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5,892</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-2296795</wp:posOffset>
            </wp:positionV>
            <wp:extent cx="7132320" cy="8572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-2039620</wp:posOffset>
            </wp:positionV>
            <wp:extent cx="7132320" cy="15430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June 30, 2022</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270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83"/>
              </w:rPr>
              <w:t>Basis Point</w:t>
            </w: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gridSpan w:val="2"/>
            <w:vMerge w:val="restart"/>
          </w:tcPr>
          <w:p>
            <w:pPr>
              <w:jc w:val="right"/>
              <w:ind w:right="306"/>
              <w:spacing w:after="0"/>
              <w:rPr>
                <w:sz w:val="20"/>
                <w:szCs w:val="20"/>
                <w:color w:val="auto"/>
              </w:rPr>
            </w:pPr>
            <w:r>
              <w:rPr>
                <w:rFonts w:ascii="Arial" w:cs="Arial" w:eastAsia="Arial" w:hAnsi="Arial"/>
                <w:sz w:val="11"/>
                <w:szCs w:val="11"/>
                <w:b w:val="1"/>
                <w:bCs w:val="1"/>
                <w:color w:val="auto"/>
              </w:rPr>
              <w:t>Current</w:t>
            </w:r>
          </w:p>
        </w:tc>
        <w:tc>
          <w:tcPr>
            <w:tcW w:w="94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85"/>
              </w:rPr>
              <w:t>Spread</w:t>
            </w:r>
          </w:p>
        </w:tc>
        <w:tc>
          <w:tcPr>
            <w:tcW w:w="220" w:type="dxa"/>
            <w:vAlign w:val="bottom"/>
          </w:tcPr>
          <w:p>
            <w:pPr>
              <w:spacing w:after="0"/>
              <w:rPr>
                <w:sz w:val="9"/>
                <w:szCs w:val="9"/>
                <w:color w:val="auto"/>
              </w:rPr>
            </w:pPr>
          </w:p>
        </w:tc>
        <w:tc>
          <w:tcPr>
            <w:tcW w:w="1100" w:type="dxa"/>
            <w:vAlign w:val="bottom"/>
            <w:gridSpan w:val="3"/>
            <w:vMerge w:val="restart"/>
          </w:tcPr>
          <w:p>
            <w:pPr>
              <w:jc w:val="center"/>
              <w:ind w:right="311"/>
              <w:spacing w:after="0"/>
              <w:rPr>
                <w:sz w:val="20"/>
                <w:szCs w:val="20"/>
                <w:color w:val="auto"/>
              </w:rPr>
            </w:pPr>
            <w:r>
              <w:rPr>
                <w:rFonts w:ascii="Arial" w:cs="Arial" w:eastAsia="Arial" w:hAnsi="Arial"/>
                <w:sz w:val="11"/>
                <w:szCs w:val="11"/>
                <w:b w:val="1"/>
                <w:bCs w:val="1"/>
                <w:color w:val="auto"/>
                <w:w w:val="92"/>
              </w:rPr>
              <w:t>Par /</w:t>
            </w: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70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Issuer Name</w:t>
            </w: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8"/>
              </w:rPr>
              <w:t>Maturity</w:t>
            </w:r>
          </w:p>
        </w:tc>
        <w:tc>
          <w:tcPr>
            <w:tcW w:w="260" w:type="dxa"/>
            <w:vAlign w:val="bottom"/>
          </w:tcPr>
          <w:p>
            <w:pPr>
              <w:spacing w:after="0"/>
              <w:rPr>
                <w:sz w:val="9"/>
                <w:szCs w:val="9"/>
                <w:color w:val="auto"/>
              </w:rPr>
            </w:pPr>
          </w:p>
        </w:tc>
        <w:tc>
          <w:tcPr>
            <w:tcW w:w="238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2"/>
              </w:rPr>
              <w:t>Industry</w:t>
            </w:r>
          </w:p>
        </w:tc>
        <w:tc>
          <w:tcPr>
            <w:tcW w:w="14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94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83"/>
              </w:rPr>
              <w:t>Above</w:t>
            </w:r>
          </w:p>
        </w:tc>
        <w:tc>
          <w:tcPr>
            <w:tcW w:w="220" w:type="dxa"/>
            <w:vAlign w:val="bottom"/>
          </w:tcPr>
          <w:p>
            <w:pPr>
              <w:spacing w:after="0"/>
              <w:rPr>
                <w:sz w:val="9"/>
                <w:szCs w:val="9"/>
                <w:color w:val="auto"/>
              </w:rPr>
            </w:pPr>
          </w:p>
        </w:tc>
        <w:tc>
          <w:tcPr>
            <w:tcW w:w="1100" w:type="dxa"/>
            <w:vAlign w:val="bottom"/>
            <w:gridSpan w:val="3"/>
            <w:vMerge w:val="continue"/>
          </w:tcPr>
          <w:p>
            <w:pPr>
              <w:spacing w:after="0"/>
              <w:rPr>
                <w:sz w:val="9"/>
                <w:szCs w:val="9"/>
                <w:color w:val="auto"/>
              </w:rPr>
            </w:pPr>
          </w:p>
        </w:tc>
        <w:tc>
          <w:tcPr>
            <w:tcW w:w="560" w:type="dxa"/>
            <w:vAlign w:val="bottom"/>
            <w:vMerge w:val="restart"/>
          </w:tcPr>
          <w:p>
            <w:pPr>
              <w:jc w:val="right"/>
              <w:ind w:right="206"/>
              <w:spacing w:after="0"/>
              <w:rPr>
                <w:sz w:val="20"/>
                <w:szCs w:val="20"/>
                <w:color w:val="auto"/>
              </w:rPr>
            </w:pPr>
            <w:r>
              <w:rPr>
                <w:rFonts w:ascii="Arial" w:cs="Arial" w:eastAsia="Arial" w:hAnsi="Arial"/>
                <w:sz w:val="11"/>
                <w:szCs w:val="11"/>
                <w:b w:val="1"/>
                <w:bCs w:val="1"/>
                <w:color w:val="auto"/>
              </w:rPr>
              <w:t>Cost</w:t>
            </w:r>
          </w:p>
        </w:tc>
        <w:tc>
          <w:tcPr>
            <w:tcW w:w="220" w:type="dxa"/>
            <w:vAlign w:val="bottom"/>
          </w:tcPr>
          <w:p>
            <w:pPr>
              <w:spacing w:after="0"/>
              <w:rPr>
                <w:sz w:val="9"/>
                <w:szCs w:val="9"/>
                <w:color w:val="auto"/>
              </w:rPr>
            </w:pPr>
          </w:p>
        </w:tc>
        <w:tc>
          <w:tcPr>
            <w:tcW w:w="800" w:type="dxa"/>
            <w:vAlign w:val="bottom"/>
            <w:gridSpan w:val="3"/>
            <w:vMerge w:val="restart"/>
          </w:tcPr>
          <w:p>
            <w:pPr>
              <w:jc w:val="right"/>
              <w:ind w:right="122"/>
              <w:spacing w:after="0"/>
              <w:rPr>
                <w:sz w:val="20"/>
                <w:szCs w:val="20"/>
                <w:color w:val="auto"/>
              </w:rPr>
            </w:pPr>
            <w:r>
              <w:rPr>
                <w:rFonts w:ascii="Arial" w:cs="Arial" w:eastAsia="Arial" w:hAnsi="Arial"/>
                <w:sz w:val="11"/>
                <w:szCs w:val="11"/>
                <w:b w:val="1"/>
                <w:bCs w:val="1"/>
                <w:color w:val="auto"/>
                <w:w w:val="92"/>
              </w:rPr>
              <w:t xml:space="preserve">Fair Value </w:t>
            </w:r>
            <w:r>
              <w:rPr>
                <w:rFonts w:ascii="Arial" w:cs="Arial" w:eastAsia="Arial" w:hAnsi="Arial"/>
                <w:sz w:val="14"/>
                <w:szCs w:val="14"/>
                <w:b w:val="1"/>
                <w:bCs w:val="1"/>
                <w:color w:val="auto"/>
                <w:w w:val="92"/>
                <w:vertAlign w:val="superscript"/>
              </w:rPr>
              <w:t>(2)</w:t>
            </w:r>
          </w:p>
        </w:tc>
        <w:tc>
          <w:tcPr>
            <w:tcW w:w="0" w:type="dxa"/>
            <w:vAlign w:val="bottom"/>
          </w:tcPr>
          <w:p>
            <w:pPr>
              <w:spacing w:after="0"/>
              <w:rPr>
                <w:sz w:val="1"/>
                <w:szCs w:val="1"/>
                <w:color w:val="auto"/>
              </w:rPr>
            </w:pPr>
          </w:p>
        </w:tc>
      </w:tr>
      <w:tr>
        <w:trPr>
          <w:trHeight w:val="148"/>
        </w:trPr>
        <w:tc>
          <w:tcPr>
            <w:tcW w:w="27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23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306"/>
              <w:spacing w:after="0"/>
              <w:rPr>
                <w:sz w:val="20"/>
                <w:szCs w:val="20"/>
                <w:color w:val="auto"/>
              </w:rPr>
            </w:pPr>
            <w:r>
              <w:rPr>
                <w:rFonts w:ascii="Arial" w:cs="Arial" w:eastAsia="Arial" w:hAnsi="Arial"/>
                <w:sz w:val="11"/>
                <w:szCs w:val="11"/>
                <w:b w:val="1"/>
                <w:bCs w:val="1"/>
                <w:color w:val="auto"/>
              </w:rPr>
              <w:t>Coupon</w:t>
            </w:r>
          </w:p>
        </w:tc>
        <w:tc>
          <w:tcPr>
            <w:tcW w:w="940" w:type="dxa"/>
            <w:vAlign w:val="bottom"/>
          </w:tcPr>
          <w:p>
            <w:pPr>
              <w:jc w:val="center"/>
              <w:spacing w:after="0" w:line="149" w:lineRule="exact"/>
              <w:rPr>
                <w:sz w:val="20"/>
                <w:szCs w:val="20"/>
                <w:color w:val="auto"/>
              </w:rPr>
            </w:pPr>
            <w:r>
              <w:rPr>
                <w:rFonts w:ascii="Arial" w:cs="Arial" w:eastAsia="Arial" w:hAnsi="Arial"/>
                <w:sz w:val="11"/>
                <w:szCs w:val="11"/>
                <w:b w:val="1"/>
                <w:bCs w:val="1"/>
                <w:color w:val="auto"/>
                <w:w w:val="87"/>
              </w:rPr>
              <w:t xml:space="preserve">Index </w:t>
            </w:r>
            <w:r>
              <w:rPr>
                <w:rFonts w:ascii="Arial" w:cs="Arial" w:eastAsia="Arial" w:hAnsi="Arial"/>
                <w:sz w:val="14"/>
                <w:szCs w:val="14"/>
                <w:b w:val="1"/>
                <w:bCs w:val="1"/>
                <w:color w:val="auto"/>
                <w:w w:val="87"/>
                <w:vertAlign w:val="superscript"/>
              </w:rPr>
              <w:t>(1)</w:t>
            </w:r>
          </w:p>
        </w:tc>
        <w:tc>
          <w:tcPr>
            <w:tcW w:w="220" w:type="dxa"/>
            <w:vAlign w:val="bottom"/>
          </w:tcPr>
          <w:p>
            <w:pPr>
              <w:spacing w:after="0"/>
              <w:rPr>
                <w:sz w:val="12"/>
                <w:szCs w:val="12"/>
                <w:color w:val="auto"/>
              </w:rPr>
            </w:pPr>
          </w:p>
        </w:tc>
        <w:tc>
          <w:tcPr>
            <w:tcW w:w="1100" w:type="dxa"/>
            <w:vAlign w:val="bottom"/>
            <w:gridSpan w:val="3"/>
          </w:tcPr>
          <w:p>
            <w:pPr>
              <w:jc w:val="center"/>
              <w:ind w:right="291"/>
              <w:spacing w:after="0"/>
              <w:rPr>
                <w:sz w:val="20"/>
                <w:szCs w:val="20"/>
                <w:color w:val="auto"/>
              </w:rPr>
            </w:pPr>
            <w:r>
              <w:rPr>
                <w:rFonts w:ascii="Arial" w:cs="Arial" w:eastAsia="Arial" w:hAnsi="Arial"/>
                <w:sz w:val="11"/>
                <w:szCs w:val="11"/>
                <w:b w:val="1"/>
                <w:bCs w:val="1"/>
                <w:color w:val="auto"/>
                <w:w w:val="87"/>
              </w:rPr>
              <w:t>Shares</w:t>
            </w:r>
          </w:p>
        </w:tc>
        <w:tc>
          <w:tcPr>
            <w:tcW w:w="5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700" w:type="dxa"/>
            <w:vAlign w:val="bottom"/>
            <w:tcBorders>
              <w:top w:val="single" w:sz="8" w:color="auto"/>
            </w:tcBorders>
            <w:shd w:val="clear" w:color="auto" w:fill="CCECFF"/>
          </w:tcPr>
          <w:p>
            <w:pPr>
              <w:ind w:left="20"/>
              <w:spacing w:after="0"/>
              <w:rPr>
                <w:sz w:val="20"/>
                <w:szCs w:val="20"/>
                <w:color w:val="auto"/>
              </w:rPr>
            </w:pPr>
            <w:r>
              <w:rPr>
                <w:rFonts w:ascii="Arial" w:cs="Arial" w:eastAsia="Arial" w:hAnsi="Arial"/>
                <w:sz w:val="11"/>
                <w:szCs w:val="11"/>
                <w:color w:val="auto"/>
              </w:rPr>
              <w:t>Spectacle Gary Holdings, LLC</w:t>
            </w:r>
          </w:p>
        </w:tc>
        <w:tc>
          <w:tcPr>
            <w:tcW w:w="200" w:type="dxa"/>
            <w:vAlign w:val="bottom"/>
            <w:tcBorders>
              <w:top w:val="single" w:sz="8" w:color="auto"/>
            </w:tcBorders>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700" w:type="dxa"/>
            <w:vAlign w:val="bottom"/>
            <w:tcBorders>
              <w:top w:val="single" w:sz="8" w:color="auto"/>
            </w:tcBorders>
            <w:shd w:val="clear" w:color="auto" w:fill="CCECFF"/>
          </w:tcPr>
          <w:p>
            <w:pPr>
              <w:jc w:val="center"/>
              <w:spacing w:after="0"/>
              <w:rPr>
                <w:sz w:val="20"/>
                <w:szCs w:val="20"/>
                <w:color w:val="auto"/>
              </w:rPr>
            </w:pPr>
            <w:r>
              <w:rPr>
                <w:rFonts w:ascii="Arial" w:cs="Arial" w:eastAsia="Arial" w:hAnsi="Arial"/>
                <w:sz w:val="11"/>
                <w:szCs w:val="11"/>
                <w:color w:val="auto"/>
                <w:w w:val="87"/>
              </w:rPr>
              <w:t>12/23/2025</w:t>
            </w:r>
          </w:p>
        </w:tc>
        <w:tc>
          <w:tcPr>
            <w:tcW w:w="260" w:type="dxa"/>
            <w:vAlign w:val="bottom"/>
            <w:shd w:val="clear" w:color="auto" w:fill="CCECFF"/>
          </w:tcPr>
          <w:p>
            <w:pPr>
              <w:spacing w:after="0"/>
              <w:rPr>
                <w:sz w:val="11"/>
                <w:szCs w:val="11"/>
                <w:color w:val="auto"/>
              </w:rPr>
            </w:pPr>
          </w:p>
        </w:tc>
        <w:tc>
          <w:tcPr>
            <w:tcW w:w="2380" w:type="dxa"/>
            <w:vAlign w:val="bottom"/>
            <w:tcBorders>
              <w:top w:val="single" w:sz="8" w:color="auto"/>
            </w:tcBorders>
            <w:shd w:val="clear" w:color="auto" w:fill="CCECFF"/>
          </w:tcPr>
          <w:p>
            <w:pPr>
              <w:jc w:val="center"/>
              <w:spacing w:after="0"/>
              <w:rPr>
                <w:sz w:val="20"/>
                <w:szCs w:val="20"/>
                <w:color w:val="auto"/>
              </w:rPr>
            </w:pPr>
            <w:r>
              <w:rPr>
                <w:rFonts w:ascii="Arial" w:cs="Arial" w:eastAsia="Arial" w:hAnsi="Arial"/>
                <w:sz w:val="11"/>
                <w:szCs w:val="11"/>
                <w:color w:val="auto"/>
                <w:w w:val="87"/>
              </w:rPr>
              <w:t>Hotels, Restaurants and Leisure</w:t>
            </w:r>
          </w:p>
        </w:tc>
        <w:tc>
          <w:tcPr>
            <w:tcW w:w="140" w:type="dxa"/>
            <w:vAlign w:val="bottom"/>
            <w:shd w:val="clear" w:color="auto" w:fill="CCECFF"/>
          </w:tcPr>
          <w:p>
            <w:pPr>
              <w:spacing w:after="0"/>
              <w:rPr>
                <w:sz w:val="11"/>
                <w:szCs w:val="11"/>
                <w:color w:val="auto"/>
              </w:rPr>
            </w:pPr>
          </w:p>
        </w:tc>
        <w:tc>
          <w:tcPr>
            <w:tcW w:w="66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11.00</w:t>
            </w:r>
          </w:p>
        </w:tc>
        <w:tc>
          <w:tcPr>
            <w:tcW w:w="220" w:type="dxa"/>
            <w:vAlign w:val="bottom"/>
            <w:shd w:val="clear" w:color="auto" w:fill="CCECFF"/>
          </w:tcPr>
          <w:p>
            <w:pPr>
              <w:jc w:val="right"/>
              <w:ind w:right="66"/>
              <w:spacing w:after="0"/>
              <w:rPr>
                <w:sz w:val="20"/>
                <w:szCs w:val="20"/>
                <w:color w:val="auto"/>
              </w:rPr>
            </w:pPr>
            <w:r>
              <w:rPr>
                <w:rFonts w:ascii="Arial" w:cs="Arial" w:eastAsia="Arial" w:hAnsi="Arial"/>
                <w:sz w:val="11"/>
                <w:szCs w:val="11"/>
                <w:color w:val="auto"/>
                <w:w w:val="81"/>
              </w:rPr>
              <w:t>%</w:t>
            </w:r>
          </w:p>
        </w:tc>
        <w:tc>
          <w:tcPr>
            <w:tcW w:w="94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1M L+900</w:t>
            </w:r>
          </w:p>
        </w:tc>
        <w:tc>
          <w:tcPr>
            <w:tcW w:w="220" w:type="dxa"/>
            <w:vAlign w:val="bottom"/>
            <w:shd w:val="clear" w:color="auto" w:fill="CCECFF"/>
          </w:tcPr>
          <w:p>
            <w:pPr>
              <w:spacing w:after="0"/>
              <w:rPr>
                <w:sz w:val="11"/>
                <w:szCs w:val="11"/>
                <w:color w:val="auto"/>
              </w:rPr>
            </w:pPr>
          </w:p>
        </w:tc>
        <w:tc>
          <w:tcPr>
            <w:tcW w:w="7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4,389</w:t>
            </w:r>
          </w:p>
        </w:tc>
        <w:tc>
          <w:tcPr>
            <w:tcW w:w="240" w:type="dxa"/>
            <w:vAlign w:val="bottom"/>
            <w:shd w:val="clear" w:color="auto" w:fill="CCECFF"/>
          </w:tcPr>
          <w:p>
            <w:pPr>
              <w:spacing w:after="0"/>
              <w:rPr>
                <w:sz w:val="11"/>
                <w:szCs w:val="11"/>
                <w:color w:val="auto"/>
              </w:rPr>
            </w:pPr>
          </w:p>
        </w:tc>
        <w:tc>
          <w:tcPr>
            <w:tcW w:w="140" w:type="dxa"/>
            <w:vAlign w:val="bottom"/>
            <w:tcBorders>
              <w:top w:val="single" w:sz="8" w:color="auto"/>
            </w:tcBorders>
            <w:shd w:val="clear" w:color="auto" w:fill="CCECFF"/>
          </w:tcPr>
          <w:p>
            <w:pPr>
              <w:spacing w:after="0"/>
              <w:rPr>
                <w:sz w:val="11"/>
                <w:szCs w:val="11"/>
                <w:color w:val="auto"/>
              </w:rPr>
            </w:pPr>
          </w:p>
        </w:tc>
        <w:tc>
          <w:tcPr>
            <w:tcW w:w="56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4,506</w:t>
            </w:r>
          </w:p>
        </w:tc>
        <w:tc>
          <w:tcPr>
            <w:tcW w:w="220" w:type="dxa"/>
            <w:vAlign w:val="bottom"/>
            <w:shd w:val="clear" w:color="auto" w:fill="CCECFF"/>
          </w:tcPr>
          <w:p>
            <w:pPr>
              <w:spacing w:after="0"/>
              <w:rPr>
                <w:sz w:val="11"/>
                <w:szCs w:val="11"/>
                <w:color w:val="auto"/>
              </w:rPr>
            </w:pPr>
          </w:p>
        </w:tc>
        <w:tc>
          <w:tcPr>
            <w:tcW w:w="180" w:type="dxa"/>
            <w:vAlign w:val="bottom"/>
            <w:tcBorders>
              <w:top w:val="single" w:sz="8" w:color="auto"/>
            </w:tcBorders>
            <w:shd w:val="clear" w:color="auto" w:fill="CCECFF"/>
          </w:tcPr>
          <w:p>
            <w:pPr>
              <w:spacing w:after="0"/>
              <w:rPr>
                <w:sz w:val="11"/>
                <w:szCs w:val="11"/>
                <w:color w:val="auto"/>
              </w:rPr>
            </w:pPr>
          </w:p>
        </w:tc>
        <w:tc>
          <w:tcPr>
            <w:tcW w:w="5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4,765</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tcPr>
          <w:p>
            <w:pPr>
              <w:ind w:left="20"/>
              <w:spacing w:after="0"/>
              <w:rPr>
                <w:sz w:val="20"/>
                <w:szCs w:val="20"/>
                <w:color w:val="auto"/>
              </w:rPr>
            </w:pPr>
            <w:r>
              <w:rPr>
                <w:rFonts w:ascii="Arial" w:cs="Arial" w:eastAsia="Arial" w:hAnsi="Arial"/>
                <w:sz w:val="11"/>
                <w:szCs w:val="11"/>
                <w:color w:val="auto"/>
              </w:rPr>
              <w:t>STV Group Incorporated</w:t>
            </w:r>
          </w:p>
        </w:tc>
        <w:tc>
          <w:tcPr>
            <w:tcW w:w="1040" w:type="dxa"/>
            <w:vAlign w:val="bottom"/>
            <w:gridSpan w:val="3"/>
          </w:tcPr>
          <w:p>
            <w:pPr>
              <w:jc w:val="center"/>
              <w:ind w:left="266"/>
              <w:spacing w:after="0"/>
              <w:rPr>
                <w:sz w:val="20"/>
                <w:szCs w:val="20"/>
                <w:color w:val="auto"/>
              </w:rPr>
            </w:pPr>
            <w:r>
              <w:rPr>
                <w:rFonts w:ascii="Arial" w:cs="Arial" w:eastAsia="Arial" w:hAnsi="Arial"/>
                <w:sz w:val="11"/>
                <w:szCs w:val="11"/>
                <w:color w:val="auto"/>
                <w:w w:val="87"/>
              </w:rPr>
              <w:t>12/11/2026</w:t>
            </w:r>
          </w:p>
        </w:tc>
        <w:tc>
          <w:tcPr>
            <w:tcW w:w="260" w:type="dxa"/>
            <w:vAlign w:val="bottom"/>
          </w:tcPr>
          <w:p>
            <w:pPr>
              <w:spacing w:after="0"/>
              <w:rPr>
                <w:sz w:val="11"/>
                <w:szCs w:val="11"/>
                <w:color w:val="auto"/>
              </w:rPr>
            </w:pPr>
          </w:p>
        </w:tc>
        <w:tc>
          <w:tcPr>
            <w:tcW w:w="2380" w:type="dxa"/>
            <w:vAlign w:val="bottom"/>
          </w:tcPr>
          <w:p>
            <w:pPr>
              <w:jc w:val="center"/>
              <w:spacing w:after="0"/>
              <w:rPr>
                <w:sz w:val="20"/>
                <w:szCs w:val="20"/>
                <w:color w:val="auto"/>
              </w:rPr>
            </w:pPr>
            <w:r>
              <w:rPr>
                <w:rFonts w:ascii="Arial" w:cs="Arial" w:eastAsia="Arial" w:hAnsi="Arial"/>
                <w:sz w:val="11"/>
                <w:szCs w:val="11"/>
                <w:color w:val="auto"/>
                <w:w w:val="90"/>
              </w:rPr>
              <w:t>Construction and Building</w:t>
            </w:r>
          </w:p>
        </w:tc>
        <w:tc>
          <w:tcPr>
            <w:tcW w:w="1020" w:type="dxa"/>
            <w:vAlign w:val="bottom"/>
            <w:gridSpan w:val="3"/>
          </w:tcPr>
          <w:p>
            <w:pPr>
              <w:jc w:val="right"/>
              <w:ind w:right="66"/>
              <w:spacing w:after="0"/>
              <w:rPr>
                <w:sz w:val="20"/>
                <w:szCs w:val="20"/>
                <w:color w:val="auto"/>
              </w:rPr>
            </w:pPr>
            <w:r>
              <w:rPr>
                <w:rFonts w:ascii="Arial" w:cs="Arial" w:eastAsia="Arial" w:hAnsi="Arial"/>
                <w:sz w:val="11"/>
                <w:szCs w:val="11"/>
                <w:color w:val="auto"/>
              </w:rPr>
              <w:t>5.33 %</w:t>
            </w:r>
          </w:p>
        </w:tc>
        <w:tc>
          <w:tcPr>
            <w:tcW w:w="940" w:type="dxa"/>
            <w:vAlign w:val="bottom"/>
          </w:tcPr>
          <w:p>
            <w:pPr>
              <w:jc w:val="right"/>
              <w:spacing w:after="0"/>
              <w:rPr>
                <w:sz w:val="20"/>
                <w:szCs w:val="20"/>
                <w:color w:val="auto"/>
              </w:rPr>
            </w:pPr>
            <w:r>
              <w:rPr>
                <w:rFonts w:ascii="Arial" w:cs="Arial" w:eastAsia="Arial" w:hAnsi="Arial"/>
                <w:sz w:val="11"/>
                <w:szCs w:val="11"/>
                <w:color w:val="auto"/>
              </w:rPr>
              <w:t>1M L+525</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9,075</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9,004</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9,030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shd w:val="clear" w:color="auto" w:fill="CCECFF"/>
          </w:tcPr>
          <w:p>
            <w:pPr>
              <w:ind w:left="20"/>
              <w:spacing w:after="0"/>
              <w:rPr>
                <w:sz w:val="20"/>
                <w:szCs w:val="20"/>
                <w:color w:val="auto"/>
              </w:rPr>
            </w:pPr>
            <w:r>
              <w:rPr>
                <w:rFonts w:ascii="Arial" w:cs="Arial" w:eastAsia="Arial" w:hAnsi="Arial"/>
                <w:sz w:val="11"/>
                <w:szCs w:val="11"/>
                <w:color w:val="auto"/>
              </w:rPr>
              <w:t>TAC LifePort Purchaser, LLC</w:t>
            </w:r>
          </w:p>
        </w:tc>
        <w:tc>
          <w:tcPr>
            <w:tcW w:w="1040" w:type="dxa"/>
            <w:vAlign w:val="bottom"/>
            <w:gridSpan w:val="3"/>
            <w:shd w:val="clear" w:color="auto" w:fill="CCECFF"/>
          </w:tcPr>
          <w:p>
            <w:pPr>
              <w:jc w:val="center"/>
              <w:ind w:left="266"/>
              <w:spacing w:after="0"/>
              <w:rPr>
                <w:sz w:val="20"/>
                <w:szCs w:val="20"/>
                <w:color w:val="auto"/>
              </w:rPr>
            </w:pPr>
            <w:r>
              <w:rPr>
                <w:rFonts w:ascii="Arial" w:cs="Arial" w:eastAsia="Arial" w:hAnsi="Arial"/>
                <w:sz w:val="11"/>
                <w:szCs w:val="11"/>
                <w:color w:val="auto"/>
                <w:w w:val="87"/>
              </w:rPr>
              <w:t>03/01/2026</w:t>
            </w:r>
          </w:p>
        </w:tc>
        <w:tc>
          <w:tcPr>
            <w:tcW w:w="260" w:type="dxa"/>
            <w:vAlign w:val="bottom"/>
            <w:shd w:val="clear" w:color="auto" w:fill="CCECFF"/>
          </w:tcPr>
          <w:p>
            <w:pPr>
              <w:spacing w:after="0"/>
              <w:rPr>
                <w:sz w:val="11"/>
                <w:szCs w:val="11"/>
                <w:color w:val="auto"/>
              </w:rPr>
            </w:pPr>
          </w:p>
        </w:tc>
        <w:tc>
          <w:tcPr>
            <w:tcW w:w="23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Aerospace and Defense</w:t>
            </w:r>
          </w:p>
        </w:tc>
        <w:tc>
          <w:tcPr>
            <w:tcW w:w="1020" w:type="dxa"/>
            <w:vAlign w:val="bottom"/>
            <w:gridSpan w:val="3"/>
            <w:shd w:val="clear" w:color="auto" w:fill="CCECFF"/>
          </w:tcPr>
          <w:p>
            <w:pPr>
              <w:jc w:val="right"/>
              <w:ind w:right="66"/>
              <w:spacing w:after="0"/>
              <w:rPr>
                <w:sz w:val="20"/>
                <w:szCs w:val="20"/>
                <w:color w:val="auto"/>
              </w:rPr>
            </w:pPr>
            <w:r>
              <w:rPr>
                <w:rFonts w:ascii="Arial" w:cs="Arial" w:eastAsia="Arial" w:hAnsi="Arial"/>
                <w:sz w:val="11"/>
                <w:szCs w:val="11"/>
                <w:color w:val="auto"/>
              </w:rPr>
              <w:t>7.00 %</w:t>
            </w:r>
          </w:p>
        </w:tc>
        <w:tc>
          <w:tcPr>
            <w:tcW w:w="9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L+600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4,950</w:t>
            </w:r>
          </w:p>
        </w:tc>
        <w:tc>
          <w:tcPr>
            <w:tcW w:w="24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4,860</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4,948</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tcPr>
          <w:p>
            <w:pPr>
              <w:ind w:left="20"/>
              <w:spacing w:after="0"/>
              <w:rPr>
                <w:sz w:val="20"/>
                <w:szCs w:val="20"/>
                <w:color w:val="auto"/>
              </w:rPr>
            </w:pPr>
            <w:r>
              <w:rPr>
                <w:rFonts w:ascii="Arial" w:cs="Arial" w:eastAsia="Arial" w:hAnsi="Arial"/>
                <w:sz w:val="11"/>
                <w:szCs w:val="11"/>
                <w:color w:val="auto"/>
              </w:rPr>
              <w:t>TeleGuam Holdings, LLC</w:t>
            </w:r>
          </w:p>
        </w:tc>
        <w:tc>
          <w:tcPr>
            <w:tcW w:w="1040" w:type="dxa"/>
            <w:vAlign w:val="bottom"/>
            <w:gridSpan w:val="3"/>
          </w:tcPr>
          <w:p>
            <w:pPr>
              <w:jc w:val="center"/>
              <w:ind w:left="266"/>
              <w:spacing w:after="0"/>
              <w:rPr>
                <w:sz w:val="20"/>
                <w:szCs w:val="20"/>
                <w:color w:val="auto"/>
              </w:rPr>
            </w:pPr>
            <w:r>
              <w:rPr>
                <w:rFonts w:ascii="Arial" w:cs="Arial" w:eastAsia="Arial" w:hAnsi="Arial"/>
                <w:sz w:val="11"/>
                <w:szCs w:val="11"/>
                <w:color w:val="auto"/>
                <w:w w:val="87"/>
              </w:rPr>
              <w:t>11/20/2025</w:t>
            </w:r>
          </w:p>
        </w:tc>
        <w:tc>
          <w:tcPr>
            <w:tcW w:w="260" w:type="dxa"/>
            <w:vAlign w:val="bottom"/>
          </w:tcPr>
          <w:p>
            <w:pPr>
              <w:spacing w:after="0"/>
              <w:rPr>
                <w:sz w:val="11"/>
                <w:szCs w:val="11"/>
                <w:color w:val="auto"/>
              </w:rPr>
            </w:pPr>
          </w:p>
        </w:tc>
        <w:tc>
          <w:tcPr>
            <w:tcW w:w="2380" w:type="dxa"/>
            <w:vAlign w:val="bottom"/>
          </w:tcPr>
          <w:p>
            <w:pPr>
              <w:jc w:val="center"/>
              <w:spacing w:after="0"/>
              <w:rPr>
                <w:sz w:val="20"/>
                <w:szCs w:val="20"/>
                <w:color w:val="auto"/>
              </w:rPr>
            </w:pPr>
            <w:r>
              <w:rPr>
                <w:rFonts w:ascii="Arial" w:cs="Arial" w:eastAsia="Arial" w:hAnsi="Arial"/>
                <w:sz w:val="11"/>
                <w:szCs w:val="11"/>
                <w:color w:val="auto"/>
                <w:w w:val="89"/>
              </w:rPr>
              <w:t>Telecommunications</w:t>
            </w:r>
          </w:p>
        </w:tc>
        <w:tc>
          <w:tcPr>
            <w:tcW w:w="1020" w:type="dxa"/>
            <w:vAlign w:val="bottom"/>
            <w:gridSpan w:val="3"/>
          </w:tcPr>
          <w:p>
            <w:pPr>
              <w:jc w:val="right"/>
              <w:ind w:right="66"/>
              <w:spacing w:after="0"/>
              <w:rPr>
                <w:sz w:val="20"/>
                <w:szCs w:val="20"/>
                <w:color w:val="auto"/>
              </w:rPr>
            </w:pPr>
            <w:r>
              <w:rPr>
                <w:rFonts w:ascii="Arial" w:cs="Arial" w:eastAsia="Arial" w:hAnsi="Arial"/>
                <w:sz w:val="11"/>
                <w:szCs w:val="11"/>
                <w:color w:val="auto"/>
              </w:rPr>
              <w:t>5.50 %</w:t>
            </w:r>
          </w:p>
        </w:tc>
        <w:tc>
          <w:tcPr>
            <w:tcW w:w="940" w:type="dxa"/>
            <w:vAlign w:val="bottom"/>
          </w:tcPr>
          <w:p>
            <w:pPr>
              <w:jc w:val="right"/>
              <w:spacing w:after="0"/>
              <w:rPr>
                <w:sz w:val="20"/>
                <w:szCs w:val="20"/>
                <w:color w:val="auto"/>
              </w:rPr>
            </w:pPr>
            <w:r>
              <w:rPr>
                <w:rFonts w:ascii="Arial" w:cs="Arial" w:eastAsia="Arial" w:hAnsi="Arial"/>
                <w:sz w:val="11"/>
                <w:szCs w:val="11"/>
                <w:color w:val="auto"/>
              </w:rPr>
              <w:t>1M L+450</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10,337</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10,313</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10,234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shd w:val="clear" w:color="auto" w:fill="CCECFF"/>
          </w:tcPr>
          <w:p>
            <w:pPr>
              <w:ind w:left="20"/>
              <w:spacing w:after="0"/>
              <w:rPr>
                <w:sz w:val="20"/>
                <w:szCs w:val="20"/>
                <w:color w:val="auto"/>
              </w:rPr>
            </w:pPr>
            <w:r>
              <w:rPr>
                <w:rFonts w:ascii="Arial" w:cs="Arial" w:eastAsia="Arial" w:hAnsi="Arial"/>
                <w:sz w:val="11"/>
                <w:szCs w:val="11"/>
                <w:color w:val="auto"/>
              </w:rPr>
              <w:t>Teneo Holdings LLC</w:t>
            </w:r>
          </w:p>
        </w:tc>
        <w:tc>
          <w:tcPr>
            <w:tcW w:w="1040" w:type="dxa"/>
            <w:vAlign w:val="bottom"/>
            <w:gridSpan w:val="3"/>
            <w:shd w:val="clear" w:color="auto" w:fill="CCECFF"/>
          </w:tcPr>
          <w:p>
            <w:pPr>
              <w:jc w:val="center"/>
              <w:ind w:left="266"/>
              <w:spacing w:after="0"/>
              <w:rPr>
                <w:sz w:val="20"/>
                <w:szCs w:val="20"/>
                <w:color w:val="auto"/>
              </w:rPr>
            </w:pPr>
            <w:r>
              <w:rPr>
                <w:rFonts w:ascii="Arial" w:cs="Arial" w:eastAsia="Arial" w:hAnsi="Arial"/>
                <w:sz w:val="11"/>
                <w:szCs w:val="11"/>
                <w:color w:val="auto"/>
                <w:w w:val="87"/>
              </w:rPr>
              <w:t>07/18/2025</w:t>
            </w:r>
          </w:p>
        </w:tc>
        <w:tc>
          <w:tcPr>
            <w:tcW w:w="260" w:type="dxa"/>
            <w:vAlign w:val="bottom"/>
            <w:shd w:val="clear" w:color="auto" w:fill="CCECFF"/>
          </w:tcPr>
          <w:p>
            <w:pPr>
              <w:spacing w:after="0"/>
              <w:rPr>
                <w:sz w:val="11"/>
                <w:szCs w:val="11"/>
                <w:color w:val="auto"/>
              </w:rPr>
            </w:pPr>
          </w:p>
        </w:tc>
        <w:tc>
          <w:tcPr>
            <w:tcW w:w="23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Business Services</w:t>
            </w:r>
          </w:p>
        </w:tc>
        <w:tc>
          <w:tcPr>
            <w:tcW w:w="1020" w:type="dxa"/>
            <w:vAlign w:val="bottom"/>
            <w:gridSpan w:val="3"/>
            <w:shd w:val="clear" w:color="auto" w:fill="CCECFF"/>
          </w:tcPr>
          <w:p>
            <w:pPr>
              <w:jc w:val="right"/>
              <w:ind w:right="66"/>
              <w:spacing w:after="0"/>
              <w:rPr>
                <w:sz w:val="20"/>
                <w:szCs w:val="20"/>
                <w:color w:val="auto"/>
              </w:rPr>
            </w:pPr>
            <w:r>
              <w:rPr>
                <w:rFonts w:ascii="Arial" w:cs="Arial" w:eastAsia="Arial" w:hAnsi="Arial"/>
                <w:sz w:val="11"/>
                <w:szCs w:val="11"/>
                <w:color w:val="auto"/>
              </w:rPr>
              <w:t>6.25 %</w:t>
            </w:r>
          </w:p>
        </w:tc>
        <w:tc>
          <w:tcPr>
            <w:tcW w:w="9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L+525</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2,309</w:t>
            </w:r>
          </w:p>
        </w:tc>
        <w:tc>
          <w:tcPr>
            <w:tcW w:w="24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2,306</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2,297</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tcPr>
          <w:p>
            <w:pPr>
              <w:ind w:left="20"/>
              <w:spacing w:after="0"/>
              <w:rPr>
                <w:sz w:val="20"/>
                <w:szCs w:val="20"/>
                <w:color w:val="auto"/>
              </w:rPr>
            </w:pPr>
            <w:r>
              <w:rPr>
                <w:rFonts w:ascii="Arial" w:cs="Arial" w:eastAsia="Arial" w:hAnsi="Arial"/>
                <w:sz w:val="11"/>
                <w:szCs w:val="11"/>
                <w:color w:val="auto"/>
              </w:rPr>
              <w:t>The Aegis Technologies Group, LLC</w:t>
            </w:r>
          </w:p>
        </w:tc>
        <w:tc>
          <w:tcPr>
            <w:tcW w:w="1040" w:type="dxa"/>
            <w:vAlign w:val="bottom"/>
            <w:gridSpan w:val="3"/>
          </w:tcPr>
          <w:p>
            <w:pPr>
              <w:jc w:val="center"/>
              <w:ind w:left="266"/>
              <w:spacing w:after="0"/>
              <w:rPr>
                <w:sz w:val="20"/>
                <w:szCs w:val="20"/>
                <w:color w:val="auto"/>
              </w:rPr>
            </w:pPr>
            <w:r>
              <w:rPr>
                <w:rFonts w:ascii="Arial" w:cs="Arial" w:eastAsia="Arial" w:hAnsi="Arial"/>
                <w:sz w:val="11"/>
                <w:szCs w:val="11"/>
                <w:color w:val="auto"/>
                <w:w w:val="87"/>
              </w:rPr>
              <w:t>10/31/2025</w:t>
            </w:r>
          </w:p>
        </w:tc>
        <w:tc>
          <w:tcPr>
            <w:tcW w:w="260" w:type="dxa"/>
            <w:vAlign w:val="bottom"/>
          </w:tcPr>
          <w:p>
            <w:pPr>
              <w:spacing w:after="0"/>
              <w:rPr>
                <w:sz w:val="11"/>
                <w:szCs w:val="11"/>
                <w:color w:val="auto"/>
              </w:rPr>
            </w:pPr>
          </w:p>
        </w:tc>
        <w:tc>
          <w:tcPr>
            <w:tcW w:w="2380" w:type="dxa"/>
            <w:vAlign w:val="bottom"/>
          </w:tcPr>
          <w:p>
            <w:pPr>
              <w:jc w:val="center"/>
              <w:spacing w:after="0"/>
              <w:rPr>
                <w:sz w:val="20"/>
                <w:szCs w:val="20"/>
                <w:color w:val="auto"/>
              </w:rPr>
            </w:pPr>
            <w:r>
              <w:rPr>
                <w:rFonts w:ascii="Arial" w:cs="Arial" w:eastAsia="Arial" w:hAnsi="Arial"/>
                <w:sz w:val="11"/>
                <w:szCs w:val="11"/>
                <w:color w:val="auto"/>
                <w:w w:val="86"/>
              </w:rPr>
              <w:t>Aerospace and Defense</w:t>
            </w:r>
          </w:p>
        </w:tc>
        <w:tc>
          <w:tcPr>
            <w:tcW w:w="1020" w:type="dxa"/>
            <w:vAlign w:val="bottom"/>
            <w:gridSpan w:val="3"/>
          </w:tcPr>
          <w:p>
            <w:pPr>
              <w:jc w:val="right"/>
              <w:ind w:right="66"/>
              <w:spacing w:after="0"/>
              <w:rPr>
                <w:sz w:val="20"/>
                <w:szCs w:val="20"/>
                <w:color w:val="auto"/>
              </w:rPr>
            </w:pPr>
            <w:r>
              <w:rPr>
                <w:rFonts w:ascii="Arial" w:cs="Arial" w:eastAsia="Arial" w:hAnsi="Arial"/>
                <w:sz w:val="11"/>
                <w:szCs w:val="11"/>
                <w:color w:val="auto"/>
              </w:rPr>
              <w:t>6.77 %</w:t>
            </w:r>
          </w:p>
        </w:tc>
        <w:tc>
          <w:tcPr>
            <w:tcW w:w="940" w:type="dxa"/>
            <w:vAlign w:val="bottom"/>
          </w:tcPr>
          <w:p>
            <w:pPr>
              <w:jc w:val="right"/>
              <w:spacing w:after="0"/>
              <w:rPr>
                <w:sz w:val="20"/>
                <w:szCs w:val="20"/>
                <w:color w:val="auto"/>
              </w:rPr>
            </w:pPr>
            <w:r>
              <w:rPr>
                <w:rFonts w:ascii="Arial" w:cs="Arial" w:eastAsia="Arial" w:hAnsi="Arial"/>
                <w:sz w:val="11"/>
                <w:szCs w:val="11"/>
                <w:color w:val="auto"/>
              </w:rPr>
              <w:t>3M L+550</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5,713</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5,634</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5,656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shd w:val="clear" w:color="auto" w:fill="CCECFF"/>
          </w:tcPr>
          <w:p>
            <w:pPr>
              <w:ind w:left="20"/>
              <w:spacing w:after="0"/>
              <w:rPr>
                <w:sz w:val="20"/>
                <w:szCs w:val="20"/>
                <w:color w:val="auto"/>
              </w:rPr>
            </w:pPr>
            <w:r>
              <w:rPr>
                <w:rFonts w:ascii="Arial" w:cs="Arial" w:eastAsia="Arial" w:hAnsi="Arial"/>
                <w:sz w:val="11"/>
                <w:szCs w:val="11"/>
                <w:color w:val="auto"/>
              </w:rPr>
              <w:t>The Bluebird Group LLC</w:t>
            </w:r>
          </w:p>
        </w:tc>
        <w:tc>
          <w:tcPr>
            <w:tcW w:w="1040" w:type="dxa"/>
            <w:vAlign w:val="bottom"/>
            <w:gridSpan w:val="3"/>
            <w:shd w:val="clear" w:color="auto" w:fill="CCECFF"/>
          </w:tcPr>
          <w:p>
            <w:pPr>
              <w:jc w:val="center"/>
              <w:ind w:left="266"/>
              <w:spacing w:after="0"/>
              <w:rPr>
                <w:sz w:val="20"/>
                <w:szCs w:val="20"/>
                <w:color w:val="auto"/>
              </w:rPr>
            </w:pPr>
            <w:r>
              <w:rPr>
                <w:rFonts w:ascii="Arial" w:cs="Arial" w:eastAsia="Arial" w:hAnsi="Arial"/>
                <w:sz w:val="11"/>
                <w:szCs w:val="11"/>
                <w:color w:val="auto"/>
                <w:w w:val="87"/>
              </w:rPr>
              <w:t>07/27/2026</w:t>
            </w:r>
          </w:p>
        </w:tc>
        <w:tc>
          <w:tcPr>
            <w:tcW w:w="260" w:type="dxa"/>
            <w:vAlign w:val="bottom"/>
            <w:shd w:val="clear" w:color="auto" w:fill="CCECFF"/>
          </w:tcPr>
          <w:p>
            <w:pPr>
              <w:spacing w:after="0"/>
              <w:rPr>
                <w:sz w:val="11"/>
                <w:szCs w:val="11"/>
                <w:color w:val="auto"/>
              </w:rPr>
            </w:pPr>
          </w:p>
        </w:tc>
        <w:tc>
          <w:tcPr>
            <w:tcW w:w="23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Professional Services</w:t>
            </w:r>
          </w:p>
        </w:tc>
        <w:tc>
          <w:tcPr>
            <w:tcW w:w="1020" w:type="dxa"/>
            <w:vAlign w:val="bottom"/>
            <w:gridSpan w:val="3"/>
            <w:shd w:val="clear" w:color="auto" w:fill="CCECFF"/>
          </w:tcPr>
          <w:p>
            <w:pPr>
              <w:jc w:val="right"/>
              <w:ind w:right="66"/>
              <w:spacing w:after="0"/>
              <w:rPr>
                <w:sz w:val="20"/>
                <w:szCs w:val="20"/>
                <w:color w:val="auto"/>
              </w:rPr>
            </w:pPr>
            <w:r>
              <w:rPr>
                <w:rFonts w:ascii="Arial" w:cs="Arial" w:eastAsia="Arial" w:hAnsi="Arial"/>
                <w:sz w:val="11"/>
                <w:szCs w:val="11"/>
                <w:color w:val="auto"/>
              </w:rPr>
              <w:t>8.00 %</w:t>
            </w:r>
          </w:p>
        </w:tc>
        <w:tc>
          <w:tcPr>
            <w:tcW w:w="9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L+700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1,744</w:t>
            </w:r>
          </w:p>
        </w:tc>
        <w:tc>
          <w:tcPr>
            <w:tcW w:w="24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1,710</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1,733</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tcPr>
          <w:p>
            <w:pPr>
              <w:ind w:left="20"/>
              <w:spacing w:after="0"/>
              <w:rPr>
                <w:sz w:val="20"/>
                <w:szCs w:val="20"/>
                <w:color w:val="auto"/>
              </w:rPr>
            </w:pPr>
            <w:r>
              <w:rPr>
                <w:rFonts w:ascii="Arial" w:cs="Arial" w:eastAsia="Arial" w:hAnsi="Arial"/>
                <w:sz w:val="11"/>
                <w:szCs w:val="11"/>
                <w:color w:val="auto"/>
              </w:rPr>
              <w:t>The Infosoft Group, LLC</w:t>
            </w:r>
          </w:p>
        </w:tc>
        <w:tc>
          <w:tcPr>
            <w:tcW w:w="1040" w:type="dxa"/>
            <w:vAlign w:val="bottom"/>
            <w:gridSpan w:val="3"/>
          </w:tcPr>
          <w:p>
            <w:pPr>
              <w:jc w:val="center"/>
              <w:ind w:left="266"/>
              <w:spacing w:after="0"/>
              <w:rPr>
                <w:sz w:val="20"/>
                <w:szCs w:val="20"/>
                <w:color w:val="auto"/>
              </w:rPr>
            </w:pPr>
            <w:r>
              <w:rPr>
                <w:rFonts w:ascii="Arial" w:cs="Arial" w:eastAsia="Arial" w:hAnsi="Arial"/>
                <w:sz w:val="11"/>
                <w:szCs w:val="11"/>
                <w:color w:val="auto"/>
                <w:w w:val="87"/>
              </w:rPr>
              <w:t>09/16/2024</w:t>
            </w:r>
          </w:p>
        </w:tc>
        <w:tc>
          <w:tcPr>
            <w:tcW w:w="260" w:type="dxa"/>
            <w:vAlign w:val="bottom"/>
          </w:tcPr>
          <w:p>
            <w:pPr>
              <w:spacing w:after="0"/>
              <w:rPr>
                <w:sz w:val="11"/>
                <w:szCs w:val="11"/>
                <w:color w:val="auto"/>
              </w:rPr>
            </w:pPr>
          </w:p>
        </w:tc>
        <w:tc>
          <w:tcPr>
            <w:tcW w:w="2380" w:type="dxa"/>
            <w:vAlign w:val="bottom"/>
          </w:tcPr>
          <w:p>
            <w:pPr>
              <w:jc w:val="center"/>
              <w:spacing w:after="0"/>
              <w:rPr>
                <w:sz w:val="20"/>
                <w:szCs w:val="20"/>
                <w:color w:val="auto"/>
              </w:rPr>
            </w:pPr>
            <w:r>
              <w:rPr>
                <w:rFonts w:ascii="Arial" w:cs="Arial" w:eastAsia="Arial" w:hAnsi="Arial"/>
                <w:sz w:val="11"/>
                <w:szCs w:val="11"/>
                <w:color w:val="auto"/>
                <w:w w:val="89"/>
              </w:rPr>
              <w:t>Media: Broadcasting and Subscription</w:t>
            </w:r>
          </w:p>
        </w:tc>
        <w:tc>
          <w:tcPr>
            <w:tcW w:w="1020" w:type="dxa"/>
            <w:vAlign w:val="bottom"/>
            <w:gridSpan w:val="3"/>
          </w:tcPr>
          <w:p>
            <w:pPr>
              <w:jc w:val="right"/>
              <w:ind w:right="66"/>
              <w:spacing w:after="0"/>
              <w:rPr>
                <w:sz w:val="20"/>
                <w:szCs w:val="20"/>
                <w:color w:val="auto"/>
              </w:rPr>
            </w:pPr>
            <w:r>
              <w:rPr>
                <w:rFonts w:ascii="Arial" w:cs="Arial" w:eastAsia="Arial" w:hAnsi="Arial"/>
                <w:sz w:val="11"/>
                <w:szCs w:val="11"/>
                <w:color w:val="auto"/>
              </w:rPr>
              <w:t>6.75 %</w:t>
            </w:r>
          </w:p>
        </w:tc>
        <w:tc>
          <w:tcPr>
            <w:tcW w:w="940" w:type="dxa"/>
            <w:vAlign w:val="bottom"/>
          </w:tcPr>
          <w:p>
            <w:pPr>
              <w:jc w:val="right"/>
              <w:spacing w:after="0"/>
              <w:rPr>
                <w:sz w:val="20"/>
                <w:szCs w:val="20"/>
                <w:color w:val="auto"/>
              </w:rPr>
            </w:pPr>
            <w:r>
              <w:rPr>
                <w:rFonts w:ascii="Arial" w:cs="Arial" w:eastAsia="Arial" w:hAnsi="Arial"/>
                <w:sz w:val="11"/>
                <w:szCs w:val="11"/>
                <w:color w:val="auto"/>
              </w:rPr>
              <w:t>6M L+575</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13,383</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13,376</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13,383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shd w:val="clear" w:color="auto" w:fill="CCECFF"/>
          </w:tcPr>
          <w:p>
            <w:pPr>
              <w:ind w:left="20"/>
              <w:spacing w:after="0"/>
              <w:rPr>
                <w:sz w:val="20"/>
                <w:szCs w:val="20"/>
                <w:color w:val="auto"/>
              </w:rPr>
            </w:pPr>
            <w:r>
              <w:rPr>
                <w:rFonts w:ascii="Arial" w:cs="Arial" w:eastAsia="Arial" w:hAnsi="Arial"/>
                <w:sz w:val="11"/>
                <w:szCs w:val="11"/>
                <w:color w:val="auto"/>
              </w:rPr>
              <w:t>The Vertex Companies, LLC</w:t>
            </w:r>
          </w:p>
        </w:tc>
        <w:tc>
          <w:tcPr>
            <w:tcW w:w="1040" w:type="dxa"/>
            <w:vAlign w:val="bottom"/>
            <w:gridSpan w:val="3"/>
            <w:shd w:val="clear" w:color="auto" w:fill="CCECFF"/>
          </w:tcPr>
          <w:p>
            <w:pPr>
              <w:jc w:val="center"/>
              <w:ind w:left="266"/>
              <w:spacing w:after="0"/>
              <w:rPr>
                <w:sz w:val="20"/>
                <w:szCs w:val="20"/>
                <w:color w:val="auto"/>
              </w:rPr>
            </w:pPr>
            <w:r>
              <w:rPr>
                <w:rFonts w:ascii="Arial" w:cs="Arial" w:eastAsia="Arial" w:hAnsi="Arial"/>
                <w:sz w:val="11"/>
                <w:szCs w:val="11"/>
                <w:color w:val="auto"/>
                <w:w w:val="87"/>
              </w:rPr>
              <w:t>08/30/2027</w:t>
            </w:r>
          </w:p>
        </w:tc>
        <w:tc>
          <w:tcPr>
            <w:tcW w:w="260" w:type="dxa"/>
            <w:vAlign w:val="bottom"/>
            <w:shd w:val="clear" w:color="auto" w:fill="CCECFF"/>
          </w:tcPr>
          <w:p>
            <w:pPr>
              <w:spacing w:after="0"/>
              <w:rPr>
                <w:sz w:val="11"/>
                <w:szCs w:val="11"/>
                <w:color w:val="auto"/>
              </w:rPr>
            </w:pPr>
          </w:p>
        </w:tc>
        <w:tc>
          <w:tcPr>
            <w:tcW w:w="23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Construction and Engineering</w:t>
            </w:r>
          </w:p>
        </w:tc>
        <w:tc>
          <w:tcPr>
            <w:tcW w:w="1020" w:type="dxa"/>
            <w:vAlign w:val="bottom"/>
            <w:gridSpan w:val="3"/>
            <w:shd w:val="clear" w:color="auto" w:fill="CCECFF"/>
          </w:tcPr>
          <w:p>
            <w:pPr>
              <w:jc w:val="right"/>
              <w:ind w:right="66"/>
              <w:spacing w:after="0"/>
              <w:rPr>
                <w:sz w:val="20"/>
                <w:szCs w:val="20"/>
                <w:color w:val="auto"/>
              </w:rPr>
            </w:pPr>
            <w:r>
              <w:rPr>
                <w:rFonts w:ascii="Arial" w:cs="Arial" w:eastAsia="Arial" w:hAnsi="Arial"/>
                <w:sz w:val="11"/>
                <w:szCs w:val="11"/>
                <w:color w:val="auto"/>
              </w:rPr>
              <w:t>6.50 %</w:t>
            </w:r>
          </w:p>
        </w:tc>
        <w:tc>
          <w:tcPr>
            <w:tcW w:w="9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6M L+550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5,634</w:t>
            </w:r>
          </w:p>
        </w:tc>
        <w:tc>
          <w:tcPr>
            <w:tcW w:w="24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5,523</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5,529</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tcPr>
          <w:p>
            <w:pPr>
              <w:ind w:left="20"/>
              <w:spacing w:after="0"/>
              <w:rPr>
                <w:sz w:val="20"/>
                <w:szCs w:val="20"/>
                <w:color w:val="auto"/>
              </w:rPr>
            </w:pPr>
            <w:r>
              <w:rPr>
                <w:rFonts w:ascii="Arial" w:cs="Arial" w:eastAsia="Arial" w:hAnsi="Arial"/>
                <w:sz w:val="11"/>
                <w:szCs w:val="11"/>
                <w:color w:val="auto"/>
              </w:rPr>
              <w:t>TPC Canada Parent, Inc. and TPC US Parent, LLC</w:t>
            </w:r>
          </w:p>
        </w:tc>
        <w:tc>
          <w:tcPr>
            <w:tcW w:w="1040" w:type="dxa"/>
            <w:vAlign w:val="bottom"/>
            <w:gridSpan w:val="3"/>
          </w:tcPr>
          <w:p>
            <w:pPr>
              <w:jc w:val="center"/>
              <w:ind w:left="266"/>
              <w:spacing w:after="0"/>
              <w:rPr>
                <w:sz w:val="20"/>
                <w:szCs w:val="20"/>
                <w:color w:val="auto"/>
              </w:rPr>
            </w:pPr>
            <w:r>
              <w:rPr>
                <w:rFonts w:ascii="Arial" w:cs="Arial" w:eastAsia="Arial" w:hAnsi="Arial"/>
                <w:sz w:val="11"/>
                <w:szCs w:val="11"/>
                <w:color w:val="auto"/>
                <w:w w:val="87"/>
              </w:rPr>
              <w:t>11/24/2025</w:t>
            </w:r>
          </w:p>
        </w:tc>
        <w:tc>
          <w:tcPr>
            <w:tcW w:w="260" w:type="dxa"/>
            <w:vAlign w:val="bottom"/>
          </w:tcPr>
          <w:p>
            <w:pPr>
              <w:spacing w:after="0"/>
              <w:rPr>
                <w:sz w:val="11"/>
                <w:szCs w:val="11"/>
                <w:color w:val="auto"/>
              </w:rPr>
            </w:pPr>
          </w:p>
        </w:tc>
        <w:tc>
          <w:tcPr>
            <w:tcW w:w="2380" w:type="dxa"/>
            <w:vAlign w:val="bottom"/>
          </w:tcPr>
          <w:p>
            <w:pPr>
              <w:jc w:val="center"/>
              <w:spacing w:after="0"/>
              <w:rPr>
                <w:sz w:val="20"/>
                <w:szCs w:val="20"/>
                <w:color w:val="auto"/>
              </w:rPr>
            </w:pPr>
            <w:r>
              <w:rPr>
                <w:rFonts w:ascii="Arial" w:cs="Arial" w:eastAsia="Arial" w:hAnsi="Arial"/>
                <w:sz w:val="11"/>
                <w:szCs w:val="11"/>
                <w:color w:val="auto"/>
                <w:w w:val="89"/>
              </w:rPr>
              <w:t>Consumer Goods: Non-Durable</w:t>
            </w:r>
          </w:p>
        </w:tc>
        <w:tc>
          <w:tcPr>
            <w:tcW w:w="1020" w:type="dxa"/>
            <w:vAlign w:val="bottom"/>
            <w:gridSpan w:val="3"/>
          </w:tcPr>
          <w:p>
            <w:pPr>
              <w:jc w:val="right"/>
              <w:ind w:right="66"/>
              <w:spacing w:after="0"/>
              <w:rPr>
                <w:sz w:val="20"/>
                <w:szCs w:val="20"/>
                <w:color w:val="auto"/>
              </w:rPr>
            </w:pPr>
            <w:r>
              <w:rPr>
                <w:rFonts w:ascii="Arial" w:cs="Arial" w:eastAsia="Arial" w:hAnsi="Arial"/>
                <w:sz w:val="11"/>
                <w:szCs w:val="11"/>
                <w:color w:val="auto"/>
              </w:rPr>
              <w:t>6.25 %</w:t>
            </w:r>
          </w:p>
        </w:tc>
        <w:tc>
          <w:tcPr>
            <w:tcW w:w="940" w:type="dxa"/>
            <w:vAlign w:val="bottom"/>
          </w:tcPr>
          <w:p>
            <w:pPr>
              <w:jc w:val="right"/>
              <w:spacing w:after="0"/>
              <w:rPr>
                <w:sz w:val="20"/>
                <w:szCs w:val="20"/>
                <w:color w:val="auto"/>
              </w:rPr>
            </w:pPr>
            <w:r>
              <w:rPr>
                <w:rFonts w:ascii="Arial" w:cs="Arial" w:eastAsia="Arial" w:hAnsi="Arial"/>
                <w:sz w:val="11"/>
                <w:szCs w:val="11"/>
                <w:color w:val="auto"/>
              </w:rPr>
              <w:t>3M L+525</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8,834</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8,655</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8,569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shd w:val="clear" w:color="auto" w:fill="CCECFF"/>
          </w:tcPr>
          <w:p>
            <w:pPr>
              <w:ind w:left="20"/>
              <w:spacing w:after="0"/>
              <w:rPr>
                <w:sz w:val="20"/>
                <w:szCs w:val="20"/>
                <w:color w:val="auto"/>
              </w:rPr>
            </w:pPr>
            <w:r>
              <w:rPr>
                <w:rFonts w:ascii="Arial" w:cs="Arial" w:eastAsia="Arial" w:hAnsi="Arial"/>
                <w:sz w:val="11"/>
                <w:szCs w:val="11"/>
                <w:color w:val="auto"/>
              </w:rPr>
              <w:t>TVC Enterprises, LLC</w:t>
            </w:r>
          </w:p>
        </w:tc>
        <w:tc>
          <w:tcPr>
            <w:tcW w:w="1040" w:type="dxa"/>
            <w:vAlign w:val="bottom"/>
            <w:gridSpan w:val="3"/>
            <w:shd w:val="clear" w:color="auto" w:fill="CCECFF"/>
          </w:tcPr>
          <w:p>
            <w:pPr>
              <w:jc w:val="center"/>
              <w:ind w:left="266"/>
              <w:spacing w:after="0"/>
              <w:rPr>
                <w:sz w:val="20"/>
                <w:szCs w:val="20"/>
                <w:color w:val="auto"/>
              </w:rPr>
            </w:pPr>
            <w:r>
              <w:rPr>
                <w:rFonts w:ascii="Arial" w:cs="Arial" w:eastAsia="Arial" w:hAnsi="Arial"/>
                <w:sz w:val="11"/>
                <w:szCs w:val="11"/>
                <w:color w:val="auto"/>
                <w:w w:val="87"/>
              </w:rPr>
              <w:t>03/26/2026</w:t>
            </w:r>
          </w:p>
        </w:tc>
        <w:tc>
          <w:tcPr>
            <w:tcW w:w="260" w:type="dxa"/>
            <w:vAlign w:val="bottom"/>
            <w:shd w:val="clear" w:color="auto" w:fill="CCECFF"/>
          </w:tcPr>
          <w:p>
            <w:pPr>
              <w:spacing w:after="0"/>
              <w:rPr>
                <w:sz w:val="11"/>
                <w:szCs w:val="11"/>
                <w:color w:val="auto"/>
              </w:rPr>
            </w:pPr>
          </w:p>
        </w:tc>
        <w:tc>
          <w:tcPr>
            <w:tcW w:w="23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Diversified Consumer Services</w:t>
            </w:r>
          </w:p>
        </w:tc>
        <w:tc>
          <w:tcPr>
            <w:tcW w:w="1020" w:type="dxa"/>
            <w:vAlign w:val="bottom"/>
            <w:gridSpan w:val="3"/>
            <w:shd w:val="clear" w:color="auto" w:fill="CCECFF"/>
          </w:tcPr>
          <w:p>
            <w:pPr>
              <w:jc w:val="right"/>
              <w:ind w:right="66"/>
              <w:spacing w:after="0"/>
              <w:rPr>
                <w:sz w:val="20"/>
                <w:szCs w:val="20"/>
                <w:color w:val="auto"/>
              </w:rPr>
            </w:pPr>
            <w:r>
              <w:rPr>
                <w:rFonts w:ascii="Arial" w:cs="Arial" w:eastAsia="Arial" w:hAnsi="Arial"/>
                <w:sz w:val="11"/>
                <w:szCs w:val="11"/>
                <w:color w:val="auto"/>
              </w:rPr>
              <w:t>6.75 %</w:t>
            </w:r>
          </w:p>
        </w:tc>
        <w:tc>
          <w:tcPr>
            <w:tcW w:w="9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L+575</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8,558</w:t>
            </w:r>
          </w:p>
        </w:tc>
        <w:tc>
          <w:tcPr>
            <w:tcW w:w="24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8,593</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8,558</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tcPr>
          <w:p>
            <w:pPr>
              <w:ind w:left="20"/>
              <w:spacing w:after="0"/>
              <w:rPr>
                <w:sz w:val="20"/>
                <w:szCs w:val="20"/>
                <w:color w:val="auto"/>
              </w:rPr>
            </w:pPr>
            <w:r>
              <w:rPr>
                <w:rFonts w:ascii="Arial" w:cs="Arial" w:eastAsia="Arial" w:hAnsi="Arial"/>
                <w:sz w:val="11"/>
                <w:szCs w:val="11"/>
                <w:color w:val="auto"/>
              </w:rPr>
              <w:t>TWS Acquisition Corporation</w:t>
            </w:r>
          </w:p>
        </w:tc>
        <w:tc>
          <w:tcPr>
            <w:tcW w:w="1040" w:type="dxa"/>
            <w:vAlign w:val="bottom"/>
            <w:gridSpan w:val="3"/>
          </w:tcPr>
          <w:p>
            <w:pPr>
              <w:jc w:val="center"/>
              <w:ind w:left="266"/>
              <w:spacing w:after="0"/>
              <w:rPr>
                <w:sz w:val="20"/>
                <w:szCs w:val="20"/>
                <w:color w:val="auto"/>
              </w:rPr>
            </w:pPr>
            <w:r>
              <w:rPr>
                <w:rFonts w:ascii="Arial" w:cs="Arial" w:eastAsia="Arial" w:hAnsi="Arial"/>
                <w:sz w:val="11"/>
                <w:szCs w:val="11"/>
                <w:color w:val="auto"/>
                <w:w w:val="87"/>
              </w:rPr>
              <w:t>06/16/2025</w:t>
            </w:r>
          </w:p>
        </w:tc>
        <w:tc>
          <w:tcPr>
            <w:tcW w:w="260" w:type="dxa"/>
            <w:vAlign w:val="bottom"/>
          </w:tcPr>
          <w:p>
            <w:pPr>
              <w:spacing w:after="0"/>
              <w:rPr>
                <w:sz w:val="11"/>
                <w:szCs w:val="11"/>
                <w:color w:val="auto"/>
              </w:rPr>
            </w:pPr>
          </w:p>
        </w:tc>
        <w:tc>
          <w:tcPr>
            <w:tcW w:w="2380" w:type="dxa"/>
            <w:vAlign w:val="bottom"/>
          </w:tcPr>
          <w:p>
            <w:pPr>
              <w:jc w:val="center"/>
              <w:spacing w:after="0"/>
              <w:rPr>
                <w:sz w:val="20"/>
                <w:szCs w:val="20"/>
                <w:color w:val="auto"/>
              </w:rPr>
            </w:pPr>
            <w:r>
              <w:rPr>
                <w:rFonts w:ascii="Arial" w:cs="Arial" w:eastAsia="Arial" w:hAnsi="Arial"/>
                <w:sz w:val="11"/>
                <w:szCs w:val="11"/>
                <w:color w:val="auto"/>
                <w:w w:val="89"/>
              </w:rPr>
              <w:t>Diversified Consumer Services</w:t>
            </w:r>
          </w:p>
        </w:tc>
        <w:tc>
          <w:tcPr>
            <w:tcW w:w="1020" w:type="dxa"/>
            <w:vAlign w:val="bottom"/>
            <w:gridSpan w:val="3"/>
          </w:tcPr>
          <w:p>
            <w:pPr>
              <w:jc w:val="right"/>
              <w:ind w:right="66"/>
              <w:spacing w:after="0"/>
              <w:rPr>
                <w:sz w:val="20"/>
                <w:szCs w:val="20"/>
                <w:color w:val="auto"/>
              </w:rPr>
            </w:pPr>
            <w:r>
              <w:rPr>
                <w:rFonts w:ascii="Arial" w:cs="Arial" w:eastAsia="Arial" w:hAnsi="Arial"/>
                <w:sz w:val="11"/>
                <w:szCs w:val="11"/>
                <w:color w:val="auto"/>
              </w:rPr>
              <w:t>7.25 %</w:t>
            </w:r>
          </w:p>
        </w:tc>
        <w:tc>
          <w:tcPr>
            <w:tcW w:w="940" w:type="dxa"/>
            <w:vAlign w:val="bottom"/>
          </w:tcPr>
          <w:p>
            <w:pPr>
              <w:jc w:val="right"/>
              <w:spacing w:after="0"/>
              <w:rPr>
                <w:sz w:val="20"/>
                <w:szCs w:val="20"/>
                <w:color w:val="auto"/>
              </w:rPr>
            </w:pPr>
            <w:r>
              <w:rPr>
                <w:rFonts w:ascii="Arial" w:cs="Arial" w:eastAsia="Arial" w:hAnsi="Arial"/>
                <w:sz w:val="11"/>
                <w:szCs w:val="11"/>
                <w:color w:val="auto"/>
              </w:rPr>
              <w:t>1M L+625</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6,636</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6,599</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6,636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shd w:val="clear" w:color="auto" w:fill="CCECFF"/>
          </w:tcPr>
          <w:p>
            <w:pPr>
              <w:ind w:left="20"/>
              <w:spacing w:after="0"/>
              <w:rPr>
                <w:sz w:val="20"/>
                <w:szCs w:val="20"/>
                <w:color w:val="auto"/>
              </w:rPr>
            </w:pPr>
            <w:r>
              <w:rPr>
                <w:rFonts w:ascii="Arial" w:cs="Arial" w:eastAsia="Arial" w:hAnsi="Arial"/>
                <w:sz w:val="11"/>
                <w:szCs w:val="11"/>
                <w:color w:val="auto"/>
              </w:rPr>
              <w:t>Tyto Athene, LLC</w:t>
            </w:r>
          </w:p>
        </w:tc>
        <w:tc>
          <w:tcPr>
            <w:tcW w:w="1040" w:type="dxa"/>
            <w:vAlign w:val="bottom"/>
            <w:gridSpan w:val="3"/>
            <w:shd w:val="clear" w:color="auto" w:fill="CCECFF"/>
          </w:tcPr>
          <w:p>
            <w:pPr>
              <w:jc w:val="center"/>
              <w:ind w:left="266"/>
              <w:spacing w:after="0"/>
              <w:rPr>
                <w:sz w:val="20"/>
                <w:szCs w:val="20"/>
                <w:color w:val="auto"/>
              </w:rPr>
            </w:pPr>
            <w:r>
              <w:rPr>
                <w:rFonts w:ascii="Arial" w:cs="Arial" w:eastAsia="Arial" w:hAnsi="Arial"/>
                <w:sz w:val="11"/>
                <w:szCs w:val="11"/>
                <w:color w:val="auto"/>
                <w:w w:val="87"/>
              </w:rPr>
              <w:t>08/27/2024</w:t>
            </w:r>
          </w:p>
        </w:tc>
        <w:tc>
          <w:tcPr>
            <w:tcW w:w="260" w:type="dxa"/>
            <w:vAlign w:val="bottom"/>
            <w:shd w:val="clear" w:color="auto" w:fill="CCECFF"/>
          </w:tcPr>
          <w:p>
            <w:pPr>
              <w:spacing w:after="0"/>
              <w:rPr>
                <w:sz w:val="11"/>
                <w:szCs w:val="11"/>
                <w:color w:val="auto"/>
              </w:rPr>
            </w:pPr>
          </w:p>
        </w:tc>
        <w:tc>
          <w:tcPr>
            <w:tcW w:w="23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IT Services</w:t>
            </w:r>
          </w:p>
        </w:tc>
        <w:tc>
          <w:tcPr>
            <w:tcW w:w="1020" w:type="dxa"/>
            <w:vAlign w:val="bottom"/>
            <w:gridSpan w:val="3"/>
            <w:shd w:val="clear" w:color="auto" w:fill="CCECFF"/>
          </w:tcPr>
          <w:p>
            <w:pPr>
              <w:jc w:val="right"/>
              <w:ind w:right="66"/>
              <w:spacing w:after="0"/>
              <w:rPr>
                <w:sz w:val="20"/>
                <w:szCs w:val="20"/>
                <w:color w:val="auto"/>
              </w:rPr>
            </w:pPr>
            <w:r>
              <w:rPr>
                <w:rFonts w:ascii="Arial" w:cs="Arial" w:eastAsia="Arial" w:hAnsi="Arial"/>
                <w:sz w:val="11"/>
                <w:szCs w:val="11"/>
                <w:color w:val="auto"/>
              </w:rPr>
              <w:t>6.25 %</w:t>
            </w:r>
          </w:p>
        </w:tc>
        <w:tc>
          <w:tcPr>
            <w:tcW w:w="9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L+550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11,443</w:t>
            </w:r>
          </w:p>
        </w:tc>
        <w:tc>
          <w:tcPr>
            <w:tcW w:w="24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11,334</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11,443</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tcPr>
          <w:p>
            <w:pPr>
              <w:ind w:left="20"/>
              <w:spacing w:after="0"/>
              <w:rPr>
                <w:sz w:val="20"/>
                <w:szCs w:val="20"/>
                <w:color w:val="auto"/>
              </w:rPr>
            </w:pPr>
            <w:r>
              <w:rPr>
                <w:rFonts w:ascii="Arial" w:cs="Arial" w:eastAsia="Arial" w:hAnsi="Arial"/>
                <w:sz w:val="11"/>
                <w:szCs w:val="11"/>
                <w:color w:val="auto"/>
              </w:rPr>
              <w:t>UBEO, LLC</w:t>
            </w:r>
          </w:p>
        </w:tc>
        <w:tc>
          <w:tcPr>
            <w:tcW w:w="1040" w:type="dxa"/>
            <w:vAlign w:val="bottom"/>
            <w:gridSpan w:val="3"/>
          </w:tcPr>
          <w:p>
            <w:pPr>
              <w:jc w:val="center"/>
              <w:ind w:left="266"/>
              <w:spacing w:after="0"/>
              <w:rPr>
                <w:sz w:val="20"/>
                <w:szCs w:val="20"/>
                <w:color w:val="auto"/>
              </w:rPr>
            </w:pPr>
            <w:r>
              <w:rPr>
                <w:rFonts w:ascii="Arial" w:cs="Arial" w:eastAsia="Arial" w:hAnsi="Arial"/>
                <w:sz w:val="11"/>
                <w:szCs w:val="11"/>
                <w:color w:val="auto"/>
                <w:w w:val="87"/>
              </w:rPr>
              <w:t>04/03/2024</w:t>
            </w:r>
          </w:p>
        </w:tc>
        <w:tc>
          <w:tcPr>
            <w:tcW w:w="260" w:type="dxa"/>
            <w:vAlign w:val="bottom"/>
          </w:tcPr>
          <w:p>
            <w:pPr>
              <w:spacing w:after="0"/>
              <w:rPr>
                <w:sz w:val="11"/>
                <w:szCs w:val="11"/>
                <w:color w:val="auto"/>
              </w:rPr>
            </w:pPr>
          </w:p>
        </w:tc>
        <w:tc>
          <w:tcPr>
            <w:tcW w:w="2380" w:type="dxa"/>
            <w:vAlign w:val="bottom"/>
          </w:tcPr>
          <w:p>
            <w:pPr>
              <w:jc w:val="center"/>
              <w:spacing w:after="0"/>
              <w:rPr>
                <w:sz w:val="20"/>
                <w:szCs w:val="20"/>
                <w:color w:val="auto"/>
              </w:rPr>
            </w:pPr>
            <w:r>
              <w:rPr>
                <w:rFonts w:ascii="Arial" w:cs="Arial" w:eastAsia="Arial" w:hAnsi="Arial"/>
                <w:sz w:val="11"/>
                <w:szCs w:val="11"/>
                <w:color w:val="auto"/>
                <w:w w:val="91"/>
              </w:rPr>
              <w:t>Capital Equipment</w:t>
            </w:r>
          </w:p>
        </w:tc>
        <w:tc>
          <w:tcPr>
            <w:tcW w:w="1020" w:type="dxa"/>
            <w:vAlign w:val="bottom"/>
            <w:gridSpan w:val="3"/>
          </w:tcPr>
          <w:p>
            <w:pPr>
              <w:jc w:val="right"/>
              <w:ind w:right="66"/>
              <w:spacing w:after="0"/>
              <w:rPr>
                <w:sz w:val="20"/>
                <w:szCs w:val="20"/>
                <w:color w:val="auto"/>
              </w:rPr>
            </w:pPr>
            <w:r>
              <w:rPr>
                <w:rFonts w:ascii="Arial" w:cs="Arial" w:eastAsia="Arial" w:hAnsi="Arial"/>
                <w:sz w:val="11"/>
                <w:szCs w:val="11"/>
                <w:color w:val="auto"/>
              </w:rPr>
              <w:t>5.50 %</w:t>
            </w:r>
          </w:p>
        </w:tc>
        <w:tc>
          <w:tcPr>
            <w:tcW w:w="940" w:type="dxa"/>
            <w:vAlign w:val="bottom"/>
          </w:tcPr>
          <w:p>
            <w:pPr>
              <w:jc w:val="right"/>
              <w:spacing w:after="0"/>
              <w:rPr>
                <w:sz w:val="20"/>
                <w:szCs w:val="20"/>
                <w:color w:val="auto"/>
              </w:rPr>
            </w:pPr>
            <w:r>
              <w:rPr>
                <w:rFonts w:ascii="Arial" w:cs="Arial" w:eastAsia="Arial" w:hAnsi="Arial"/>
                <w:sz w:val="11"/>
                <w:szCs w:val="11"/>
                <w:color w:val="auto"/>
              </w:rPr>
              <w:t>1M L+450</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17,571</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17,457</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17,483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shd w:val="clear" w:color="auto" w:fill="CCECFF"/>
          </w:tcPr>
          <w:p>
            <w:pPr>
              <w:ind w:left="20"/>
              <w:spacing w:after="0"/>
              <w:rPr>
                <w:sz w:val="20"/>
                <w:szCs w:val="20"/>
                <w:color w:val="auto"/>
              </w:rPr>
            </w:pPr>
            <w:r>
              <w:rPr>
                <w:rFonts w:ascii="Arial" w:cs="Arial" w:eastAsia="Arial" w:hAnsi="Arial"/>
                <w:sz w:val="11"/>
                <w:szCs w:val="11"/>
                <w:color w:val="auto"/>
              </w:rPr>
              <w:t>Urology Management Associates, LLC</w:t>
            </w:r>
          </w:p>
        </w:tc>
        <w:tc>
          <w:tcPr>
            <w:tcW w:w="1040" w:type="dxa"/>
            <w:vAlign w:val="bottom"/>
            <w:gridSpan w:val="3"/>
            <w:shd w:val="clear" w:color="auto" w:fill="CCECFF"/>
          </w:tcPr>
          <w:p>
            <w:pPr>
              <w:jc w:val="center"/>
              <w:ind w:left="266"/>
              <w:spacing w:after="0"/>
              <w:rPr>
                <w:sz w:val="20"/>
                <w:szCs w:val="20"/>
                <w:color w:val="auto"/>
              </w:rPr>
            </w:pPr>
            <w:r>
              <w:rPr>
                <w:rFonts w:ascii="Arial" w:cs="Arial" w:eastAsia="Arial" w:hAnsi="Arial"/>
                <w:sz w:val="11"/>
                <w:szCs w:val="11"/>
                <w:color w:val="auto"/>
                <w:w w:val="87"/>
              </w:rPr>
              <w:t>08/30/2024</w:t>
            </w:r>
          </w:p>
        </w:tc>
        <w:tc>
          <w:tcPr>
            <w:tcW w:w="260" w:type="dxa"/>
            <w:vAlign w:val="bottom"/>
            <w:shd w:val="clear" w:color="auto" w:fill="CCECFF"/>
          </w:tcPr>
          <w:p>
            <w:pPr>
              <w:spacing w:after="0"/>
              <w:rPr>
                <w:sz w:val="11"/>
                <w:szCs w:val="11"/>
                <w:color w:val="auto"/>
              </w:rPr>
            </w:pPr>
          </w:p>
        </w:tc>
        <w:tc>
          <w:tcPr>
            <w:tcW w:w="23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Healthcare and Pharmaceuticals</w:t>
            </w:r>
          </w:p>
        </w:tc>
        <w:tc>
          <w:tcPr>
            <w:tcW w:w="1020" w:type="dxa"/>
            <w:vAlign w:val="bottom"/>
            <w:gridSpan w:val="3"/>
            <w:shd w:val="clear" w:color="auto" w:fill="CCECFF"/>
          </w:tcPr>
          <w:p>
            <w:pPr>
              <w:jc w:val="right"/>
              <w:ind w:right="66"/>
              <w:spacing w:after="0"/>
              <w:rPr>
                <w:sz w:val="20"/>
                <w:szCs w:val="20"/>
                <w:color w:val="auto"/>
              </w:rPr>
            </w:pPr>
            <w:r>
              <w:rPr>
                <w:rFonts w:ascii="Arial" w:cs="Arial" w:eastAsia="Arial" w:hAnsi="Arial"/>
                <w:sz w:val="11"/>
                <w:szCs w:val="11"/>
                <w:color w:val="auto"/>
              </w:rPr>
              <w:t>5.50 %</w:t>
            </w:r>
          </w:p>
        </w:tc>
        <w:tc>
          <w:tcPr>
            <w:tcW w:w="9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L+450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11,030</w:t>
            </w:r>
          </w:p>
        </w:tc>
        <w:tc>
          <w:tcPr>
            <w:tcW w:w="24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10,849</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10,975</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tcPr>
          <w:p>
            <w:pPr>
              <w:ind w:left="20"/>
              <w:spacing w:after="0"/>
              <w:rPr>
                <w:sz w:val="20"/>
                <w:szCs w:val="20"/>
                <w:color w:val="auto"/>
              </w:rPr>
            </w:pPr>
            <w:r>
              <w:rPr>
                <w:rFonts w:ascii="Arial" w:cs="Arial" w:eastAsia="Arial" w:hAnsi="Arial"/>
                <w:sz w:val="11"/>
                <w:szCs w:val="11"/>
                <w:color w:val="auto"/>
              </w:rPr>
              <w:t>Walker Edison Furniture Company LLC</w:t>
            </w:r>
          </w:p>
        </w:tc>
        <w:tc>
          <w:tcPr>
            <w:tcW w:w="1040" w:type="dxa"/>
            <w:vAlign w:val="bottom"/>
            <w:gridSpan w:val="3"/>
          </w:tcPr>
          <w:p>
            <w:pPr>
              <w:jc w:val="center"/>
              <w:ind w:left="266"/>
              <w:spacing w:after="0"/>
              <w:rPr>
                <w:sz w:val="20"/>
                <w:szCs w:val="20"/>
                <w:color w:val="auto"/>
              </w:rPr>
            </w:pPr>
            <w:r>
              <w:rPr>
                <w:rFonts w:ascii="Arial" w:cs="Arial" w:eastAsia="Arial" w:hAnsi="Arial"/>
                <w:sz w:val="11"/>
                <w:szCs w:val="11"/>
                <w:color w:val="auto"/>
                <w:w w:val="87"/>
              </w:rPr>
              <w:t>03/31/2027</w:t>
            </w:r>
          </w:p>
        </w:tc>
        <w:tc>
          <w:tcPr>
            <w:tcW w:w="260" w:type="dxa"/>
            <w:vAlign w:val="bottom"/>
          </w:tcPr>
          <w:p>
            <w:pPr>
              <w:spacing w:after="0"/>
              <w:rPr>
                <w:sz w:val="11"/>
                <w:szCs w:val="11"/>
                <w:color w:val="auto"/>
              </w:rPr>
            </w:pPr>
          </w:p>
        </w:tc>
        <w:tc>
          <w:tcPr>
            <w:tcW w:w="2380" w:type="dxa"/>
            <w:vAlign w:val="bottom"/>
          </w:tcPr>
          <w:p>
            <w:pPr>
              <w:jc w:val="center"/>
              <w:spacing w:after="0"/>
              <w:rPr>
                <w:sz w:val="20"/>
                <w:szCs w:val="20"/>
                <w:color w:val="auto"/>
              </w:rPr>
            </w:pPr>
            <w:r>
              <w:rPr>
                <w:rFonts w:ascii="Arial" w:cs="Arial" w:eastAsia="Arial" w:hAnsi="Arial"/>
                <w:sz w:val="11"/>
                <w:szCs w:val="11"/>
                <w:color w:val="auto"/>
                <w:w w:val="89"/>
              </w:rPr>
              <w:t>Wholesale</w:t>
            </w:r>
          </w:p>
        </w:tc>
        <w:tc>
          <w:tcPr>
            <w:tcW w:w="1020" w:type="dxa"/>
            <w:vAlign w:val="bottom"/>
            <w:gridSpan w:val="3"/>
          </w:tcPr>
          <w:p>
            <w:pPr>
              <w:jc w:val="right"/>
              <w:ind w:right="66"/>
              <w:spacing w:after="0"/>
              <w:rPr>
                <w:sz w:val="20"/>
                <w:szCs w:val="20"/>
                <w:color w:val="auto"/>
              </w:rPr>
            </w:pPr>
            <w:r>
              <w:rPr>
                <w:rFonts w:ascii="Arial" w:cs="Arial" w:eastAsia="Arial" w:hAnsi="Arial"/>
                <w:sz w:val="11"/>
                <w:szCs w:val="11"/>
                <w:color w:val="auto"/>
              </w:rPr>
              <w:t>6.75 %</w:t>
            </w:r>
          </w:p>
        </w:tc>
        <w:tc>
          <w:tcPr>
            <w:tcW w:w="940" w:type="dxa"/>
            <w:vAlign w:val="bottom"/>
          </w:tcPr>
          <w:p>
            <w:pPr>
              <w:jc w:val="right"/>
              <w:spacing w:after="0"/>
              <w:rPr>
                <w:sz w:val="20"/>
                <w:szCs w:val="20"/>
                <w:color w:val="auto"/>
              </w:rPr>
            </w:pPr>
            <w:r>
              <w:rPr>
                <w:rFonts w:ascii="Arial" w:cs="Arial" w:eastAsia="Arial" w:hAnsi="Arial"/>
                <w:sz w:val="11"/>
                <w:szCs w:val="11"/>
                <w:color w:val="auto"/>
              </w:rPr>
              <w:t>1M L+575</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12,438</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12,142</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11,971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1"/>
                <w:szCs w:val="11"/>
                <w:color w:val="auto"/>
              </w:rPr>
              <w:t>Wildcat Buyerco, Inc.</w:t>
            </w:r>
          </w:p>
        </w:tc>
        <w:tc>
          <w:tcPr>
            <w:tcW w:w="1040" w:type="dxa"/>
            <w:vAlign w:val="bottom"/>
            <w:tcBorders>
              <w:bottom w:val="single" w:sz="8" w:color="CCECFF"/>
            </w:tcBorders>
            <w:gridSpan w:val="3"/>
            <w:shd w:val="clear" w:color="auto" w:fill="CCECFF"/>
          </w:tcPr>
          <w:p>
            <w:pPr>
              <w:jc w:val="center"/>
              <w:ind w:left="266"/>
              <w:spacing w:after="0"/>
              <w:rPr>
                <w:sz w:val="20"/>
                <w:szCs w:val="20"/>
                <w:color w:val="auto"/>
              </w:rPr>
            </w:pPr>
            <w:r>
              <w:rPr>
                <w:rFonts w:ascii="Arial" w:cs="Arial" w:eastAsia="Arial" w:hAnsi="Arial"/>
                <w:sz w:val="11"/>
                <w:szCs w:val="11"/>
                <w:color w:val="auto"/>
                <w:w w:val="87"/>
              </w:rPr>
              <w:t>02/27/2026</w:t>
            </w:r>
          </w:p>
        </w:tc>
        <w:tc>
          <w:tcPr>
            <w:tcW w:w="260" w:type="dxa"/>
            <w:vAlign w:val="bottom"/>
            <w:tcBorders>
              <w:bottom w:val="single" w:sz="8" w:color="CCECFF"/>
            </w:tcBorders>
            <w:shd w:val="clear" w:color="auto" w:fill="CCECFF"/>
          </w:tcPr>
          <w:p>
            <w:pPr>
              <w:spacing w:after="0"/>
              <w:rPr>
                <w:sz w:val="11"/>
                <w:szCs w:val="11"/>
                <w:color w:val="auto"/>
              </w:rPr>
            </w:pPr>
          </w:p>
        </w:tc>
        <w:tc>
          <w:tcPr>
            <w:tcW w:w="2380" w:type="dxa"/>
            <w:vAlign w:val="bottom"/>
            <w:tcBorders>
              <w:bottom w:val="single" w:sz="8" w:color="CCECFF"/>
            </w:tcBorders>
            <w:shd w:val="clear" w:color="auto" w:fill="CCECFF"/>
          </w:tcPr>
          <w:p>
            <w:pPr>
              <w:jc w:val="center"/>
              <w:spacing w:after="0"/>
              <w:rPr>
                <w:sz w:val="20"/>
                <w:szCs w:val="20"/>
                <w:color w:val="auto"/>
              </w:rPr>
            </w:pPr>
            <w:r>
              <w:rPr>
                <w:rFonts w:ascii="Arial" w:cs="Arial" w:eastAsia="Arial" w:hAnsi="Arial"/>
                <w:sz w:val="11"/>
                <w:szCs w:val="11"/>
                <w:color w:val="auto"/>
                <w:w w:val="89"/>
              </w:rPr>
              <w:t>Electronic Equipment, Instruments, and Components</w:t>
            </w:r>
          </w:p>
        </w:tc>
        <w:tc>
          <w:tcPr>
            <w:tcW w:w="1020" w:type="dxa"/>
            <w:vAlign w:val="bottom"/>
            <w:tcBorders>
              <w:bottom w:val="single" w:sz="8" w:color="CCECFF"/>
            </w:tcBorders>
            <w:gridSpan w:val="3"/>
            <w:shd w:val="clear" w:color="auto" w:fill="CCECFF"/>
          </w:tcPr>
          <w:p>
            <w:pPr>
              <w:jc w:val="right"/>
              <w:ind w:right="66"/>
              <w:spacing w:after="0"/>
              <w:rPr>
                <w:sz w:val="20"/>
                <w:szCs w:val="20"/>
                <w:color w:val="auto"/>
              </w:rPr>
            </w:pPr>
            <w:r>
              <w:rPr>
                <w:rFonts w:ascii="Arial" w:cs="Arial" w:eastAsia="Arial" w:hAnsi="Arial"/>
                <w:sz w:val="11"/>
                <w:szCs w:val="11"/>
                <w:color w:val="auto"/>
              </w:rPr>
              <w:t>6.00 %</w:t>
            </w:r>
          </w:p>
        </w:tc>
        <w:tc>
          <w:tcPr>
            <w:tcW w:w="94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1"/>
                <w:szCs w:val="11"/>
                <w:color w:val="auto"/>
              </w:rPr>
              <w:t>3M L+500</w:t>
            </w:r>
          </w:p>
        </w:tc>
        <w:tc>
          <w:tcPr>
            <w:tcW w:w="940" w:type="dxa"/>
            <w:vAlign w:val="bottom"/>
            <w:tcBorders>
              <w:bottom w:val="single" w:sz="8" w:color="CCECFF"/>
            </w:tcBorders>
            <w:gridSpan w:val="2"/>
            <w:shd w:val="clear" w:color="auto" w:fill="CCECFF"/>
          </w:tcPr>
          <w:p>
            <w:pPr>
              <w:jc w:val="right"/>
              <w:spacing w:after="0"/>
              <w:rPr>
                <w:sz w:val="20"/>
                <w:szCs w:val="20"/>
                <w:color w:val="auto"/>
              </w:rPr>
            </w:pPr>
            <w:r>
              <w:rPr>
                <w:rFonts w:ascii="Arial" w:cs="Arial" w:eastAsia="Arial" w:hAnsi="Arial"/>
                <w:sz w:val="11"/>
                <w:szCs w:val="11"/>
                <w:color w:val="auto"/>
              </w:rPr>
              <w:t>5,706</w:t>
            </w:r>
          </w:p>
        </w:tc>
        <w:tc>
          <w:tcPr>
            <w:tcW w:w="24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auto"/>
            </w:tcBorders>
            <w:shd w:val="clear" w:color="auto" w:fill="CCECFF"/>
          </w:tcPr>
          <w:p>
            <w:pPr>
              <w:spacing w:after="0"/>
              <w:rPr>
                <w:sz w:val="11"/>
                <w:szCs w:val="11"/>
                <w:color w:val="auto"/>
              </w:rPr>
            </w:pPr>
          </w:p>
        </w:tc>
        <w:tc>
          <w:tcPr>
            <w:tcW w:w="5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5,656</w:t>
            </w:r>
          </w:p>
        </w:tc>
        <w:tc>
          <w:tcPr>
            <w:tcW w:w="22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bottom w:val="single" w:sz="8" w:color="auto"/>
            </w:tcBorders>
            <w:shd w:val="clear" w:color="auto" w:fill="CCECFF"/>
          </w:tcPr>
          <w:p>
            <w:pPr>
              <w:spacing w:after="0"/>
              <w:rPr>
                <w:sz w:val="11"/>
                <w:szCs w:val="11"/>
                <w:color w:val="auto"/>
              </w:rPr>
            </w:pPr>
          </w:p>
        </w:tc>
        <w:tc>
          <w:tcPr>
            <w:tcW w:w="5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5,678</w:t>
            </w:r>
          </w:p>
        </w:tc>
        <w:tc>
          <w:tcPr>
            <w:tcW w:w="10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700" w:type="dxa"/>
            <w:vAlign w:val="bottom"/>
          </w:tcPr>
          <w:p>
            <w:pPr>
              <w:ind w:left="20"/>
              <w:spacing w:after="0"/>
              <w:rPr>
                <w:sz w:val="20"/>
                <w:szCs w:val="20"/>
                <w:color w:val="auto"/>
              </w:rPr>
            </w:pPr>
            <w:r>
              <w:rPr>
                <w:rFonts w:ascii="Arial" w:cs="Arial" w:eastAsia="Arial" w:hAnsi="Arial"/>
                <w:sz w:val="11"/>
                <w:szCs w:val="11"/>
                <w:b w:val="1"/>
                <w:bCs w:val="1"/>
                <w:color w:val="auto"/>
              </w:rPr>
              <w:t>Total First Lien Secured Debt</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558,880</w:t>
            </w:r>
          </w:p>
        </w:tc>
        <w:tc>
          <w:tcPr>
            <w:tcW w:w="2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557,732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700" w:type="dxa"/>
            <w:vAlign w:val="bottom"/>
          </w:tcPr>
          <w:p>
            <w:pPr>
              <w:ind w:left="20"/>
              <w:spacing w:after="0" w:line="99" w:lineRule="exact"/>
              <w:rPr>
                <w:sz w:val="20"/>
                <w:szCs w:val="20"/>
                <w:color w:val="auto"/>
              </w:rPr>
            </w:pPr>
            <w:r>
              <w:rPr>
                <w:rFonts w:ascii="Arial" w:cs="Arial" w:eastAsia="Arial" w:hAnsi="Arial"/>
                <w:sz w:val="11"/>
                <w:szCs w:val="11"/>
                <w:b w:val="1"/>
                <w:bCs w:val="1"/>
                <w:color w:val="auto"/>
              </w:rPr>
              <w:t>Second Lien Secured Debt - 10.5%</w:t>
            </w: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270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DBI Intermediate Holdco, LLC, Term Loan B </w:t>
            </w:r>
            <w:r>
              <w:rPr>
                <w:rFonts w:ascii="Arial" w:cs="Arial" w:eastAsia="Arial" w:hAnsi="Arial"/>
                <w:sz w:val="14"/>
                <w:szCs w:val="14"/>
                <w:color w:val="auto"/>
                <w:vertAlign w:val="superscript"/>
              </w:rPr>
              <w:t>(4)</w:t>
            </w:r>
          </w:p>
        </w:tc>
        <w:tc>
          <w:tcPr>
            <w:tcW w:w="1040" w:type="dxa"/>
            <w:vAlign w:val="bottom"/>
            <w:gridSpan w:val="3"/>
          </w:tcPr>
          <w:p>
            <w:pPr>
              <w:jc w:val="center"/>
              <w:ind w:left="266"/>
              <w:spacing w:after="0"/>
              <w:rPr>
                <w:sz w:val="20"/>
                <w:szCs w:val="20"/>
                <w:color w:val="auto"/>
              </w:rPr>
            </w:pPr>
            <w:r>
              <w:rPr>
                <w:rFonts w:ascii="Arial" w:cs="Arial" w:eastAsia="Arial" w:hAnsi="Arial"/>
                <w:sz w:val="11"/>
                <w:szCs w:val="11"/>
                <w:color w:val="auto"/>
                <w:w w:val="87"/>
              </w:rPr>
              <w:t>02/02/2026</w:t>
            </w:r>
          </w:p>
        </w:tc>
        <w:tc>
          <w:tcPr>
            <w:tcW w:w="260" w:type="dxa"/>
            <w:vAlign w:val="bottom"/>
          </w:tcPr>
          <w:p>
            <w:pPr>
              <w:spacing w:after="0"/>
              <w:rPr>
                <w:sz w:val="13"/>
                <w:szCs w:val="13"/>
                <w:color w:val="auto"/>
              </w:rPr>
            </w:pPr>
          </w:p>
        </w:tc>
        <w:tc>
          <w:tcPr>
            <w:tcW w:w="2380" w:type="dxa"/>
            <w:vAlign w:val="bottom"/>
          </w:tcPr>
          <w:p>
            <w:pPr>
              <w:jc w:val="center"/>
              <w:spacing w:after="0"/>
              <w:rPr>
                <w:sz w:val="20"/>
                <w:szCs w:val="20"/>
                <w:color w:val="auto"/>
              </w:rPr>
            </w:pPr>
            <w:r>
              <w:rPr>
                <w:rFonts w:ascii="Arial" w:cs="Arial" w:eastAsia="Arial" w:hAnsi="Arial"/>
                <w:sz w:val="11"/>
                <w:szCs w:val="11"/>
                <w:color w:val="auto"/>
                <w:w w:val="86"/>
              </w:rPr>
              <w:t>Business Services</w:t>
            </w:r>
          </w:p>
        </w:tc>
        <w:tc>
          <w:tcPr>
            <w:tcW w:w="1020" w:type="dxa"/>
            <w:vAlign w:val="bottom"/>
            <w:gridSpan w:val="3"/>
          </w:tcPr>
          <w:p>
            <w:pPr>
              <w:jc w:val="right"/>
              <w:ind w:right="66"/>
              <w:spacing w:after="0"/>
              <w:rPr>
                <w:sz w:val="20"/>
                <w:szCs w:val="20"/>
                <w:color w:val="auto"/>
              </w:rPr>
            </w:pPr>
            <w:r>
              <w:rPr>
                <w:rFonts w:ascii="Arial" w:cs="Arial" w:eastAsia="Arial" w:hAnsi="Arial"/>
                <w:sz w:val="11"/>
                <w:szCs w:val="11"/>
                <w:color w:val="auto"/>
              </w:rPr>
              <w:t>11.00 %</w:t>
            </w:r>
          </w:p>
        </w:tc>
        <w:tc>
          <w:tcPr>
            <w:tcW w:w="94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2,434</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2,434</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2,434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gridSpan w:val="2"/>
          </w:tcPr>
          <w:p>
            <w:pPr>
              <w:jc w:val="right"/>
              <w:ind w:right="206"/>
              <w:spacing w:after="0" w:line="108" w:lineRule="exact"/>
              <w:rPr>
                <w:sz w:val="20"/>
                <w:szCs w:val="20"/>
                <w:color w:val="auto"/>
              </w:rPr>
            </w:pPr>
            <w:r>
              <w:rPr>
                <w:rFonts w:ascii="Arial" w:cs="Arial" w:eastAsia="Arial" w:hAnsi="Arial"/>
                <w:sz w:val="11"/>
                <w:szCs w:val="11"/>
                <w:color w:val="auto"/>
              </w:rPr>
              <w:t>P(IK</w:t>
            </w: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800" w:type="dxa"/>
            <w:vAlign w:val="bottom"/>
            <w:gridSpan w:val="2"/>
          </w:tcPr>
          <w:p>
            <w:pPr>
              <w:jc w:val="right"/>
              <w:spacing w:after="0"/>
              <w:rPr>
                <w:sz w:val="20"/>
                <w:szCs w:val="20"/>
                <w:color w:val="auto"/>
              </w:rPr>
            </w:pPr>
            <w:r>
              <w:rPr>
                <w:rFonts w:ascii="Arial" w:cs="Arial" w:eastAsia="Arial" w:hAnsi="Arial"/>
                <w:sz w:val="11"/>
                <w:szCs w:val="11"/>
                <w:color w:val="auto"/>
              </w:rPr>
              <w:t>9.00%)</w:t>
            </w: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70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1"/>
                <w:szCs w:val="11"/>
                <w:color w:val="auto"/>
              </w:rPr>
              <w:t>Inventus Power, Inc.</w:t>
            </w:r>
          </w:p>
        </w:tc>
        <w:tc>
          <w:tcPr>
            <w:tcW w:w="1040" w:type="dxa"/>
            <w:vAlign w:val="bottom"/>
            <w:tcBorders>
              <w:bottom w:val="single" w:sz="8" w:color="CCECFF"/>
            </w:tcBorders>
            <w:gridSpan w:val="3"/>
            <w:shd w:val="clear" w:color="auto" w:fill="CCECFF"/>
          </w:tcPr>
          <w:p>
            <w:pPr>
              <w:jc w:val="center"/>
              <w:ind w:left="266"/>
              <w:spacing w:after="0"/>
              <w:rPr>
                <w:sz w:val="20"/>
                <w:szCs w:val="20"/>
                <w:color w:val="auto"/>
              </w:rPr>
            </w:pPr>
            <w:r>
              <w:rPr>
                <w:rFonts w:ascii="Arial" w:cs="Arial" w:eastAsia="Arial" w:hAnsi="Arial"/>
                <w:sz w:val="11"/>
                <w:szCs w:val="11"/>
                <w:color w:val="auto"/>
                <w:w w:val="87"/>
              </w:rPr>
              <w:t>09/29/2024</w:t>
            </w:r>
          </w:p>
        </w:tc>
        <w:tc>
          <w:tcPr>
            <w:tcW w:w="260" w:type="dxa"/>
            <w:vAlign w:val="bottom"/>
            <w:tcBorders>
              <w:bottom w:val="single" w:sz="8" w:color="CCECFF"/>
            </w:tcBorders>
            <w:shd w:val="clear" w:color="auto" w:fill="CCECFF"/>
          </w:tcPr>
          <w:p>
            <w:pPr>
              <w:spacing w:after="0"/>
              <w:rPr>
                <w:sz w:val="12"/>
                <w:szCs w:val="12"/>
                <w:color w:val="auto"/>
              </w:rPr>
            </w:pPr>
          </w:p>
        </w:tc>
        <w:tc>
          <w:tcPr>
            <w:tcW w:w="2380" w:type="dxa"/>
            <w:vAlign w:val="bottom"/>
            <w:tcBorders>
              <w:bottom w:val="single" w:sz="8" w:color="CCECFF"/>
            </w:tcBorders>
            <w:shd w:val="clear" w:color="auto" w:fill="CCECFF"/>
          </w:tcPr>
          <w:p>
            <w:pPr>
              <w:jc w:val="center"/>
              <w:spacing w:after="0"/>
              <w:rPr>
                <w:sz w:val="20"/>
                <w:szCs w:val="20"/>
                <w:color w:val="auto"/>
              </w:rPr>
            </w:pPr>
            <w:r>
              <w:rPr>
                <w:rFonts w:ascii="Arial" w:cs="Arial" w:eastAsia="Arial" w:hAnsi="Arial"/>
                <w:sz w:val="11"/>
                <w:szCs w:val="11"/>
                <w:color w:val="auto"/>
                <w:w w:val="88"/>
              </w:rPr>
              <w:t>Consumer Goods: Durable</w:t>
            </w:r>
          </w:p>
        </w:tc>
        <w:tc>
          <w:tcPr>
            <w:tcW w:w="1020" w:type="dxa"/>
            <w:vAlign w:val="bottom"/>
            <w:tcBorders>
              <w:bottom w:val="single" w:sz="8" w:color="CCECFF"/>
            </w:tcBorders>
            <w:gridSpan w:val="3"/>
            <w:shd w:val="clear" w:color="auto" w:fill="CCECFF"/>
          </w:tcPr>
          <w:p>
            <w:pPr>
              <w:jc w:val="right"/>
              <w:ind w:right="66"/>
              <w:spacing w:after="0"/>
              <w:rPr>
                <w:sz w:val="20"/>
                <w:szCs w:val="20"/>
                <w:color w:val="auto"/>
              </w:rPr>
            </w:pPr>
            <w:r>
              <w:rPr>
                <w:rFonts w:ascii="Arial" w:cs="Arial" w:eastAsia="Arial" w:hAnsi="Arial"/>
                <w:sz w:val="11"/>
                <w:szCs w:val="11"/>
                <w:color w:val="auto"/>
              </w:rPr>
              <w:t>9.50 %</w:t>
            </w:r>
          </w:p>
        </w:tc>
        <w:tc>
          <w:tcPr>
            <w:tcW w:w="94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1"/>
                <w:szCs w:val="11"/>
                <w:color w:val="auto"/>
              </w:rPr>
              <w:t>3M L+850</w:t>
            </w:r>
          </w:p>
        </w:tc>
        <w:tc>
          <w:tcPr>
            <w:tcW w:w="940" w:type="dxa"/>
            <w:vAlign w:val="bottom"/>
            <w:tcBorders>
              <w:bottom w:val="single" w:sz="8" w:color="CCECFF"/>
            </w:tcBorders>
            <w:gridSpan w:val="2"/>
            <w:shd w:val="clear" w:color="auto" w:fill="CCECFF"/>
          </w:tcPr>
          <w:p>
            <w:pPr>
              <w:jc w:val="right"/>
              <w:spacing w:after="0"/>
              <w:rPr>
                <w:sz w:val="20"/>
                <w:szCs w:val="20"/>
                <w:color w:val="auto"/>
              </w:rPr>
            </w:pPr>
            <w:r>
              <w:rPr>
                <w:rFonts w:ascii="Arial" w:cs="Arial" w:eastAsia="Arial" w:hAnsi="Arial"/>
                <w:sz w:val="11"/>
                <w:szCs w:val="11"/>
                <w:color w:val="auto"/>
              </w:rPr>
              <w:t>3,000</w:t>
            </w:r>
          </w:p>
        </w:tc>
        <w:tc>
          <w:tcPr>
            <w:tcW w:w="240" w:type="dxa"/>
            <w:vAlign w:val="bottom"/>
            <w:tcBorders>
              <w:bottom w:val="single" w:sz="8" w:color="CCECFF"/>
            </w:tcBorders>
            <w:shd w:val="clear" w:color="auto" w:fill="CCECFF"/>
          </w:tcPr>
          <w:p>
            <w:pPr>
              <w:spacing w:after="0"/>
              <w:rPr>
                <w:sz w:val="12"/>
                <w:szCs w:val="12"/>
                <w:color w:val="auto"/>
              </w:rPr>
            </w:pPr>
          </w:p>
        </w:tc>
        <w:tc>
          <w:tcPr>
            <w:tcW w:w="140" w:type="dxa"/>
            <w:vAlign w:val="bottom"/>
            <w:tcBorders>
              <w:bottom w:val="single" w:sz="8" w:color="auto"/>
            </w:tcBorders>
            <w:shd w:val="clear" w:color="auto" w:fill="CCECFF"/>
          </w:tcPr>
          <w:p>
            <w:pPr>
              <w:spacing w:after="0"/>
              <w:rPr>
                <w:sz w:val="12"/>
                <w:szCs w:val="12"/>
                <w:color w:val="auto"/>
              </w:rPr>
            </w:pPr>
          </w:p>
        </w:tc>
        <w:tc>
          <w:tcPr>
            <w:tcW w:w="5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2,947</w:t>
            </w:r>
          </w:p>
        </w:tc>
        <w:tc>
          <w:tcPr>
            <w:tcW w:w="220" w:type="dxa"/>
            <w:vAlign w:val="bottom"/>
            <w:tcBorders>
              <w:bottom w:val="single" w:sz="8" w:color="CCECFF"/>
            </w:tcBorders>
            <w:shd w:val="clear" w:color="auto" w:fill="CCECFF"/>
          </w:tcPr>
          <w:p>
            <w:pPr>
              <w:spacing w:after="0"/>
              <w:rPr>
                <w:sz w:val="12"/>
                <w:szCs w:val="12"/>
                <w:color w:val="auto"/>
              </w:rPr>
            </w:pPr>
          </w:p>
        </w:tc>
        <w:tc>
          <w:tcPr>
            <w:tcW w:w="180" w:type="dxa"/>
            <w:vAlign w:val="bottom"/>
            <w:tcBorders>
              <w:bottom w:val="single" w:sz="8" w:color="auto"/>
            </w:tcBorders>
            <w:shd w:val="clear" w:color="auto" w:fill="CCECFF"/>
          </w:tcPr>
          <w:p>
            <w:pPr>
              <w:spacing w:after="0"/>
              <w:rPr>
                <w:sz w:val="12"/>
                <w:szCs w:val="12"/>
                <w:color w:val="auto"/>
              </w:rPr>
            </w:pPr>
          </w:p>
        </w:tc>
        <w:tc>
          <w:tcPr>
            <w:tcW w:w="5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2,940</w:t>
            </w:r>
          </w:p>
        </w:tc>
        <w:tc>
          <w:tcPr>
            <w:tcW w:w="10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700" w:type="dxa"/>
            <w:vAlign w:val="bottom"/>
          </w:tcPr>
          <w:p>
            <w:pPr>
              <w:ind w:left="20"/>
              <w:spacing w:after="0"/>
              <w:rPr>
                <w:sz w:val="20"/>
                <w:szCs w:val="20"/>
                <w:color w:val="auto"/>
              </w:rPr>
            </w:pPr>
            <w:r>
              <w:rPr>
                <w:rFonts w:ascii="Arial" w:cs="Arial" w:eastAsia="Arial" w:hAnsi="Arial"/>
                <w:sz w:val="11"/>
                <w:szCs w:val="11"/>
                <w:b w:val="1"/>
                <w:bCs w:val="1"/>
                <w:color w:val="auto"/>
              </w:rPr>
              <w:t>Total Second Lien Secured Debt</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5,381</w:t>
            </w:r>
          </w:p>
        </w:tc>
        <w:tc>
          <w:tcPr>
            <w:tcW w:w="2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5,374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700" w:type="dxa"/>
            <w:vAlign w:val="bottom"/>
          </w:tcPr>
          <w:p>
            <w:pPr>
              <w:ind w:left="20"/>
              <w:spacing w:after="0" w:line="99" w:lineRule="exact"/>
              <w:rPr>
                <w:sz w:val="20"/>
                <w:szCs w:val="20"/>
                <w:color w:val="auto"/>
              </w:rPr>
            </w:pPr>
            <w:r>
              <w:rPr>
                <w:rFonts w:ascii="Arial" w:cs="Arial" w:eastAsia="Arial" w:hAnsi="Arial"/>
                <w:sz w:val="11"/>
                <w:szCs w:val="11"/>
                <w:b w:val="1"/>
                <w:bCs w:val="1"/>
                <w:color w:val="auto"/>
              </w:rPr>
              <w:t>Equity Securities - 3.3%</w:t>
            </w: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70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DBI Intermediate Holdco, LLC, Series A-1 </w:t>
            </w:r>
            <w:r>
              <w:rPr>
                <w:rFonts w:ascii="Arial" w:cs="Arial" w:eastAsia="Arial" w:hAnsi="Arial"/>
                <w:sz w:val="14"/>
                <w:szCs w:val="14"/>
                <w:color w:val="auto"/>
                <w:vertAlign w:val="superscript"/>
              </w:rPr>
              <w:t>(4)</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ind w:left="58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1"/>
                <w:szCs w:val="11"/>
                <w:color w:val="auto"/>
              </w:rPr>
            </w:pPr>
          </w:p>
        </w:tc>
        <w:tc>
          <w:tcPr>
            <w:tcW w:w="2380" w:type="dxa"/>
            <w:vAlign w:val="bottom"/>
          </w:tcPr>
          <w:p>
            <w:pPr>
              <w:jc w:val="center"/>
              <w:spacing w:after="0"/>
              <w:rPr>
                <w:sz w:val="20"/>
                <w:szCs w:val="20"/>
                <w:color w:val="auto"/>
              </w:rPr>
            </w:pPr>
            <w:r>
              <w:rPr>
                <w:rFonts w:ascii="Arial" w:cs="Arial" w:eastAsia="Arial" w:hAnsi="Arial"/>
                <w:sz w:val="11"/>
                <w:szCs w:val="11"/>
                <w:color w:val="auto"/>
                <w:w w:val="86"/>
              </w:rPr>
              <w:t>Business Services</w:t>
            </w:r>
          </w:p>
        </w:tc>
        <w:tc>
          <w:tcPr>
            <w:tcW w:w="1020" w:type="dxa"/>
            <w:vAlign w:val="bottom"/>
            <w:gridSpan w:val="3"/>
          </w:tcPr>
          <w:p>
            <w:pPr>
              <w:jc w:val="right"/>
              <w:ind w:right="66"/>
              <w:spacing w:after="0"/>
              <w:rPr>
                <w:sz w:val="20"/>
                <w:szCs w:val="20"/>
                <w:color w:val="auto"/>
              </w:rPr>
            </w:pPr>
            <w:r>
              <w:rPr>
                <w:rFonts w:ascii="Arial" w:cs="Arial" w:eastAsia="Arial" w:hAnsi="Arial"/>
                <w:sz w:val="11"/>
                <w:szCs w:val="11"/>
                <w:color w:val="auto"/>
              </w:rPr>
              <w:t>13.00 %</w:t>
            </w:r>
          </w:p>
        </w:tc>
        <w:tc>
          <w:tcPr>
            <w:tcW w:w="94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7</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5,034</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gridSpan w:val="2"/>
          </w:tcPr>
          <w:p>
            <w:pPr>
              <w:jc w:val="right"/>
              <w:ind w:right="82"/>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270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DBI Intermediate Holdco, LLC, Series AA </w:t>
            </w:r>
            <w:r>
              <w:rPr>
                <w:rFonts w:ascii="Arial" w:cs="Arial" w:eastAsia="Arial" w:hAnsi="Arial"/>
                <w:sz w:val="14"/>
                <w:szCs w:val="14"/>
                <w:color w:val="auto"/>
                <w:vertAlign w:val="superscript"/>
              </w:rPr>
              <w:t>(4)</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ind w:left="58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1"/>
                <w:szCs w:val="11"/>
                <w:color w:val="auto"/>
              </w:rPr>
            </w:pPr>
          </w:p>
        </w:tc>
        <w:tc>
          <w:tcPr>
            <w:tcW w:w="2380" w:type="dxa"/>
            <w:vAlign w:val="bottom"/>
          </w:tcPr>
          <w:p>
            <w:pPr>
              <w:jc w:val="center"/>
              <w:spacing w:after="0"/>
              <w:rPr>
                <w:sz w:val="20"/>
                <w:szCs w:val="20"/>
                <w:color w:val="auto"/>
              </w:rPr>
            </w:pPr>
            <w:r>
              <w:rPr>
                <w:rFonts w:ascii="Arial" w:cs="Arial" w:eastAsia="Arial" w:hAnsi="Arial"/>
                <w:sz w:val="11"/>
                <w:szCs w:val="11"/>
                <w:color w:val="auto"/>
                <w:w w:val="86"/>
              </w:rPr>
              <w:t>Business Services</w:t>
            </w:r>
          </w:p>
        </w:tc>
        <w:tc>
          <w:tcPr>
            <w:tcW w:w="140" w:type="dxa"/>
            <w:vAlign w:val="bottom"/>
          </w:tcPr>
          <w:p>
            <w:pPr>
              <w:spacing w:after="0"/>
              <w:rPr>
                <w:sz w:val="11"/>
                <w:szCs w:val="11"/>
                <w:color w:val="auto"/>
              </w:rPr>
            </w:pPr>
          </w:p>
        </w:tc>
        <w:tc>
          <w:tcPr>
            <w:tcW w:w="880" w:type="dxa"/>
            <w:vAlign w:val="bottom"/>
            <w:gridSpan w:val="2"/>
          </w:tcPr>
          <w:p>
            <w:pPr>
              <w:jc w:val="right"/>
              <w:ind w:right="186"/>
              <w:spacing w:after="0"/>
              <w:rPr>
                <w:sz w:val="20"/>
                <w:szCs w:val="20"/>
                <w:color w:val="auto"/>
              </w:rPr>
            </w:pPr>
            <w:r>
              <w:rPr>
                <w:rFonts w:ascii="Arial" w:cs="Arial" w:eastAsia="Arial" w:hAnsi="Arial"/>
                <w:sz w:val="11"/>
                <w:szCs w:val="11"/>
                <w:color w:val="auto"/>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7</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6,731</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1,314.7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700" w:type="dxa"/>
            <w:vAlign w:val="bottom"/>
          </w:tcPr>
          <w:p>
            <w:pPr>
              <w:ind w:left="20"/>
              <w:spacing w:after="0"/>
              <w:rPr>
                <w:sz w:val="20"/>
                <w:szCs w:val="20"/>
                <w:color w:val="auto"/>
              </w:rPr>
            </w:pPr>
            <w:r>
              <w:rPr>
                <w:rFonts w:ascii="Arial" w:cs="Arial" w:eastAsia="Arial" w:hAnsi="Arial"/>
                <w:sz w:val="11"/>
                <w:szCs w:val="11"/>
                <w:color w:val="auto"/>
              </w:rPr>
              <w:t xml:space="preserve">DBI Intermediate Holdco, LLC, Series B </w:t>
            </w:r>
            <w:r>
              <w:rPr>
                <w:rFonts w:ascii="Arial" w:cs="Arial" w:eastAsia="Arial" w:hAnsi="Arial"/>
                <w:sz w:val="14"/>
                <w:szCs w:val="14"/>
                <w:color w:val="auto"/>
                <w:vertAlign w:val="superscript"/>
              </w:rPr>
              <w:t>(4)</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ind w:left="58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4"/>
                <w:szCs w:val="14"/>
                <w:color w:val="auto"/>
              </w:rPr>
            </w:pPr>
          </w:p>
        </w:tc>
        <w:tc>
          <w:tcPr>
            <w:tcW w:w="2380" w:type="dxa"/>
            <w:vAlign w:val="bottom"/>
          </w:tcPr>
          <w:p>
            <w:pPr>
              <w:jc w:val="center"/>
              <w:spacing w:after="0"/>
              <w:rPr>
                <w:sz w:val="20"/>
                <w:szCs w:val="20"/>
                <w:color w:val="auto"/>
              </w:rPr>
            </w:pPr>
            <w:r>
              <w:rPr>
                <w:rFonts w:ascii="Arial" w:cs="Arial" w:eastAsia="Arial" w:hAnsi="Arial"/>
                <w:sz w:val="11"/>
                <w:szCs w:val="11"/>
                <w:color w:val="auto"/>
                <w:w w:val="86"/>
              </w:rPr>
              <w:t>Business Services</w:t>
            </w:r>
          </w:p>
        </w:tc>
        <w:tc>
          <w:tcPr>
            <w:tcW w:w="140" w:type="dxa"/>
            <w:vAlign w:val="bottom"/>
          </w:tcPr>
          <w:p>
            <w:pPr>
              <w:spacing w:after="0"/>
              <w:rPr>
                <w:sz w:val="14"/>
                <w:szCs w:val="14"/>
                <w:color w:val="auto"/>
              </w:rPr>
            </w:pPr>
          </w:p>
        </w:tc>
        <w:tc>
          <w:tcPr>
            <w:tcW w:w="880" w:type="dxa"/>
            <w:vAlign w:val="bottom"/>
            <w:gridSpan w:val="2"/>
          </w:tcPr>
          <w:p>
            <w:pPr>
              <w:jc w:val="right"/>
              <w:ind w:right="186"/>
              <w:spacing w:after="0"/>
              <w:rPr>
                <w:sz w:val="20"/>
                <w:szCs w:val="20"/>
                <w:color w:val="auto"/>
              </w:rPr>
            </w:pPr>
            <w:r>
              <w:rPr>
                <w:rFonts w:ascii="Arial" w:cs="Arial" w:eastAsia="Arial" w:hAnsi="Arial"/>
                <w:sz w:val="11"/>
                <w:szCs w:val="11"/>
                <w:color w:val="auto"/>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1,065</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237</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gridSpan w:val="2"/>
          </w:tcPr>
          <w:p>
            <w:pPr>
              <w:jc w:val="right"/>
              <w:ind w:right="82"/>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270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1"/>
                <w:szCs w:val="11"/>
                <w:color w:val="auto"/>
              </w:rPr>
              <w:t>New MPE Holdings, LLC</w:t>
            </w:r>
          </w:p>
        </w:tc>
        <w:tc>
          <w:tcPr>
            <w:tcW w:w="20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CCECFF"/>
            </w:tcBorders>
            <w:shd w:val="clear" w:color="auto" w:fill="CCECFF"/>
          </w:tcPr>
          <w:p>
            <w:pPr>
              <w:spacing w:after="0"/>
              <w:rPr>
                <w:sz w:val="11"/>
                <w:szCs w:val="11"/>
                <w:color w:val="auto"/>
              </w:rPr>
            </w:pPr>
          </w:p>
        </w:tc>
        <w:tc>
          <w:tcPr>
            <w:tcW w:w="700" w:type="dxa"/>
            <w:vAlign w:val="bottom"/>
            <w:tcBorders>
              <w:bottom w:val="single" w:sz="8" w:color="CCECFF"/>
            </w:tcBorders>
            <w:shd w:val="clear" w:color="auto" w:fill="CCECFF"/>
          </w:tcPr>
          <w:p>
            <w:pPr>
              <w:ind w:left="580"/>
              <w:spacing w:after="0"/>
              <w:rPr>
                <w:sz w:val="20"/>
                <w:szCs w:val="20"/>
                <w:color w:val="auto"/>
              </w:rPr>
            </w:pPr>
            <w:r>
              <w:rPr>
                <w:rFonts w:ascii="Arial" w:cs="Arial" w:eastAsia="Arial" w:hAnsi="Arial"/>
                <w:sz w:val="11"/>
                <w:szCs w:val="11"/>
                <w:color w:val="auto"/>
                <w:w w:val="90"/>
              </w:rPr>
              <w:t>—</w:t>
            </w:r>
          </w:p>
        </w:tc>
        <w:tc>
          <w:tcPr>
            <w:tcW w:w="260" w:type="dxa"/>
            <w:vAlign w:val="bottom"/>
            <w:tcBorders>
              <w:bottom w:val="single" w:sz="8" w:color="CCECFF"/>
            </w:tcBorders>
            <w:shd w:val="clear" w:color="auto" w:fill="CCECFF"/>
          </w:tcPr>
          <w:p>
            <w:pPr>
              <w:spacing w:after="0"/>
              <w:rPr>
                <w:sz w:val="11"/>
                <w:szCs w:val="11"/>
                <w:color w:val="auto"/>
              </w:rPr>
            </w:pPr>
          </w:p>
        </w:tc>
        <w:tc>
          <w:tcPr>
            <w:tcW w:w="2380" w:type="dxa"/>
            <w:vAlign w:val="bottom"/>
            <w:tcBorders>
              <w:bottom w:val="single" w:sz="8" w:color="CCECFF"/>
            </w:tcBorders>
            <w:shd w:val="clear" w:color="auto" w:fill="CCECFF"/>
          </w:tcPr>
          <w:p>
            <w:pPr>
              <w:jc w:val="center"/>
              <w:spacing w:after="0"/>
              <w:rPr>
                <w:sz w:val="20"/>
                <w:szCs w:val="20"/>
                <w:color w:val="auto"/>
              </w:rPr>
            </w:pPr>
            <w:r>
              <w:rPr>
                <w:rFonts w:ascii="Arial" w:cs="Arial" w:eastAsia="Arial" w:hAnsi="Arial"/>
                <w:sz w:val="11"/>
                <w:szCs w:val="11"/>
                <w:color w:val="auto"/>
                <w:w w:val="91"/>
              </w:rPr>
              <w:t>Media: Diversified and Production</w:t>
            </w:r>
          </w:p>
        </w:tc>
        <w:tc>
          <w:tcPr>
            <w:tcW w:w="140" w:type="dxa"/>
            <w:vAlign w:val="bottom"/>
            <w:tcBorders>
              <w:bottom w:val="single" w:sz="8" w:color="CCECFF"/>
            </w:tcBorders>
            <w:shd w:val="clear" w:color="auto" w:fill="CCECFF"/>
          </w:tcPr>
          <w:p>
            <w:pPr>
              <w:spacing w:after="0"/>
              <w:rPr>
                <w:sz w:val="11"/>
                <w:szCs w:val="11"/>
                <w:color w:val="auto"/>
              </w:rPr>
            </w:pPr>
          </w:p>
        </w:tc>
        <w:tc>
          <w:tcPr>
            <w:tcW w:w="880" w:type="dxa"/>
            <w:vAlign w:val="bottom"/>
            <w:tcBorders>
              <w:bottom w:val="single" w:sz="8" w:color="CCECFF"/>
            </w:tcBorders>
            <w:gridSpan w:val="2"/>
            <w:shd w:val="clear" w:color="auto" w:fill="CCECFF"/>
          </w:tcPr>
          <w:p>
            <w:pPr>
              <w:jc w:val="right"/>
              <w:ind w:right="186"/>
              <w:spacing w:after="0"/>
              <w:rPr>
                <w:sz w:val="20"/>
                <w:szCs w:val="20"/>
                <w:color w:val="auto"/>
              </w:rPr>
            </w:pPr>
            <w:r>
              <w:rPr>
                <w:rFonts w:ascii="Arial" w:cs="Arial" w:eastAsia="Arial" w:hAnsi="Arial"/>
                <w:sz w:val="11"/>
                <w:szCs w:val="11"/>
                <w:color w:val="auto"/>
              </w:rPr>
              <w:t>—</w:t>
            </w:r>
          </w:p>
        </w:tc>
        <w:tc>
          <w:tcPr>
            <w:tcW w:w="94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940" w:type="dxa"/>
            <w:vAlign w:val="bottom"/>
            <w:tcBorders>
              <w:bottom w:val="single" w:sz="8" w:color="CCECFF"/>
            </w:tcBorders>
            <w:gridSpan w:val="2"/>
            <w:shd w:val="clear" w:color="auto" w:fill="CCECFF"/>
          </w:tcPr>
          <w:p>
            <w:pPr>
              <w:jc w:val="right"/>
              <w:spacing w:after="0"/>
              <w:rPr>
                <w:sz w:val="20"/>
                <w:szCs w:val="20"/>
                <w:color w:val="auto"/>
              </w:rPr>
            </w:pPr>
            <w:r>
              <w:rPr>
                <w:rFonts w:ascii="Arial" w:cs="Arial" w:eastAsia="Arial" w:hAnsi="Arial"/>
                <w:sz w:val="11"/>
                <w:szCs w:val="11"/>
                <w:color w:val="auto"/>
              </w:rPr>
              <w:t>0</w:t>
            </w:r>
          </w:p>
        </w:tc>
        <w:tc>
          <w:tcPr>
            <w:tcW w:w="24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auto"/>
            </w:tcBorders>
            <w:shd w:val="clear" w:color="auto" w:fill="CCECFF"/>
          </w:tcPr>
          <w:p>
            <w:pPr>
              <w:spacing w:after="0"/>
              <w:rPr>
                <w:sz w:val="11"/>
                <w:szCs w:val="11"/>
                <w:color w:val="auto"/>
              </w:rPr>
            </w:pPr>
          </w:p>
        </w:tc>
        <w:tc>
          <w:tcPr>
            <w:tcW w:w="5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bottom w:val="single" w:sz="8" w:color="auto"/>
            </w:tcBorders>
            <w:shd w:val="clear" w:color="auto" w:fill="CCECFF"/>
          </w:tcPr>
          <w:p>
            <w:pPr>
              <w:spacing w:after="0"/>
              <w:rPr>
                <w:sz w:val="11"/>
                <w:szCs w:val="11"/>
                <w:color w:val="auto"/>
              </w:rPr>
            </w:pPr>
          </w:p>
        </w:tc>
        <w:tc>
          <w:tcPr>
            <w:tcW w:w="5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362.2</w:t>
            </w:r>
          </w:p>
        </w:tc>
        <w:tc>
          <w:tcPr>
            <w:tcW w:w="10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700" w:type="dxa"/>
            <w:vAlign w:val="bottom"/>
          </w:tcPr>
          <w:p>
            <w:pPr>
              <w:ind w:left="20"/>
              <w:spacing w:after="0"/>
              <w:rPr>
                <w:sz w:val="20"/>
                <w:szCs w:val="20"/>
                <w:color w:val="auto"/>
              </w:rPr>
            </w:pPr>
            <w:r>
              <w:rPr>
                <w:rFonts w:ascii="Arial" w:cs="Arial" w:eastAsia="Arial" w:hAnsi="Arial"/>
                <w:sz w:val="11"/>
                <w:szCs w:val="11"/>
                <w:b w:val="1"/>
                <w:bCs w:val="1"/>
                <w:color w:val="auto"/>
              </w:rPr>
              <w:t>Total Equity Securities</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12,002</w:t>
            </w:r>
          </w:p>
        </w:tc>
        <w:tc>
          <w:tcPr>
            <w:tcW w:w="2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1,677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70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1"/>
                <w:szCs w:val="11"/>
                <w:b w:val="1"/>
                <w:bCs w:val="1"/>
                <w:color w:val="auto"/>
              </w:rPr>
              <w:t>Total Investments - 1101.7%</w:t>
            </w:r>
          </w:p>
        </w:tc>
        <w:tc>
          <w:tcPr>
            <w:tcW w:w="20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CCECFF"/>
            </w:tcBorders>
            <w:shd w:val="clear" w:color="auto" w:fill="CCECFF"/>
          </w:tcPr>
          <w:p>
            <w:pPr>
              <w:spacing w:after="0"/>
              <w:rPr>
                <w:sz w:val="11"/>
                <w:szCs w:val="11"/>
                <w:color w:val="auto"/>
              </w:rPr>
            </w:pPr>
          </w:p>
        </w:tc>
        <w:tc>
          <w:tcPr>
            <w:tcW w:w="700" w:type="dxa"/>
            <w:vAlign w:val="bottom"/>
            <w:tcBorders>
              <w:bottom w:val="single" w:sz="8" w:color="CCECFF"/>
            </w:tcBorders>
            <w:shd w:val="clear" w:color="auto" w:fill="CCECFF"/>
          </w:tcPr>
          <w:p>
            <w:pPr>
              <w:spacing w:after="0"/>
              <w:rPr>
                <w:sz w:val="11"/>
                <w:szCs w:val="11"/>
                <w:color w:val="auto"/>
              </w:rPr>
            </w:pPr>
          </w:p>
        </w:tc>
        <w:tc>
          <w:tcPr>
            <w:tcW w:w="260" w:type="dxa"/>
            <w:vAlign w:val="bottom"/>
            <w:tcBorders>
              <w:bottom w:val="single" w:sz="8" w:color="CCECFF"/>
            </w:tcBorders>
            <w:shd w:val="clear" w:color="auto" w:fill="CCECFF"/>
          </w:tcPr>
          <w:p>
            <w:pPr>
              <w:spacing w:after="0"/>
              <w:rPr>
                <w:sz w:val="11"/>
                <w:szCs w:val="11"/>
                <w:color w:val="auto"/>
              </w:rPr>
            </w:pPr>
          </w:p>
        </w:tc>
        <w:tc>
          <w:tcPr>
            <w:tcW w:w="238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CCECFF"/>
            </w:tcBorders>
            <w:shd w:val="clear" w:color="auto" w:fill="CCECFF"/>
          </w:tcPr>
          <w:p>
            <w:pPr>
              <w:spacing w:after="0"/>
              <w:rPr>
                <w:sz w:val="11"/>
                <w:szCs w:val="11"/>
                <w:color w:val="auto"/>
              </w:rPr>
            </w:pPr>
          </w:p>
        </w:tc>
        <w:tc>
          <w:tcPr>
            <w:tcW w:w="66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94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720" w:type="dxa"/>
            <w:vAlign w:val="bottom"/>
            <w:tcBorders>
              <w:bottom w:val="single" w:sz="8" w:color="CCECFF"/>
            </w:tcBorders>
            <w:shd w:val="clear" w:color="auto" w:fill="CCECFF"/>
          </w:tcPr>
          <w:p>
            <w:pPr>
              <w:spacing w:after="0"/>
              <w:rPr>
                <w:sz w:val="11"/>
                <w:szCs w:val="11"/>
                <w:color w:val="auto"/>
              </w:rPr>
            </w:pPr>
          </w:p>
        </w:tc>
        <w:tc>
          <w:tcPr>
            <w:tcW w:w="24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auto"/>
            </w:tcBorders>
            <w:shd w:val="clear" w:color="auto" w:fill="CCECFF"/>
          </w:tcPr>
          <w:p>
            <w:pPr>
              <w:spacing w:after="0"/>
              <w:rPr>
                <w:sz w:val="11"/>
                <w:szCs w:val="11"/>
                <w:color w:val="auto"/>
              </w:rPr>
            </w:pPr>
          </w:p>
        </w:tc>
        <w:tc>
          <w:tcPr>
            <w:tcW w:w="5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576,263</w:t>
            </w:r>
          </w:p>
        </w:tc>
        <w:tc>
          <w:tcPr>
            <w:tcW w:w="22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bottom w:val="single" w:sz="8" w:color="auto"/>
            </w:tcBorders>
            <w:shd w:val="clear" w:color="auto" w:fill="CCECFF"/>
          </w:tcPr>
          <w:p>
            <w:pPr>
              <w:spacing w:after="0"/>
              <w:rPr>
                <w:sz w:val="11"/>
                <w:szCs w:val="11"/>
                <w:color w:val="auto"/>
              </w:rPr>
            </w:pPr>
          </w:p>
        </w:tc>
        <w:tc>
          <w:tcPr>
            <w:tcW w:w="5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564,783</w:t>
            </w:r>
          </w:p>
        </w:tc>
        <w:tc>
          <w:tcPr>
            <w:tcW w:w="10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700" w:type="dxa"/>
            <w:vAlign w:val="bottom"/>
          </w:tcPr>
          <w:p>
            <w:pPr>
              <w:ind w:left="20"/>
              <w:spacing w:after="0"/>
              <w:rPr>
                <w:sz w:val="20"/>
                <w:szCs w:val="20"/>
                <w:color w:val="auto"/>
              </w:rPr>
            </w:pPr>
            <w:r>
              <w:rPr>
                <w:rFonts w:ascii="Arial" w:cs="Arial" w:eastAsia="Arial" w:hAnsi="Arial"/>
                <w:sz w:val="11"/>
                <w:szCs w:val="11"/>
                <w:b w:val="1"/>
                <w:bCs w:val="1"/>
                <w:color w:val="auto"/>
              </w:rPr>
              <w:t>Cash and Cash Equivalents - 55.3%</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shd w:val="clear" w:color="auto" w:fill="CCECFF"/>
          </w:tcPr>
          <w:p>
            <w:pPr>
              <w:ind w:left="20"/>
              <w:spacing w:after="0"/>
              <w:rPr>
                <w:sz w:val="20"/>
                <w:szCs w:val="20"/>
                <w:color w:val="auto"/>
              </w:rPr>
            </w:pPr>
            <w:r>
              <w:rPr>
                <w:rFonts w:ascii="Arial" w:cs="Arial" w:eastAsia="Arial" w:hAnsi="Arial"/>
                <w:sz w:val="11"/>
                <w:szCs w:val="11"/>
                <w:color w:val="auto"/>
              </w:rPr>
              <w:t>BlackRock Federal FD Institutional 30</w:t>
            </w:r>
          </w:p>
        </w:tc>
        <w:tc>
          <w:tcPr>
            <w:tcW w:w="2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238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9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28,191</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28,191</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tcPr>
          <w:p>
            <w:pPr>
              <w:ind w:left="20"/>
              <w:spacing w:after="0"/>
              <w:rPr>
                <w:sz w:val="20"/>
                <w:szCs w:val="20"/>
                <w:color w:val="auto"/>
              </w:rPr>
            </w:pPr>
            <w:r>
              <w:rPr>
                <w:rFonts w:ascii="Arial" w:cs="Arial" w:eastAsia="Arial" w:hAnsi="Arial"/>
                <w:sz w:val="11"/>
                <w:szCs w:val="11"/>
                <w:color w:val="auto"/>
              </w:rPr>
              <w:t>US Bank Cash</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196</w:t>
            </w:r>
          </w:p>
        </w:tc>
        <w:tc>
          <w:tcPr>
            <w:tcW w:w="2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70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1"/>
                <w:szCs w:val="11"/>
                <w:b w:val="1"/>
                <w:bCs w:val="1"/>
                <w:color w:val="auto"/>
              </w:rPr>
              <w:t>Total Cash and Cash Equivalents</w:t>
            </w:r>
          </w:p>
        </w:tc>
        <w:tc>
          <w:tcPr>
            <w:tcW w:w="20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CCECFF"/>
            </w:tcBorders>
            <w:shd w:val="clear" w:color="auto" w:fill="CCECFF"/>
          </w:tcPr>
          <w:p>
            <w:pPr>
              <w:spacing w:after="0"/>
              <w:rPr>
                <w:sz w:val="11"/>
                <w:szCs w:val="11"/>
                <w:color w:val="auto"/>
              </w:rPr>
            </w:pPr>
          </w:p>
        </w:tc>
        <w:tc>
          <w:tcPr>
            <w:tcW w:w="700" w:type="dxa"/>
            <w:vAlign w:val="bottom"/>
            <w:tcBorders>
              <w:bottom w:val="single" w:sz="8" w:color="CCECFF"/>
            </w:tcBorders>
            <w:shd w:val="clear" w:color="auto" w:fill="CCECFF"/>
          </w:tcPr>
          <w:p>
            <w:pPr>
              <w:spacing w:after="0"/>
              <w:rPr>
                <w:sz w:val="11"/>
                <w:szCs w:val="11"/>
                <w:color w:val="auto"/>
              </w:rPr>
            </w:pPr>
          </w:p>
        </w:tc>
        <w:tc>
          <w:tcPr>
            <w:tcW w:w="260" w:type="dxa"/>
            <w:vAlign w:val="bottom"/>
            <w:tcBorders>
              <w:bottom w:val="single" w:sz="8" w:color="CCECFF"/>
            </w:tcBorders>
            <w:shd w:val="clear" w:color="auto" w:fill="CCECFF"/>
          </w:tcPr>
          <w:p>
            <w:pPr>
              <w:spacing w:after="0"/>
              <w:rPr>
                <w:sz w:val="11"/>
                <w:szCs w:val="11"/>
                <w:color w:val="auto"/>
              </w:rPr>
            </w:pPr>
          </w:p>
        </w:tc>
        <w:tc>
          <w:tcPr>
            <w:tcW w:w="238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CCECFF"/>
            </w:tcBorders>
            <w:shd w:val="clear" w:color="auto" w:fill="CCECFF"/>
          </w:tcPr>
          <w:p>
            <w:pPr>
              <w:spacing w:after="0"/>
              <w:rPr>
                <w:sz w:val="11"/>
                <w:szCs w:val="11"/>
                <w:color w:val="auto"/>
              </w:rPr>
            </w:pPr>
          </w:p>
        </w:tc>
        <w:tc>
          <w:tcPr>
            <w:tcW w:w="66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94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720" w:type="dxa"/>
            <w:vAlign w:val="bottom"/>
            <w:tcBorders>
              <w:bottom w:val="single" w:sz="8" w:color="CCECFF"/>
            </w:tcBorders>
            <w:shd w:val="clear" w:color="auto" w:fill="CCECFF"/>
          </w:tcPr>
          <w:p>
            <w:pPr>
              <w:spacing w:after="0"/>
              <w:rPr>
                <w:sz w:val="11"/>
                <w:szCs w:val="11"/>
                <w:color w:val="auto"/>
              </w:rPr>
            </w:pPr>
          </w:p>
        </w:tc>
        <w:tc>
          <w:tcPr>
            <w:tcW w:w="24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auto"/>
            </w:tcBorders>
            <w:shd w:val="clear" w:color="auto" w:fill="CCECFF"/>
          </w:tcPr>
          <w:p>
            <w:pPr>
              <w:spacing w:after="0"/>
              <w:rPr>
                <w:sz w:val="11"/>
                <w:szCs w:val="11"/>
                <w:color w:val="auto"/>
              </w:rPr>
            </w:pPr>
          </w:p>
        </w:tc>
        <w:tc>
          <w:tcPr>
            <w:tcW w:w="5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28,387</w:t>
            </w:r>
          </w:p>
        </w:tc>
        <w:tc>
          <w:tcPr>
            <w:tcW w:w="22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bottom w:val="single" w:sz="8" w:color="auto"/>
            </w:tcBorders>
            <w:shd w:val="clear" w:color="auto" w:fill="CCECFF"/>
          </w:tcPr>
          <w:p>
            <w:pPr>
              <w:spacing w:after="0"/>
              <w:rPr>
                <w:sz w:val="11"/>
                <w:szCs w:val="11"/>
                <w:color w:val="auto"/>
              </w:rPr>
            </w:pPr>
          </w:p>
        </w:tc>
        <w:tc>
          <w:tcPr>
            <w:tcW w:w="5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28,374</w:t>
            </w:r>
          </w:p>
        </w:tc>
        <w:tc>
          <w:tcPr>
            <w:tcW w:w="10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700" w:type="dxa"/>
            <w:vAlign w:val="bottom"/>
          </w:tcPr>
          <w:p>
            <w:pPr>
              <w:ind w:left="20"/>
              <w:spacing w:after="0"/>
              <w:rPr>
                <w:sz w:val="20"/>
                <w:szCs w:val="20"/>
                <w:color w:val="auto"/>
              </w:rPr>
            </w:pPr>
            <w:r>
              <w:rPr>
                <w:rFonts w:ascii="Arial" w:cs="Arial" w:eastAsia="Arial" w:hAnsi="Arial"/>
                <w:sz w:val="11"/>
                <w:szCs w:val="11"/>
                <w:b w:val="1"/>
                <w:bCs w:val="1"/>
                <w:color w:val="auto"/>
                <w:w w:val="97"/>
              </w:rPr>
              <w:t>Total Investments and Cash Equivalents —1,157.1%</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80" w:type="dxa"/>
            <w:vAlign w:val="bottom"/>
            <w:gridSpan w:val="3"/>
          </w:tcPr>
          <w:p>
            <w:pPr>
              <w:spacing w:after="0"/>
              <w:rPr>
                <w:sz w:val="12"/>
                <w:szCs w:val="12"/>
                <w:color w:val="auto"/>
              </w:rPr>
            </w:pPr>
          </w:p>
        </w:tc>
        <w:tc>
          <w:tcPr>
            <w:tcW w:w="14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604,650</w:t>
            </w:r>
          </w:p>
        </w:tc>
        <w:tc>
          <w:tcPr>
            <w:tcW w:w="220" w:type="dxa"/>
            <w:vAlign w:val="bottom"/>
          </w:tcPr>
          <w:p>
            <w:pPr>
              <w:spacing w:after="0"/>
              <w:rPr>
                <w:sz w:val="12"/>
                <w:szCs w:val="12"/>
                <w:color w:val="auto"/>
              </w:rPr>
            </w:pPr>
          </w:p>
        </w:tc>
        <w:tc>
          <w:tcPr>
            <w:tcW w:w="18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w w:val="97"/>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593,157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700" w:type="dxa"/>
            <w:vAlign w:val="bottom"/>
            <w:tcBorders>
              <w:bottom w:val="single" w:sz="8" w:color="CCECFF"/>
            </w:tcBorders>
            <w:shd w:val="clear" w:color="auto" w:fill="CCECFF"/>
          </w:tcPr>
          <w:p>
            <w:pPr>
              <w:ind w:left="20"/>
              <w:spacing w:after="0" w:line="102" w:lineRule="exact"/>
              <w:rPr>
                <w:sz w:val="20"/>
                <w:szCs w:val="20"/>
                <w:color w:val="auto"/>
              </w:rPr>
            </w:pPr>
            <w:r>
              <w:rPr>
                <w:rFonts w:ascii="Arial" w:cs="Arial" w:eastAsia="Arial" w:hAnsi="Arial"/>
                <w:sz w:val="11"/>
                <w:szCs w:val="11"/>
                <w:b w:val="1"/>
                <w:bCs w:val="1"/>
                <w:color w:val="auto"/>
              </w:rPr>
              <w:t>Liabilities in Excess of Other Assets — (1057.1)%</w:t>
            </w:r>
          </w:p>
        </w:tc>
        <w:tc>
          <w:tcPr>
            <w:tcW w:w="200" w:type="dxa"/>
            <w:vAlign w:val="bottom"/>
            <w:tcBorders>
              <w:bottom w:val="single" w:sz="8" w:color="CCECFF"/>
            </w:tcBorders>
            <w:shd w:val="clear" w:color="auto" w:fill="CCECFF"/>
          </w:tcPr>
          <w:p>
            <w:pPr>
              <w:spacing w:after="0"/>
              <w:rPr>
                <w:sz w:val="8"/>
                <w:szCs w:val="8"/>
                <w:color w:val="auto"/>
              </w:rPr>
            </w:pPr>
          </w:p>
        </w:tc>
        <w:tc>
          <w:tcPr>
            <w:tcW w:w="140" w:type="dxa"/>
            <w:vAlign w:val="bottom"/>
            <w:tcBorders>
              <w:bottom w:val="single" w:sz="8" w:color="CCECFF"/>
            </w:tcBorders>
            <w:shd w:val="clear" w:color="auto" w:fill="CCECFF"/>
          </w:tcPr>
          <w:p>
            <w:pPr>
              <w:spacing w:after="0"/>
              <w:rPr>
                <w:sz w:val="8"/>
                <w:szCs w:val="8"/>
                <w:color w:val="auto"/>
              </w:rPr>
            </w:pPr>
          </w:p>
        </w:tc>
        <w:tc>
          <w:tcPr>
            <w:tcW w:w="700" w:type="dxa"/>
            <w:vAlign w:val="bottom"/>
            <w:tcBorders>
              <w:bottom w:val="single" w:sz="8" w:color="CCECFF"/>
            </w:tcBorders>
            <w:shd w:val="clear" w:color="auto" w:fill="CCECFF"/>
          </w:tcPr>
          <w:p>
            <w:pPr>
              <w:spacing w:after="0"/>
              <w:rPr>
                <w:sz w:val="8"/>
                <w:szCs w:val="8"/>
                <w:color w:val="auto"/>
              </w:rPr>
            </w:pPr>
          </w:p>
        </w:tc>
        <w:tc>
          <w:tcPr>
            <w:tcW w:w="260" w:type="dxa"/>
            <w:vAlign w:val="bottom"/>
            <w:tcBorders>
              <w:bottom w:val="single" w:sz="8" w:color="CCECFF"/>
            </w:tcBorders>
            <w:shd w:val="clear" w:color="auto" w:fill="CCECFF"/>
          </w:tcPr>
          <w:p>
            <w:pPr>
              <w:spacing w:after="0"/>
              <w:rPr>
                <w:sz w:val="8"/>
                <w:szCs w:val="8"/>
                <w:color w:val="auto"/>
              </w:rPr>
            </w:pPr>
          </w:p>
        </w:tc>
        <w:tc>
          <w:tcPr>
            <w:tcW w:w="2380" w:type="dxa"/>
            <w:vAlign w:val="bottom"/>
            <w:tcBorders>
              <w:bottom w:val="single" w:sz="8" w:color="CCECFF"/>
            </w:tcBorders>
            <w:shd w:val="clear" w:color="auto" w:fill="CCECFF"/>
          </w:tcPr>
          <w:p>
            <w:pPr>
              <w:spacing w:after="0"/>
              <w:rPr>
                <w:sz w:val="8"/>
                <w:szCs w:val="8"/>
                <w:color w:val="auto"/>
              </w:rPr>
            </w:pPr>
          </w:p>
        </w:tc>
        <w:tc>
          <w:tcPr>
            <w:tcW w:w="140" w:type="dxa"/>
            <w:vAlign w:val="bottom"/>
            <w:tcBorders>
              <w:bottom w:val="single" w:sz="8" w:color="CCECFF"/>
            </w:tcBorders>
            <w:shd w:val="clear" w:color="auto" w:fill="CCECFF"/>
          </w:tcPr>
          <w:p>
            <w:pPr>
              <w:spacing w:after="0"/>
              <w:rPr>
                <w:sz w:val="8"/>
                <w:szCs w:val="8"/>
                <w:color w:val="auto"/>
              </w:rPr>
            </w:pPr>
          </w:p>
        </w:tc>
        <w:tc>
          <w:tcPr>
            <w:tcW w:w="660" w:type="dxa"/>
            <w:vAlign w:val="bottom"/>
            <w:tcBorders>
              <w:bottom w:val="single" w:sz="8" w:color="CCECFF"/>
            </w:tcBorders>
            <w:shd w:val="clear" w:color="auto" w:fill="CCECFF"/>
          </w:tcPr>
          <w:p>
            <w:pPr>
              <w:spacing w:after="0"/>
              <w:rPr>
                <w:sz w:val="8"/>
                <w:szCs w:val="8"/>
                <w:color w:val="auto"/>
              </w:rPr>
            </w:pPr>
          </w:p>
        </w:tc>
        <w:tc>
          <w:tcPr>
            <w:tcW w:w="220" w:type="dxa"/>
            <w:vAlign w:val="bottom"/>
            <w:tcBorders>
              <w:bottom w:val="single" w:sz="8" w:color="CCECFF"/>
            </w:tcBorders>
            <w:shd w:val="clear" w:color="auto" w:fill="CCECFF"/>
          </w:tcPr>
          <w:p>
            <w:pPr>
              <w:spacing w:after="0"/>
              <w:rPr>
                <w:sz w:val="8"/>
                <w:szCs w:val="8"/>
                <w:color w:val="auto"/>
              </w:rPr>
            </w:pPr>
          </w:p>
        </w:tc>
        <w:tc>
          <w:tcPr>
            <w:tcW w:w="940" w:type="dxa"/>
            <w:vAlign w:val="bottom"/>
            <w:tcBorders>
              <w:bottom w:val="single" w:sz="8" w:color="CCECFF"/>
            </w:tcBorders>
            <w:shd w:val="clear" w:color="auto" w:fill="CCECFF"/>
          </w:tcPr>
          <w:p>
            <w:pPr>
              <w:spacing w:after="0"/>
              <w:rPr>
                <w:sz w:val="8"/>
                <w:szCs w:val="8"/>
                <w:color w:val="auto"/>
              </w:rPr>
            </w:pPr>
          </w:p>
        </w:tc>
        <w:tc>
          <w:tcPr>
            <w:tcW w:w="220" w:type="dxa"/>
            <w:vAlign w:val="bottom"/>
            <w:tcBorders>
              <w:bottom w:val="single" w:sz="8" w:color="CCECFF"/>
            </w:tcBorders>
            <w:shd w:val="clear" w:color="auto" w:fill="CCECFF"/>
          </w:tcPr>
          <w:p>
            <w:pPr>
              <w:spacing w:after="0"/>
              <w:rPr>
                <w:sz w:val="8"/>
                <w:szCs w:val="8"/>
                <w:color w:val="auto"/>
              </w:rPr>
            </w:pPr>
          </w:p>
        </w:tc>
        <w:tc>
          <w:tcPr>
            <w:tcW w:w="720" w:type="dxa"/>
            <w:vAlign w:val="bottom"/>
            <w:tcBorders>
              <w:bottom w:val="single" w:sz="8" w:color="CCECFF"/>
            </w:tcBorders>
            <w:shd w:val="clear" w:color="auto" w:fill="CCECFF"/>
          </w:tcPr>
          <w:p>
            <w:pPr>
              <w:spacing w:after="0"/>
              <w:rPr>
                <w:sz w:val="8"/>
                <w:szCs w:val="8"/>
                <w:color w:val="auto"/>
              </w:rPr>
            </w:pPr>
          </w:p>
        </w:tc>
        <w:tc>
          <w:tcPr>
            <w:tcW w:w="240" w:type="dxa"/>
            <w:vAlign w:val="bottom"/>
            <w:tcBorders>
              <w:bottom w:val="single" w:sz="8" w:color="CCECFF"/>
            </w:tcBorders>
            <w:shd w:val="clear" w:color="auto" w:fill="CCECFF"/>
          </w:tcPr>
          <w:p>
            <w:pPr>
              <w:spacing w:after="0"/>
              <w:rPr>
                <w:sz w:val="8"/>
                <w:szCs w:val="8"/>
                <w:color w:val="auto"/>
              </w:rPr>
            </w:pPr>
          </w:p>
        </w:tc>
        <w:tc>
          <w:tcPr>
            <w:tcW w:w="140" w:type="dxa"/>
            <w:vAlign w:val="bottom"/>
            <w:tcBorders>
              <w:top w:val="single" w:sz="8" w:color="auto"/>
              <w:bottom w:val="single" w:sz="8" w:color="CCECFF"/>
            </w:tcBorders>
            <w:shd w:val="clear" w:color="auto" w:fill="CCECFF"/>
          </w:tcPr>
          <w:p>
            <w:pPr>
              <w:spacing w:after="0"/>
              <w:rPr>
                <w:sz w:val="8"/>
                <w:szCs w:val="8"/>
                <w:color w:val="auto"/>
              </w:rPr>
            </w:pPr>
          </w:p>
        </w:tc>
        <w:tc>
          <w:tcPr>
            <w:tcW w:w="560" w:type="dxa"/>
            <w:vAlign w:val="bottom"/>
            <w:tcBorders>
              <w:top w:val="single" w:sz="8" w:color="auto"/>
              <w:bottom w:val="single" w:sz="8" w:color="CCECFF"/>
            </w:tcBorders>
            <w:shd w:val="clear" w:color="auto" w:fill="CCECFF"/>
          </w:tcPr>
          <w:p>
            <w:pPr>
              <w:spacing w:after="0"/>
              <w:rPr>
                <w:sz w:val="8"/>
                <w:szCs w:val="8"/>
                <w:color w:val="auto"/>
              </w:rPr>
            </w:pPr>
          </w:p>
        </w:tc>
        <w:tc>
          <w:tcPr>
            <w:tcW w:w="220" w:type="dxa"/>
            <w:vAlign w:val="bottom"/>
            <w:tcBorders>
              <w:bottom w:val="single" w:sz="8" w:color="CCECFF"/>
            </w:tcBorders>
            <w:shd w:val="clear" w:color="auto" w:fill="CCECFF"/>
          </w:tcPr>
          <w:p>
            <w:pPr>
              <w:spacing w:after="0"/>
              <w:rPr>
                <w:sz w:val="8"/>
                <w:szCs w:val="8"/>
                <w:color w:val="auto"/>
              </w:rPr>
            </w:pPr>
          </w:p>
        </w:tc>
        <w:tc>
          <w:tcPr>
            <w:tcW w:w="180" w:type="dxa"/>
            <w:vAlign w:val="bottom"/>
            <w:tcBorders>
              <w:top w:val="single" w:sz="8" w:color="auto"/>
              <w:bottom w:val="single" w:sz="8" w:color="auto"/>
            </w:tcBorders>
            <w:shd w:val="clear" w:color="auto" w:fill="CCECFF"/>
          </w:tcPr>
          <w:p>
            <w:pPr>
              <w:spacing w:after="0"/>
              <w:rPr>
                <w:sz w:val="8"/>
                <w:szCs w:val="8"/>
                <w:color w:val="auto"/>
              </w:rPr>
            </w:pPr>
          </w:p>
        </w:tc>
        <w:tc>
          <w:tcPr>
            <w:tcW w:w="520" w:type="dxa"/>
            <w:vAlign w:val="bottom"/>
            <w:tcBorders>
              <w:top w:val="single" w:sz="8" w:color="auto"/>
              <w:bottom w:val="single" w:sz="8" w:color="auto"/>
            </w:tcBorders>
            <w:shd w:val="clear" w:color="auto" w:fill="CCECFF"/>
          </w:tcPr>
          <w:p>
            <w:pPr>
              <w:jc w:val="right"/>
              <w:spacing w:after="0" w:line="102" w:lineRule="exact"/>
              <w:rPr>
                <w:sz w:val="20"/>
                <w:szCs w:val="20"/>
                <w:color w:val="auto"/>
              </w:rPr>
            </w:pPr>
            <w:r>
              <w:rPr>
                <w:rFonts w:ascii="Arial" w:cs="Arial" w:eastAsia="Arial" w:hAnsi="Arial"/>
                <w:sz w:val="11"/>
                <w:szCs w:val="11"/>
                <w:color w:val="auto"/>
              </w:rPr>
              <w:t>(541,893</w:t>
            </w:r>
          </w:p>
        </w:tc>
        <w:tc>
          <w:tcPr>
            <w:tcW w:w="100" w:type="dxa"/>
            <w:vAlign w:val="bottom"/>
            <w:tcBorders>
              <w:bottom w:val="single" w:sz="8" w:color="CCECFF"/>
            </w:tcBorders>
            <w:shd w:val="clear" w:color="auto" w:fill="CCECFF"/>
          </w:tcPr>
          <w:p>
            <w:pPr>
              <w:jc w:val="right"/>
              <w:ind w:right="22"/>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42"/>
        </w:trPr>
        <w:tc>
          <w:tcPr>
            <w:tcW w:w="2700" w:type="dxa"/>
            <w:vAlign w:val="bottom"/>
          </w:tcPr>
          <w:p>
            <w:pPr>
              <w:ind w:left="20"/>
              <w:spacing w:after="0"/>
              <w:rPr>
                <w:sz w:val="20"/>
                <w:szCs w:val="20"/>
                <w:color w:val="auto"/>
              </w:rPr>
            </w:pPr>
            <w:r>
              <w:rPr>
                <w:rFonts w:ascii="Arial" w:cs="Arial" w:eastAsia="Arial" w:hAnsi="Arial"/>
                <w:sz w:val="11"/>
                <w:szCs w:val="11"/>
                <w:b w:val="1"/>
                <w:bCs w:val="1"/>
                <w:color w:val="auto"/>
              </w:rPr>
              <w:t>Members' Equity—100.0%</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gridSpan w:val="2"/>
          </w:tcPr>
          <w:p>
            <w:pPr>
              <w:jc w:val="right"/>
              <w:ind w:right="46"/>
              <w:spacing w:after="0"/>
              <w:rPr>
                <w:sz w:val="20"/>
                <w:szCs w:val="20"/>
                <w:color w:val="auto"/>
              </w:rPr>
            </w:pPr>
            <w:r>
              <w:rPr>
                <w:rFonts w:ascii="Arial" w:cs="Arial" w:eastAsia="Arial" w:hAnsi="Arial"/>
                <w:sz w:val="11"/>
                <w:szCs w:val="11"/>
                <w:color w:val="auto"/>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51,264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6485890</wp:posOffset>
            </wp:positionH>
            <wp:positionV relativeFrom="paragraph">
              <wp:posOffset>-1916430</wp:posOffset>
            </wp:positionV>
            <wp:extent cx="68580" cy="571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-1916430</wp:posOffset>
            </wp:positionV>
            <wp:extent cx="68580" cy="571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-1816735</wp:posOffset>
            </wp:positionV>
            <wp:extent cx="7132320" cy="8572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-1402080</wp:posOffset>
            </wp:positionV>
            <wp:extent cx="68580" cy="571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-1402080</wp:posOffset>
            </wp:positionV>
            <wp:extent cx="68580" cy="571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-1302385</wp:posOffset>
            </wp:positionV>
            <wp:extent cx="7132320" cy="8572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-1130935</wp:posOffset>
            </wp:positionV>
            <wp:extent cx="7132320" cy="8572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-870585</wp:posOffset>
            </wp:positionV>
            <wp:extent cx="68580" cy="571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-870585</wp:posOffset>
            </wp:positionV>
            <wp:extent cx="68580" cy="571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-681990</wp:posOffset>
            </wp:positionV>
            <wp:extent cx="68580" cy="571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-681990</wp:posOffset>
            </wp:positionV>
            <wp:extent cx="68580" cy="571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-321945</wp:posOffset>
            </wp:positionV>
            <wp:extent cx="68580" cy="571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-321945</wp:posOffset>
            </wp:positionV>
            <wp:extent cx="68580" cy="571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-116205</wp:posOffset>
            </wp:positionV>
            <wp:extent cx="68580" cy="571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171450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380" w:right="20" w:hanging="372"/>
        <w:spacing w:after="0" w:line="219" w:lineRule="auto"/>
        <w:tabs>
          <w:tab w:leader="none" w:pos="380" w:val="left"/>
        </w:tabs>
        <w:numPr>
          <w:ilvl w:val="0"/>
          <w:numId w:val="9"/>
        </w:numPr>
        <w:rPr>
          <w:rFonts w:ascii="Arial" w:cs="Arial" w:eastAsia="Arial" w:hAnsi="Arial"/>
          <w:sz w:val="14"/>
          <w:szCs w:val="14"/>
          <w:color w:val="auto"/>
          <w:vertAlign w:val="superscript"/>
        </w:rPr>
      </w:pPr>
      <w:r>
        <w:rPr>
          <w:rFonts w:ascii="Arial" w:cs="Arial" w:eastAsia="Arial" w:hAnsi="Arial"/>
          <w:sz w:val="11"/>
          <w:szCs w:val="11"/>
          <w:color w:val="auto"/>
        </w:rPr>
        <w:t>Represents floating rate instruments that accrue interest at a predetermined spread relative to an index, typically the applicable LIBOR or “L” or Prime rate or “P”. The spread may change based on the type of rate used. The terms in the Schedule of Investments disclose the actual interest rate in effect as of the reporting period. LIBOR loans are typically indexed to a 30-day, 60-day, 90-day or 180-day LIBOR rate (1M L, 2M L, 3M L, or 6M L, respectively), at the borrower’s option. All securities are subject to a LIBOR or Prime rate floor where a spread is provided, unless noted. The spread provided includes PIK interest and other fee rates, if any.</w:t>
      </w:r>
    </w:p>
    <w:p>
      <w:pPr>
        <w:spacing w:after="0" w:line="1" w:lineRule="exact"/>
        <w:rPr>
          <w:rFonts w:ascii="Arial" w:cs="Arial" w:eastAsia="Arial" w:hAnsi="Arial"/>
          <w:sz w:val="14"/>
          <w:szCs w:val="14"/>
          <w:color w:val="auto"/>
          <w:vertAlign w:val="superscript"/>
        </w:rPr>
      </w:pPr>
    </w:p>
    <w:p>
      <w:pPr>
        <w:ind w:left="380" w:hanging="372"/>
        <w:spacing w:after="0" w:line="221" w:lineRule="auto"/>
        <w:tabs>
          <w:tab w:leader="none" w:pos="380" w:val="left"/>
        </w:tabs>
        <w:numPr>
          <w:ilvl w:val="0"/>
          <w:numId w:val="9"/>
        </w:numPr>
        <w:rPr>
          <w:rFonts w:ascii="Arial" w:cs="Arial" w:eastAsia="Arial" w:hAnsi="Arial"/>
          <w:sz w:val="14"/>
          <w:szCs w:val="14"/>
          <w:color w:val="auto"/>
          <w:vertAlign w:val="superscript"/>
        </w:rPr>
      </w:pPr>
      <w:r>
        <w:rPr>
          <w:rFonts w:ascii="Arial" w:cs="Arial" w:eastAsia="Arial" w:hAnsi="Arial"/>
          <w:sz w:val="11"/>
          <w:szCs w:val="11"/>
          <w:color w:val="auto"/>
        </w:rPr>
        <w:t>Valued based on PSSL’s accounting policy.</w:t>
      </w:r>
    </w:p>
    <w:p>
      <w:pPr>
        <w:spacing w:after="0" w:line="34" w:lineRule="exact"/>
        <w:rPr>
          <w:rFonts w:ascii="Arial" w:cs="Arial" w:eastAsia="Arial" w:hAnsi="Arial"/>
          <w:sz w:val="14"/>
          <w:szCs w:val="14"/>
          <w:color w:val="auto"/>
          <w:vertAlign w:val="superscript"/>
        </w:rPr>
      </w:pPr>
    </w:p>
    <w:p>
      <w:pPr>
        <w:ind w:left="380" w:hanging="372"/>
        <w:spacing w:after="0" w:line="191" w:lineRule="auto"/>
        <w:tabs>
          <w:tab w:leader="none" w:pos="380" w:val="left"/>
        </w:tabs>
        <w:numPr>
          <w:ilvl w:val="0"/>
          <w:numId w:val="9"/>
        </w:numPr>
        <w:rPr>
          <w:rFonts w:ascii="Arial" w:cs="Arial" w:eastAsia="Arial" w:hAnsi="Arial"/>
          <w:sz w:val="14"/>
          <w:szCs w:val="14"/>
          <w:color w:val="auto"/>
          <w:vertAlign w:val="superscript"/>
        </w:rPr>
      </w:pPr>
      <w:r>
        <w:rPr>
          <w:rFonts w:ascii="Arial" w:cs="Arial" w:eastAsia="Arial" w:hAnsi="Arial"/>
          <w:sz w:val="11"/>
          <w:szCs w:val="11"/>
          <w:color w:val="auto"/>
        </w:rPr>
        <w:t>Non-U.S. company or principal place of business outside the United States.</w:t>
      </w:r>
    </w:p>
    <w:p>
      <w:pPr>
        <w:spacing w:after="0" w:line="33" w:lineRule="exact"/>
        <w:rPr>
          <w:rFonts w:ascii="Arial" w:cs="Arial" w:eastAsia="Arial" w:hAnsi="Arial"/>
          <w:sz w:val="14"/>
          <w:szCs w:val="14"/>
          <w:color w:val="auto"/>
          <w:vertAlign w:val="superscript"/>
        </w:rPr>
      </w:pPr>
    </w:p>
    <w:p>
      <w:pPr>
        <w:ind w:left="380" w:hanging="372"/>
        <w:spacing w:after="0" w:line="191" w:lineRule="auto"/>
        <w:tabs>
          <w:tab w:leader="none" w:pos="380" w:val="left"/>
        </w:tabs>
        <w:numPr>
          <w:ilvl w:val="0"/>
          <w:numId w:val="9"/>
        </w:numPr>
        <w:rPr>
          <w:rFonts w:ascii="Arial" w:cs="Arial" w:eastAsia="Arial" w:hAnsi="Arial"/>
          <w:sz w:val="14"/>
          <w:szCs w:val="14"/>
          <w:color w:val="auto"/>
          <w:vertAlign w:val="superscript"/>
        </w:rPr>
      </w:pPr>
      <w:r>
        <w:rPr>
          <w:rFonts w:ascii="Arial" w:cs="Arial" w:eastAsia="Arial" w:hAnsi="Arial"/>
          <w:sz w:val="11"/>
          <w:szCs w:val="11"/>
          <w:color w:val="auto"/>
        </w:rPr>
        <w:t>Non-income producing security</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560" w:type="dxa"/>
            <w:vAlign w:val="bottom"/>
          </w:tcPr>
          <w:p>
            <w:pPr>
              <w:ind w:left="460"/>
              <w:spacing w:after="0"/>
              <w:rPr>
                <w:sz w:val="20"/>
                <w:szCs w:val="20"/>
                <w:color w:val="auto"/>
              </w:rPr>
            </w:pPr>
            <w:r>
              <w:rPr>
                <w:rFonts w:ascii="Arial" w:cs="Arial" w:eastAsia="Arial" w:hAnsi="Arial"/>
                <w:sz w:val="14"/>
                <w:szCs w:val="14"/>
                <w:color w:val="auto"/>
              </w:rPr>
              <w:t>Below are the consolidated statements of assets and liabilities for PSSL ($ in thousands):</w:t>
            </w:r>
          </w:p>
        </w:tc>
        <w:tc>
          <w:tcPr>
            <w:tcW w:w="260" w:type="dxa"/>
            <w:vAlign w:val="bottom"/>
          </w:tcPr>
          <w:p>
            <w:pPr>
              <w:spacing w:after="0"/>
              <w:rPr>
                <w:sz w:val="15"/>
                <w:szCs w:val="15"/>
                <w:color w:val="auto"/>
              </w:rPr>
            </w:pPr>
          </w:p>
        </w:tc>
        <w:tc>
          <w:tcPr>
            <w:tcW w:w="166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June 30, 2022</w:t>
            </w: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6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6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6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(Unaudited)</w:t>
            </w: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September 30, 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560" w:type="dxa"/>
            <w:vAlign w:val="bottom"/>
            <w:shd w:val="clear" w:color="auto" w:fill="CCECFF"/>
          </w:tcPr>
          <w:p>
            <w:pPr>
              <w:ind w:left="20"/>
              <w:spacing w:after="0"/>
              <w:rPr>
                <w:sz w:val="20"/>
                <w:szCs w:val="20"/>
                <w:color w:val="auto"/>
              </w:rPr>
            </w:pPr>
            <w:r>
              <w:rPr>
                <w:rFonts w:ascii="Arial" w:cs="Arial" w:eastAsia="Arial" w:hAnsi="Arial"/>
                <w:sz w:val="14"/>
                <w:szCs w:val="14"/>
                <w:b w:val="1"/>
                <w:bCs w:val="1"/>
                <w:color w:val="auto"/>
              </w:rPr>
              <w:t>Assets</w:t>
            </w:r>
          </w:p>
        </w:tc>
        <w:tc>
          <w:tcPr>
            <w:tcW w:w="260" w:type="dxa"/>
            <w:vAlign w:val="bottom"/>
            <w:shd w:val="clear" w:color="auto" w:fill="CCECFF"/>
          </w:tcPr>
          <w:p>
            <w:pPr>
              <w:spacing w:after="0"/>
              <w:rPr>
                <w:sz w:val="14"/>
                <w:szCs w:val="14"/>
                <w:color w:val="auto"/>
              </w:rPr>
            </w:pPr>
          </w:p>
        </w:tc>
        <w:tc>
          <w:tcPr>
            <w:tcW w:w="1660" w:type="dxa"/>
            <w:vAlign w:val="bottom"/>
            <w:shd w:val="clear" w:color="auto" w:fill="CCECFF"/>
          </w:tcPr>
          <w:p>
            <w:pPr>
              <w:spacing w:after="0"/>
              <w:rPr>
                <w:sz w:val="14"/>
                <w:szCs w:val="14"/>
                <w:color w:val="auto"/>
              </w:rPr>
            </w:pPr>
          </w:p>
        </w:tc>
        <w:tc>
          <w:tcPr>
            <w:tcW w:w="3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21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560" w:type="dxa"/>
            <w:vAlign w:val="bottom"/>
          </w:tcPr>
          <w:p>
            <w:pPr>
              <w:ind w:left="20"/>
              <w:spacing w:after="0"/>
              <w:rPr>
                <w:sz w:val="20"/>
                <w:szCs w:val="20"/>
                <w:color w:val="auto"/>
              </w:rPr>
            </w:pPr>
            <w:r>
              <w:rPr>
                <w:rFonts w:ascii="Arial" w:cs="Arial" w:eastAsia="Arial" w:hAnsi="Arial"/>
                <w:sz w:val="14"/>
                <w:szCs w:val="14"/>
                <w:color w:val="auto"/>
              </w:rPr>
              <w:t>Investments at fair value (cost—$752,368 and $576,263, respectively)</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660" w:type="dxa"/>
            <w:vAlign w:val="bottom"/>
          </w:tcPr>
          <w:p>
            <w:pPr>
              <w:jc w:val="right"/>
              <w:spacing w:after="0"/>
              <w:rPr>
                <w:sz w:val="20"/>
                <w:szCs w:val="20"/>
                <w:color w:val="auto"/>
              </w:rPr>
            </w:pPr>
            <w:r>
              <w:rPr>
                <w:rFonts w:ascii="Arial" w:cs="Arial" w:eastAsia="Arial" w:hAnsi="Arial"/>
                <w:sz w:val="14"/>
                <w:szCs w:val="14"/>
                <w:color w:val="auto"/>
              </w:rPr>
              <w:t>746,819</w:t>
            </w: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2100" w:type="dxa"/>
            <w:vAlign w:val="bottom"/>
          </w:tcPr>
          <w:p>
            <w:pPr>
              <w:jc w:val="right"/>
              <w:spacing w:after="0"/>
              <w:rPr>
                <w:sz w:val="20"/>
                <w:szCs w:val="20"/>
                <w:color w:val="auto"/>
              </w:rPr>
            </w:pPr>
            <w:r>
              <w:rPr>
                <w:rFonts w:ascii="Arial" w:cs="Arial" w:eastAsia="Arial" w:hAnsi="Arial"/>
                <w:sz w:val="14"/>
                <w:szCs w:val="14"/>
                <w:color w:val="auto"/>
              </w:rPr>
              <w:t>564,783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560" w:type="dxa"/>
            <w:vAlign w:val="bottom"/>
            <w:shd w:val="clear" w:color="auto" w:fill="CCECFF"/>
          </w:tcPr>
          <w:p>
            <w:pPr>
              <w:ind w:left="20"/>
              <w:spacing w:after="0"/>
              <w:rPr>
                <w:sz w:val="20"/>
                <w:szCs w:val="20"/>
                <w:color w:val="auto"/>
              </w:rPr>
            </w:pPr>
            <w:r>
              <w:rPr>
                <w:rFonts w:ascii="Arial" w:cs="Arial" w:eastAsia="Arial" w:hAnsi="Arial"/>
                <w:sz w:val="14"/>
                <w:szCs w:val="14"/>
                <w:color w:val="auto"/>
              </w:rPr>
              <w:t>Cash and cash equivalents (cost—$39,197 and $28,387, respectively)</w:t>
            </w:r>
          </w:p>
        </w:tc>
        <w:tc>
          <w:tcPr>
            <w:tcW w:w="260" w:type="dxa"/>
            <w:vAlign w:val="bottom"/>
            <w:shd w:val="clear" w:color="auto" w:fill="CCECFF"/>
          </w:tcPr>
          <w:p>
            <w:pPr>
              <w:spacing w:after="0"/>
              <w:rPr>
                <w:sz w:val="15"/>
                <w:szCs w:val="15"/>
                <w:color w:val="auto"/>
              </w:rPr>
            </w:pPr>
          </w:p>
        </w:tc>
        <w:tc>
          <w:tcPr>
            <w:tcW w:w="16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39,190</w:t>
            </w:r>
          </w:p>
        </w:tc>
        <w:tc>
          <w:tcPr>
            <w:tcW w:w="32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21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28,374</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560" w:type="dxa"/>
            <w:vAlign w:val="bottom"/>
          </w:tcPr>
          <w:p>
            <w:pPr>
              <w:ind w:left="20"/>
              <w:spacing w:after="0"/>
              <w:rPr>
                <w:sz w:val="20"/>
                <w:szCs w:val="20"/>
                <w:color w:val="auto"/>
              </w:rPr>
            </w:pPr>
            <w:r>
              <w:rPr>
                <w:rFonts w:ascii="Arial" w:cs="Arial" w:eastAsia="Arial" w:hAnsi="Arial"/>
                <w:sz w:val="14"/>
                <w:szCs w:val="14"/>
                <w:color w:val="auto"/>
              </w:rPr>
              <w:t>Interest receivable</w:t>
            </w:r>
          </w:p>
        </w:tc>
        <w:tc>
          <w:tcPr>
            <w:tcW w:w="26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2,282</w:t>
            </w: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00" w:type="dxa"/>
            <w:vAlign w:val="bottom"/>
          </w:tcPr>
          <w:p>
            <w:pPr>
              <w:jc w:val="right"/>
              <w:spacing w:after="0"/>
              <w:rPr>
                <w:sz w:val="20"/>
                <w:szCs w:val="20"/>
                <w:color w:val="auto"/>
              </w:rPr>
            </w:pPr>
            <w:r>
              <w:rPr>
                <w:rFonts w:ascii="Arial" w:cs="Arial" w:eastAsia="Arial" w:hAnsi="Arial"/>
                <w:sz w:val="14"/>
                <w:szCs w:val="14"/>
                <w:color w:val="auto"/>
              </w:rPr>
              <w:t>1,414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560" w:type="dxa"/>
            <w:vAlign w:val="bottom"/>
            <w:shd w:val="clear" w:color="auto" w:fill="CCECFF"/>
          </w:tcPr>
          <w:p>
            <w:pPr>
              <w:ind w:left="20"/>
              <w:spacing w:after="0"/>
              <w:rPr>
                <w:sz w:val="20"/>
                <w:szCs w:val="20"/>
                <w:color w:val="auto"/>
              </w:rPr>
            </w:pPr>
            <w:r>
              <w:rPr>
                <w:rFonts w:ascii="Arial" w:cs="Arial" w:eastAsia="Arial" w:hAnsi="Arial"/>
                <w:sz w:val="14"/>
                <w:szCs w:val="14"/>
                <w:color w:val="auto"/>
              </w:rPr>
              <w:t>Receivable for investment sold</w:t>
            </w:r>
          </w:p>
        </w:tc>
        <w:tc>
          <w:tcPr>
            <w:tcW w:w="260" w:type="dxa"/>
            <w:vAlign w:val="bottom"/>
            <w:shd w:val="clear" w:color="auto" w:fill="CCECFF"/>
          </w:tcPr>
          <w:p>
            <w:pPr>
              <w:spacing w:after="0"/>
              <w:rPr>
                <w:sz w:val="15"/>
                <w:szCs w:val="15"/>
                <w:color w:val="auto"/>
              </w:rPr>
            </w:pPr>
          </w:p>
        </w:tc>
        <w:tc>
          <w:tcPr>
            <w:tcW w:w="16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21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7,323</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560" w:type="dxa"/>
            <w:vAlign w:val="bottom"/>
          </w:tcPr>
          <w:p>
            <w:pPr>
              <w:ind w:left="20"/>
              <w:spacing w:after="0"/>
              <w:rPr>
                <w:sz w:val="20"/>
                <w:szCs w:val="20"/>
                <w:color w:val="auto"/>
              </w:rPr>
            </w:pPr>
            <w:r>
              <w:rPr>
                <w:rFonts w:ascii="Arial" w:cs="Arial" w:eastAsia="Arial" w:hAnsi="Arial"/>
                <w:sz w:val="14"/>
                <w:szCs w:val="14"/>
                <w:color w:val="auto"/>
              </w:rPr>
              <w:t>Prepaid expenses and other assets</w:t>
            </w:r>
          </w:p>
        </w:tc>
        <w:tc>
          <w:tcPr>
            <w:tcW w:w="26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2,038</w:t>
            </w:r>
          </w:p>
        </w:tc>
        <w:tc>
          <w:tcPr>
            <w:tcW w:w="3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1,665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560" w:type="dxa"/>
            <w:vAlign w:val="bottom"/>
            <w:tcBorders>
              <w:bottom w:val="single" w:sz="8" w:color="CCECFF"/>
            </w:tcBorders>
            <w:shd w:val="clear" w:color="auto" w:fill="CCECFF"/>
          </w:tcPr>
          <w:p>
            <w:pPr>
              <w:ind w:left="560"/>
              <w:spacing w:after="0"/>
              <w:rPr>
                <w:sz w:val="20"/>
                <w:szCs w:val="20"/>
                <w:color w:val="auto"/>
              </w:rPr>
            </w:pPr>
            <w:r>
              <w:rPr>
                <w:rFonts w:ascii="Arial" w:cs="Arial" w:eastAsia="Arial" w:hAnsi="Arial"/>
                <w:sz w:val="14"/>
                <w:szCs w:val="14"/>
                <w:b w:val="1"/>
                <w:bCs w:val="1"/>
                <w:color w:val="auto"/>
              </w:rPr>
              <w:t>Total assets</w:t>
            </w:r>
          </w:p>
        </w:tc>
        <w:tc>
          <w:tcPr>
            <w:tcW w:w="260" w:type="dxa"/>
            <w:vAlign w:val="bottom"/>
            <w:tcBorders>
              <w:bottom w:val="single" w:sz="8" w:color="auto"/>
            </w:tcBorders>
            <w:shd w:val="clear" w:color="auto" w:fill="CCECFF"/>
          </w:tcPr>
          <w:p>
            <w:pPr>
              <w:spacing w:after="0"/>
              <w:rPr>
                <w:sz w:val="14"/>
                <w:szCs w:val="14"/>
                <w:color w:val="auto"/>
              </w:rPr>
            </w:pPr>
          </w:p>
        </w:tc>
        <w:tc>
          <w:tcPr>
            <w:tcW w:w="1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790,328</w:t>
            </w:r>
          </w:p>
        </w:tc>
        <w:tc>
          <w:tcPr>
            <w:tcW w:w="320" w:type="dxa"/>
            <w:vAlign w:val="bottom"/>
            <w:tcBorders>
              <w:bottom w:val="single" w:sz="8" w:color="CCECFF"/>
            </w:tcBorders>
            <w:shd w:val="clear" w:color="auto" w:fill="CCECFF"/>
          </w:tcPr>
          <w:p>
            <w:pPr>
              <w:spacing w:after="0"/>
              <w:rPr>
                <w:sz w:val="14"/>
                <w:szCs w:val="14"/>
                <w:color w:val="auto"/>
              </w:rPr>
            </w:pPr>
          </w:p>
        </w:tc>
        <w:tc>
          <w:tcPr>
            <w:tcW w:w="240" w:type="dxa"/>
            <w:vAlign w:val="bottom"/>
            <w:tcBorders>
              <w:bottom w:val="single" w:sz="8" w:color="auto"/>
            </w:tcBorders>
            <w:shd w:val="clear" w:color="auto" w:fill="CCECFF"/>
          </w:tcPr>
          <w:p>
            <w:pPr>
              <w:spacing w:after="0"/>
              <w:rPr>
                <w:sz w:val="14"/>
                <w:szCs w:val="14"/>
                <w:color w:val="auto"/>
              </w:rPr>
            </w:pPr>
          </w:p>
        </w:tc>
        <w:tc>
          <w:tcPr>
            <w:tcW w:w="21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603,559</w:t>
            </w:r>
          </w:p>
        </w:tc>
        <w:tc>
          <w:tcPr>
            <w:tcW w:w="100" w:type="dxa"/>
            <w:vAlign w:val="bottom"/>
            <w:tcBorders>
              <w:bottom w:val="single" w:sz="8" w:color="CCECFF"/>
            </w:tcBorders>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560" w:type="dxa"/>
            <w:vAlign w:val="bottom"/>
          </w:tcPr>
          <w:p>
            <w:pPr>
              <w:ind w:left="20"/>
              <w:spacing w:after="0"/>
              <w:rPr>
                <w:sz w:val="20"/>
                <w:szCs w:val="20"/>
                <w:color w:val="auto"/>
              </w:rPr>
            </w:pPr>
            <w:r>
              <w:rPr>
                <w:rFonts w:ascii="Arial" w:cs="Arial" w:eastAsia="Arial" w:hAnsi="Arial"/>
                <w:sz w:val="14"/>
                <w:szCs w:val="14"/>
                <w:b w:val="1"/>
                <w:bCs w:val="1"/>
                <w:color w:val="auto"/>
              </w:rPr>
              <w:t>Liabilities</w:t>
            </w:r>
          </w:p>
        </w:tc>
        <w:tc>
          <w:tcPr>
            <w:tcW w:w="2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560" w:type="dxa"/>
            <w:vAlign w:val="bottom"/>
            <w:shd w:val="clear" w:color="auto" w:fill="CCECFF"/>
          </w:tcPr>
          <w:p>
            <w:pPr>
              <w:ind w:left="20"/>
              <w:spacing w:after="0"/>
              <w:rPr>
                <w:sz w:val="20"/>
                <w:szCs w:val="20"/>
                <w:color w:val="auto"/>
              </w:rPr>
            </w:pPr>
            <w:r>
              <w:rPr>
                <w:rFonts w:ascii="Arial" w:cs="Arial" w:eastAsia="Arial" w:hAnsi="Arial"/>
                <w:sz w:val="14"/>
                <w:szCs w:val="14"/>
                <w:color w:val="auto"/>
              </w:rPr>
              <w:t>Payable for investments purchased</w:t>
            </w:r>
          </w:p>
        </w:tc>
        <w:tc>
          <w:tcPr>
            <w:tcW w:w="260" w:type="dxa"/>
            <w:vAlign w:val="bottom"/>
            <w:shd w:val="clear" w:color="auto" w:fill="CCECFF"/>
          </w:tcPr>
          <w:p>
            <w:pPr>
              <w:spacing w:after="0"/>
              <w:rPr>
                <w:sz w:val="15"/>
                <w:szCs w:val="15"/>
                <w:color w:val="auto"/>
              </w:rPr>
            </w:pPr>
          </w:p>
        </w:tc>
        <w:tc>
          <w:tcPr>
            <w:tcW w:w="16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6,609</w:t>
            </w:r>
          </w:p>
        </w:tc>
        <w:tc>
          <w:tcPr>
            <w:tcW w:w="32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21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31,963</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560" w:type="dxa"/>
            <w:vAlign w:val="bottom"/>
          </w:tcPr>
          <w:p>
            <w:pPr>
              <w:ind w:left="20"/>
              <w:spacing w:after="0"/>
              <w:rPr>
                <w:sz w:val="20"/>
                <w:szCs w:val="20"/>
                <w:color w:val="auto"/>
              </w:rPr>
            </w:pPr>
            <w:r>
              <w:rPr>
                <w:rFonts w:ascii="Arial" w:cs="Arial" w:eastAsia="Arial" w:hAnsi="Arial"/>
                <w:sz w:val="14"/>
                <w:szCs w:val="14"/>
                <w:color w:val="auto"/>
              </w:rPr>
              <w:t>Credit facility payable</w:t>
            </w:r>
          </w:p>
        </w:tc>
        <w:tc>
          <w:tcPr>
            <w:tcW w:w="26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249,500</w:t>
            </w: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00" w:type="dxa"/>
            <w:vAlign w:val="bottom"/>
          </w:tcPr>
          <w:p>
            <w:pPr>
              <w:jc w:val="right"/>
              <w:spacing w:after="0"/>
              <w:rPr>
                <w:sz w:val="20"/>
                <w:szCs w:val="20"/>
                <w:color w:val="auto"/>
              </w:rPr>
            </w:pPr>
            <w:r>
              <w:rPr>
                <w:rFonts w:ascii="Arial" w:cs="Arial" w:eastAsia="Arial" w:hAnsi="Arial"/>
                <w:sz w:val="14"/>
                <w:szCs w:val="14"/>
                <w:color w:val="auto"/>
              </w:rPr>
              <w:t>112,000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560" w:type="dxa"/>
            <w:vAlign w:val="bottom"/>
            <w:shd w:val="clear" w:color="auto" w:fill="CCECFF"/>
          </w:tcPr>
          <w:p>
            <w:pPr>
              <w:ind w:left="20"/>
              <w:spacing w:after="0"/>
              <w:rPr>
                <w:sz w:val="20"/>
                <w:szCs w:val="20"/>
                <w:color w:val="auto"/>
              </w:rPr>
            </w:pPr>
            <w:r>
              <w:rPr>
                <w:rFonts w:ascii="Arial" w:cs="Arial" w:eastAsia="Arial" w:hAnsi="Arial"/>
                <w:sz w:val="14"/>
                <w:szCs w:val="14"/>
                <w:color w:val="auto"/>
              </w:rPr>
              <w:t>2032 Asset-backed debt, net (par—$246,000)</w:t>
            </w:r>
          </w:p>
        </w:tc>
        <w:tc>
          <w:tcPr>
            <w:tcW w:w="260" w:type="dxa"/>
            <w:vAlign w:val="bottom"/>
            <w:shd w:val="clear" w:color="auto" w:fill="CCECFF"/>
          </w:tcPr>
          <w:p>
            <w:pPr>
              <w:spacing w:after="0"/>
              <w:rPr>
                <w:sz w:val="15"/>
                <w:szCs w:val="15"/>
                <w:color w:val="auto"/>
              </w:rPr>
            </w:pPr>
          </w:p>
        </w:tc>
        <w:tc>
          <w:tcPr>
            <w:tcW w:w="16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243,213</w:t>
            </w:r>
          </w:p>
        </w:tc>
        <w:tc>
          <w:tcPr>
            <w:tcW w:w="32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21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242,757</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560" w:type="dxa"/>
            <w:vAlign w:val="bottom"/>
          </w:tcPr>
          <w:p>
            <w:pPr>
              <w:ind w:left="20"/>
              <w:spacing w:after="0"/>
              <w:rPr>
                <w:sz w:val="20"/>
                <w:szCs w:val="20"/>
                <w:color w:val="auto"/>
              </w:rPr>
            </w:pPr>
            <w:r>
              <w:rPr>
                <w:rFonts w:ascii="Arial" w:cs="Arial" w:eastAsia="Arial" w:hAnsi="Arial"/>
                <w:sz w:val="14"/>
                <w:szCs w:val="14"/>
                <w:color w:val="auto"/>
              </w:rPr>
              <w:t>Notes payable to members</w:t>
            </w:r>
          </w:p>
        </w:tc>
        <w:tc>
          <w:tcPr>
            <w:tcW w:w="26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217,350</w:t>
            </w: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00" w:type="dxa"/>
            <w:vAlign w:val="bottom"/>
          </w:tcPr>
          <w:p>
            <w:pPr>
              <w:jc w:val="right"/>
              <w:spacing w:after="0"/>
              <w:rPr>
                <w:sz w:val="20"/>
                <w:szCs w:val="20"/>
                <w:color w:val="auto"/>
              </w:rPr>
            </w:pPr>
            <w:r>
              <w:rPr>
                <w:rFonts w:ascii="Arial" w:cs="Arial" w:eastAsia="Arial" w:hAnsi="Arial"/>
                <w:sz w:val="14"/>
                <w:szCs w:val="14"/>
                <w:color w:val="auto"/>
              </w:rPr>
              <w:t>161,000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60" w:type="dxa"/>
            <w:vAlign w:val="bottom"/>
            <w:shd w:val="clear" w:color="auto" w:fill="CCECFF"/>
          </w:tcPr>
          <w:p>
            <w:pPr>
              <w:ind w:left="20"/>
              <w:spacing w:after="0"/>
              <w:rPr>
                <w:sz w:val="20"/>
                <w:szCs w:val="20"/>
                <w:color w:val="auto"/>
              </w:rPr>
            </w:pPr>
            <w:r>
              <w:rPr>
                <w:rFonts w:ascii="Arial" w:cs="Arial" w:eastAsia="Arial" w:hAnsi="Arial"/>
                <w:sz w:val="14"/>
                <w:szCs w:val="14"/>
                <w:color w:val="auto"/>
              </w:rPr>
              <w:t>Interest payable on Credit Facility</w:t>
            </w:r>
          </w:p>
        </w:tc>
        <w:tc>
          <w:tcPr>
            <w:tcW w:w="260" w:type="dxa"/>
            <w:vAlign w:val="bottom"/>
            <w:shd w:val="clear" w:color="auto" w:fill="CCECFF"/>
          </w:tcPr>
          <w:p>
            <w:pPr>
              <w:spacing w:after="0"/>
              <w:rPr>
                <w:sz w:val="15"/>
                <w:szCs w:val="15"/>
                <w:color w:val="auto"/>
              </w:rPr>
            </w:pPr>
          </w:p>
        </w:tc>
        <w:tc>
          <w:tcPr>
            <w:tcW w:w="16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2,662</w:t>
            </w:r>
          </w:p>
        </w:tc>
        <w:tc>
          <w:tcPr>
            <w:tcW w:w="32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21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1,741</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560" w:type="dxa"/>
            <w:vAlign w:val="bottom"/>
          </w:tcPr>
          <w:p>
            <w:pPr>
              <w:ind w:left="20"/>
              <w:spacing w:after="0"/>
              <w:rPr>
                <w:sz w:val="20"/>
                <w:szCs w:val="20"/>
                <w:color w:val="auto"/>
              </w:rPr>
            </w:pPr>
            <w:r>
              <w:rPr>
                <w:rFonts w:ascii="Arial" w:cs="Arial" w:eastAsia="Arial" w:hAnsi="Arial"/>
                <w:sz w:val="14"/>
                <w:szCs w:val="14"/>
                <w:color w:val="auto"/>
              </w:rPr>
              <w:t>Interest payable on notes to members</w:t>
            </w:r>
          </w:p>
        </w:tc>
        <w:tc>
          <w:tcPr>
            <w:tcW w:w="26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3,662</w:t>
            </w: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00" w:type="dxa"/>
            <w:vAlign w:val="bottom"/>
          </w:tcPr>
          <w:p>
            <w:pPr>
              <w:jc w:val="right"/>
              <w:spacing w:after="0"/>
              <w:rPr>
                <w:sz w:val="20"/>
                <w:szCs w:val="20"/>
                <w:color w:val="auto"/>
              </w:rPr>
            </w:pPr>
            <w:r>
              <w:rPr>
                <w:rFonts w:ascii="Arial" w:cs="Arial" w:eastAsia="Arial" w:hAnsi="Arial"/>
                <w:sz w:val="14"/>
                <w:szCs w:val="14"/>
                <w:color w:val="auto"/>
              </w:rPr>
              <w:t>2,656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56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4"/>
                <w:szCs w:val="14"/>
                <w:color w:val="auto"/>
              </w:rPr>
              <w:t>Accrued other expenses</w:t>
            </w:r>
          </w:p>
        </w:tc>
        <w:tc>
          <w:tcPr>
            <w:tcW w:w="260" w:type="dxa"/>
            <w:vAlign w:val="bottom"/>
            <w:tcBorders>
              <w:bottom w:val="single" w:sz="8" w:color="auto"/>
            </w:tcBorders>
            <w:shd w:val="clear" w:color="auto" w:fill="CCECFF"/>
          </w:tcPr>
          <w:p>
            <w:pPr>
              <w:spacing w:after="0"/>
              <w:rPr>
                <w:sz w:val="15"/>
                <w:szCs w:val="15"/>
                <w:color w:val="auto"/>
              </w:rPr>
            </w:pPr>
          </w:p>
        </w:tc>
        <w:tc>
          <w:tcPr>
            <w:tcW w:w="1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183</w:t>
            </w:r>
          </w:p>
        </w:tc>
        <w:tc>
          <w:tcPr>
            <w:tcW w:w="320" w:type="dxa"/>
            <w:vAlign w:val="bottom"/>
            <w:tcBorders>
              <w:bottom w:val="single" w:sz="8" w:color="CCECFF"/>
            </w:tcBorders>
            <w:shd w:val="clear" w:color="auto" w:fill="CCECFF"/>
          </w:tcPr>
          <w:p>
            <w:pPr>
              <w:spacing w:after="0"/>
              <w:rPr>
                <w:sz w:val="15"/>
                <w:szCs w:val="15"/>
                <w:color w:val="auto"/>
              </w:rPr>
            </w:pPr>
          </w:p>
        </w:tc>
        <w:tc>
          <w:tcPr>
            <w:tcW w:w="240" w:type="dxa"/>
            <w:vAlign w:val="bottom"/>
            <w:tcBorders>
              <w:bottom w:val="single" w:sz="8" w:color="auto"/>
            </w:tcBorders>
            <w:shd w:val="clear" w:color="auto" w:fill="CCECFF"/>
          </w:tcPr>
          <w:p>
            <w:pPr>
              <w:spacing w:after="0"/>
              <w:rPr>
                <w:sz w:val="15"/>
                <w:szCs w:val="15"/>
                <w:color w:val="auto"/>
              </w:rPr>
            </w:pPr>
          </w:p>
        </w:tc>
        <w:tc>
          <w:tcPr>
            <w:tcW w:w="21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178</w:t>
            </w:r>
          </w:p>
        </w:tc>
        <w:tc>
          <w:tcPr>
            <w:tcW w:w="100" w:type="dxa"/>
            <w:vAlign w:val="bottom"/>
            <w:tcBorders>
              <w:bottom w:val="single" w:sz="8" w:color="CCECFF"/>
            </w:tcBorders>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560" w:type="dxa"/>
            <w:vAlign w:val="bottom"/>
          </w:tcPr>
          <w:p>
            <w:pPr>
              <w:ind w:left="560"/>
              <w:spacing w:after="0"/>
              <w:rPr>
                <w:sz w:val="20"/>
                <w:szCs w:val="20"/>
                <w:color w:val="auto"/>
              </w:rPr>
            </w:pPr>
            <w:r>
              <w:rPr>
                <w:rFonts w:ascii="Arial" w:cs="Arial" w:eastAsia="Arial" w:hAnsi="Arial"/>
                <w:sz w:val="14"/>
                <w:szCs w:val="14"/>
                <w:b w:val="1"/>
                <w:bCs w:val="1"/>
                <w:color w:val="auto"/>
              </w:rPr>
              <w:t>Total liabilities</w:t>
            </w:r>
          </w:p>
        </w:tc>
        <w:tc>
          <w:tcPr>
            <w:tcW w:w="2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723,179</w:t>
            </w:r>
          </w:p>
        </w:tc>
        <w:tc>
          <w:tcPr>
            <w:tcW w:w="3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552,295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560" w:type="dxa"/>
            <w:vAlign w:val="bottom"/>
            <w:tcBorders>
              <w:bottom w:val="single" w:sz="8" w:color="CCECFF"/>
            </w:tcBorders>
            <w:shd w:val="clear" w:color="auto" w:fill="CCECFF"/>
          </w:tcPr>
          <w:p>
            <w:pPr>
              <w:ind w:left="560"/>
              <w:spacing w:after="0"/>
              <w:rPr>
                <w:sz w:val="20"/>
                <w:szCs w:val="20"/>
                <w:color w:val="auto"/>
              </w:rPr>
            </w:pPr>
            <w:r>
              <w:rPr>
                <w:rFonts w:ascii="Arial" w:cs="Arial" w:eastAsia="Arial" w:hAnsi="Arial"/>
                <w:sz w:val="14"/>
                <w:szCs w:val="14"/>
                <w:b w:val="1"/>
                <w:bCs w:val="1"/>
                <w:color w:val="auto"/>
              </w:rPr>
              <w:t>Members' equity</w:t>
            </w:r>
          </w:p>
        </w:tc>
        <w:tc>
          <w:tcPr>
            <w:tcW w:w="260" w:type="dxa"/>
            <w:vAlign w:val="bottom"/>
            <w:tcBorders>
              <w:bottom w:val="single" w:sz="8" w:color="auto"/>
            </w:tcBorders>
            <w:shd w:val="clear" w:color="auto" w:fill="CCECFF"/>
          </w:tcPr>
          <w:p>
            <w:pPr>
              <w:spacing w:after="0"/>
              <w:rPr>
                <w:sz w:val="14"/>
                <w:szCs w:val="14"/>
                <w:color w:val="auto"/>
              </w:rPr>
            </w:pPr>
          </w:p>
        </w:tc>
        <w:tc>
          <w:tcPr>
            <w:tcW w:w="1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67,149</w:t>
            </w:r>
          </w:p>
        </w:tc>
        <w:tc>
          <w:tcPr>
            <w:tcW w:w="320" w:type="dxa"/>
            <w:vAlign w:val="bottom"/>
            <w:tcBorders>
              <w:bottom w:val="single" w:sz="8" w:color="CCECFF"/>
            </w:tcBorders>
            <w:shd w:val="clear" w:color="auto" w:fill="CCECFF"/>
          </w:tcPr>
          <w:p>
            <w:pPr>
              <w:spacing w:after="0"/>
              <w:rPr>
                <w:sz w:val="14"/>
                <w:szCs w:val="14"/>
                <w:color w:val="auto"/>
              </w:rPr>
            </w:pPr>
          </w:p>
        </w:tc>
        <w:tc>
          <w:tcPr>
            <w:tcW w:w="240" w:type="dxa"/>
            <w:vAlign w:val="bottom"/>
            <w:tcBorders>
              <w:bottom w:val="single" w:sz="8" w:color="auto"/>
            </w:tcBorders>
            <w:shd w:val="clear" w:color="auto" w:fill="CCECFF"/>
          </w:tcPr>
          <w:p>
            <w:pPr>
              <w:spacing w:after="0"/>
              <w:rPr>
                <w:sz w:val="14"/>
                <w:szCs w:val="14"/>
                <w:color w:val="auto"/>
              </w:rPr>
            </w:pPr>
          </w:p>
        </w:tc>
        <w:tc>
          <w:tcPr>
            <w:tcW w:w="21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51,263</w:t>
            </w:r>
          </w:p>
        </w:tc>
        <w:tc>
          <w:tcPr>
            <w:tcW w:w="100" w:type="dxa"/>
            <w:vAlign w:val="bottom"/>
            <w:tcBorders>
              <w:bottom w:val="single" w:sz="8" w:color="CCECFF"/>
            </w:tcBorders>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560" w:type="dxa"/>
            <w:vAlign w:val="bottom"/>
          </w:tcPr>
          <w:p>
            <w:pPr>
              <w:ind w:left="560"/>
              <w:spacing w:after="0"/>
              <w:rPr>
                <w:sz w:val="20"/>
                <w:szCs w:val="20"/>
                <w:color w:val="auto"/>
              </w:rPr>
            </w:pPr>
            <w:r>
              <w:rPr>
                <w:rFonts w:ascii="Arial" w:cs="Arial" w:eastAsia="Arial" w:hAnsi="Arial"/>
                <w:sz w:val="14"/>
                <w:szCs w:val="14"/>
                <w:b w:val="1"/>
                <w:bCs w:val="1"/>
                <w:color w:val="auto"/>
              </w:rPr>
              <w:t>Total liabilities and members' equity</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660" w:type="dxa"/>
            <w:vAlign w:val="bottom"/>
          </w:tcPr>
          <w:p>
            <w:pPr>
              <w:jc w:val="right"/>
              <w:spacing w:after="0"/>
              <w:rPr>
                <w:sz w:val="20"/>
                <w:szCs w:val="20"/>
                <w:color w:val="auto"/>
              </w:rPr>
            </w:pPr>
            <w:r>
              <w:rPr>
                <w:rFonts w:ascii="Arial" w:cs="Arial" w:eastAsia="Arial" w:hAnsi="Arial"/>
                <w:sz w:val="14"/>
                <w:szCs w:val="14"/>
                <w:color w:val="auto"/>
              </w:rPr>
              <w:t>790,328</w:t>
            </w: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2100" w:type="dxa"/>
            <w:vAlign w:val="bottom"/>
          </w:tcPr>
          <w:p>
            <w:pPr>
              <w:jc w:val="right"/>
              <w:spacing w:after="0"/>
              <w:rPr>
                <w:sz w:val="20"/>
                <w:szCs w:val="20"/>
                <w:color w:val="auto"/>
              </w:rPr>
            </w:pPr>
            <w:r>
              <w:rPr>
                <w:rFonts w:ascii="Arial" w:cs="Arial" w:eastAsia="Arial" w:hAnsi="Arial"/>
                <w:sz w:val="14"/>
                <w:szCs w:val="14"/>
                <w:color w:val="auto"/>
              </w:rPr>
              <w:t>603,559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-1282065</wp:posOffset>
            </wp:positionV>
            <wp:extent cx="68580" cy="571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-1282065</wp:posOffset>
            </wp:positionV>
            <wp:extent cx="68580" cy="571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-382270</wp:posOffset>
            </wp:positionV>
            <wp:extent cx="68580" cy="571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-382270</wp:posOffset>
            </wp:positionV>
            <wp:extent cx="68580" cy="571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-142240</wp:posOffset>
            </wp:positionV>
            <wp:extent cx="68580" cy="571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-142240</wp:posOffset>
            </wp:positionV>
            <wp:extent cx="68580" cy="571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171450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181" w:lineRule="exact"/>
        <w:rPr>
          <w:sz w:val="20"/>
          <w:szCs w:val="20"/>
          <w:color w:val="auto"/>
        </w:rPr>
      </w:pPr>
    </w:p>
    <w:p>
      <w:pPr>
        <w:ind w:left="380" w:hanging="372"/>
        <w:spacing w:after="0"/>
        <w:tabs>
          <w:tab w:leader="none" w:pos="380" w:val="left"/>
        </w:tabs>
        <w:numPr>
          <w:ilvl w:val="0"/>
          <w:numId w:val="10"/>
        </w:numPr>
        <w:rPr>
          <w:rFonts w:ascii="Arial" w:cs="Arial" w:eastAsia="Arial" w:hAnsi="Arial"/>
          <w:sz w:val="16"/>
          <w:szCs w:val="16"/>
          <w:color w:val="auto"/>
          <w:vertAlign w:val="superscript"/>
        </w:rPr>
      </w:pPr>
      <w:r>
        <w:rPr>
          <w:rFonts w:ascii="Arial" w:cs="Arial" w:eastAsia="Arial" w:hAnsi="Arial"/>
          <w:sz w:val="12"/>
          <w:szCs w:val="12"/>
          <w:color w:val="auto"/>
        </w:rPr>
        <w:t>As of June 30, 2022 and September 30, 2021, PSSL had unfunded commitments to fund investments of $0.6 million and $0.6 million, respectively.</w:t>
      </w:r>
    </w:p>
    <w:p>
      <w:pPr>
        <w:sectPr>
          <w:pgSz w:w="11900" w:h="16838" w:orient="portrait"/>
          <w:cols w:equalWidth="0" w:num="1">
            <w:col w:w="11240"/>
          </w:cols>
          <w:pgMar w:left="320" w:top="118" w:right="339" w:bottom="1440" w:gutter="0" w:footer="0" w:header="0"/>
        </w:sectPr>
      </w:pP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57720"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9" w:name="page30"/>
    <w:bookmarkEnd w:id="29"/>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June 30, 2022</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440" w:type="dxa"/>
            <w:vAlign w:val="bottom"/>
          </w:tcPr>
          <w:p>
            <w:pPr>
              <w:ind w:left="460"/>
              <w:spacing w:after="0"/>
              <w:rPr>
                <w:sz w:val="20"/>
                <w:szCs w:val="20"/>
                <w:color w:val="auto"/>
              </w:rPr>
            </w:pPr>
            <w:r>
              <w:rPr>
                <w:rFonts w:ascii="Arial" w:cs="Arial" w:eastAsia="Arial" w:hAnsi="Arial"/>
                <w:sz w:val="14"/>
                <w:szCs w:val="14"/>
                <w:color w:val="auto"/>
              </w:rPr>
              <w:t>Below are the consolidated statements of operations for PSSL ($ in thousands):</w:t>
            </w:r>
          </w:p>
        </w:tc>
        <w:tc>
          <w:tcPr>
            <w:tcW w:w="180" w:type="dxa"/>
            <w:vAlign w:val="bottom"/>
          </w:tcPr>
          <w:p>
            <w:pPr>
              <w:spacing w:after="0"/>
              <w:rPr>
                <w:sz w:val="15"/>
                <w:szCs w:val="15"/>
                <w:color w:val="auto"/>
              </w:rPr>
            </w:pPr>
          </w:p>
        </w:tc>
        <w:tc>
          <w:tcPr>
            <w:tcW w:w="2660" w:type="dxa"/>
            <w:vAlign w:val="bottom"/>
            <w:gridSpan w:val="5"/>
            <w:vMerge w:val="restart"/>
          </w:tcPr>
          <w:p>
            <w:pPr>
              <w:jc w:val="right"/>
              <w:ind w:right="540"/>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Pr>
          <w:p>
            <w:pPr>
              <w:spacing w:after="0"/>
              <w:rPr>
                <w:sz w:val="15"/>
                <w:szCs w:val="15"/>
                <w:color w:val="auto"/>
              </w:rPr>
            </w:pPr>
          </w:p>
        </w:tc>
        <w:tc>
          <w:tcPr>
            <w:tcW w:w="2660" w:type="dxa"/>
            <w:vAlign w:val="bottom"/>
            <w:gridSpan w:val="5"/>
            <w:vMerge w:val="restart"/>
          </w:tcPr>
          <w:p>
            <w:pPr>
              <w:jc w:val="right"/>
              <w:ind w:right="640"/>
              <w:spacing w:after="0"/>
              <w:rPr>
                <w:sz w:val="20"/>
                <w:szCs w:val="20"/>
                <w:color w:val="auto"/>
              </w:rPr>
            </w:pPr>
            <w:r>
              <w:rPr>
                <w:rFonts w:ascii="Arial" w:cs="Arial" w:eastAsia="Arial" w:hAnsi="Arial"/>
                <w:sz w:val="14"/>
                <w:szCs w:val="14"/>
                <w:b w:val="1"/>
                <w:bCs w:val="1"/>
                <w:color w:val="auto"/>
              </w:rPr>
              <w:t>Nine Months Ended June 30,</w:t>
            </w:r>
          </w:p>
        </w:tc>
        <w:tc>
          <w:tcPr>
            <w:tcW w:w="0" w:type="dxa"/>
            <w:vAlign w:val="bottom"/>
          </w:tcPr>
          <w:p>
            <w:pPr>
              <w:spacing w:after="0"/>
              <w:rPr>
                <w:sz w:val="1"/>
                <w:szCs w:val="1"/>
                <w:color w:val="auto"/>
              </w:rPr>
            </w:pPr>
          </w:p>
        </w:tc>
      </w:tr>
      <w:tr>
        <w:trPr>
          <w:trHeight w:val="165"/>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60" w:type="dxa"/>
            <w:vAlign w:val="bottom"/>
            <w:gridSpan w:val="5"/>
            <w:vMerge w:val="continue"/>
          </w:tcPr>
          <w:p>
            <w:pPr>
              <w:spacing w:after="0"/>
              <w:rPr>
                <w:sz w:val="14"/>
                <w:szCs w:val="14"/>
                <w:color w:val="auto"/>
              </w:rPr>
            </w:pPr>
          </w:p>
        </w:tc>
        <w:tc>
          <w:tcPr>
            <w:tcW w:w="300" w:type="dxa"/>
            <w:vAlign w:val="bottom"/>
          </w:tcPr>
          <w:p>
            <w:pPr>
              <w:spacing w:after="0"/>
              <w:rPr>
                <w:sz w:val="14"/>
                <w:szCs w:val="14"/>
                <w:color w:val="auto"/>
              </w:rPr>
            </w:pPr>
          </w:p>
        </w:tc>
        <w:tc>
          <w:tcPr>
            <w:tcW w:w="266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440" w:type="dxa"/>
            <w:vAlign w:val="bottom"/>
            <w:shd w:val="clear" w:color="auto" w:fill="CCECFF"/>
          </w:tcPr>
          <w:p>
            <w:pPr>
              <w:ind w:left="20"/>
              <w:spacing w:after="0"/>
              <w:rPr>
                <w:sz w:val="20"/>
                <w:szCs w:val="20"/>
                <w:color w:val="auto"/>
              </w:rPr>
            </w:pPr>
            <w:r>
              <w:rPr>
                <w:rFonts w:ascii="Arial" w:cs="Arial" w:eastAsia="Arial" w:hAnsi="Arial"/>
                <w:sz w:val="14"/>
                <w:szCs w:val="14"/>
                <w:b w:val="1"/>
                <w:bCs w:val="1"/>
                <w:color w:val="auto"/>
              </w:rPr>
              <w:t>Investment income:</w:t>
            </w:r>
          </w:p>
        </w:tc>
        <w:tc>
          <w:tcPr>
            <w:tcW w:w="180" w:type="dxa"/>
            <w:vAlign w:val="bottom"/>
            <w:shd w:val="clear" w:color="auto" w:fill="CCECFF"/>
          </w:tcPr>
          <w:p>
            <w:pPr>
              <w:spacing w:after="0"/>
              <w:rPr>
                <w:sz w:val="14"/>
                <w:szCs w:val="14"/>
                <w:color w:val="auto"/>
              </w:rPr>
            </w:pPr>
          </w:p>
        </w:tc>
        <w:tc>
          <w:tcPr>
            <w:tcW w:w="9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08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98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440" w:type="dxa"/>
            <w:vAlign w:val="bottom"/>
          </w:tcPr>
          <w:p>
            <w:pPr>
              <w:ind w:left="200"/>
              <w:spacing w:after="0"/>
              <w:rPr>
                <w:sz w:val="20"/>
                <w:szCs w:val="20"/>
                <w:color w:val="auto"/>
              </w:rPr>
            </w:pPr>
            <w:r>
              <w:rPr>
                <w:rFonts w:ascii="Arial" w:cs="Arial" w:eastAsia="Arial" w:hAnsi="Arial"/>
                <w:sz w:val="14"/>
                <w:szCs w:val="14"/>
                <w:color w:val="auto"/>
              </w:rPr>
              <w:t>Interest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13,535</w:t>
            </w:r>
          </w:p>
        </w:tc>
        <w:tc>
          <w:tcPr>
            <w:tcW w:w="24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8,688</w:t>
            </w:r>
          </w:p>
        </w:tc>
        <w:tc>
          <w:tcPr>
            <w:tcW w:w="260" w:type="dxa"/>
            <w:vAlign w:val="bottom"/>
          </w:tcPr>
          <w:p>
            <w:pPr>
              <w:spacing w:after="0"/>
              <w:rPr>
                <w:sz w:val="15"/>
                <w:szCs w:val="15"/>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36,467</w:t>
            </w:r>
          </w:p>
        </w:tc>
        <w:tc>
          <w:tcPr>
            <w:tcW w:w="260" w:type="dxa"/>
            <w:vAlign w:val="bottom"/>
          </w:tcPr>
          <w:p>
            <w:pPr>
              <w:spacing w:after="0"/>
              <w:rPr>
                <w:sz w:val="15"/>
                <w:szCs w:val="15"/>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23,741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440" w:type="dxa"/>
            <w:vAlign w:val="bottom"/>
            <w:tcBorders>
              <w:bottom w:val="single" w:sz="8" w:color="CCECFF"/>
            </w:tcBorders>
            <w:shd w:val="clear" w:color="auto" w:fill="CCECFF"/>
          </w:tcPr>
          <w:p>
            <w:pPr>
              <w:ind w:left="200"/>
              <w:spacing w:after="0"/>
              <w:rPr>
                <w:sz w:val="20"/>
                <w:szCs w:val="20"/>
                <w:color w:val="auto"/>
              </w:rPr>
            </w:pPr>
            <w:r>
              <w:rPr>
                <w:rFonts w:ascii="Arial" w:cs="Arial" w:eastAsia="Arial" w:hAnsi="Arial"/>
                <w:sz w:val="14"/>
                <w:szCs w:val="14"/>
                <w:color w:val="auto"/>
              </w:rPr>
              <w:t>Other income</w:t>
            </w:r>
          </w:p>
        </w:tc>
        <w:tc>
          <w:tcPr>
            <w:tcW w:w="180" w:type="dxa"/>
            <w:vAlign w:val="bottom"/>
            <w:tcBorders>
              <w:bottom w:val="single" w:sz="8" w:color="CCECFF"/>
            </w:tcBorders>
            <w:shd w:val="clear" w:color="auto" w:fill="CCECFF"/>
          </w:tcPr>
          <w:p>
            <w:pPr>
              <w:spacing w:after="0"/>
              <w:rPr>
                <w:sz w:val="15"/>
                <w:szCs w:val="15"/>
                <w:color w:val="auto"/>
              </w:rPr>
            </w:pPr>
          </w:p>
        </w:tc>
        <w:tc>
          <w:tcPr>
            <w:tcW w:w="9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65</w:t>
            </w:r>
          </w:p>
        </w:tc>
        <w:tc>
          <w:tcPr>
            <w:tcW w:w="240" w:type="dxa"/>
            <w:vAlign w:val="bottom"/>
            <w:tcBorders>
              <w:bottom w:val="single" w:sz="8" w:color="CCECFF"/>
            </w:tcBorders>
            <w:shd w:val="clear" w:color="auto" w:fill="CCECFF"/>
          </w:tcPr>
          <w:p>
            <w:pPr>
              <w:spacing w:after="0"/>
              <w:rPr>
                <w:sz w:val="15"/>
                <w:szCs w:val="15"/>
                <w:color w:val="auto"/>
              </w:rPr>
            </w:pPr>
          </w:p>
        </w:tc>
        <w:tc>
          <w:tcPr>
            <w:tcW w:w="160" w:type="dxa"/>
            <w:vAlign w:val="bottom"/>
            <w:tcBorders>
              <w:bottom w:val="single" w:sz="8" w:color="CCECFF"/>
            </w:tcBorders>
            <w:shd w:val="clear" w:color="auto" w:fill="CCECFF"/>
          </w:tcPr>
          <w:p>
            <w:pPr>
              <w:spacing w:after="0"/>
              <w:rPr>
                <w:sz w:val="15"/>
                <w:szCs w:val="15"/>
                <w:color w:val="auto"/>
              </w:rPr>
            </w:pPr>
          </w:p>
        </w:tc>
        <w:tc>
          <w:tcPr>
            <w:tcW w:w="10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506</w:t>
            </w:r>
          </w:p>
        </w:tc>
        <w:tc>
          <w:tcPr>
            <w:tcW w:w="260" w:type="dxa"/>
            <w:vAlign w:val="bottom"/>
            <w:tcBorders>
              <w:bottom w:val="single" w:sz="8" w:color="CCECFF"/>
            </w:tcBorders>
            <w:shd w:val="clear" w:color="auto" w:fill="CCECFF"/>
          </w:tcPr>
          <w:p>
            <w:pPr>
              <w:spacing w:after="0"/>
              <w:rPr>
                <w:sz w:val="15"/>
                <w:szCs w:val="15"/>
                <w:color w:val="auto"/>
              </w:rPr>
            </w:pPr>
          </w:p>
        </w:tc>
        <w:tc>
          <w:tcPr>
            <w:tcW w:w="300" w:type="dxa"/>
            <w:vAlign w:val="bottom"/>
            <w:tcBorders>
              <w:bottom w:val="single" w:sz="8" w:color="auto"/>
            </w:tcBorders>
            <w:shd w:val="clear" w:color="auto" w:fill="CCECFF"/>
          </w:tcPr>
          <w:p>
            <w:pPr>
              <w:spacing w:after="0"/>
              <w:rPr>
                <w:sz w:val="15"/>
                <w:szCs w:val="15"/>
                <w:color w:val="auto"/>
              </w:rPr>
            </w:pPr>
          </w:p>
        </w:tc>
        <w:tc>
          <w:tcPr>
            <w:tcW w:w="9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1,084</w:t>
            </w:r>
          </w:p>
        </w:tc>
        <w:tc>
          <w:tcPr>
            <w:tcW w:w="260" w:type="dxa"/>
            <w:vAlign w:val="bottom"/>
            <w:tcBorders>
              <w:bottom w:val="single" w:sz="8" w:color="CCECFF"/>
            </w:tcBorders>
            <w:shd w:val="clear" w:color="auto" w:fill="CCECFF"/>
          </w:tcPr>
          <w:p>
            <w:pPr>
              <w:spacing w:after="0"/>
              <w:rPr>
                <w:sz w:val="15"/>
                <w:szCs w:val="15"/>
                <w:color w:val="auto"/>
              </w:rPr>
            </w:pPr>
          </w:p>
        </w:tc>
        <w:tc>
          <w:tcPr>
            <w:tcW w:w="300" w:type="dxa"/>
            <w:vAlign w:val="bottom"/>
            <w:tcBorders>
              <w:bottom w:val="single" w:sz="8" w:color="auto"/>
            </w:tcBorders>
            <w:shd w:val="clear" w:color="auto" w:fill="CCECFF"/>
          </w:tcPr>
          <w:p>
            <w:pPr>
              <w:spacing w:after="0"/>
              <w:rPr>
                <w:sz w:val="15"/>
                <w:szCs w:val="15"/>
                <w:color w:val="auto"/>
              </w:rPr>
            </w:pPr>
          </w:p>
        </w:tc>
        <w:tc>
          <w:tcPr>
            <w:tcW w:w="10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757</w:t>
            </w:r>
          </w:p>
        </w:tc>
        <w:tc>
          <w:tcPr>
            <w:tcW w:w="100" w:type="dxa"/>
            <w:vAlign w:val="bottom"/>
            <w:tcBorders>
              <w:bottom w:val="single" w:sz="8" w:color="CCECFF"/>
            </w:tcBorders>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440" w:type="dxa"/>
            <w:vAlign w:val="bottom"/>
          </w:tcPr>
          <w:p>
            <w:pPr>
              <w:ind w:left="200"/>
              <w:spacing w:after="0"/>
              <w:rPr>
                <w:sz w:val="20"/>
                <w:szCs w:val="20"/>
                <w:color w:val="auto"/>
              </w:rPr>
            </w:pPr>
            <w:r>
              <w:rPr>
                <w:rFonts w:ascii="Arial" w:cs="Arial" w:eastAsia="Arial" w:hAnsi="Arial"/>
                <w:sz w:val="14"/>
                <w:szCs w:val="14"/>
                <w:b w:val="1"/>
                <w:bCs w:val="1"/>
                <w:color w:val="auto"/>
              </w:rPr>
              <w:t>Total investment income</w:t>
            </w:r>
          </w:p>
        </w:tc>
        <w:tc>
          <w:tcPr>
            <w:tcW w:w="18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13,600</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9,194</w:t>
            </w:r>
          </w:p>
        </w:tc>
        <w:tc>
          <w:tcPr>
            <w:tcW w:w="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37,551</w:t>
            </w:r>
          </w:p>
        </w:tc>
        <w:tc>
          <w:tcPr>
            <w:tcW w:w="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24,498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440" w:type="dxa"/>
            <w:vAlign w:val="bottom"/>
            <w:shd w:val="clear" w:color="auto" w:fill="CCECFF"/>
          </w:tcPr>
          <w:p>
            <w:pPr>
              <w:ind w:left="20"/>
              <w:spacing w:after="0"/>
              <w:rPr>
                <w:sz w:val="20"/>
                <w:szCs w:val="20"/>
                <w:color w:val="auto"/>
              </w:rPr>
            </w:pPr>
            <w:r>
              <w:rPr>
                <w:rFonts w:ascii="Arial" w:cs="Arial" w:eastAsia="Arial" w:hAnsi="Arial"/>
                <w:sz w:val="14"/>
                <w:szCs w:val="14"/>
                <w:b w:val="1"/>
                <w:bCs w:val="1"/>
                <w:color w:val="auto"/>
              </w:rPr>
              <w:t>Expenses:</w:t>
            </w:r>
          </w:p>
        </w:tc>
        <w:tc>
          <w:tcPr>
            <w:tcW w:w="180" w:type="dxa"/>
            <w:vAlign w:val="bottom"/>
            <w:shd w:val="clear" w:color="auto" w:fill="CCECFF"/>
          </w:tcPr>
          <w:p>
            <w:pPr>
              <w:spacing w:after="0"/>
              <w:rPr>
                <w:sz w:val="14"/>
                <w:szCs w:val="14"/>
                <w:color w:val="auto"/>
              </w:rPr>
            </w:pPr>
          </w:p>
        </w:tc>
        <w:tc>
          <w:tcPr>
            <w:tcW w:w="9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08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98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440" w:type="dxa"/>
            <w:vAlign w:val="bottom"/>
          </w:tcPr>
          <w:p>
            <w:pPr>
              <w:ind w:left="200"/>
              <w:spacing w:after="0"/>
              <w:rPr>
                <w:sz w:val="20"/>
                <w:szCs w:val="20"/>
                <w:color w:val="auto"/>
              </w:rPr>
            </w:pPr>
            <w:r>
              <w:rPr>
                <w:rFonts w:ascii="Arial" w:cs="Arial" w:eastAsia="Arial" w:hAnsi="Arial"/>
                <w:sz w:val="14"/>
                <w:szCs w:val="14"/>
                <w:color w:val="auto"/>
              </w:rPr>
              <w:t>Interest and expense on credit facility and asset-backed debt</w:t>
            </w:r>
          </w:p>
        </w:tc>
        <w:tc>
          <w:tcPr>
            <w:tcW w:w="1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4,667</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2,623</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11,514</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6,589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440" w:type="dxa"/>
            <w:vAlign w:val="bottom"/>
            <w:shd w:val="clear" w:color="auto" w:fill="CCECFF"/>
          </w:tcPr>
          <w:p>
            <w:pPr>
              <w:ind w:left="200"/>
              <w:spacing w:after="0"/>
              <w:rPr>
                <w:sz w:val="20"/>
                <w:szCs w:val="20"/>
                <w:color w:val="auto"/>
              </w:rPr>
            </w:pPr>
            <w:r>
              <w:rPr>
                <w:rFonts w:ascii="Arial" w:cs="Arial" w:eastAsia="Arial" w:hAnsi="Arial"/>
                <w:sz w:val="14"/>
                <w:szCs w:val="14"/>
                <w:color w:val="auto"/>
              </w:rPr>
              <w:t>Interest expense on notes to members</w:t>
            </w:r>
          </w:p>
        </w:tc>
        <w:tc>
          <w:tcPr>
            <w:tcW w:w="180" w:type="dxa"/>
            <w:vAlign w:val="bottom"/>
            <w:shd w:val="clear" w:color="auto" w:fill="CCECFF"/>
          </w:tcPr>
          <w:p>
            <w:pPr>
              <w:spacing w:after="0"/>
              <w:rPr>
                <w:sz w:val="15"/>
                <w:szCs w:val="15"/>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4,510</w:t>
            </w:r>
          </w:p>
        </w:tc>
        <w:tc>
          <w:tcPr>
            <w:tcW w:w="24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10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3,289</w:t>
            </w:r>
          </w:p>
        </w:tc>
        <w:tc>
          <w:tcPr>
            <w:tcW w:w="260" w:type="dxa"/>
            <w:vAlign w:val="bottom"/>
            <w:shd w:val="clear" w:color="auto" w:fill="CCECFF"/>
          </w:tcPr>
          <w:p>
            <w:pPr>
              <w:spacing w:after="0"/>
              <w:rPr>
                <w:sz w:val="15"/>
                <w:szCs w:val="15"/>
                <w:color w:val="auto"/>
              </w:rPr>
            </w:pPr>
          </w:p>
        </w:tc>
        <w:tc>
          <w:tcPr>
            <w:tcW w:w="300" w:type="dxa"/>
            <w:vAlign w:val="bottom"/>
            <w:shd w:val="clear" w:color="auto" w:fill="CCECFF"/>
          </w:tcPr>
          <w:p>
            <w:pPr>
              <w:spacing w:after="0"/>
              <w:rPr>
                <w:sz w:val="15"/>
                <w:szCs w:val="15"/>
                <w:color w:val="auto"/>
              </w:rPr>
            </w:pPr>
          </w:p>
        </w:tc>
        <w:tc>
          <w:tcPr>
            <w:tcW w:w="9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11,704</w:t>
            </w:r>
          </w:p>
        </w:tc>
        <w:tc>
          <w:tcPr>
            <w:tcW w:w="260" w:type="dxa"/>
            <w:vAlign w:val="bottom"/>
            <w:shd w:val="clear" w:color="auto" w:fill="CCECFF"/>
          </w:tcPr>
          <w:p>
            <w:pPr>
              <w:spacing w:after="0"/>
              <w:rPr>
                <w:sz w:val="15"/>
                <w:szCs w:val="15"/>
                <w:color w:val="auto"/>
              </w:rPr>
            </w:pPr>
          </w:p>
        </w:tc>
        <w:tc>
          <w:tcPr>
            <w:tcW w:w="300" w:type="dxa"/>
            <w:vAlign w:val="bottom"/>
            <w:shd w:val="clear" w:color="auto" w:fill="CCECFF"/>
          </w:tcPr>
          <w:p>
            <w:pPr>
              <w:spacing w:after="0"/>
              <w:rPr>
                <w:sz w:val="15"/>
                <w:szCs w:val="15"/>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9,283</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440" w:type="dxa"/>
            <w:vAlign w:val="bottom"/>
          </w:tcPr>
          <w:p>
            <w:pPr>
              <w:ind w:left="200"/>
              <w:spacing w:after="0"/>
              <w:rPr>
                <w:sz w:val="20"/>
                <w:szCs w:val="20"/>
                <w:color w:val="auto"/>
              </w:rPr>
            </w:pPr>
            <w:r>
              <w:rPr>
                <w:rFonts w:ascii="Arial" w:cs="Arial" w:eastAsia="Arial" w:hAnsi="Arial"/>
                <w:sz w:val="14"/>
                <w:szCs w:val="14"/>
                <w:color w:val="auto"/>
              </w:rPr>
              <w:t>Administrative services expenses</w:t>
            </w:r>
          </w:p>
        </w:tc>
        <w:tc>
          <w:tcPr>
            <w:tcW w:w="1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300</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300</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900</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440" w:type="dxa"/>
            <w:vAlign w:val="bottom"/>
            <w:tcBorders>
              <w:bottom w:val="single" w:sz="8" w:color="CCECFF"/>
            </w:tcBorders>
            <w:shd w:val="clear" w:color="auto" w:fill="CCECFF"/>
          </w:tcPr>
          <w:p>
            <w:pPr>
              <w:ind w:left="200"/>
              <w:spacing w:after="0"/>
              <w:rPr>
                <w:sz w:val="20"/>
                <w:szCs w:val="20"/>
                <w:color w:val="auto"/>
              </w:rPr>
            </w:pPr>
            <w:r>
              <w:rPr>
                <w:rFonts w:ascii="Arial" w:cs="Arial" w:eastAsia="Arial" w:hAnsi="Arial"/>
                <w:sz w:val="14"/>
                <w:szCs w:val="14"/>
                <w:color w:val="auto"/>
              </w:rPr>
              <w:t>Other general and administrative expenses</w:t>
            </w:r>
          </w:p>
        </w:tc>
        <w:tc>
          <w:tcPr>
            <w:tcW w:w="180" w:type="dxa"/>
            <w:vAlign w:val="bottom"/>
            <w:tcBorders>
              <w:bottom w:val="single" w:sz="8" w:color="CCECFF"/>
            </w:tcBorders>
            <w:shd w:val="clear" w:color="auto" w:fill="CCECFF"/>
          </w:tcPr>
          <w:p>
            <w:pPr>
              <w:spacing w:after="0"/>
              <w:rPr>
                <w:sz w:val="15"/>
                <w:szCs w:val="15"/>
                <w:color w:val="auto"/>
              </w:rPr>
            </w:pPr>
          </w:p>
        </w:tc>
        <w:tc>
          <w:tcPr>
            <w:tcW w:w="9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289</w:t>
            </w:r>
          </w:p>
        </w:tc>
        <w:tc>
          <w:tcPr>
            <w:tcW w:w="240" w:type="dxa"/>
            <w:vAlign w:val="bottom"/>
            <w:tcBorders>
              <w:bottom w:val="single" w:sz="8" w:color="CCECFF"/>
            </w:tcBorders>
            <w:shd w:val="clear" w:color="auto" w:fill="CCECFF"/>
          </w:tcPr>
          <w:p>
            <w:pPr>
              <w:spacing w:after="0"/>
              <w:rPr>
                <w:sz w:val="15"/>
                <w:szCs w:val="15"/>
                <w:color w:val="auto"/>
              </w:rPr>
            </w:pPr>
          </w:p>
        </w:tc>
        <w:tc>
          <w:tcPr>
            <w:tcW w:w="160" w:type="dxa"/>
            <w:vAlign w:val="bottom"/>
            <w:tcBorders>
              <w:bottom w:val="single" w:sz="8" w:color="CCECFF"/>
            </w:tcBorders>
            <w:shd w:val="clear" w:color="auto" w:fill="CCECFF"/>
          </w:tcPr>
          <w:p>
            <w:pPr>
              <w:spacing w:after="0"/>
              <w:rPr>
                <w:sz w:val="15"/>
                <w:szCs w:val="15"/>
                <w:color w:val="auto"/>
              </w:rPr>
            </w:pPr>
          </w:p>
        </w:tc>
        <w:tc>
          <w:tcPr>
            <w:tcW w:w="10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227</w:t>
            </w:r>
          </w:p>
        </w:tc>
        <w:tc>
          <w:tcPr>
            <w:tcW w:w="260" w:type="dxa"/>
            <w:vAlign w:val="bottom"/>
            <w:tcBorders>
              <w:bottom w:val="single" w:sz="8" w:color="CCECFF"/>
            </w:tcBorders>
            <w:shd w:val="clear" w:color="auto" w:fill="CCECFF"/>
          </w:tcPr>
          <w:p>
            <w:pPr>
              <w:spacing w:after="0"/>
              <w:rPr>
                <w:sz w:val="15"/>
                <w:szCs w:val="15"/>
                <w:color w:val="auto"/>
              </w:rPr>
            </w:pPr>
          </w:p>
        </w:tc>
        <w:tc>
          <w:tcPr>
            <w:tcW w:w="300" w:type="dxa"/>
            <w:vAlign w:val="bottom"/>
            <w:tcBorders>
              <w:bottom w:val="single" w:sz="8" w:color="auto"/>
            </w:tcBorders>
            <w:shd w:val="clear" w:color="auto" w:fill="CCECFF"/>
          </w:tcPr>
          <w:p>
            <w:pPr>
              <w:spacing w:after="0"/>
              <w:rPr>
                <w:sz w:val="15"/>
                <w:szCs w:val="15"/>
                <w:color w:val="auto"/>
              </w:rPr>
            </w:pPr>
          </w:p>
        </w:tc>
        <w:tc>
          <w:tcPr>
            <w:tcW w:w="9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867</w:t>
            </w:r>
          </w:p>
        </w:tc>
        <w:tc>
          <w:tcPr>
            <w:tcW w:w="260" w:type="dxa"/>
            <w:vAlign w:val="bottom"/>
            <w:tcBorders>
              <w:bottom w:val="single" w:sz="8" w:color="CCECFF"/>
            </w:tcBorders>
            <w:shd w:val="clear" w:color="auto" w:fill="CCECFF"/>
          </w:tcPr>
          <w:p>
            <w:pPr>
              <w:spacing w:after="0"/>
              <w:rPr>
                <w:sz w:val="15"/>
                <w:szCs w:val="15"/>
                <w:color w:val="auto"/>
              </w:rPr>
            </w:pPr>
          </w:p>
        </w:tc>
        <w:tc>
          <w:tcPr>
            <w:tcW w:w="300" w:type="dxa"/>
            <w:vAlign w:val="bottom"/>
            <w:tcBorders>
              <w:bottom w:val="single" w:sz="8" w:color="auto"/>
            </w:tcBorders>
            <w:shd w:val="clear" w:color="auto" w:fill="CCECFF"/>
          </w:tcPr>
          <w:p>
            <w:pPr>
              <w:spacing w:after="0"/>
              <w:rPr>
                <w:sz w:val="15"/>
                <w:szCs w:val="15"/>
                <w:color w:val="auto"/>
              </w:rPr>
            </w:pPr>
          </w:p>
        </w:tc>
        <w:tc>
          <w:tcPr>
            <w:tcW w:w="10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617</w:t>
            </w:r>
          </w:p>
        </w:tc>
        <w:tc>
          <w:tcPr>
            <w:tcW w:w="100" w:type="dxa"/>
            <w:vAlign w:val="bottom"/>
            <w:tcBorders>
              <w:bottom w:val="single" w:sz="8" w:color="CCECFF"/>
            </w:tcBorders>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440" w:type="dxa"/>
            <w:vAlign w:val="bottom"/>
          </w:tcPr>
          <w:p>
            <w:pPr>
              <w:ind w:left="200"/>
              <w:spacing w:after="0"/>
              <w:rPr>
                <w:sz w:val="20"/>
                <w:szCs w:val="20"/>
                <w:color w:val="auto"/>
              </w:rPr>
            </w:pPr>
            <w:r>
              <w:rPr>
                <w:rFonts w:ascii="Arial" w:cs="Arial" w:eastAsia="Arial" w:hAnsi="Arial"/>
                <w:sz w:val="14"/>
                <w:szCs w:val="14"/>
                <w:b w:val="1"/>
                <w:bCs w:val="1"/>
                <w:color w:val="auto"/>
              </w:rPr>
              <w:t>Total expenses</w:t>
            </w:r>
          </w:p>
        </w:tc>
        <w:tc>
          <w:tcPr>
            <w:tcW w:w="18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9,766</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6,439</w:t>
            </w:r>
          </w:p>
        </w:tc>
        <w:tc>
          <w:tcPr>
            <w:tcW w:w="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24,985</w:t>
            </w:r>
          </w:p>
        </w:tc>
        <w:tc>
          <w:tcPr>
            <w:tcW w:w="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17,389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440" w:type="dxa"/>
            <w:vAlign w:val="bottom"/>
            <w:tcBorders>
              <w:bottom w:val="single" w:sz="8" w:color="CCECFF"/>
            </w:tcBorders>
            <w:shd w:val="clear" w:color="auto" w:fill="CCECFF"/>
          </w:tcPr>
          <w:p>
            <w:pPr>
              <w:ind w:left="200"/>
              <w:spacing w:after="0"/>
              <w:rPr>
                <w:sz w:val="20"/>
                <w:szCs w:val="20"/>
                <w:color w:val="auto"/>
              </w:rPr>
            </w:pPr>
            <w:r>
              <w:rPr>
                <w:rFonts w:ascii="Arial" w:cs="Arial" w:eastAsia="Arial" w:hAnsi="Arial"/>
                <w:sz w:val="14"/>
                <w:szCs w:val="14"/>
                <w:b w:val="1"/>
                <w:bCs w:val="1"/>
                <w:color w:val="auto"/>
              </w:rPr>
              <w:t>Net investment income</w:t>
            </w:r>
          </w:p>
        </w:tc>
        <w:tc>
          <w:tcPr>
            <w:tcW w:w="180" w:type="dxa"/>
            <w:vAlign w:val="bottom"/>
            <w:tcBorders>
              <w:bottom w:val="single" w:sz="8" w:color="CCECFF"/>
            </w:tcBorders>
            <w:shd w:val="clear" w:color="auto" w:fill="CCECFF"/>
          </w:tcPr>
          <w:p>
            <w:pPr>
              <w:spacing w:after="0"/>
              <w:rPr>
                <w:sz w:val="14"/>
                <w:szCs w:val="14"/>
                <w:color w:val="auto"/>
              </w:rPr>
            </w:pPr>
          </w:p>
        </w:tc>
        <w:tc>
          <w:tcPr>
            <w:tcW w:w="9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3,834</w:t>
            </w:r>
          </w:p>
        </w:tc>
        <w:tc>
          <w:tcPr>
            <w:tcW w:w="240" w:type="dxa"/>
            <w:vAlign w:val="bottom"/>
            <w:tcBorders>
              <w:bottom w:val="single" w:sz="8" w:color="CCECFF"/>
            </w:tcBorders>
            <w:shd w:val="clear" w:color="auto" w:fill="CCECFF"/>
          </w:tcPr>
          <w:p>
            <w:pPr>
              <w:spacing w:after="0"/>
              <w:rPr>
                <w:sz w:val="14"/>
                <w:szCs w:val="14"/>
                <w:color w:val="auto"/>
              </w:rPr>
            </w:pPr>
          </w:p>
        </w:tc>
        <w:tc>
          <w:tcPr>
            <w:tcW w:w="160" w:type="dxa"/>
            <w:vAlign w:val="bottom"/>
            <w:tcBorders>
              <w:bottom w:val="single" w:sz="8" w:color="CCECFF"/>
            </w:tcBorders>
            <w:shd w:val="clear" w:color="auto" w:fill="CCECFF"/>
          </w:tcPr>
          <w:p>
            <w:pPr>
              <w:spacing w:after="0"/>
              <w:rPr>
                <w:sz w:val="14"/>
                <w:szCs w:val="14"/>
                <w:color w:val="auto"/>
              </w:rPr>
            </w:pPr>
          </w:p>
        </w:tc>
        <w:tc>
          <w:tcPr>
            <w:tcW w:w="10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2,755</w:t>
            </w:r>
          </w:p>
        </w:tc>
        <w:tc>
          <w:tcPr>
            <w:tcW w:w="260" w:type="dxa"/>
            <w:vAlign w:val="bottom"/>
            <w:tcBorders>
              <w:bottom w:val="single" w:sz="8" w:color="CCECFF"/>
            </w:tcBorders>
            <w:shd w:val="clear" w:color="auto" w:fill="CCECFF"/>
          </w:tcPr>
          <w:p>
            <w:pPr>
              <w:spacing w:after="0"/>
              <w:rPr>
                <w:sz w:val="14"/>
                <w:szCs w:val="14"/>
                <w:color w:val="auto"/>
              </w:rPr>
            </w:pPr>
          </w:p>
        </w:tc>
        <w:tc>
          <w:tcPr>
            <w:tcW w:w="300" w:type="dxa"/>
            <w:vAlign w:val="bottom"/>
            <w:tcBorders>
              <w:bottom w:val="single" w:sz="8" w:color="auto"/>
            </w:tcBorders>
            <w:shd w:val="clear" w:color="auto" w:fill="CCECFF"/>
          </w:tcPr>
          <w:p>
            <w:pPr>
              <w:spacing w:after="0"/>
              <w:rPr>
                <w:sz w:val="14"/>
                <w:szCs w:val="14"/>
                <w:color w:val="auto"/>
              </w:rPr>
            </w:pPr>
          </w:p>
        </w:tc>
        <w:tc>
          <w:tcPr>
            <w:tcW w:w="9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12,566</w:t>
            </w:r>
          </w:p>
        </w:tc>
        <w:tc>
          <w:tcPr>
            <w:tcW w:w="260" w:type="dxa"/>
            <w:vAlign w:val="bottom"/>
            <w:tcBorders>
              <w:bottom w:val="single" w:sz="8" w:color="CCECFF"/>
            </w:tcBorders>
            <w:shd w:val="clear" w:color="auto" w:fill="CCECFF"/>
          </w:tcPr>
          <w:p>
            <w:pPr>
              <w:spacing w:after="0"/>
              <w:rPr>
                <w:sz w:val="14"/>
                <w:szCs w:val="14"/>
                <w:color w:val="auto"/>
              </w:rPr>
            </w:pPr>
          </w:p>
        </w:tc>
        <w:tc>
          <w:tcPr>
            <w:tcW w:w="300" w:type="dxa"/>
            <w:vAlign w:val="bottom"/>
            <w:tcBorders>
              <w:bottom w:val="single" w:sz="8" w:color="auto"/>
            </w:tcBorders>
            <w:shd w:val="clear" w:color="auto" w:fill="CCECFF"/>
          </w:tcPr>
          <w:p>
            <w:pPr>
              <w:spacing w:after="0"/>
              <w:rPr>
                <w:sz w:val="14"/>
                <w:szCs w:val="14"/>
                <w:color w:val="auto"/>
              </w:rPr>
            </w:pPr>
          </w:p>
        </w:tc>
        <w:tc>
          <w:tcPr>
            <w:tcW w:w="10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7,109</w:t>
            </w:r>
          </w:p>
        </w:tc>
        <w:tc>
          <w:tcPr>
            <w:tcW w:w="100" w:type="dxa"/>
            <w:vAlign w:val="bottom"/>
            <w:tcBorders>
              <w:bottom w:val="single" w:sz="8" w:color="CCECFF"/>
            </w:tcBorders>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440" w:type="dxa"/>
            <w:vAlign w:val="bottom"/>
          </w:tcPr>
          <w:p>
            <w:pPr>
              <w:ind w:left="20"/>
              <w:spacing w:after="0" w:line="133" w:lineRule="exact"/>
              <w:rPr>
                <w:sz w:val="20"/>
                <w:szCs w:val="20"/>
                <w:color w:val="auto"/>
              </w:rPr>
            </w:pPr>
            <w:r>
              <w:rPr>
                <w:rFonts w:ascii="Arial" w:cs="Arial" w:eastAsia="Arial" w:hAnsi="Arial"/>
                <w:sz w:val="14"/>
                <w:szCs w:val="14"/>
                <w:b w:val="1"/>
                <w:bCs w:val="1"/>
                <w:color w:val="auto"/>
                <w:w w:val="94"/>
              </w:rPr>
              <w:t>Realized and unrealized (loss) gain on investments and credit facility foreign currency</w:t>
            </w: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5440" w:type="dxa"/>
            <w:vAlign w:val="bottom"/>
          </w:tcPr>
          <w:p>
            <w:pPr>
              <w:ind w:left="20"/>
              <w:spacing w:after="0"/>
              <w:rPr>
                <w:sz w:val="20"/>
                <w:szCs w:val="20"/>
                <w:color w:val="auto"/>
              </w:rPr>
            </w:pPr>
            <w:r>
              <w:rPr>
                <w:rFonts w:ascii="Arial" w:cs="Arial" w:eastAsia="Arial" w:hAnsi="Arial"/>
                <w:sz w:val="14"/>
                <w:szCs w:val="14"/>
                <w:b w:val="1"/>
                <w:bCs w:val="1"/>
                <w:color w:val="auto"/>
              </w:rPr>
              <w:t>translation currency translations:</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440" w:type="dxa"/>
            <w:vAlign w:val="bottom"/>
            <w:shd w:val="clear" w:color="auto" w:fill="CCECFF"/>
          </w:tcPr>
          <w:p>
            <w:pPr>
              <w:ind w:left="20"/>
              <w:spacing w:after="0"/>
              <w:rPr>
                <w:sz w:val="20"/>
                <w:szCs w:val="20"/>
                <w:color w:val="auto"/>
              </w:rPr>
            </w:pPr>
            <w:r>
              <w:rPr>
                <w:rFonts w:ascii="Arial" w:cs="Arial" w:eastAsia="Arial" w:hAnsi="Arial"/>
                <w:sz w:val="14"/>
                <w:szCs w:val="14"/>
                <w:color w:val="auto"/>
              </w:rPr>
              <w:t>Net realized loss on investments</w:t>
            </w:r>
          </w:p>
        </w:tc>
        <w:tc>
          <w:tcPr>
            <w:tcW w:w="180" w:type="dxa"/>
            <w:vAlign w:val="bottom"/>
            <w:shd w:val="clear" w:color="auto" w:fill="CCECFF"/>
          </w:tcPr>
          <w:p>
            <w:pPr>
              <w:spacing w:after="0"/>
              <w:rPr>
                <w:sz w:val="15"/>
                <w:szCs w:val="15"/>
                <w:color w:val="auto"/>
              </w:rPr>
            </w:pPr>
          </w:p>
        </w:tc>
        <w:tc>
          <w:tcPr>
            <w:tcW w:w="1160" w:type="dxa"/>
            <w:vAlign w:val="bottom"/>
            <w:gridSpan w:val="2"/>
            <w:shd w:val="clear" w:color="auto" w:fill="CCECFF"/>
          </w:tcPr>
          <w:p>
            <w:pPr>
              <w:jc w:val="right"/>
              <w:ind w:right="108"/>
              <w:spacing w:after="0"/>
              <w:rPr>
                <w:sz w:val="20"/>
                <w:szCs w:val="20"/>
                <w:color w:val="auto"/>
              </w:rPr>
            </w:pPr>
            <w:r>
              <w:rPr>
                <w:rFonts w:ascii="Arial" w:cs="Arial" w:eastAsia="Arial" w:hAnsi="Arial"/>
                <w:sz w:val="14"/>
                <w:szCs w:val="14"/>
                <w:color w:val="auto"/>
              </w:rPr>
              <w:t>(24 )</w:t>
            </w:r>
          </w:p>
        </w:tc>
        <w:tc>
          <w:tcPr>
            <w:tcW w:w="160" w:type="dxa"/>
            <w:vAlign w:val="bottom"/>
            <w:shd w:val="clear" w:color="auto" w:fill="CCECFF"/>
          </w:tcPr>
          <w:p>
            <w:pPr>
              <w:spacing w:after="0"/>
              <w:rPr>
                <w:sz w:val="15"/>
                <w:szCs w:val="15"/>
                <w:color w:val="auto"/>
              </w:rPr>
            </w:pPr>
          </w:p>
        </w:tc>
        <w:tc>
          <w:tcPr>
            <w:tcW w:w="134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(3,403 )</w:t>
            </w:r>
          </w:p>
        </w:tc>
        <w:tc>
          <w:tcPr>
            <w:tcW w:w="300" w:type="dxa"/>
            <w:vAlign w:val="bottom"/>
            <w:shd w:val="clear" w:color="auto" w:fill="CCECFF"/>
          </w:tcPr>
          <w:p>
            <w:pPr>
              <w:spacing w:after="0"/>
              <w:rPr>
                <w:sz w:val="15"/>
                <w:szCs w:val="15"/>
                <w:color w:val="auto"/>
              </w:rPr>
            </w:pPr>
          </w:p>
        </w:tc>
        <w:tc>
          <w:tcPr>
            <w:tcW w:w="124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(14,956 )</w:t>
            </w:r>
          </w:p>
        </w:tc>
        <w:tc>
          <w:tcPr>
            <w:tcW w:w="300" w:type="dxa"/>
            <w:vAlign w:val="bottom"/>
            <w:shd w:val="clear" w:color="auto" w:fill="CCECFF"/>
          </w:tcPr>
          <w:p>
            <w:pPr>
              <w:spacing w:after="0"/>
              <w:rPr>
                <w:sz w:val="15"/>
                <w:szCs w:val="15"/>
                <w:color w:val="auto"/>
              </w:rPr>
            </w:pPr>
          </w:p>
        </w:tc>
        <w:tc>
          <w:tcPr>
            <w:tcW w:w="1120" w:type="dxa"/>
            <w:vAlign w:val="bottom"/>
            <w:gridSpan w:val="2"/>
            <w:shd w:val="clear" w:color="auto" w:fill="CCECFF"/>
          </w:tcPr>
          <w:p>
            <w:pPr>
              <w:jc w:val="right"/>
              <w:ind w:right="40"/>
              <w:spacing w:after="0"/>
              <w:rPr>
                <w:sz w:val="20"/>
                <w:szCs w:val="20"/>
                <w:color w:val="auto"/>
              </w:rPr>
            </w:pPr>
            <w:r>
              <w:rPr>
                <w:rFonts w:ascii="Arial" w:cs="Arial" w:eastAsia="Arial" w:hAnsi="Arial"/>
                <w:sz w:val="14"/>
                <w:szCs w:val="14"/>
                <w:color w:val="auto"/>
              </w:rPr>
              <w:t>(4,679 )</w:t>
            </w:r>
          </w:p>
        </w:tc>
        <w:tc>
          <w:tcPr>
            <w:tcW w:w="0" w:type="dxa"/>
            <w:vAlign w:val="bottom"/>
          </w:tcPr>
          <w:p>
            <w:pPr>
              <w:spacing w:after="0"/>
              <w:rPr>
                <w:sz w:val="1"/>
                <w:szCs w:val="1"/>
                <w:color w:val="auto"/>
              </w:rPr>
            </w:pPr>
          </w:p>
        </w:tc>
      </w:tr>
      <w:tr>
        <w:trPr>
          <w:trHeight w:val="176"/>
        </w:trPr>
        <w:tc>
          <w:tcPr>
            <w:tcW w:w="5440" w:type="dxa"/>
            <w:vAlign w:val="bottom"/>
          </w:tcPr>
          <w:p>
            <w:pPr>
              <w:ind w:left="20"/>
              <w:spacing w:after="0"/>
              <w:rPr>
                <w:sz w:val="20"/>
                <w:szCs w:val="20"/>
                <w:color w:val="auto"/>
              </w:rPr>
            </w:pPr>
            <w:r>
              <w:rPr>
                <w:rFonts w:ascii="Arial" w:cs="Arial" w:eastAsia="Arial" w:hAnsi="Arial"/>
                <w:sz w:val="14"/>
                <w:szCs w:val="14"/>
                <w:color w:val="auto"/>
              </w:rPr>
              <w:t>Net change in unrealized appreciation (depreciation) on:</w:t>
            </w: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440" w:type="dxa"/>
            <w:vAlign w:val="bottom"/>
            <w:shd w:val="clear" w:color="auto" w:fill="CCECFF"/>
          </w:tcPr>
          <w:p>
            <w:pPr>
              <w:ind w:left="200"/>
              <w:spacing w:after="0"/>
              <w:rPr>
                <w:sz w:val="20"/>
                <w:szCs w:val="20"/>
                <w:color w:val="auto"/>
              </w:rPr>
            </w:pPr>
            <w:r>
              <w:rPr>
                <w:rFonts w:ascii="Arial" w:cs="Arial" w:eastAsia="Arial" w:hAnsi="Arial"/>
                <w:sz w:val="14"/>
                <w:szCs w:val="14"/>
                <w:color w:val="auto"/>
              </w:rPr>
              <w:t>Investments</w:t>
            </w:r>
          </w:p>
        </w:tc>
        <w:tc>
          <w:tcPr>
            <w:tcW w:w="180" w:type="dxa"/>
            <w:vAlign w:val="bottom"/>
            <w:shd w:val="clear" w:color="auto" w:fill="CCECFF"/>
          </w:tcPr>
          <w:p>
            <w:pPr>
              <w:spacing w:after="0"/>
              <w:rPr>
                <w:sz w:val="15"/>
                <w:szCs w:val="15"/>
                <w:color w:val="auto"/>
              </w:rPr>
            </w:pPr>
          </w:p>
        </w:tc>
        <w:tc>
          <w:tcPr>
            <w:tcW w:w="1160" w:type="dxa"/>
            <w:vAlign w:val="bottom"/>
            <w:gridSpan w:val="2"/>
            <w:shd w:val="clear" w:color="auto" w:fill="CCECFF"/>
          </w:tcPr>
          <w:p>
            <w:pPr>
              <w:jc w:val="right"/>
              <w:ind w:right="108"/>
              <w:spacing w:after="0"/>
              <w:rPr>
                <w:sz w:val="20"/>
                <w:szCs w:val="20"/>
                <w:color w:val="auto"/>
              </w:rPr>
            </w:pPr>
            <w:r>
              <w:rPr>
                <w:rFonts w:ascii="Arial" w:cs="Arial" w:eastAsia="Arial" w:hAnsi="Arial"/>
                <w:sz w:val="14"/>
                <w:szCs w:val="14"/>
                <w:color w:val="auto"/>
              </w:rPr>
              <w:t>(5,232 )</w:t>
            </w:r>
          </w:p>
        </w:tc>
        <w:tc>
          <w:tcPr>
            <w:tcW w:w="160" w:type="dxa"/>
            <w:vAlign w:val="bottom"/>
            <w:shd w:val="clear" w:color="auto" w:fill="CCECFF"/>
          </w:tcPr>
          <w:p>
            <w:pPr>
              <w:spacing w:after="0"/>
              <w:rPr>
                <w:sz w:val="15"/>
                <w:szCs w:val="15"/>
                <w:color w:val="auto"/>
              </w:rPr>
            </w:pPr>
          </w:p>
        </w:tc>
        <w:tc>
          <w:tcPr>
            <w:tcW w:w="10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1,920</w:t>
            </w:r>
          </w:p>
        </w:tc>
        <w:tc>
          <w:tcPr>
            <w:tcW w:w="260" w:type="dxa"/>
            <w:vAlign w:val="bottom"/>
            <w:shd w:val="clear" w:color="auto" w:fill="CCECFF"/>
          </w:tcPr>
          <w:p>
            <w:pPr>
              <w:spacing w:after="0"/>
              <w:rPr>
                <w:sz w:val="15"/>
                <w:szCs w:val="15"/>
                <w:color w:val="auto"/>
              </w:rPr>
            </w:pPr>
          </w:p>
        </w:tc>
        <w:tc>
          <w:tcPr>
            <w:tcW w:w="300" w:type="dxa"/>
            <w:vAlign w:val="bottom"/>
            <w:shd w:val="clear" w:color="auto" w:fill="CCECFF"/>
          </w:tcPr>
          <w:p>
            <w:pPr>
              <w:spacing w:after="0"/>
              <w:rPr>
                <w:sz w:val="15"/>
                <w:szCs w:val="15"/>
                <w:color w:val="auto"/>
              </w:rPr>
            </w:pPr>
          </w:p>
        </w:tc>
        <w:tc>
          <w:tcPr>
            <w:tcW w:w="9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6,325</w:t>
            </w:r>
          </w:p>
        </w:tc>
        <w:tc>
          <w:tcPr>
            <w:tcW w:w="260" w:type="dxa"/>
            <w:vAlign w:val="bottom"/>
            <w:shd w:val="clear" w:color="auto" w:fill="CCECFF"/>
          </w:tcPr>
          <w:p>
            <w:pPr>
              <w:spacing w:after="0"/>
              <w:rPr>
                <w:sz w:val="15"/>
                <w:szCs w:val="15"/>
                <w:color w:val="auto"/>
              </w:rPr>
            </w:pPr>
          </w:p>
        </w:tc>
        <w:tc>
          <w:tcPr>
            <w:tcW w:w="300" w:type="dxa"/>
            <w:vAlign w:val="bottom"/>
            <w:shd w:val="clear" w:color="auto" w:fill="CCECFF"/>
          </w:tcPr>
          <w:p>
            <w:pPr>
              <w:spacing w:after="0"/>
              <w:rPr>
                <w:sz w:val="15"/>
                <w:szCs w:val="15"/>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9,584</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440" w:type="dxa"/>
            <w:vAlign w:val="bottom"/>
          </w:tcPr>
          <w:p>
            <w:pPr>
              <w:ind w:left="200"/>
              <w:spacing w:after="0"/>
              <w:rPr>
                <w:sz w:val="20"/>
                <w:szCs w:val="20"/>
                <w:color w:val="auto"/>
              </w:rPr>
            </w:pPr>
            <w:r>
              <w:rPr>
                <w:rFonts w:ascii="Arial" w:cs="Arial" w:eastAsia="Arial" w:hAnsi="Arial"/>
                <w:sz w:val="14"/>
                <w:szCs w:val="14"/>
                <w:color w:val="auto"/>
              </w:rPr>
              <w:t>Credit facility foreign currency translation</w:t>
            </w:r>
          </w:p>
        </w:tc>
        <w:tc>
          <w:tcPr>
            <w:tcW w:w="1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4"/>
                <w:szCs w:val="14"/>
                <w:color w:val="auto"/>
              </w:rPr>
              <w:t>(489 )</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5440" w:type="dxa"/>
            <w:vAlign w:val="bottom"/>
            <w:shd w:val="clear" w:color="auto" w:fill="CCECFF"/>
          </w:tcPr>
          <w:p>
            <w:pPr>
              <w:ind w:left="200"/>
              <w:spacing w:after="0" w:line="133" w:lineRule="exact"/>
              <w:rPr>
                <w:sz w:val="20"/>
                <w:szCs w:val="20"/>
                <w:color w:val="auto"/>
              </w:rPr>
            </w:pPr>
            <w:r>
              <w:rPr>
                <w:rFonts w:ascii="Arial" w:cs="Arial" w:eastAsia="Arial" w:hAnsi="Arial"/>
                <w:sz w:val="14"/>
                <w:szCs w:val="14"/>
                <w:b w:val="1"/>
                <w:bCs w:val="1"/>
                <w:color w:val="auto"/>
                <w:w w:val="99"/>
              </w:rPr>
              <w:t>Net change in unrealized appreciation (depreciation) on investments and credit</w:t>
            </w:r>
          </w:p>
        </w:tc>
        <w:tc>
          <w:tcPr>
            <w:tcW w:w="180" w:type="dxa"/>
            <w:vAlign w:val="bottom"/>
            <w:shd w:val="clear" w:color="auto" w:fill="CCECFF"/>
          </w:tcPr>
          <w:p>
            <w:pPr>
              <w:spacing w:after="0"/>
              <w:rPr>
                <w:sz w:val="11"/>
                <w:szCs w:val="11"/>
                <w:color w:val="auto"/>
              </w:rPr>
            </w:pPr>
          </w:p>
        </w:tc>
        <w:tc>
          <w:tcPr>
            <w:tcW w:w="1160" w:type="dxa"/>
            <w:vAlign w:val="bottom"/>
            <w:gridSpan w:val="2"/>
            <w:vMerge w:val="restart"/>
            <w:shd w:val="clear" w:color="auto" w:fill="CCECFF"/>
          </w:tcPr>
          <w:p>
            <w:pPr>
              <w:jc w:val="right"/>
              <w:ind w:right="108"/>
              <w:spacing w:after="0"/>
              <w:rPr>
                <w:sz w:val="20"/>
                <w:szCs w:val="20"/>
                <w:color w:val="auto"/>
              </w:rPr>
            </w:pPr>
            <w:r>
              <w:rPr>
                <w:rFonts w:ascii="Arial" w:cs="Arial" w:eastAsia="Arial" w:hAnsi="Arial"/>
                <w:sz w:val="14"/>
                <w:szCs w:val="14"/>
                <w:color w:val="auto"/>
              </w:rPr>
              <w:t>(5,232 )</w:t>
            </w:r>
          </w:p>
        </w:tc>
        <w:tc>
          <w:tcPr>
            <w:tcW w:w="160" w:type="dxa"/>
            <w:vAlign w:val="bottom"/>
            <w:shd w:val="clear" w:color="auto" w:fill="CCECFF"/>
          </w:tcPr>
          <w:p>
            <w:pPr>
              <w:spacing w:after="0"/>
              <w:rPr>
                <w:sz w:val="11"/>
                <w:szCs w:val="11"/>
                <w:color w:val="auto"/>
              </w:rPr>
            </w:pPr>
          </w:p>
        </w:tc>
        <w:tc>
          <w:tcPr>
            <w:tcW w:w="1080" w:type="dxa"/>
            <w:vAlign w:val="bottom"/>
            <w:vMerge w:val="restart"/>
            <w:shd w:val="clear" w:color="auto" w:fill="CCECFF"/>
          </w:tcPr>
          <w:p>
            <w:pPr>
              <w:jc w:val="right"/>
              <w:spacing w:after="0"/>
              <w:rPr>
                <w:sz w:val="20"/>
                <w:szCs w:val="20"/>
                <w:color w:val="auto"/>
              </w:rPr>
            </w:pPr>
            <w:r>
              <w:rPr>
                <w:rFonts w:ascii="Arial" w:cs="Arial" w:eastAsia="Arial" w:hAnsi="Arial"/>
                <w:sz w:val="14"/>
                <w:szCs w:val="14"/>
                <w:color w:val="auto"/>
              </w:rPr>
              <w:t>1,920</w:t>
            </w:r>
          </w:p>
        </w:tc>
        <w:tc>
          <w:tcPr>
            <w:tcW w:w="260" w:type="dxa"/>
            <w:vAlign w:val="bottom"/>
            <w:shd w:val="clear" w:color="auto" w:fill="CCECFF"/>
          </w:tcPr>
          <w:p>
            <w:pPr>
              <w:spacing w:after="0"/>
              <w:rPr>
                <w:sz w:val="11"/>
                <w:szCs w:val="11"/>
                <w:color w:val="auto"/>
              </w:rPr>
            </w:pPr>
          </w:p>
        </w:tc>
        <w:tc>
          <w:tcPr>
            <w:tcW w:w="300" w:type="dxa"/>
            <w:vAlign w:val="bottom"/>
            <w:shd w:val="clear" w:color="auto" w:fill="CCECFF"/>
          </w:tcPr>
          <w:p>
            <w:pPr>
              <w:spacing w:after="0"/>
              <w:rPr>
                <w:sz w:val="11"/>
                <w:szCs w:val="11"/>
                <w:color w:val="auto"/>
              </w:rPr>
            </w:pPr>
          </w:p>
        </w:tc>
        <w:tc>
          <w:tcPr>
            <w:tcW w:w="980" w:type="dxa"/>
            <w:vAlign w:val="bottom"/>
            <w:vMerge w:val="restart"/>
            <w:shd w:val="clear" w:color="auto" w:fill="CCECFF"/>
          </w:tcPr>
          <w:p>
            <w:pPr>
              <w:jc w:val="right"/>
              <w:spacing w:after="0"/>
              <w:rPr>
                <w:sz w:val="20"/>
                <w:szCs w:val="20"/>
                <w:color w:val="auto"/>
              </w:rPr>
            </w:pPr>
            <w:r>
              <w:rPr>
                <w:rFonts w:ascii="Arial" w:cs="Arial" w:eastAsia="Arial" w:hAnsi="Arial"/>
                <w:sz w:val="14"/>
                <w:szCs w:val="14"/>
                <w:color w:val="auto"/>
              </w:rPr>
              <w:t>6,325</w:t>
            </w:r>
          </w:p>
        </w:tc>
        <w:tc>
          <w:tcPr>
            <w:tcW w:w="260" w:type="dxa"/>
            <w:vAlign w:val="bottom"/>
            <w:shd w:val="clear" w:color="auto" w:fill="CCECFF"/>
          </w:tcPr>
          <w:p>
            <w:pPr>
              <w:spacing w:after="0"/>
              <w:rPr>
                <w:sz w:val="11"/>
                <w:szCs w:val="11"/>
                <w:color w:val="auto"/>
              </w:rPr>
            </w:pPr>
          </w:p>
        </w:tc>
        <w:tc>
          <w:tcPr>
            <w:tcW w:w="300" w:type="dxa"/>
            <w:vAlign w:val="bottom"/>
            <w:shd w:val="clear" w:color="auto" w:fill="CCECFF"/>
          </w:tcPr>
          <w:p>
            <w:pPr>
              <w:spacing w:after="0"/>
              <w:rPr>
                <w:sz w:val="11"/>
                <w:szCs w:val="11"/>
                <w:color w:val="auto"/>
              </w:rPr>
            </w:pPr>
          </w:p>
        </w:tc>
        <w:tc>
          <w:tcPr>
            <w:tcW w:w="1020" w:type="dxa"/>
            <w:vAlign w:val="bottom"/>
            <w:vMerge w:val="restart"/>
            <w:shd w:val="clear" w:color="auto" w:fill="CCECFF"/>
          </w:tcPr>
          <w:p>
            <w:pPr>
              <w:jc w:val="right"/>
              <w:spacing w:after="0"/>
              <w:rPr>
                <w:sz w:val="20"/>
                <w:szCs w:val="20"/>
                <w:color w:val="auto"/>
              </w:rPr>
            </w:pPr>
            <w:r>
              <w:rPr>
                <w:rFonts w:ascii="Arial" w:cs="Arial" w:eastAsia="Arial" w:hAnsi="Arial"/>
                <w:sz w:val="14"/>
                <w:szCs w:val="14"/>
                <w:color w:val="auto"/>
              </w:rPr>
              <w:t>9,095</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440" w:type="dxa"/>
            <w:vAlign w:val="bottom"/>
            <w:shd w:val="clear" w:color="auto" w:fill="CCECFF"/>
          </w:tcPr>
          <w:p>
            <w:pPr>
              <w:ind w:left="200"/>
              <w:spacing w:after="0"/>
              <w:rPr>
                <w:sz w:val="20"/>
                <w:szCs w:val="20"/>
                <w:color w:val="auto"/>
              </w:rPr>
            </w:pPr>
            <w:r>
              <w:rPr>
                <w:rFonts w:ascii="Arial" w:cs="Arial" w:eastAsia="Arial" w:hAnsi="Arial"/>
                <w:sz w:val="14"/>
                <w:szCs w:val="14"/>
                <w:b w:val="1"/>
                <w:bCs w:val="1"/>
                <w:color w:val="auto"/>
              </w:rPr>
              <w:t>facility foreign currency translations</w:t>
            </w:r>
          </w:p>
        </w:tc>
        <w:tc>
          <w:tcPr>
            <w:tcW w:w="180" w:type="dxa"/>
            <w:vAlign w:val="bottom"/>
            <w:shd w:val="clear" w:color="auto" w:fill="CCECFF"/>
          </w:tcPr>
          <w:p>
            <w:pPr>
              <w:spacing w:after="0"/>
              <w:rPr>
                <w:sz w:val="14"/>
                <w:szCs w:val="14"/>
                <w:color w:val="auto"/>
              </w:rPr>
            </w:pPr>
          </w:p>
        </w:tc>
        <w:tc>
          <w:tcPr>
            <w:tcW w:w="1160" w:type="dxa"/>
            <w:vAlign w:val="bottom"/>
            <w:gridSpan w:val="2"/>
            <w:vMerge w:val="continue"/>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080" w:type="dxa"/>
            <w:vAlign w:val="bottom"/>
            <w:vMerge w:val="continue"/>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980" w:type="dxa"/>
            <w:vAlign w:val="bottom"/>
            <w:vMerge w:val="continue"/>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20" w:type="dxa"/>
            <w:vAlign w:val="bottom"/>
            <w:vMerge w:val="continue"/>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440" w:type="dxa"/>
            <w:vAlign w:val="bottom"/>
            <w:shd w:val="clear" w:color="auto" w:fill="CCECFF"/>
          </w:tcPr>
          <w:p>
            <w:pPr>
              <w:spacing w:after="0" w:line="20" w:lineRule="exact"/>
              <w:rPr>
                <w:sz w:val="1"/>
                <w:szCs w:val="1"/>
                <w:color w:val="auto"/>
              </w:rPr>
            </w:pPr>
          </w:p>
        </w:tc>
        <w:tc>
          <w:tcPr>
            <w:tcW w:w="180" w:type="dxa"/>
            <w:vAlign w:val="bottom"/>
            <w:shd w:val="clear" w:color="auto" w:fill="CCEC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CECFF"/>
          </w:tcPr>
          <w:p>
            <w:pPr>
              <w:spacing w:after="0" w:line="20" w:lineRule="exact"/>
              <w:rPr>
                <w:sz w:val="1"/>
                <w:szCs w:val="1"/>
                <w:color w:val="auto"/>
              </w:rPr>
            </w:pPr>
          </w:p>
        </w:tc>
        <w:tc>
          <w:tcPr>
            <w:tcW w:w="160" w:type="dxa"/>
            <w:vAlign w:val="bottom"/>
            <w:shd w:val="clear" w:color="auto" w:fill="CCEC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shd w:val="clear" w:color="auto" w:fill="CCEC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CEC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5440" w:type="dxa"/>
            <w:vAlign w:val="bottom"/>
          </w:tcPr>
          <w:p>
            <w:pPr>
              <w:ind w:left="200"/>
              <w:spacing w:after="0" w:line="133" w:lineRule="exact"/>
              <w:rPr>
                <w:sz w:val="20"/>
                <w:szCs w:val="20"/>
                <w:color w:val="auto"/>
              </w:rPr>
            </w:pPr>
            <w:r>
              <w:rPr>
                <w:rFonts w:ascii="Arial" w:cs="Arial" w:eastAsia="Arial" w:hAnsi="Arial"/>
                <w:sz w:val="14"/>
                <w:szCs w:val="14"/>
                <w:b w:val="1"/>
                <w:bCs w:val="1"/>
                <w:color w:val="auto"/>
                <w:w w:val="95"/>
              </w:rPr>
              <w:t>Net realized and unrealized gain (loss) from investments and credit facility foreign</w:t>
            </w:r>
          </w:p>
        </w:tc>
        <w:tc>
          <w:tcPr>
            <w:tcW w:w="180" w:type="dxa"/>
            <w:vAlign w:val="bottom"/>
          </w:tcPr>
          <w:p>
            <w:pPr>
              <w:spacing w:after="0"/>
              <w:rPr>
                <w:sz w:val="11"/>
                <w:szCs w:val="11"/>
                <w:color w:val="auto"/>
              </w:rPr>
            </w:pPr>
          </w:p>
        </w:tc>
        <w:tc>
          <w:tcPr>
            <w:tcW w:w="1160" w:type="dxa"/>
            <w:vAlign w:val="bottom"/>
            <w:gridSpan w:val="2"/>
            <w:vMerge w:val="restart"/>
          </w:tcPr>
          <w:p>
            <w:pPr>
              <w:jc w:val="right"/>
              <w:ind w:right="108"/>
              <w:spacing w:after="0"/>
              <w:rPr>
                <w:sz w:val="20"/>
                <w:szCs w:val="20"/>
                <w:color w:val="auto"/>
              </w:rPr>
            </w:pPr>
            <w:r>
              <w:rPr>
                <w:rFonts w:ascii="Arial" w:cs="Arial" w:eastAsia="Arial" w:hAnsi="Arial"/>
                <w:sz w:val="14"/>
                <w:szCs w:val="14"/>
                <w:color w:val="auto"/>
              </w:rPr>
              <w:t>(5,256 )</w:t>
            </w:r>
          </w:p>
        </w:tc>
        <w:tc>
          <w:tcPr>
            <w:tcW w:w="160" w:type="dxa"/>
            <w:vAlign w:val="bottom"/>
          </w:tcPr>
          <w:p>
            <w:pPr>
              <w:spacing w:after="0"/>
              <w:rPr>
                <w:sz w:val="11"/>
                <w:szCs w:val="11"/>
                <w:color w:val="auto"/>
              </w:rPr>
            </w:pPr>
          </w:p>
        </w:tc>
        <w:tc>
          <w:tcPr>
            <w:tcW w:w="13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(1,483 )</w:t>
            </w:r>
          </w:p>
        </w:tc>
        <w:tc>
          <w:tcPr>
            <w:tcW w:w="300" w:type="dxa"/>
            <w:vAlign w:val="bottom"/>
          </w:tcPr>
          <w:p>
            <w:pPr>
              <w:spacing w:after="0"/>
              <w:rPr>
                <w:sz w:val="11"/>
                <w:szCs w:val="11"/>
                <w:color w:val="auto"/>
              </w:rPr>
            </w:pPr>
          </w:p>
        </w:tc>
        <w:tc>
          <w:tcPr>
            <w:tcW w:w="12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(8,631 )</w:t>
            </w:r>
          </w:p>
        </w:tc>
        <w:tc>
          <w:tcPr>
            <w:tcW w:w="30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4,416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440" w:type="dxa"/>
            <w:vAlign w:val="bottom"/>
          </w:tcPr>
          <w:p>
            <w:pPr>
              <w:ind w:left="200"/>
              <w:spacing w:after="0"/>
              <w:rPr>
                <w:sz w:val="20"/>
                <w:szCs w:val="20"/>
                <w:color w:val="auto"/>
              </w:rPr>
            </w:pPr>
            <w:r>
              <w:rPr>
                <w:rFonts w:ascii="Arial" w:cs="Arial" w:eastAsia="Arial" w:hAnsi="Arial"/>
                <w:sz w:val="14"/>
                <w:szCs w:val="14"/>
                <w:b w:val="1"/>
                <w:bCs w:val="1"/>
                <w:color w:val="auto"/>
              </w:rPr>
              <w:t>currency translations</w:t>
            </w:r>
          </w:p>
        </w:tc>
        <w:tc>
          <w:tcPr>
            <w:tcW w:w="18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44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4"/>
                <w:szCs w:val="14"/>
                <w:b w:val="1"/>
                <w:bCs w:val="1"/>
                <w:color w:val="auto"/>
              </w:rPr>
              <w:t>Net increase (decrease) in members' equity resulting from operations</w:t>
            </w:r>
          </w:p>
        </w:tc>
        <w:tc>
          <w:tcPr>
            <w:tcW w:w="1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(1,422</w:t>
            </w:r>
          </w:p>
        </w:tc>
        <w:tc>
          <w:tcPr>
            <w:tcW w:w="240" w:type="dxa"/>
            <w:vAlign w:val="bottom"/>
            <w:tcBorders>
              <w:bottom w:val="single" w:sz="8" w:color="CCECFF"/>
            </w:tcBorders>
            <w:shd w:val="clear" w:color="auto" w:fill="CCECFF"/>
          </w:tcPr>
          <w:p>
            <w:pPr>
              <w:jc w:val="right"/>
              <w:ind w:right="108"/>
              <w:spacing w:after="0"/>
              <w:rPr>
                <w:sz w:val="20"/>
                <w:szCs w:val="20"/>
                <w:color w:val="auto"/>
              </w:rPr>
            </w:pPr>
            <w:r>
              <w:rPr>
                <w:rFonts w:ascii="Arial" w:cs="Arial" w:eastAsia="Arial" w:hAnsi="Arial"/>
                <w:sz w:val="14"/>
                <w:szCs w:val="14"/>
                <w:color w:val="auto"/>
                <w:w w:val="84"/>
              </w:rPr>
              <w:t>)</w:t>
            </w:r>
          </w:p>
        </w:tc>
        <w:tc>
          <w:tcPr>
            <w:tcW w:w="1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1,272</w:t>
            </w:r>
          </w:p>
        </w:tc>
        <w:tc>
          <w:tcPr>
            <w:tcW w:w="260" w:type="dxa"/>
            <w:vAlign w:val="bottom"/>
            <w:tcBorders>
              <w:bottom w:val="single" w:sz="8" w:color="CCECFF"/>
            </w:tcBorders>
            <w:shd w:val="clear" w:color="auto" w:fill="CCECFF"/>
          </w:tcPr>
          <w:p>
            <w:pPr>
              <w:spacing w:after="0"/>
              <w:rPr>
                <w:sz w:val="18"/>
                <w:szCs w:val="18"/>
                <w:color w:val="auto"/>
              </w:rPr>
            </w:pPr>
          </w:p>
        </w:tc>
        <w:tc>
          <w:tcPr>
            <w:tcW w:w="300" w:type="dxa"/>
            <w:vAlign w:val="bottom"/>
            <w:tcBorders>
              <w:top w:val="single" w:sz="8" w:color="auto"/>
              <w:bottom w:val="single" w:sz="8" w:color="auto"/>
            </w:tcBorders>
            <w:shd w:val="clear" w:color="auto" w:fill="CCECFF"/>
          </w:tcPr>
          <w:p>
            <w:pPr>
              <w:jc w:val="right"/>
              <w:ind w:right="148"/>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3,935</w:t>
            </w:r>
          </w:p>
        </w:tc>
        <w:tc>
          <w:tcPr>
            <w:tcW w:w="260" w:type="dxa"/>
            <w:vAlign w:val="bottom"/>
            <w:tcBorders>
              <w:bottom w:val="single" w:sz="8" w:color="CCECFF"/>
            </w:tcBorders>
            <w:shd w:val="clear" w:color="auto" w:fill="CCECFF"/>
          </w:tcPr>
          <w:p>
            <w:pPr>
              <w:spacing w:after="0"/>
              <w:rPr>
                <w:sz w:val="18"/>
                <w:szCs w:val="18"/>
                <w:color w:val="auto"/>
              </w:rPr>
            </w:pPr>
          </w:p>
        </w:tc>
        <w:tc>
          <w:tcPr>
            <w:tcW w:w="300" w:type="dxa"/>
            <w:vAlign w:val="bottom"/>
            <w:tcBorders>
              <w:top w:val="single" w:sz="8" w:color="auto"/>
              <w:bottom w:val="single" w:sz="8" w:color="auto"/>
            </w:tcBorders>
            <w:shd w:val="clear" w:color="auto" w:fill="CCECFF"/>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11,525</w:t>
            </w:r>
          </w:p>
        </w:tc>
        <w:tc>
          <w:tcPr>
            <w:tcW w:w="100" w:type="dxa"/>
            <w:vAlign w:val="bottom"/>
            <w:tcBorders>
              <w:bottom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-2139315</wp:posOffset>
            </wp:positionV>
            <wp:extent cx="76835" cy="571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-2139315</wp:posOffset>
            </wp:positionV>
            <wp:extent cx="68580" cy="571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-2139315</wp:posOffset>
            </wp:positionV>
            <wp:extent cx="68580" cy="571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-2139315</wp:posOffset>
            </wp:positionV>
            <wp:extent cx="68580" cy="571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-1453515</wp:posOffset>
            </wp:positionV>
            <wp:extent cx="76835" cy="571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-1453515</wp:posOffset>
            </wp:positionV>
            <wp:extent cx="68580" cy="571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-1453515</wp:posOffset>
            </wp:positionV>
            <wp:extent cx="68580" cy="571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-1453515</wp:posOffset>
            </wp:positionV>
            <wp:extent cx="68580" cy="571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-1213485</wp:posOffset>
            </wp:positionV>
            <wp:extent cx="76835" cy="571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-1213485</wp:posOffset>
            </wp:positionV>
            <wp:extent cx="68580" cy="571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-1213485</wp:posOffset>
            </wp:positionV>
            <wp:extent cx="68580" cy="571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-1213485</wp:posOffset>
            </wp:positionV>
            <wp:extent cx="68580" cy="571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-347980</wp:posOffset>
            </wp:positionV>
            <wp:extent cx="76835" cy="571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-347980</wp:posOffset>
            </wp:positionV>
            <wp:extent cx="68580" cy="571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-347980</wp:posOffset>
            </wp:positionV>
            <wp:extent cx="68580" cy="571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-347980</wp:posOffset>
            </wp:positionV>
            <wp:extent cx="68580" cy="571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-25400</wp:posOffset>
            </wp:positionV>
            <wp:extent cx="76835"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-7620</wp:posOffset>
            </wp:positionV>
            <wp:extent cx="76835"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-25400</wp:posOffset>
            </wp:positionV>
            <wp:extent cx="6858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-7620</wp:posOffset>
            </wp:positionV>
            <wp:extent cx="6858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-25400</wp:posOffset>
            </wp:positionV>
            <wp:extent cx="6858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-7620</wp:posOffset>
            </wp:positionV>
            <wp:extent cx="6858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171450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195" w:lineRule="exact"/>
        <w:rPr>
          <w:sz w:val="20"/>
          <w:szCs w:val="20"/>
          <w:color w:val="auto"/>
        </w:rPr>
      </w:pPr>
    </w:p>
    <w:p>
      <w:pPr>
        <w:ind w:left="380" w:hanging="372"/>
        <w:spacing w:after="0"/>
        <w:tabs>
          <w:tab w:leader="none" w:pos="380" w:val="left"/>
        </w:tabs>
        <w:numPr>
          <w:ilvl w:val="0"/>
          <w:numId w:val="11"/>
        </w:numPr>
        <w:rPr>
          <w:rFonts w:ascii="Arial" w:cs="Arial" w:eastAsia="Arial" w:hAnsi="Arial"/>
          <w:sz w:val="16"/>
          <w:szCs w:val="16"/>
          <w:color w:val="auto"/>
          <w:vertAlign w:val="superscript"/>
        </w:rPr>
      </w:pPr>
      <w:r>
        <w:rPr>
          <w:rFonts w:ascii="Arial" w:cs="Arial" w:eastAsia="Arial" w:hAnsi="Arial"/>
          <w:sz w:val="12"/>
          <w:szCs w:val="12"/>
          <w:color w:val="auto"/>
        </w:rPr>
        <w:t>No management or incentive fees are payable by PSSL. If any fees were to be charged, they would be separately disclosed in the Statement of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 FAIR VALUE OF FINANCIAL INSTRUMENTS</w:t>
      </w:r>
    </w:p>
    <w:p>
      <w:pPr>
        <w:spacing w:after="0" w:line="208" w:lineRule="exact"/>
        <w:rPr>
          <w:sz w:val="20"/>
          <w:szCs w:val="20"/>
          <w:color w:val="auto"/>
        </w:rPr>
      </w:pPr>
    </w:p>
    <w:p>
      <w:pPr>
        <w:jc w:val="both"/>
        <w:ind w:firstLine="449"/>
        <w:spacing w:after="0" w:line="273" w:lineRule="auto"/>
        <w:rPr>
          <w:sz w:val="20"/>
          <w:szCs w:val="20"/>
          <w:color w:val="auto"/>
        </w:rPr>
      </w:pPr>
      <w:r>
        <w:rPr>
          <w:rFonts w:ascii="Arial" w:cs="Arial" w:eastAsia="Arial" w:hAnsi="Arial"/>
          <w:sz w:val="13"/>
          <w:szCs w:val="13"/>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ASC 820 classifies the inputs used to measure these fair values into the following hierarchies:</w:t>
      </w:r>
    </w:p>
    <w:p>
      <w:pPr>
        <w:spacing w:after="0" w:line="204" w:lineRule="exact"/>
        <w:rPr>
          <w:sz w:val="20"/>
          <w:szCs w:val="20"/>
          <w:color w:val="auto"/>
        </w:rPr>
      </w:pPr>
    </w:p>
    <w:p>
      <w:pPr>
        <w:ind w:left="300"/>
        <w:spacing w:after="0"/>
        <w:tabs>
          <w:tab w:leader="none" w:pos="1520" w:val="left"/>
        </w:tabs>
        <w:rPr>
          <w:sz w:val="20"/>
          <w:szCs w:val="20"/>
          <w:color w:val="auto"/>
        </w:rPr>
      </w:pPr>
      <w:r>
        <w:rPr>
          <w:rFonts w:ascii="Arial" w:cs="Arial" w:eastAsia="Arial" w:hAnsi="Arial"/>
          <w:sz w:val="14"/>
          <w:szCs w:val="14"/>
          <w:color w:val="auto"/>
        </w:rPr>
        <w:t>Level 1:</w:t>
      </w:r>
      <w:r>
        <w:rPr>
          <w:sz w:val="20"/>
          <w:szCs w:val="20"/>
          <w:color w:val="auto"/>
        </w:rPr>
        <w:tab/>
      </w:r>
      <w:r>
        <w:rPr>
          <w:rFonts w:ascii="Arial" w:cs="Arial" w:eastAsia="Arial" w:hAnsi="Arial"/>
          <w:sz w:val="12"/>
          <w:szCs w:val="12"/>
          <w:color w:val="auto"/>
        </w:rPr>
        <w:t>Inputs that are quoted prices (unadjusted) in active markets for identical assets or liabilities, accessible by us at the measurement date.</w:t>
      </w:r>
    </w:p>
    <w:p>
      <w:pPr>
        <w:spacing w:after="0" w:line="150" w:lineRule="exact"/>
        <w:rPr>
          <w:sz w:val="20"/>
          <w:szCs w:val="20"/>
          <w:color w:val="auto"/>
        </w:rPr>
      </w:pPr>
    </w:p>
    <w:p>
      <w:pPr>
        <w:jc w:val="both"/>
        <w:ind w:left="1540" w:right="300" w:hanging="1241"/>
        <w:spacing w:after="0" w:line="238" w:lineRule="auto"/>
        <w:tabs>
          <w:tab w:leader="none" w:pos="1520" w:val="left"/>
        </w:tabs>
        <w:rPr>
          <w:sz w:val="20"/>
          <w:szCs w:val="20"/>
          <w:color w:val="auto"/>
        </w:rPr>
      </w:pPr>
      <w:r>
        <w:rPr>
          <w:rFonts w:ascii="Arial" w:cs="Arial" w:eastAsia="Arial" w:hAnsi="Arial"/>
          <w:sz w:val="14"/>
          <w:szCs w:val="14"/>
          <w:color w:val="auto"/>
        </w:rPr>
        <w:t>Level 2:</w:t>
      </w:r>
      <w:r>
        <w:rPr>
          <w:sz w:val="20"/>
          <w:szCs w:val="20"/>
          <w:color w:val="auto"/>
        </w:rPr>
        <w:tab/>
      </w:r>
      <w:r>
        <w:rPr>
          <w:rFonts w:ascii="Arial" w:cs="Arial" w:eastAsia="Arial" w:hAnsi="Arial"/>
          <w:sz w:val="14"/>
          <w:szCs w:val="14"/>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129" w:lineRule="exact"/>
        <w:rPr>
          <w:sz w:val="20"/>
          <w:szCs w:val="20"/>
          <w:color w:val="auto"/>
        </w:rPr>
      </w:pPr>
    </w:p>
    <w:p>
      <w:pPr>
        <w:jc w:val="both"/>
        <w:ind w:left="1540" w:right="300" w:hanging="1241"/>
        <w:spacing w:after="0" w:line="253" w:lineRule="auto"/>
        <w:tabs>
          <w:tab w:leader="none" w:pos="1520" w:val="left"/>
        </w:tabs>
        <w:rPr>
          <w:sz w:val="20"/>
          <w:szCs w:val="20"/>
          <w:color w:val="auto"/>
        </w:rPr>
      </w:pPr>
      <w:r>
        <w:rPr>
          <w:rFonts w:ascii="Arial" w:cs="Arial" w:eastAsia="Arial" w:hAnsi="Arial"/>
          <w:sz w:val="14"/>
          <w:szCs w:val="14"/>
          <w:color w:val="auto"/>
        </w:rPr>
        <w:t>Level 3:</w:t>
      </w:r>
      <w:r>
        <w:rPr>
          <w:sz w:val="20"/>
          <w:szCs w:val="20"/>
          <w:color w:val="auto"/>
        </w:rPr>
        <w:tab/>
      </w:r>
      <w:r>
        <w:rPr>
          <w:rFonts w:ascii="Arial" w:cs="Arial" w:eastAsia="Arial" w:hAnsi="Arial"/>
          <w:sz w:val="14"/>
          <w:szCs w:val="14"/>
          <w:color w:val="auto"/>
        </w:rPr>
        <w:t>Inputs that are unobservable for an asset or liability because they are based on our own assumptions about how market participants would price the asset or liability.</w:t>
      </w:r>
    </w:p>
    <w:p>
      <w:pPr>
        <w:spacing w:after="0" w:line="174" w:lineRule="exact"/>
        <w:rPr>
          <w:sz w:val="20"/>
          <w:szCs w:val="20"/>
          <w:color w:val="auto"/>
        </w:rPr>
      </w:pPr>
    </w:p>
    <w:p>
      <w:pPr>
        <w:jc w:val="both"/>
        <w:ind w:firstLine="449"/>
        <w:spacing w:after="0" w:line="277" w:lineRule="auto"/>
        <w:rPr>
          <w:sz w:val="20"/>
          <w:szCs w:val="20"/>
          <w:color w:val="auto"/>
        </w:rPr>
      </w:pPr>
      <w:r>
        <w:rPr>
          <w:rFonts w:ascii="Arial" w:cs="Arial" w:eastAsia="Arial" w:hAnsi="Arial"/>
          <w:sz w:val="13"/>
          <w:szCs w:val="13"/>
          <w:color w:val="auto"/>
        </w:rPr>
        <w:t>A financial instrument’s categorization within the valuation hierarchy is based upon the lowest level of input that is significant to the fair value measurement. Generally, most of our investments, our 2031 Asset-Backed Debt and our Credit Facility are classified as Level 3. Our 2026 Notes are classified as Level 2 as they are financial instruments with readily observable market inputs. Our 2023 Notes are classified as Level 1, as they were valued using the closing price from the primary exchange.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60" w:lineRule="exact"/>
        <w:rPr>
          <w:sz w:val="20"/>
          <w:szCs w:val="20"/>
          <w:color w:val="auto"/>
        </w:rPr>
      </w:pPr>
    </w:p>
    <w:p>
      <w:pPr>
        <w:jc w:val="both"/>
        <w:ind w:firstLine="449"/>
        <w:spacing w:after="0" w:line="249" w:lineRule="auto"/>
        <w:rPr>
          <w:sz w:val="20"/>
          <w:szCs w:val="20"/>
          <w:color w:val="auto"/>
        </w:rPr>
      </w:pPr>
      <w:r>
        <w:rPr>
          <w:rFonts w:ascii="Arial" w:cs="Arial" w:eastAsia="Arial" w:hAnsi="Arial"/>
          <w:sz w:val="14"/>
          <w:szCs w:val="14"/>
          <w:color w:val="auto"/>
        </w:rPr>
        <w:t>The inputs into the determination of fair value may require significant management judgment or estimation. Even if observable market data is available, such information may be the result of consensus pricing information, disorderly transactions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were available. Corroborating evidence that would result in classifying these non-binding broker/dealer bids as a Level 2 asset includes observable orderly market-based transactions for the same or similar assets or other relevant observable market-based inputs that may be used in pricing an asset.</w:t>
      </w:r>
    </w:p>
    <w:p>
      <w:pPr>
        <w:spacing w:after="0" w:line="177" w:lineRule="exact"/>
        <w:rPr>
          <w:sz w:val="20"/>
          <w:szCs w:val="20"/>
          <w:color w:val="auto"/>
        </w:rPr>
      </w:pPr>
    </w:p>
    <w:p>
      <w:pPr>
        <w:jc w:val="both"/>
        <w:ind w:firstLine="449"/>
        <w:spacing w:after="0" w:line="249" w:lineRule="auto"/>
        <w:rPr>
          <w:sz w:val="20"/>
          <w:szCs w:val="20"/>
          <w:color w:val="auto"/>
        </w:rPr>
      </w:pPr>
      <w:r>
        <w:rPr>
          <w:rFonts w:ascii="Arial" w:cs="Arial" w:eastAsia="Arial" w:hAnsi="Arial"/>
          <w:sz w:val="14"/>
          <w:szCs w:val="14"/>
          <w:color w:val="auto"/>
        </w:rPr>
        <w:t>Our investments are generally structured as Floating Rate Loans, mainly first lien secured debt, but also may include second lien secured debt, subordinated debt and equity investments. The transaction price, excluding transaction costs, is typically the best estimate of fair value at inception.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valued using unobservable inputs are included in Level 3 of the fair value hierarchy.</w:t>
      </w:r>
    </w:p>
    <w:p>
      <w:pPr>
        <w:spacing w:after="0" w:line="177" w:lineRule="exact"/>
        <w:rPr>
          <w:sz w:val="20"/>
          <w:szCs w:val="20"/>
          <w:color w:val="auto"/>
        </w:rPr>
      </w:pPr>
    </w:p>
    <w:p>
      <w:pPr>
        <w:jc w:val="both"/>
        <w:ind w:firstLine="449"/>
        <w:spacing w:after="0" w:line="273" w:lineRule="auto"/>
        <w:rPr>
          <w:sz w:val="20"/>
          <w:szCs w:val="20"/>
          <w:color w:val="auto"/>
        </w:rPr>
      </w:pPr>
      <w:r>
        <w:rPr>
          <w:rFonts w:ascii="Arial" w:cs="Arial" w:eastAsia="Arial" w:hAnsi="Arial"/>
          <w:sz w:val="14"/>
          <w:szCs w:val="14"/>
          <w:color w:val="auto"/>
        </w:rPr>
        <w:t>A review of fair value hierarchy classifications is conducted on a quarterly basis. Changes in our ability to observe valuation inputs may result in a reclassification for certain financial assets or liabilities.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June 30, 2022</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92" w:lineRule="exact"/>
        <w:rPr>
          <w:sz w:val="20"/>
          <w:szCs w:val="20"/>
          <w:color w:val="auto"/>
        </w:rPr>
      </w:pPr>
    </w:p>
    <w:p>
      <w:pPr>
        <w:jc w:val="both"/>
        <w:ind w:firstLine="449"/>
        <w:spacing w:after="0" w:line="257" w:lineRule="auto"/>
        <w:rPr>
          <w:sz w:val="20"/>
          <w:szCs w:val="20"/>
          <w:color w:val="auto"/>
        </w:rPr>
      </w:pPr>
      <w:r>
        <w:rPr>
          <w:rFonts w:ascii="Arial" w:cs="Arial" w:eastAsia="Arial" w:hAnsi="Arial"/>
          <w:sz w:val="14"/>
          <w:szCs w:val="14"/>
          <w:color w:val="auto"/>
        </w:rPr>
        <w:t>In addition to using the above inputs to value cash equivalents, investments, our 2023 Notes, our 2026 Notes, our 2031 Asset-Backed Debt and our Credit Facility, we employ the valuation policy approved by our board of directors that is consistent with ASC 820. Consistent with our valuation policy, we evaluate the source of inputs, including any markets in which our investments are trading, in determining fair value. See Note 2.</w:t>
      </w:r>
    </w:p>
    <w:p>
      <w:pPr>
        <w:spacing w:after="0" w:line="171" w:lineRule="exact"/>
        <w:rPr>
          <w:sz w:val="20"/>
          <w:szCs w:val="20"/>
          <w:color w:val="auto"/>
        </w:rPr>
      </w:pPr>
    </w:p>
    <w:p>
      <w:pPr>
        <w:jc w:val="both"/>
        <w:ind w:firstLine="449"/>
        <w:spacing w:after="0" w:line="273" w:lineRule="auto"/>
        <w:rPr>
          <w:sz w:val="20"/>
          <w:szCs w:val="20"/>
          <w:color w:val="auto"/>
        </w:rPr>
      </w:pPr>
      <w:r>
        <w:rPr>
          <w:rFonts w:ascii="Arial" w:cs="Arial" w:eastAsia="Arial" w:hAnsi="Arial"/>
          <w:sz w:val="13"/>
          <w:szCs w:val="13"/>
          <w:color w:val="auto"/>
        </w:rPr>
        <w:t>As outlined in the table below, some of our Level 3 investments using a market approach valuation technique are valued using the average of the bids from brokers or dealers. The bids include a disclaimer, may not have corroborating evidence, may be the result of a disorderly transaction and may be the result of consensus pricing. The Investment Adviser assesses the source and reliability of bids from brokers or dealers. If the board of directors has a bona fide reason to believe any such bids do not reflect the fair value of an investment, it may independently value such investment by using the valuation procedure that it uses with respect to assets for which market quotations are not readily available. In accordance with ASC 820, we do not categorize any investments for which fair value is measured using the net asset value per share as a practical expedient within the fair value hierarchy.</w:t>
      </w:r>
    </w:p>
    <w:p>
      <w:pPr>
        <w:spacing w:after="0" w:line="162" w:lineRule="exact"/>
        <w:rPr>
          <w:sz w:val="20"/>
          <w:szCs w:val="20"/>
          <w:color w:val="auto"/>
        </w:rPr>
      </w:pPr>
    </w:p>
    <w:p>
      <w:pPr>
        <w:jc w:val="both"/>
        <w:ind w:firstLine="449"/>
        <w:spacing w:after="0" w:line="244" w:lineRule="auto"/>
        <w:rPr>
          <w:sz w:val="20"/>
          <w:szCs w:val="20"/>
          <w:color w:val="auto"/>
        </w:rPr>
      </w:pPr>
      <w:r>
        <w:rPr>
          <w:rFonts w:ascii="Arial" w:cs="Arial" w:eastAsia="Arial" w:hAnsi="Arial"/>
          <w:sz w:val="14"/>
          <w:szCs w:val="14"/>
          <w:color w:val="auto"/>
        </w:rPr>
        <w:t>The remainder of our investment portfolio and our long-term Credit Facility are valued using a market comparable or an enterprise market value technique.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and other relevant factors. When an external event such as a purchase transaction, public offering or subsequent equity sale occurs, the pricing indicated by the external event, excluding transaction costs, is used to corroborate the valuation. When using earnings multiples to value a portfolio company, the multiple used requires the use of judgment and estimates in determining how a market participant would price such an asset. These non-public investments using unobservable inputs are included in Level 3 of the fair value hierarchy.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 Generally, an increase in a market yield will result in a decrease in the valuation of a debt investment, while a decrease in a market yield will have the opposite effect. Generally, an increase in an earnings before interest, taxes, depreciation and amortization, or EBITDA, multiple will result in an increase in the valuation of an investment, while a decrease in an EBITDA multiple will have the opposite effect.</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4"/>
          <w:szCs w:val="14"/>
          <w:color w:val="auto"/>
        </w:rPr>
        <w:t>Our Level 3 valuation techniques, unobservable inputs and ranges were categorized as follows for ASC 820 purposes ($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Asset Category</w:t>
            </w:r>
          </w:p>
        </w:tc>
        <w:tc>
          <w:tcPr>
            <w:tcW w:w="160" w:type="dxa"/>
            <w:vAlign w:val="bottom"/>
          </w:tcPr>
          <w:p>
            <w:pPr>
              <w:spacing w:after="0"/>
              <w:rPr>
                <w:sz w:val="14"/>
                <w:szCs w:val="14"/>
                <w:color w:val="auto"/>
              </w:rPr>
            </w:pPr>
          </w:p>
        </w:tc>
        <w:tc>
          <w:tcPr>
            <w:tcW w:w="1100" w:type="dxa"/>
            <w:vAlign w:val="bottom"/>
          </w:tcPr>
          <w:p>
            <w:pPr>
              <w:ind w:left="20"/>
              <w:spacing w:after="0"/>
              <w:rPr>
                <w:sz w:val="20"/>
                <w:szCs w:val="20"/>
                <w:color w:val="auto"/>
              </w:rPr>
            </w:pPr>
            <w:r>
              <w:rPr>
                <w:rFonts w:ascii="Arial" w:cs="Arial" w:eastAsia="Arial" w:hAnsi="Arial"/>
                <w:sz w:val="14"/>
                <w:szCs w:val="14"/>
                <w:b w:val="1"/>
                <w:bCs w:val="1"/>
                <w:color w:val="auto"/>
              </w:rPr>
              <w:t>Fair value at</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14"/>
                <w:szCs w:val="14"/>
                <w:color w:val="auto"/>
              </w:rPr>
            </w:pPr>
          </w:p>
        </w:tc>
        <w:tc>
          <w:tcPr>
            <w:tcW w:w="1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Valuation Technique</w:t>
            </w:r>
          </w:p>
        </w:tc>
        <w:tc>
          <w:tcPr>
            <w:tcW w:w="140" w:type="dxa"/>
            <w:vAlign w:val="bottom"/>
          </w:tcPr>
          <w:p>
            <w:pPr>
              <w:spacing w:after="0"/>
              <w:rPr>
                <w:sz w:val="14"/>
                <w:szCs w:val="14"/>
                <w:color w:val="auto"/>
              </w:rPr>
            </w:pPr>
          </w:p>
        </w:tc>
        <w:tc>
          <w:tcPr>
            <w:tcW w:w="1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Unobservable Input</w:t>
            </w:r>
          </w:p>
        </w:tc>
        <w:tc>
          <w:tcPr>
            <w:tcW w:w="16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93"/>
              </w:rPr>
              <w:t>Range of Input</w:t>
            </w:r>
          </w:p>
        </w:tc>
        <w:tc>
          <w:tcPr>
            <w:tcW w:w="0" w:type="dxa"/>
            <w:vAlign w:val="bottom"/>
          </w:tcPr>
          <w:p>
            <w:pPr>
              <w:spacing w:after="0"/>
              <w:rPr>
                <w:sz w:val="1"/>
                <w:szCs w:val="1"/>
                <w:color w:val="auto"/>
              </w:rPr>
            </w:pPr>
          </w:p>
        </w:tc>
      </w:tr>
      <w:tr>
        <w:trPr>
          <w:trHeight w:val="189"/>
        </w:trPr>
        <w:tc>
          <w:tcPr>
            <w:tcW w:w="3300" w:type="dxa"/>
            <w:vAlign w:val="bottom"/>
            <w:vMerge w:val="continue"/>
          </w:tcPr>
          <w:p>
            <w:pPr>
              <w:spacing w:after="0"/>
              <w:rPr>
                <w:sz w:val="16"/>
                <w:szCs w:val="16"/>
                <w:color w:val="auto"/>
              </w:rPr>
            </w:pPr>
          </w:p>
        </w:tc>
        <w:tc>
          <w:tcPr>
            <w:tcW w:w="12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8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760" w:type="dxa"/>
            <w:vAlign w:val="bottom"/>
          </w:tcPr>
          <w:p>
            <w:pPr>
              <w:jc w:val="center"/>
              <w:spacing w:after="0" w:line="189" w:lineRule="exact"/>
              <w:rPr>
                <w:sz w:val="20"/>
                <w:szCs w:val="20"/>
                <w:color w:val="auto"/>
              </w:rPr>
            </w:pPr>
            <w:r>
              <w:rPr>
                <w:rFonts w:ascii="Arial" w:cs="Arial" w:eastAsia="Arial" w:hAnsi="Arial"/>
                <w:sz w:val="14"/>
                <w:szCs w:val="14"/>
                <w:b w:val="1"/>
                <w:bCs w:val="1"/>
                <w:color w:val="auto"/>
                <w:w w:val="90"/>
              </w:rPr>
              <w:t xml:space="preserve">(Weighted Average) </w:t>
            </w:r>
            <w:r>
              <w:rPr>
                <w:rFonts w:ascii="Arial" w:cs="Arial" w:eastAsia="Arial" w:hAnsi="Arial"/>
                <w:sz w:val="19"/>
                <w:szCs w:val="19"/>
                <w:b w:val="1"/>
                <w:bCs w:val="1"/>
                <w:color w:val="auto"/>
                <w:w w:val="90"/>
                <w:vertAlign w:val="superscript"/>
              </w:rPr>
              <w:t>(1)</w:t>
            </w:r>
          </w:p>
        </w:tc>
        <w:tc>
          <w:tcPr>
            <w:tcW w:w="0" w:type="dxa"/>
            <w:vAlign w:val="bottom"/>
          </w:tcPr>
          <w:p>
            <w:pPr>
              <w:spacing w:after="0"/>
              <w:rPr>
                <w:sz w:val="1"/>
                <w:szCs w:val="1"/>
                <w:color w:val="auto"/>
              </w:rPr>
            </w:pPr>
          </w:p>
        </w:tc>
      </w:tr>
      <w:tr>
        <w:trPr>
          <w:trHeight w:val="169"/>
        </w:trPr>
        <w:tc>
          <w:tcPr>
            <w:tcW w:w="3300" w:type="dxa"/>
            <w:vAlign w:val="bottom"/>
            <w:tcBorders>
              <w:top w:val="single" w:sz="8" w:color="auto"/>
            </w:tcBorders>
            <w:shd w:val="clear" w:color="auto" w:fill="CCECFF"/>
          </w:tcPr>
          <w:p>
            <w:pPr>
              <w:ind w:left="20"/>
              <w:spacing w:after="0"/>
              <w:rPr>
                <w:sz w:val="20"/>
                <w:szCs w:val="20"/>
                <w:color w:val="auto"/>
              </w:rPr>
            </w:pPr>
            <w:r>
              <w:rPr>
                <w:rFonts w:ascii="Arial" w:cs="Arial" w:eastAsia="Arial" w:hAnsi="Arial"/>
                <w:sz w:val="14"/>
                <w:szCs w:val="14"/>
                <w:color w:val="auto"/>
              </w:rPr>
              <w:t>First lien</w:t>
            </w:r>
          </w:p>
        </w:tc>
        <w:tc>
          <w:tcPr>
            <w:tcW w:w="160" w:type="dxa"/>
            <w:vAlign w:val="bottom"/>
            <w:shd w:val="clear" w:color="auto" w:fill="CCECFF"/>
          </w:tcPr>
          <w:p>
            <w:pPr>
              <w:spacing w:after="0"/>
              <w:rPr>
                <w:sz w:val="14"/>
                <w:szCs w:val="14"/>
                <w:color w:val="auto"/>
              </w:rPr>
            </w:pPr>
          </w:p>
        </w:tc>
        <w:tc>
          <w:tcPr>
            <w:tcW w:w="1100" w:type="dxa"/>
            <w:vAlign w:val="bottom"/>
            <w:tcBorders>
              <w:top w:val="single" w:sz="8" w:color="auto"/>
            </w:tcBorders>
            <w:shd w:val="clear" w:color="auto" w:fill="CCECFF"/>
          </w:tcPr>
          <w:p>
            <w:pPr>
              <w:ind w:left="20"/>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101,193</w:t>
            </w:r>
          </w:p>
        </w:tc>
        <w:tc>
          <w:tcPr>
            <w:tcW w:w="280" w:type="dxa"/>
            <w:vAlign w:val="bottom"/>
            <w:shd w:val="clear" w:color="auto" w:fill="CCECFF"/>
          </w:tcPr>
          <w:p>
            <w:pPr>
              <w:spacing w:after="0"/>
              <w:rPr>
                <w:sz w:val="14"/>
                <w:szCs w:val="14"/>
                <w:color w:val="auto"/>
              </w:rPr>
            </w:pPr>
          </w:p>
        </w:tc>
        <w:tc>
          <w:tcPr>
            <w:tcW w:w="1780" w:type="dxa"/>
            <w:vAlign w:val="bottom"/>
            <w:tcBorders>
              <w:top w:val="single" w:sz="8" w:color="auto"/>
            </w:tcBorders>
            <w:shd w:val="clear" w:color="auto" w:fill="CCECFF"/>
          </w:tcPr>
          <w:p>
            <w:pPr>
              <w:jc w:val="center"/>
              <w:spacing w:after="0"/>
              <w:rPr>
                <w:sz w:val="20"/>
                <w:szCs w:val="20"/>
                <w:color w:val="auto"/>
              </w:rPr>
            </w:pPr>
            <w:r>
              <w:rPr>
                <w:rFonts w:ascii="Arial" w:cs="Arial" w:eastAsia="Arial" w:hAnsi="Arial"/>
                <w:sz w:val="14"/>
                <w:szCs w:val="14"/>
                <w:color w:val="auto"/>
                <w:w w:val="94"/>
              </w:rPr>
              <w:t>Market Comparable</w:t>
            </w:r>
          </w:p>
        </w:tc>
        <w:tc>
          <w:tcPr>
            <w:tcW w:w="140" w:type="dxa"/>
            <w:vAlign w:val="bottom"/>
            <w:shd w:val="clear" w:color="auto" w:fill="CCECFF"/>
          </w:tcPr>
          <w:p>
            <w:pPr>
              <w:spacing w:after="0"/>
              <w:rPr>
                <w:sz w:val="14"/>
                <w:szCs w:val="14"/>
                <w:color w:val="auto"/>
              </w:rPr>
            </w:pPr>
          </w:p>
        </w:tc>
        <w:tc>
          <w:tcPr>
            <w:tcW w:w="1880" w:type="dxa"/>
            <w:vAlign w:val="bottom"/>
            <w:tcBorders>
              <w:top w:val="single" w:sz="8" w:color="auto"/>
            </w:tcBorders>
            <w:shd w:val="clear" w:color="auto" w:fill="CCECFF"/>
          </w:tcPr>
          <w:p>
            <w:pPr>
              <w:jc w:val="center"/>
              <w:spacing w:after="0"/>
              <w:rPr>
                <w:sz w:val="20"/>
                <w:szCs w:val="20"/>
                <w:color w:val="auto"/>
              </w:rPr>
            </w:pPr>
            <w:r>
              <w:rPr>
                <w:rFonts w:ascii="Arial" w:cs="Arial" w:eastAsia="Arial" w:hAnsi="Arial"/>
                <w:sz w:val="14"/>
                <w:szCs w:val="14"/>
                <w:color w:val="auto"/>
                <w:w w:val="93"/>
              </w:rPr>
              <w:t>Broker/Dealer bids or quotes</w:t>
            </w:r>
          </w:p>
        </w:tc>
        <w:tc>
          <w:tcPr>
            <w:tcW w:w="160" w:type="dxa"/>
            <w:vAlign w:val="bottom"/>
            <w:shd w:val="clear" w:color="auto" w:fill="CCECFF"/>
          </w:tcPr>
          <w:p>
            <w:pPr>
              <w:spacing w:after="0"/>
              <w:rPr>
                <w:sz w:val="14"/>
                <w:szCs w:val="14"/>
                <w:color w:val="auto"/>
              </w:rPr>
            </w:pPr>
          </w:p>
        </w:tc>
        <w:tc>
          <w:tcPr>
            <w:tcW w:w="1760" w:type="dxa"/>
            <w:vAlign w:val="bottom"/>
            <w:tcBorders>
              <w:top w:val="single" w:sz="8" w:color="auto"/>
            </w:tcBorders>
            <w:shd w:val="clear" w:color="auto" w:fill="CCECFF"/>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75"/>
        </w:trPr>
        <w:tc>
          <w:tcPr>
            <w:tcW w:w="3300" w:type="dxa"/>
            <w:vAlign w:val="bottom"/>
          </w:tcPr>
          <w:p>
            <w:pPr>
              <w:ind w:left="20"/>
              <w:spacing w:after="0"/>
              <w:rPr>
                <w:sz w:val="20"/>
                <w:szCs w:val="20"/>
                <w:color w:val="auto"/>
              </w:rPr>
            </w:pPr>
            <w:r>
              <w:rPr>
                <w:rFonts w:ascii="Arial" w:cs="Arial" w:eastAsia="Arial" w:hAnsi="Arial"/>
                <w:sz w:val="14"/>
                <w:szCs w:val="14"/>
                <w:color w:val="auto"/>
              </w:rPr>
              <w:t>First lien</w:t>
            </w: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961,189</w:t>
            </w:r>
          </w:p>
        </w:tc>
        <w:tc>
          <w:tcPr>
            <w:tcW w:w="280" w:type="dxa"/>
            <w:vAlign w:val="bottom"/>
          </w:tcPr>
          <w:p>
            <w:pPr>
              <w:spacing w:after="0"/>
              <w:rPr>
                <w:sz w:val="15"/>
                <w:szCs w:val="15"/>
                <w:color w:val="auto"/>
              </w:rPr>
            </w:pPr>
          </w:p>
        </w:tc>
        <w:tc>
          <w:tcPr>
            <w:tcW w:w="1780" w:type="dxa"/>
            <w:vAlign w:val="bottom"/>
          </w:tcPr>
          <w:p>
            <w:pPr>
              <w:jc w:val="center"/>
              <w:spacing w:after="0"/>
              <w:rPr>
                <w:sz w:val="20"/>
                <w:szCs w:val="20"/>
                <w:color w:val="auto"/>
              </w:rPr>
            </w:pPr>
            <w:r>
              <w:rPr>
                <w:rFonts w:ascii="Arial" w:cs="Arial" w:eastAsia="Arial" w:hAnsi="Arial"/>
                <w:sz w:val="14"/>
                <w:szCs w:val="14"/>
                <w:color w:val="auto"/>
                <w:w w:val="94"/>
              </w:rPr>
              <w:t>Market Comparable</w:t>
            </w:r>
          </w:p>
        </w:tc>
        <w:tc>
          <w:tcPr>
            <w:tcW w:w="140" w:type="dxa"/>
            <w:vAlign w:val="bottom"/>
          </w:tcPr>
          <w:p>
            <w:pPr>
              <w:spacing w:after="0"/>
              <w:rPr>
                <w:sz w:val="15"/>
                <w:szCs w:val="15"/>
                <w:color w:val="auto"/>
              </w:rPr>
            </w:pPr>
          </w:p>
        </w:tc>
        <w:tc>
          <w:tcPr>
            <w:tcW w:w="1880" w:type="dxa"/>
            <w:vAlign w:val="bottom"/>
          </w:tcPr>
          <w:p>
            <w:pPr>
              <w:jc w:val="center"/>
              <w:spacing w:after="0"/>
              <w:rPr>
                <w:sz w:val="20"/>
                <w:szCs w:val="20"/>
                <w:color w:val="auto"/>
              </w:rPr>
            </w:pPr>
            <w:r>
              <w:rPr>
                <w:rFonts w:ascii="Arial" w:cs="Arial" w:eastAsia="Arial" w:hAnsi="Arial"/>
                <w:sz w:val="14"/>
                <w:szCs w:val="14"/>
                <w:color w:val="auto"/>
                <w:w w:val="97"/>
              </w:rPr>
              <w:t>Market Yield</w:t>
            </w:r>
          </w:p>
        </w:tc>
        <w:tc>
          <w:tcPr>
            <w:tcW w:w="1920" w:type="dxa"/>
            <w:vAlign w:val="bottom"/>
            <w:gridSpan w:val="2"/>
          </w:tcPr>
          <w:p>
            <w:pPr>
              <w:jc w:val="center"/>
              <w:ind w:left="68"/>
              <w:spacing w:after="0"/>
              <w:rPr>
                <w:sz w:val="20"/>
                <w:szCs w:val="20"/>
                <w:color w:val="auto"/>
              </w:rPr>
            </w:pPr>
            <w:r>
              <w:rPr>
                <w:rFonts w:ascii="Arial" w:cs="Arial" w:eastAsia="Arial" w:hAnsi="Arial"/>
                <w:sz w:val="14"/>
                <w:szCs w:val="14"/>
                <w:color w:val="auto"/>
                <w:w w:val="94"/>
              </w:rPr>
              <w:t>7.4% - 21.8% (10.1%)</w:t>
            </w:r>
          </w:p>
        </w:tc>
        <w:tc>
          <w:tcPr>
            <w:tcW w:w="0" w:type="dxa"/>
            <w:vAlign w:val="bottom"/>
          </w:tcPr>
          <w:p>
            <w:pPr>
              <w:spacing w:after="0"/>
              <w:rPr>
                <w:sz w:val="1"/>
                <w:szCs w:val="1"/>
                <w:color w:val="auto"/>
              </w:rPr>
            </w:pPr>
          </w:p>
        </w:tc>
      </w:tr>
      <w:tr>
        <w:trPr>
          <w:trHeight w:val="176"/>
        </w:trPr>
        <w:tc>
          <w:tcPr>
            <w:tcW w:w="3300" w:type="dxa"/>
            <w:vAlign w:val="bottom"/>
            <w:shd w:val="clear" w:color="auto" w:fill="CCECFF"/>
          </w:tcPr>
          <w:p>
            <w:pPr>
              <w:ind w:left="20"/>
              <w:spacing w:after="0"/>
              <w:rPr>
                <w:sz w:val="20"/>
                <w:szCs w:val="20"/>
                <w:color w:val="auto"/>
              </w:rPr>
            </w:pPr>
            <w:r>
              <w:rPr>
                <w:rFonts w:ascii="Arial" w:cs="Arial" w:eastAsia="Arial" w:hAnsi="Arial"/>
                <w:sz w:val="14"/>
                <w:szCs w:val="14"/>
                <w:color w:val="auto"/>
              </w:rPr>
              <w:t>Second lien</w:t>
            </w:r>
          </w:p>
        </w:tc>
        <w:tc>
          <w:tcPr>
            <w:tcW w:w="160" w:type="dxa"/>
            <w:vAlign w:val="bottom"/>
            <w:shd w:val="clear" w:color="auto" w:fill="CCECFF"/>
          </w:tcPr>
          <w:p>
            <w:pPr>
              <w:spacing w:after="0"/>
              <w:rPr>
                <w:sz w:val="15"/>
                <w:szCs w:val="15"/>
                <w:color w:val="auto"/>
              </w:rPr>
            </w:pPr>
          </w:p>
        </w:tc>
        <w:tc>
          <w:tcPr>
            <w:tcW w:w="1100" w:type="dxa"/>
            <w:vAlign w:val="bottom"/>
            <w:shd w:val="clear" w:color="auto" w:fill="CCECFF"/>
          </w:tcPr>
          <w:p>
            <w:pPr>
              <w:spacing w:after="0"/>
              <w:rPr>
                <w:sz w:val="15"/>
                <w:szCs w:val="15"/>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149</w:t>
            </w:r>
          </w:p>
        </w:tc>
        <w:tc>
          <w:tcPr>
            <w:tcW w:w="280" w:type="dxa"/>
            <w:vAlign w:val="bottom"/>
            <w:shd w:val="clear" w:color="auto" w:fill="CCECFF"/>
          </w:tcPr>
          <w:p>
            <w:pPr>
              <w:spacing w:after="0"/>
              <w:rPr>
                <w:sz w:val="15"/>
                <w:szCs w:val="15"/>
                <w:color w:val="auto"/>
              </w:rPr>
            </w:pPr>
          </w:p>
        </w:tc>
        <w:tc>
          <w:tcPr>
            <w:tcW w:w="1780" w:type="dxa"/>
            <w:vAlign w:val="bottom"/>
            <w:shd w:val="clear" w:color="auto" w:fill="CCECFF"/>
          </w:tcPr>
          <w:p>
            <w:pPr>
              <w:jc w:val="center"/>
              <w:spacing w:after="0"/>
              <w:rPr>
                <w:sz w:val="20"/>
                <w:szCs w:val="20"/>
                <w:color w:val="auto"/>
              </w:rPr>
            </w:pPr>
            <w:r>
              <w:rPr>
                <w:rFonts w:ascii="Arial" w:cs="Arial" w:eastAsia="Arial" w:hAnsi="Arial"/>
                <w:sz w:val="14"/>
                <w:szCs w:val="14"/>
                <w:color w:val="auto"/>
                <w:w w:val="94"/>
              </w:rPr>
              <w:t>Market Comparable</w:t>
            </w:r>
          </w:p>
        </w:tc>
        <w:tc>
          <w:tcPr>
            <w:tcW w:w="140" w:type="dxa"/>
            <w:vAlign w:val="bottom"/>
            <w:shd w:val="clear" w:color="auto" w:fill="CCECFF"/>
          </w:tcPr>
          <w:p>
            <w:pPr>
              <w:spacing w:after="0"/>
              <w:rPr>
                <w:sz w:val="15"/>
                <w:szCs w:val="15"/>
                <w:color w:val="auto"/>
              </w:rPr>
            </w:pPr>
          </w:p>
        </w:tc>
        <w:tc>
          <w:tcPr>
            <w:tcW w:w="1880" w:type="dxa"/>
            <w:vAlign w:val="bottom"/>
            <w:shd w:val="clear" w:color="auto" w:fill="CCECFF"/>
          </w:tcPr>
          <w:p>
            <w:pPr>
              <w:jc w:val="center"/>
              <w:spacing w:after="0"/>
              <w:rPr>
                <w:sz w:val="20"/>
                <w:szCs w:val="20"/>
                <w:color w:val="auto"/>
              </w:rPr>
            </w:pPr>
            <w:r>
              <w:rPr>
                <w:rFonts w:ascii="Arial" w:cs="Arial" w:eastAsia="Arial" w:hAnsi="Arial"/>
                <w:sz w:val="14"/>
                <w:szCs w:val="14"/>
                <w:color w:val="auto"/>
                <w:w w:val="97"/>
              </w:rPr>
              <w:t>Market Yield</w:t>
            </w:r>
          </w:p>
        </w:tc>
        <w:tc>
          <w:tcPr>
            <w:tcW w:w="1920" w:type="dxa"/>
            <w:vAlign w:val="bottom"/>
            <w:gridSpan w:val="2"/>
            <w:shd w:val="clear" w:color="auto" w:fill="CCECFF"/>
          </w:tcPr>
          <w:p>
            <w:pPr>
              <w:jc w:val="center"/>
              <w:ind w:left="88"/>
              <w:spacing w:after="0"/>
              <w:rPr>
                <w:sz w:val="20"/>
                <w:szCs w:val="20"/>
                <w:color w:val="auto"/>
              </w:rPr>
            </w:pPr>
            <w:r>
              <w:rPr>
                <w:rFonts w:ascii="Arial" w:cs="Arial" w:eastAsia="Arial" w:hAnsi="Arial"/>
                <w:sz w:val="14"/>
                <w:szCs w:val="14"/>
                <w:color w:val="auto"/>
                <w:w w:val="90"/>
              </w:rPr>
              <w:t>13.5%</w:t>
            </w:r>
          </w:p>
        </w:tc>
        <w:tc>
          <w:tcPr>
            <w:tcW w:w="0" w:type="dxa"/>
            <w:vAlign w:val="bottom"/>
          </w:tcPr>
          <w:p>
            <w:pPr>
              <w:spacing w:after="0"/>
              <w:rPr>
                <w:sz w:val="1"/>
                <w:szCs w:val="1"/>
                <w:color w:val="auto"/>
              </w:rPr>
            </w:pPr>
          </w:p>
        </w:tc>
      </w:tr>
      <w:tr>
        <w:trPr>
          <w:trHeight w:val="175"/>
        </w:trPr>
        <w:tc>
          <w:tcPr>
            <w:tcW w:w="3300" w:type="dxa"/>
            <w:vAlign w:val="bottom"/>
          </w:tcPr>
          <w:p>
            <w:pPr>
              <w:ind w:left="20"/>
              <w:spacing w:after="0"/>
              <w:rPr>
                <w:sz w:val="20"/>
                <w:szCs w:val="20"/>
                <w:color w:val="auto"/>
              </w:rPr>
            </w:pPr>
            <w:r>
              <w:rPr>
                <w:rFonts w:ascii="Arial" w:cs="Arial" w:eastAsia="Arial" w:hAnsi="Arial"/>
                <w:sz w:val="14"/>
                <w:szCs w:val="14"/>
                <w:color w:val="auto"/>
              </w:rPr>
              <w:t>Second lien</w:t>
            </w: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512</w:t>
            </w:r>
          </w:p>
        </w:tc>
        <w:tc>
          <w:tcPr>
            <w:tcW w:w="280" w:type="dxa"/>
            <w:vAlign w:val="bottom"/>
          </w:tcPr>
          <w:p>
            <w:pPr>
              <w:spacing w:after="0"/>
              <w:rPr>
                <w:sz w:val="15"/>
                <w:szCs w:val="15"/>
                <w:color w:val="auto"/>
              </w:rPr>
            </w:pPr>
          </w:p>
        </w:tc>
        <w:tc>
          <w:tcPr>
            <w:tcW w:w="1780" w:type="dxa"/>
            <w:vAlign w:val="bottom"/>
          </w:tcPr>
          <w:p>
            <w:pPr>
              <w:jc w:val="center"/>
              <w:spacing w:after="0"/>
              <w:rPr>
                <w:sz w:val="20"/>
                <w:szCs w:val="20"/>
                <w:color w:val="auto"/>
              </w:rPr>
            </w:pPr>
            <w:r>
              <w:rPr>
                <w:rFonts w:ascii="Arial" w:cs="Arial" w:eastAsia="Arial" w:hAnsi="Arial"/>
                <w:sz w:val="14"/>
                <w:szCs w:val="14"/>
                <w:color w:val="auto"/>
                <w:w w:val="94"/>
              </w:rPr>
              <w:t>Enterprise Market Value</w:t>
            </w:r>
          </w:p>
        </w:tc>
        <w:tc>
          <w:tcPr>
            <w:tcW w:w="140" w:type="dxa"/>
            <w:vAlign w:val="bottom"/>
          </w:tcPr>
          <w:p>
            <w:pPr>
              <w:spacing w:after="0"/>
              <w:rPr>
                <w:sz w:val="15"/>
                <w:szCs w:val="15"/>
                <w:color w:val="auto"/>
              </w:rPr>
            </w:pPr>
          </w:p>
        </w:tc>
        <w:tc>
          <w:tcPr>
            <w:tcW w:w="1880" w:type="dxa"/>
            <w:vAlign w:val="bottom"/>
          </w:tcPr>
          <w:p>
            <w:pPr>
              <w:jc w:val="center"/>
              <w:spacing w:after="0"/>
              <w:rPr>
                <w:sz w:val="20"/>
                <w:szCs w:val="20"/>
                <w:color w:val="auto"/>
              </w:rPr>
            </w:pPr>
            <w:r>
              <w:rPr>
                <w:rFonts w:ascii="Arial" w:cs="Arial" w:eastAsia="Arial" w:hAnsi="Arial"/>
                <w:sz w:val="14"/>
                <w:szCs w:val="14"/>
                <w:color w:val="auto"/>
              </w:rPr>
              <w:t>EBITDA multiple</w:t>
            </w:r>
          </w:p>
        </w:tc>
        <w:tc>
          <w:tcPr>
            <w:tcW w:w="160" w:type="dxa"/>
            <w:vAlign w:val="bottom"/>
          </w:tcPr>
          <w:p>
            <w:pPr>
              <w:spacing w:after="0"/>
              <w:rPr>
                <w:sz w:val="15"/>
                <w:szCs w:val="15"/>
                <w:color w:val="auto"/>
              </w:rPr>
            </w:pPr>
          </w:p>
        </w:tc>
        <w:tc>
          <w:tcPr>
            <w:tcW w:w="1760" w:type="dxa"/>
            <w:vAlign w:val="bottom"/>
          </w:tcPr>
          <w:p>
            <w:pPr>
              <w:jc w:val="center"/>
              <w:spacing w:after="0"/>
              <w:rPr>
                <w:sz w:val="20"/>
                <w:szCs w:val="20"/>
                <w:color w:val="auto"/>
              </w:rPr>
            </w:pPr>
            <w:r>
              <w:rPr>
                <w:rFonts w:ascii="Arial" w:cs="Arial" w:eastAsia="Arial" w:hAnsi="Arial"/>
                <w:sz w:val="14"/>
                <w:szCs w:val="14"/>
                <w:color w:val="auto"/>
                <w:w w:val="98"/>
              </w:rPr>
              <w:t>5.3x</w:t>
            </w:r>
          </w:p>
        </w:tc>
        <w:tc>
          <w:tcPr>
            <w:tcW w:w="0" w:type="dxa"/>
            <w:vAlign w:val="bottom"/>
          </w:tcPr>
          <w:p>
            <w:pPr>
              <w:spacing w:after="0"/>
              <w:rPr>
                <w:sz w:val="1"/>
                <w:szCs w:val="1"/>
                <w:color w:val="auto"/>
              </w:rPr>
            </w:pPr>
          </w:p>
        </w:tc>
      </w:tr>
      <w:tr>
        <w:trPr>
          <w:trHeight w:val="176"/>
        </w:trPr>
        <w:tc>
          <w:tcPr>
            <w:tcW w:w="3300" w:type="dxa"/>
            <w:vAlign w:val="bottom"/>
            <w:shd w:val="clear" w:color="auto" w:fill="CCECFF"/>
          </w:tcPr>
          <w:p>
            <w:pPr>
              <w:ind w:left="20"/>
              <w:spacing w:after="0"/>
              <w:rPr>
                <w:sz w:val="20"/>
                <w:szCs w:val="20"/>
                <w:color w:val="auto"/>
              </w:rPr>
            </w:pPr>
            <w:r>
              <w:rPr>
                <w:rFonts w:ascii="Arial" w:cs="Arial" w:eastAsia="Arial" w:hAnsi="Arial"/>
                <w:sz w:val="14"/>
                <w:szCs w:val="14"/>
                <w:color w:val="auto"/>
              </w:rPr>
              <w:t>Equity</w:t>
            </w:r>
          </w:p>
        </w:tc>
        <w:tc>
          <w:tcPr>
            <w:tcW w:w="160" w:type="dxa"/>
            <w:vAlign w:val="bottom"/>
            <w:shd w:val="clear" w:color="auto" w:fill="CCECFF"/>
          </w:tcPr>
          <w:p>
            <w:pPr>
              <w:spacing w:after="0"/>
              <w:rPr>
                <w:sz w:val="15"/>
                <w:szCs w:val="15"/>
                <w:color w:val="auto"/>
              </w:rPr>
            </w:pPr>
          </w:p>
        </w:tc>
        <w:tc>
          <w:tcPr>
            <w:tcW w:w="1100" w:type="dxa"/>
            <w:vAlign w:val="bottom"/>
            <w:shd w:val="clear" w:color="auto" w:fill="CCECFF"/>
          </w:tcPr>
          <w:p>
            <w:pPr>
              <w:spacing w:after="0"/>
              <w:rPr>
                <w:sz w:val="15"/>
                <w:szCs w:val="15"/>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89,875</w:t>
            </w:r>
          </w:p>
        </w:tc>
        <w:tc>
          <w:tcPr>
            <w:tcW w:w="280" w:type="dxa"/>
            <w:vAlign w:val="bottom"/>
            <w:shd w:val="clear" w:color="auto" w:fill="CCECFF"/>
          </w:tcPr>
          <w:p>
            <w:pPr>
              <w:spacing w:after="0"/>
              <w:rPr>
                <w:sz w:val="15"/>
                <w:szCs w:val="15"/>
                <w:color w:val="auto"/>
              </w:rPr>
            </w:pPr>
          </w:p>
        </w:tc>
        <w:tc>
          <w:tcPr>
            <w:tcW w:w="1780" w:type="dxa"/>
            <w:vAlign w:val="bottom"/>
            <w:shd w:val="clear" w:color="auto" w:fill="CCECFF"/>
          </w:tcPr>
          <w:p>
            <w:pPr>
              <w:jc w:val="center"/>
              <w:spacing w:after="0"/>
              <w:rPr>
                <w:sz w:val="20"/>
                <w:szCs w:val="20"/>
                <w:color w:val="auto"/>
              </w:rPr>
            </w:pPr>
            <w:r>
              <w:rPr>
                <w:rFonts w:ascii="Arial" w:cs="Arial" w:eastAsia="Arial" w:hAnsi="Arial"/>
                <w:sz w:val="14"/>
                <w:szCs w:val="14"/>
                <w:color w:val="auto"/>
                <w:w w:val="94"/>
              </w:rPr>
              <w:t>Enterprise Market Value</w:t>
            </w:r>
          </w:p>
        </w:tc>
        <w:tc>
          <w:tcPr>
            <w:tcW w:w="140" w:type="dxa"/>
            <w:vAlign w:val="bottom"/>
            <w:shd w:val="clear" w:color="auto" w:fill="CCECFF"/>
          </w:tcPr>
          <w:p>
            <w:pPr>
              <w:spacing w:after="0"/>
              <w:rPr>
                <w:sz w:val="15"/>
                <w:szCs w:val="15"/>
                <w:color w:val="auto"/>
              </w:rPr>
            </w:pPr>
          </w:p>
        </w:tc>
        <w:tc>
          <w:tcPr>
            <w:tcW w:w="1880" w:type="dxa"/>
            <w:vAlign w:val="bottom"/>
            <w:shd w:val="clear" w:color="auto" w:fill="CCECFF"/>
          </w:tcPr>
          <w:p>
            <w:pPr>
              <w:jc w:val="center"/>
              <w:spacing w:after="0"/>
              <w:rPr>
                <w:sz w:val="20"/>
                <w:szCs w:val="20"/>
                <w:color w:val="auto"/>
              </w:rPr>
            </w:pPr>
            <w:r>
              <w:rPr>
                <w:rFonts w:ascii="Arial" w:cs="Arial" w:eastAsia="Arial" w:hAnsi="Arial"/>
                <w:sz w:val="14"/>
                <w:szCs w:val="14"/>
                <w:color w:val="auto"/>
              </w:rPr>
              <w:t>EBITDA multiple</w:t>
            </w:r>
          </w:p>
        </w:tc>
        <w:tc>
          <w:tcPr>
            <w:tcW w:w="160" w:type="dxa"/>
            <w:vAlign w:val="bottom"/>
            <w:shd w:val="clear" w:color="auto" w:fill="CCECFF"/>
          </w:tcPr>
          <w:p>
            <w:pPr>
              <w:spacing w:after="0"/>
              <w:rPr>
                <w:sz w:val="15"/>
                <w:szCs w:val="15"/>
                <w:color w:val="auto"/>
              </w:rPr>
            </w:pPr>
          </w:p>
        </w:tc>
        <w:tc>
          <w:tcPr>
            <w:tcW w:w="1760" w:type="dxa"/>
            <w:vAlign w:val="bottom"/>
            <w:shd w:val="clear" w:color="auto" w:fill="CCECFF"/>
          </w:tcPr>
          <w:p>
            <w:pPr>
              <w:jc w:val="center"/>
              <w:spacing w:after="0"/>
              <w:rPr>
                <w:sz w:val="20"/>
                <w:szCs w:val="20"/>
                <w:color w:val="auto"/>
              </w:rPr>
            </w:pPr>
            <w:r>
              <w:rPr>
                <w:rFonts w:ascii="Arial" w:cs="Arial" w:eastAsia="Arial" w:hAnsi="Arial"/>
                <w:sz w:val="14"/>
                <w:szCs w:val="14"/>
                <w:color w:val="auto"/>
                <w:w w:val="96"/>
              </w:rPr>
              <w:t>3.4x - 21.5x (12.5x)</w:t>
            </w:r>
          </w:p>
        </w:tc>
        <w:tc>
          <w:tcPr>
            <w:tcW w:w="0" w:type="dxa"/>
            <w:vAlign w:val="bottom"/>
          </w:tcPr>
          <w:p>
            <w:pPr>
              <w:spacing w:after="0"/>
              <w:rPr>
                <w:sz w:val="1"/>
                <w:szCs w:val="1"/>
                <w:color w:val="auto"/>
              </w:rPr>
            </w:pPr>
          </w:p>
        </w:tc>
      </w:tr>
      <w:tr>
        <w:trPr>
          <w:trHeight w:val="176"/>
        </w:trPr>
        <w:tc>
          <w:tcPr>
            <w:tcW w:w="3300" w:type="dxa"/>
            <w:vAlign w:val="bottom"/>
          </w:tcPr>
          <w:p>
            <w:pPr>
              <w:ind w:left="20"/>
              <w:spacing w:after="0"/>
              <w:rPr>
                <w:sz w:val="20"/>
                <w:szCs w:val="20"/>
                <w:color w:val="auto"/>
              </w:rPr>
            </w:pPr>
            <w:r>
              <w:rPr>
                <w:rFonts w:ascii="Arial" w:cs="Arial" w:eastAsia="Arial" w:hAnsi="Arial"/>
                <w:sz w:val="14"/>
                <w:szCs w:val="14"/>
                <w:color w:val="auto"/>
              </w:rPr>
              <w:t>Equity</w:t>
            </w:r>
          </w:p>
        </w:tc>
        <w:tc>
          <w:tcPr>
            <w:tcW w:w="160" w:type="dxa"/>
            <w:vAlign w:val="bottom"/>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4,217</w:t>
            </w:r>
          </w:p>
        </w:tc>
        <w:tc>
          <w:tcPr>
            <w:tcW w:w="280" w:type="dxa"/>
            <w:vAlign w:val="bottom"/>
          </w:tcPr>
          <w:p>
            <w:pPr>
              <w:spacing w:after="0"/>
              <w:rPr>
                <w:sz w:val="15"/>
                <w:szCs w:val="15"/>
                <w:color w:val="auto"/>
              </w:rPr>
            </w:pPr>
          </w:p>
        </w:tc>
        <w:tc>
          <w:tcPr>
            <w:tcW w:w="1780" w:type="dxa"/>
            <w:vAlign w:val="bottom"/>
          </w:tcPr>
          <w:p>
            <w:pPr>
              <w:jc w:val="center"/>
              <w:spacing w:after="0"/>
              <w:rPr>
                <w:sz w:val="20"/>
                <w:szCs w:val="20"/>
                <w:color w:val="auto"/>
              </w:rPr>
            </w:pPr>
            <w:r>
              <w:rPr>
                <w:rFonts w:ascii="Arial" w:cs="Arial" w:eastAsia="Arial" w:hAnsi="Arial"/>
                <w:sz w:val="14"/>
                <w:szCs w:val="14"/>
                <w:color w:val="auto"/>
                <w:w w:val="94"/>
              </w:rPr>
              <w:t>Enterprise Market Value</w:t>
            </w:r>
          </w:p>
        </w:tc>
        <w:tc>
          <w:tcPr>
            <w:tcW w:w="140" w:type="dxa"/>
            <w:vAlign w:val="bottom"/>
          </w:tcPr>
          <w:p>
            <w:pPr>
              <w:spacing w:after="0"/>
              <w:rPr>
                <w:sz w:val="15"/>
                <w:szCs w:val="15"/>
                <w:color w:val="auto"/>
              </w:rPr>
            </w:pPr>
          </w:p>
        </w:tc>
        <w:tc>
          <w:tcPr>
            <w:tcW w:w="1880" w:type="dxa"/>
            <w:vAlign w:val="bottom"/>
          </w:tcPr>
          <w:p>
            <w:pPr>
              <w:jc w:val="center"/>
              <w:spacing w:after="0"/>
              <w:rPr>
                <w:sz w:val="20"/>
                <w:szCs w:val="20"/>
                <w:color w:val="auto"/>
              </w:rPr>
            </w:pPr>
            <w:r>
              <w:rPr>
                <w:rFonts w:ascii="Arial" w:cs="Arial" w:eastAsia="Arial" w:hAnsi="Arial"/>
                <w:sz w:val="14"/>
                <w:szCs w:val="14"/>
                <w:color w:val="auto"/>
              </w:rPr>
              <w:t>DLOM</w:t>
            </w:r>
          </w:p>
        </w:tc>
        <w:tc>
          <w:tcPr>
            <w:tcW w:w="1920" w:type="dxa"/>
            <w:vAlign w:val="bottom"/>
            <w:gridSpan w:val="2"/>
          </w:tcPr>
          <w:p>
            <w:pPr>
              <w:jc w:val="center"/>
              <w:ind w:left="88"/>
              <w:spacing w:after="0"/>
              <w:rPr>
                <w:sz w:val="20"/>
                <w:szCs w:val="20"/>
                <w:color w:val="auto"/>
              </w:rPr>
            </w:pPr>
            <w:r>
              <w:rPr>
                <w:rFonts w:ascii="Arial" w:cs="Arial" w:eastAsia="Arial" w:hAnsi="Arial"/>
                <w:sz w:val="14"/>
                <w:szCs w:val="14"/>
                <w:color w:val="auto"/>
                <w:w w:val="90"/>
              </w:rPr>
              <w:t>11.8%</w:t>
            </w:r>
          </w:p>
        </w:tc>
        <w:tc>
          <w:tcPr>
            <w:tcW w:w="0" w:type="dxa"/>
            <w:vAlign w:val="bottom"/>
          </w:tcPr>
          <w:p>
            <w:pPr>
              <w:spacing w:after="0"/>
              <w:rPr>
                <w:sz w:val="1"/>
                <w:szCs w:val="1"/>
                <w:color w:val="auto"/>
              </w:rPr>
            </w:pPr>
          </w:p>
        </w:tc>
      </w:tr>
      <w:tr>
        <w:trPr>
          <w:trHeight w:val="209"/>
        </w:trPr>
        <w:tc>
          <w:tcPr>
            <w:tcW w:w="3300" w:type="dxa"/>
            <w:vAlign w:val="bottom"/>
            <w:tcBorders>
              <w:bottom w:val="single" w:sz="8" w:color="CCECFF"/>
            </w:tcBorders>
            <w:shd w:val="clear" w:color="auto" w:fill="CCECFF"/>
          </w:tcPr>
          <w:p>
            <w:pPr>
              <w:ind w:left="200"/>
              <w:spacing w:after="0"/>
              <w:rPr>
                <w:sz w:val="20"/>
                <w:szCs w:val="20"/>
                <w:color w:val="auto"/>
              </w:rPr>
            </w:pPr>
            <w:r>
              <w:rPr>
                <w:rFonts w:ascii="Arial" w:cs="Arial" w:eastAsia="Arial" w:hAnsi="Arial"/>
                <w:sz w:val="14"/>
                <w:szCs w:val="14"/>
                <w:color w:val="auto"/>
              </w:rPr>
              <w:t>Total Level 3 investments</w:t>
            </w:r>
          </w:p>
        </w:tc>
        <w:tc>
          <w:tcPr>
            <w:tcW w:w="160" w:type="dxa"/>
            <w:vAlign w:val="bottom"/>
            <w:tcBorders>
              <w:bottom w:val="single" w:sz="8" w:color="CCECFF"/>
            </w:tcBorders>
            <w:shd w:val="clear" w:color="auto" w:fill="CCECFF"/>
          </w:tcPr>
          <w:p>
            <w:pPr>
              <w:spacing w:after="0"/>
              <w:rPr>
                <w:sz w:val="18"/>
                <w:szCs w:val="18"/>
                <w:color w:val="auto"/>
              </w:rPr>
            </w:pPr>
          </w:p>
        </w:tc>
        <w:tc>
          <w:tcPr>
            <w:tcW w:w="1100" w:type="dxa"/>
            <w:vAlign w:val="bottom"/>
            <w:tcBorders>
              <w:bottom w:val="single" w:sz="8" w:color="auto"/>
            </w:tcBorders>
            <w:shd w:val="clear" w:color="auto" w:fill="CCECFF"/>
          </w:tcPr>
          <w:p>
            <w:pPr>
              <w:ind w:left="2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1,157,135</w:t>
            </w:r>
          </w:p>
        </w:tc>
        <w:tc>
          <w:tcPr>
            <w:tcW w:w="280" w:type="dxa"/>
            <w:vAlign w:val="bottom"/>
            <w:tcBorders>
              <w:bottom w:val="single" w:sz="8" w:color="CCECFF"/>
            </w:tcBorders>
            <w:shd w:val="clear" w:color="auto" w:fill="CCECFF"/>
          </w:tcPr>
          <w:p>
            <w:pPr>
              <w:spacing w:after="0"/>
              <w:rPr>
                <w:sz w:val="18"/>
                <w:szCs w:val="18"/>
                <w:color w:val="auto"/>
              </w:rPr>
            </w:pPr>
          </w:p>
        </w:tc>
        <w:tc>
          <w:tcPr>
            <w:tcW w:w="1780" w:type="dxa"/>
            <w:vAlign w:val="bottom"/>
            <w:tcBorders>
              <w:bottom w:val="single" w:sz="8" w:color="CCECFF"/>
            </w:tcBorders>
            <w:shd w:val="clear" w:color="auto" w:fill="CCECFF"/>
          </w:tcPr>
          <w:p>
            <w:pPr>
              <w:spacing w:after="0"/>
              <w:rPr>
                <w:sz w:val="18"/>
                <w:szCs w:val="18"/>
                <w:color w:val="auto"/>
              </w:rPr>
            </w:pPr>
          </w:p>
        </w:tc>
        <w:tc>
          <w:tcPr>
            <w:tcW w:w="140" w:type="dxa"/>
            <w:vAlign w:val="bottom"/>
            <w:tcBorders>
              <w:bottom w:val="single" w:sz="8" w:color="CCECFF"/>
            </w:tcBorders>
            <w:shd w:val="clear" w:color="auto" w:fill="CCECFF"/>
          </w:tcPr>
          <w:p>
            <w:pPr>
              <w:spacing w:after="0"/>
              <w:rPr>
                <w:sz w:val="18"/>
                <w:szCs w:val="18"/>
                <w:color w:val="auto"/>
              </w:rPr>
            </w:pPr>
          </w:p>
        </w:tc>
        <w:tc>
          <w:tcPr>
            <w:tcW w:w="1880" w:type="dxa"/>
            <w:vAlign w:val="bottom"/>
            <w:tcBorders>
              <w:bottom w:val="single" w:sz="8" w:color="CCECFF"/>
            </w:tcBorders>
            <w:shd w:val="clear" w:color="auto" w:fill="CCECFF"/>
          </w:tcPr>
          <w:p>
            <w:pPr>
              <w:spacing w:after="0"/>
              <w:rPr>
                <w:sz w:val="18"/>
                <w:szCs w:val="18"/>
                <w:color w:val="auto"/>
              </w:rPr>
            </w:pPr>
          </w:p>
        </w:tc>
        <w:tc>
          <w:tcPr>
            <w:tcW w:w="160" w:type="dxa"/>
            <w:vAlign w:val="bottom"/>
            <w:tcBorders>
              <w:bottom w:val="single" w:sz="8" w:color="CCECFF"/>
            </w:tcBorders>
            <w:shd w:val="clear" w:color="auto" w:fill="CCECFF"/>
          </w:tcPr>
          <w:p>
            <w:pPr>
              <w:spacing w:after="0"/>
              <w:rPr>
                <w:sz w:val="18"/>
                <w:szCs w:val="18"/>
                <w:color w:val="auto"/>
              </w:rPr>
            </w:pPr>
          </w:p>
        </w:tc>
        <w:tc>
          <w:tcPr>
            <w:tcW w:w="1760" w:type="dxa"/>
            <w:vAlign w:val="bottom"/>
            <w:tcBorders>
              <w:bottom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3300" w:type="dxa"/>
            <w:vAlign w:val="bottom"/>
          </w:tcPr>
          <w:p>
            <w:pPr>
              <w:ind w:left="20"/>
              <w:spacing w:after="0" w:line="156" w:lineRule="exact"/>
              <w:rPr>
                <w:sz w:val="20"/>
                <w:szCs w:val="20"/>
                <w:color w:val="auto"/>
              </w:rPr>
            </w:pPr>
            <w:r>
              <w:rPr>
                <w:rFonts w:ascii="Arial" w:cs="Arial" w:eastAsia="Arial" w:hAnsi="Arial"/>
                <w:sz w:val="14"/>
                <w:szCs w:val="14"/>
                <w:b w:val="1"/>
                <w:bCs w:val="1"/>
                <w:color w:val="auto"/>
              </w:rPr>
              <w:t>Debt Category</w:t>
            </w:r>
          </w:p>
        </w:tc>
        <w:tc>
          <w:tcPr>
            <w:tcW w:w="160" w:type="dxa"/>
            <w:vAlign w:val="bottom"/>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00" w:type="dxa"/>
            <w:vAlign w:val="bottom"/>
            <w:tcBorders>
              <w:bottom w:val="single" w:sz="8" w:color="CCECFF"/>
            </w:tcBorders>
            <w:shd w:val="clear" w:color="auto" w:fill="CCECFF"/>
          </w:tcPr>
          <w:p>
            <w:pPr>
              <w:ind w:left="20"/>
              <w:spacing w:after="0" w:line="155" w:lineRule="exact"/>
              <w:rPr>
                <w:sz w:val="20"/>
                <w:szCs w:val="20"/>
                <w:color w:val="auto"/>
              </w:rPr>
            </w:pPr>
            <w:r>
              <w:rPr>
                <w:rFonts w:ascii="Arial" w:cs="Arial" w:eastAsia="Arial" w:hAnsi="Arial"/>
                <w:sz w:val="14"/>
                <w:szCs w:val="14"/>
                <w:color w:val="auto"/>
              </w:rPr>
              <w:t>Long-Term Credit Facility</w:t>
            </w:r>
          </w:p>
        </w:tc>
        <w:tc>
          <w:tcPr>
            <w:tcW w:w="160" w:type="dxa"/>
            <w:vAlign w:val="bottom"/>
            <w:tcBorders>
              <w:bottom w:val="single" w:sz="8" w:color="CCECFF"/>
            </w:tcBorders>
            <w:shd w:val="clear" w:color="auto" w:fill="CCECFF"/>
          </w:tcPr>
          <w:p>
            <w:pPr>
              <w:spacing w:after="0"/>
              <w:rPr>
                <w:sz w:val="17"/>
                <w:szCs w:val="17"/>
                <w:color w:val="auto"/>
              </w:rPr>
            </w:pPr>
          </w:p>
        </w:tc>
        <w:tc>
          <w:tcPr>
            <w:tcW w:w="1100" w:type="dxa"/>
            <w:vAlign w:val="bottom"/>
            <w:tcBorders>
              <w:bottom w:val="single" w:sz="8" w:color="auto"/>
            </w:tcBorders>
            <w:shd w:val="clear" w:color="auto" w:fill="CCECFF"/>
          </w:tcPr>
          <w:p>
            <w:pPr>
              <w:ind w:left="20"/>
              <w:spacing w:after="0" w:line="155"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253,443</w:t>
            </w:r>
          </w:p>
        </w:tc>
        <w:tc>
          <w:tcPr>
            <w:tcW w:w="280" w:type="dxa"/>
            <w:vAlign w:val="bottom"/>
            <w:tcBorders>
              <w:bottom w:val="single" w:sz="8" w:color="CCECFF"/>
            </w:tcBorders>
            <w:shd w:val="clear" w:color="auto" w:fill="CCECFF"/>
          </w:tcPr>
          <w:p>
            <w:pPr>
              <w:spacing w:after="0"/>
              <w:rPr>
                <w:sz w:val="17"/>
                <w:szCs w:val="17"/>
                <w:color w:val="auto"/>
              </w:rPr>
            </w:pPr>
          </w:p>
        </w:tc>
        <w:tc>
          <w:tcPr>
            <w:tcW w:w="1780" w:type="dxa"/>
            <w:vAlign w:val="bottom"/>
            <w:tcBorders>
              <w:bottom w:val="single" w:sz="8" w:color="CCECFF"/>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4"/>
              </w:rPr>
              <w:t>Market Comparable</w:t>
            </w:r>
          </w:p>
        </w:tc>
        <w:tc>
          <w:tcPr>
            <w:tcW w:w="140" w:type="dxa"/>
            <w:vAlign w:val="bottom"/>
            <w:tcBorders>
              <w:bottom w:val="single" w:sz="8" w:color="CCECFF"/>
            </w:tcBorders>
            <w:shd w:val="clear" w:color="auto" w:fill="CCECFF"/>
          </w:tcPr>
          <w:p>
            <w:pPr>
              <w:spacing w:after="0"/>
              <w:rPr>
                <w:sz w:val="17"/>
                <w:szCs w:val="17"/>
                <w:color w:val="auto"/>
              </w:rPr>
            </w:pPr>
          </w:p>
        </w:tc>
        <w:tc>
          <w:tcPr>
            <w:tcW w:w="1880" w:type="dxa"/>
            <w:vAlign w:val="bottom"/>
            <w:tcBorders>
              <w:bottom w:val="single" w:sz="8" w:color="CCECFF"/>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7"/>
              </w:rPr>
              <w:t>Market Yield</w:t>
            </w:r>
          </w:p>
        </w:tc>
        <w:tc>
          <w:tcPr>
            <w:tcW w:w="1920" w:type="dxa"/>
            <w:vAlign w:val="bottom"/>
            <w:tcBorders>
              <w:bottom w:val="single" w:sz="8" w:color="CCECFF"/>
            </w:tcBorders>
            <w:gridSpan w:val="2"/>
            <w:shd w:val="clear" w:color="auto" w:fill="CCECFF"/>
          </w:tcPr>
          <w:p>
            <w:pPr>
              <w:jc w:val="center"/>
              <w:ind w:left="68"/>
              <w:spacing w:after="0" w:line="155" w:lineRule="exact"/>
              <w:rPr>
                <w:sz w:val="20"/>
                <w:szCs w:val="20"/>
                <w:color w:val="auto"/>
              </w:rPr>
            </w:pPr>
            <w:r>
              <w:rPr>
                <w:rFonts w:ascii="Arial" w:cs="Arial" w:eastAsia="Arial" w:hAnsi="Arial"/>
                <w:sz w:val="14"/>
                <w:szCs w:val="14"/>
                <w:color w:val="auto"/>
                <w:w w:val="93"/>
              </w:rPr>
              <w:t>2.9%</w:t>
            </w:r>
          </w:p>
        </w:tc>
        <w:tc>
          <w:tcPr>
            <w:tcW w:w="0" w:type="dxa"/>
            <w:vAlign w:val="bottom"/>
          </w:tcPr>
          <w:p>
            <w:pPr>
              <w:spacing w:after="0"/>
              <w:rPr>
                <w:sz w:val="1"/>
                <w:szCs w:val="1"/>
                <w:color w:val="auto"/>
              </w:rPr>
            </w:pPr>
          </w:p>
        </w:tc>
      </w:tr>
      <w:tr>
        <w:trPr>
          <w:trHeight w:val="318"/>
        </w:trPr>
        <w:tc>
          <w:tcPr>
            <w:tcW w:w="33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Asset Category</w:t>
            </w:r>
          </w:p>
        </w:tc>
        <w:tc>
          <w:tcPr>
            <w:tcW w:w="160" w:type="dxa"/>
            <w:vAlign w:val="bottom"/>
          </w:tcPr>
          <w:p>
            <w:pPr>
              <w:spacing w:after="0"/>
              <w:rPr>
                <w:sz w:val="24"/>
                <w:szCs w:val="24"/>
                <w:color w:val="auto"/>
              </w:rPr>
            </w:pPr>
          </w:p>
        </w:tc>
        <w:tc>
          <w:tcPr>
            <w:tcW w:w="1780" w:type="dxa"/>
            <w:vAlign w:val="bottom"/>
            <w:gridSpan w:val="2"/>
          </w:tcPr>
          <w:p>
            <w:pPr>
              <w:ind w:left="20"/>
              <w:spacing w:after="0"/>
              <w:rPr>
                <w:sz w:val="20"/>
                <w:szCs w:val="20"/>
                <w:color w:val="auto"/>
              </w:rPr>
            </w:pPr>
            <w:r>
              <w:rPr>
                <w:rFonts w:ascii="Arial" w:cs="Arial" w:eastAsia="Arial" w:hAnsi="Arial"/>
                <w:sz w:val="14"/>
                <w:szCs w:val="14"/>
                <w:b w:val="1"/>
                <w:bCs w:val="1"/>
                <w:color w:val="auto"/>
                <w:w w:val="95"/>
              </w:rPr>
              <w:t>Fair value at September 30,</w:t>
            </w:r>
          </w:p>
        </w:tc>
        <w:tc>
          <w:tcPr>
            <w:tcW w:w="280" w:type="dxa"/>
            <w:vAlign w:val="bottom"/>
          </w:tcPr>
          <w:p>
            <w:pPr>
              <w:spacing w:after="0"/>
              <w:rPr>
                <w:sz w:val="24"/>
                <w:szCs w:val="24"/>
                <w:color w:val="auto"/>
              </w:rPr>
            </w:pPr>
          </w:p>
        </w:tc>
        <w:tc>
          <w:tcPr>
            <w:tcW w:w="1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Valuation Technique</w:t>
            </w:r>
          </w:p>
        </w:tc>
        <w:tc>
          <w:tcPr>
            <w:tcW w:w="140" w:type="dxa"/>
            <w:vAlign w:val="bottom"/>
          </w:tcPr>
          <w:p>
            <w:pPr>
              <w:spacing w:after="0"/>
              <w:rPr>
                <w:sz w:val="24"/>
                <w:szCs w:val="24"/>
                <w:color w:val="auto"/>
              </w:rPr>
            </w:pPr>
          </w:p>
        </w:tc>
        <w:tc>
          <w:tcPr>
            <w:tcW w:w="1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Unobservable Input</w:t>
            </w:r>
          </w:p>
        </w:tc>
        <w:tc>
          <w:tcPr>
            <w:tcW w:w="160" w:type="dxa"/>
            <w:vAlign w:val="bottom"/>
          </w:tcPr>
          <w:p>
            <w:pPr>
              <w:spacing w:after="0"/>
              <w:rPr>
                <w:sz w:val="24"/>
                <w:szCs w:val="24"/>
                <w:color w:val="auto"/>
              </w:rPr>
            </w:pP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93"/>
              </w:rPr>
              <w:t>Range of Input</w:t>
            </w:r>
          </w:p>
        </w:tc>
        <w:tc>
          <w:tcPr>
            <w:tcW w:w="0" w:type="dxa"/>
            <w:vAlign w:val="bottom"/>
          </w:tcPr>
          <w:p>
            <w:pPr>
              <w:spacing w:after="0"/>
              <w:rPr>
                <w:sz w:val="1"/>
                <w:szCs w:val="1"/>
                <w:color w:val="auto"/>
              </w:rPr>
            </w:pPr>
          </w:p>
        </w:tc>
      </w:tr>
      <w:tr>
        <w:trPr>
          <w:trHeight w:val="189"/>
        </w:trPr>
        <w:tc>
          <w:tcPr>
            <w:tcW w:w="3300" w:type="dxa"/>
            <w:vAlign w:val="bottom"/>
            <w:vMerge w:val="continue"/>
          </w:tcPr>
          <w:p>
            <w:pPr>
              <w:spacing w:after="0"/>
              <w:rPr>
                <w:sz w:val="16"/>
                <w:szCs w:val="16"/>
                <w:color w:val="auto"/>
              </w:rPr>
            </w:pPr>
          </w:p>
        </w:tc>
        <w:tc>
          <w:tcPr>
            <w:tcW w:w="12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8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760" w:type="dxa"/>
            <w:vAlign w:val="bottom"/>
          </w:tcPr>
          <w:p>
            <w:pPr>
              <w:jc w:val="center"/>
              <w:spacing w:after="0" w:line="189" w:lineRule="exact"/>
              <w:rPr>
                <w:sz w:val="20"/>
                <w:szCs w:val="20"/>
                <w:color w:val="auto"/>
              </w:rPr>
            </w:pPr>
            <w:r>
              <w:rPr>
                <w:rFonts w:ascii="Arial" w:cs="Arial" w:eastAsia="Arial" w:hAnsi="Arial"/>
                <w:sz w:val="14"/>
                <w:szCs w:val="14"/>
                <w:b w:val="1"/>
                <w:bCs w:val="1"/>
                <w:color w:val="auto"/>
                <w:w w:val="90"/>
              </w:rPr>
              <w:t xml:space="preserve">(Weighted Average) </w:t>
            </w:r>
            <w:r>
              <w:rPr>
                <w:rFonts w:ascii="Arial" w:cs="Arial" w:eastAsia="Arial" w:hAnsi="Arial"/>
                <w:sz w:val="19"/>
                <w:szCs w:val="19"/>
                <w:b w:val="1"/>
                <w:bCs w:val="1"/>
                <w:color w:val="auto"/>
                <w:w w:val="90"/>
                <w:vertAlign w:val="superscript"/>
              </w:rPr>
              <w:t>(1)</w:t>
            </w:r>
          </w:p>
        </w:tc>
        <w:tc>
          <w:tcPr>
            <w:tcW w:w="0" w:type="dxa"/>
            <w:vAlign w:val="bottom"/>
          </w:tcPr>
          <w:p>
            <w:pPr>
              <w:spacing w:after="0"/>
              <w:rPr>
                <w:sz w:val="1"/>
                <w:szCs w:val="1"/>
                <w:color w:val="auto"/>
              </w:rPr>
            </w:pPr>
          </w:p>
        </w:tc>
      </w:tr>
      <w:tr>
        <w:trPr>
          <w:trHeight w:val="169"/>
        </w:trPr>
        <w:tc>
          <w:tcPr>
            <w:tcW w:w="330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First lien</w:t>
            </w:r>
          </w:p>
        </w:tc>
        <w:tc>
          <w:tcPr>
            <w:tcW w:w="160" w:type="dxa"/>
            <w:vAlign w:val="bottom"/>
          </w:tcPr>
          <w:p>
            <w:pPr>
              <w:spacing w:after="0"/>
              <w:rPr>
                <w:sz w:val="14"/>
                <w:szCs w:val="14"/>
                <w:color w:val="auto"/>
              </w:rPr>
            </w:pPr>
          </w:p>
        </w:tc>
        <w:tc>
          <w:tcPr>
            <w:tcW w:w="110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177,480</w:t>
            </w:r>
          </w:p>
        </w:tc>
        <w:tc>
          <w:tcPr>
            <w:tcW w:w="280" w:type="dxa"/>
            <w:vAlign w:val="bottom"/>
          </w:tcPr>
          <w:p>
            <w:pPr>
              <w:spacing w:after="0"/>
              <w:rPr>
                <w:sz w:val="14"/>
                <w:szCs w:val="14"/>
                <w:color w:val="auto"/>
              </w:rPr>
            </w:pPr>
          </w:p>
        </w:tc>
        <w:tc>
          <w:tcPr>
            <w:tcW w:w="17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4"/>
              </w:rPr>
              <w:t>Market Comparable</w:t>
            </w:r>
          </w:p>
        </w:tc>
        <w:tc>
          <w:tcPr>
            <w:tcW w:w="140" w:type="dxa"/>
            <w:vAlign w:val="bottom"/>
          </w:tcPr>
          <w:p>
            <w:pPr>
              <w:spacing w:after="0"/>
              <w:rPr>
                <w:sz w:val="14"/>
                <w:szCs w:val="14"/>
                <w:color w:val="auto"/>
              </w:rPr>
            </w:pPr>
          </w:p>
        </w:tc>
        <w:tc>
          <w:tcPr>
            <w:tcW w:w="18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3"/>
              </w:rPr>
              <w:t>Broker/Dealer bids or quotes</w:t>
            </w:r>
          </w:p>
        </w:tc>
        <w:tc>
          <w:tcPr>
            <w:tcW w:w="160" w:type="dxa"/>
            <w:vAlign w:val="bottom"/>
          </w:tcPr>
          <w:p>
            <w:pPr>
              <w:spacing w:after="0"/>
              <w:rPr>
                <w:sz w:val="14"/>
                <w:szCs w:val="14"/>
                <w:color w:val="auto"/>
              </w:rPr>
            </w:pPr>
          </w:p>
        </w:tc>
        <w:tc>
          <w:tcPr>
            <w:tcW w:w="17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75"/>
        </w:trPr>
        <w:tc>
          <w:tcPr>
            <w:tcW w:w="3300" w:type="dxa"/>
            <w:vAlign w:val="bottom"/>
            <w:shd w:val="clear" w:color="auto" w:fill="CCECFF"/>
          </w:tcPr>
          <w:p>
            <w:pPr>
              <w:ind w:left="20"/>
              <w:spacing w:after="0"/>
              <w:rPr>
                <w:sz w:val="20"/>
                <w:szCs w:val="20"/>
                <w:color w:val="auto"/>
              </w:rPr>
            </w:pPr>
            <w:r>
              <w:rPr>
                <w:rFonts w:ascii="Arial" w:cs="Arial" w:eastAsia="Arial" w:hAnsi="Arial"/>
                <w:sz w:val="14"/>
                <w:szCs w:val="14"/>
                <w:color w:val="auto"/>
              </w:rPr>
              <w:t>First lien</w:t>
            </w:r>
          </w:p>
        </w:tc>
        <w:tc>
          <w:tcPr>
            <w:tcW w:w="160" w:type="dxa"/>
            <w:vAlign w:val="bottom"/>
            <w:shd w:val="clear" w:color="auto" w:fill="CCECFF"/>
          </w:tcPr>
          <w:p>
            <w:pPr>
              <w:spacing w:after="0"/>
              <w:rPr>
                <w:sz w:val="15"/>
                <w:szCs w:val="15"/>
                <w:color w:val="auto"/>
              </w:rPr>
            </w:pPr>
          </w:p>
        </w:tc>
        <w:tc>
          <w:tcPr>
            <w:tcW w:w="1100" w:type="dxa"/>
            <w:vAlign w:val="bottom"/>
            <w:shd w:val="clear" w:color="auto" w:fill="CCECFF"/>
          </w:tcPr>
          <w:p>
            <w:pPr>
              <w:spacing w:after="0"/>
              <w:rPr>
                <w:sz w:val="15"/>
                <w:szCs w:val="15"/>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754,004</w:t>
            </w:r>
          </w:p>
        </w:tc>
        <w:tc>
          <w:tcPr>
            <w:tcW w:w="280" w:type="dxa"/>
            <w:vAlign w:val="bottom"/>
            <w:shd w:val="clear" w:color="auto" w:fill="CCECFF"/>
          </w:tcPr>
          <w:p>
            <w:pPr>
              <w:spacing w:after="0"/>
              <w:rPr>
                <w:sz w:val="15"/>
                <w:szCs w:val="15"/>
                <w:color w:val="auto"/>
              </w:rPr>
            </w:pPr>
          </w:p>
        </w:tc>
        <w:tc>
          <w:tcPr>
            <w:tcW w:w="1780" w:type="dxa"/>
            <w:vAlign w:val="bottom"/>
            <w:shd w:val="clear" w:color="auto" w:fill="CCECFF"/>
          </w:tcPr>
          <w:p>
            <w:pPr>
              <w:jc w:val="center"/>
              <w:spacing w:after="0"/>
              <w:rPr>
                <w:sz w:val="20"/>
                <w:szCs w:val="20"/>
                <w:color w:val="auto"/>
              </w:rPr>
            </w:pPr>
            <w:r>
              <w:rPr>
                <w:rFonts w:ascii="Arial" w:cs="Arial" w:eastAsia="Arial" w:hAnsi="Arial"/>
                <w:sz w:val="14"/>
                <w:szCs w:val="14"/>
                <w:color w:val="auto"/>
                <w:w w:val="94"/>
              </w:rPr>
              <w:t>Market Comparable</w:t>
            </w:r>
          </w:p>
        </w:tc>
        <w:tc>
          <w:tcPr>
            <w:tcW w:w="140" w:type="dxa"/>
            <w:vAlign w:val="bottom"/>
            <w:shd w:val="clear" w:color="auto" w:fill="CCECFF"/>
          </w:tcPr>
          <w:p>
            <w:pPr>
              <w:spacing w:after="0"/>
              <w:rPr>
                <w:sz w:val="15"/>
                <w:szCs w:val="15"/>
                <w:color w:val="auto"/>
              </w:rPr>
            </w:pPr>
          </w:p>
        </w:tc>
        <w:tc>
          <w:tcPr>
            <w:tcW w:w="1880" w:type="dxa"/>
            <w:vAlign w:val="bottom"/>
            <w:shd w:val="clear" w:color="auto" w:fill="CCECFF"/>
          </w:tcPr>
          <w:p>
            <w:pPr>
              <w:jc w:val="center"/>
              <w:spacing w:after="0"/>
              <w:rPr>
                <w:sz w:val="20"/>
                <w:szCs w:val="20"/>
                <w:color w:val="auto"/>
              </w:rPr>
            </w:pPr>
            <w:r>
              <w:rPr>
                <w:rFonts w:ascii="Arial" w:cs="Arial" w:eastAsia="Arial" w:hAnsi="Arial"/>
                <w:sz w:val="14"/>
                <w:szCs w:val="14"/>
                <w:color w:val="auto"/>
                <w:w w:val="97"/>
              </w:rPr>
              <w:t>Market Yield</w:t>
            </w:r>
          </w:p>
        </w:tc>
        <w:tc>
          <w:tcPr>
            <w:tcW w:w="160" w:type="dxa"/>
            <w:vAlign w:val="bottom"/>
            <w:shd w:val="clear" w:color="auto" w:fill="CCECFF"/>
          </w:tcPr>
          <w:p>
            <w:pPr>
              <w:spacing w:after="0"/>
              <w:rPr>
                <w:sz w:val="15"/>
                <w:szCs w:val="15"/>
                <w:color w:val="auto"/>
              </w:rPr>
            </w:pPr>
          </w:p>
        </w:tc>
        <w:tc>
          <w:tcPr>
            <w:tcW w:w="1760" w:type="dxa"/>
            <w:vAlign w:val="bottom"/>
            <w:shd w:val="clear" w:color="auto" w:fill="CCECFF"/>
          </w:tcPr>
          <w:p>
            <w:pPr>
              <w:jc w:val="center"/>
              <w:spacing w:after="0"/>
              <w:rPr>
                <w:sz w:val="20"/>
                <w:szCs w:val="20"/>
                <w:color w:val="auto"/>
              </w:rPr>
            </w:pPr>
            <w:r>
              <w:rPr>
                <w:rFonts w:ascii="Arial" w:cs="Arial" w:eastAsia="Arial" w:hAnsi="Arial"/>
                <w:sz w:val="14"/>
                <w:szCs w:val="14"/>
                <w:color w:val="auto"/>
                <w:w w:val="93"/>
              </w:rPr>
              <w:t>5.6% – 13.0% (7.5%)</w:t>
            </w:r>
          </w:p>
        </w:tc>
        <w:tc>
          <w:tcPr>
            <w:tcW w:w="0" w:type="dxa"/>
            <w:vAlign w:val="bottom"/>
          </w:tcPr>
          <w:p>
            <w:pPr>
              <w:spacing w:after="0"/>
              <w:rPr>
                <w:sz w:val="1"/>
                <w:szCs w:val="1"/>
                <w:color w:val="auto"/>
              </w:rPr>
            </w:pPr>
          </w:p>
        </w:tc>
      </w:tr>
      <w:tr>
        <w:trPr>
          <w:trHeight w:val="175"/>
        </w:trPr>
        <w:tc>
          <w:tcPr>
            <w:tcW w:w="3300" w:type="dxa"/>
            <w:vAlign w:val="bottom"/>
          </w:tcPr>
          <w:p>
            <w:pPr>
              <w:ind w:left="20"/>
              <w:spacing w:after="0"/>
              <w:rPr>
                <w:sz w:val="20"/>
                <w:szCs w:val="20"/>
                <w:color w:val="auto"/>
              </w:rPr>
            </w:pPr>
            <w:r>
              <w:rPr>
                <w:rFonts w:ascii="Arial" w:cs="Arial" w:eastAsia="Arial" w:hAnsi="Arial"/>
                <w:sz w:val="14"/>
                <w:szCs w:val="14"/>
                <w:color w:val="auto"/>
              </w:rPr>
              <w:t>Second lien</w:t>
            </w: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8,085</w:t>
            </w:r>
          </w:p>
        </w:tc>
        <w:tc>
          <w:tcPr>
            <w:tcW w:w="280" w:type="dxa"/>
            <w:vAlign w:val="bottom"/>
          </w:tcPr>
          <w:p>
            <w:pPr>
              <w:spacing w:after="0"/>
              <w:rPr>
                <w:sz w:val="15"/>
                <w:szCs w:val="15"/>
                <w:color w:val="auto"/>
              </w:rPr>
            </w:pPr>
          </w:p>
        </w:tc>
        <w:tc>
          <w:tcPr>
            <w:tcW w:w="1780" w:type="dxa"/>
            <w:vAlign w:val="bottom"/>
          </w:tcPr>
          <w:p>
            <w:pPr>
              <w:jc w:val="center"/>
              <w:spacing w:after="0"/>
              <w:rPr>
                <w:sz w:val="20"/>
                <w:szCs w:val="20"/>
                <w:color w:val="auto"/>
              </w:rPr>
            </w:pPr>
            <w:r>
              <w:rPr>
                <w:rFonts w:ascii="Arial" w:cs="Arial" w:eastAsia="Arial" w:hAnsi="Arial"/>
                <w:sz w:val="14"/>
                <w:szCs w:val="14"/>
                <w:color w:val="auto"/>
                <w:w w:val="94"/>
              </w:rPr>
              <w:t>Market Comparable</w:t>
            </w:r>
          </w:p>
        </w:tc>
        <w:tc>
          <w:tcPr>
            <w:tcW w:w="140" w:type="dxa"/>
            <w:vAlign w:val="bottom"/>
          </w:tcPr>
          <w:p>
            <w:pPr>
              <w:spacing w:after="0"/>
              <w:rPr>
                <w:sz w:val="15"/>
                <w:szCs w:val="15"/>
                <w:color w:val="auto"/>
              </w:rPr>
            </w:pPr>
          </w:p>
        </w:tc>
        <w:tc>
          <w:tcPr>
            <w:tcW w:w="1880" w:type="dxa"/>
            <w:vAlign w:val="bottom"/>
          </w:tcPr>
          <w:p>
            <w:pPr>
              <w:jc w:val="center"/>
              <w:spacing w:after="0"/>
              <w:rPr>
                <w:sz w:val="20"/>
                <w:szCs w:val="20"/>
                <w:color w:val="auto"/>
              </w:rPr>
            </w:pPr>
            <w:r>
              <w:rPr>
                <w:rFonts w:ascii="Arial" w:cs="Arial" w:eastAsia="Arial" w:hAnsi="Arial"/>
                <w:sz w:val="14"/>
                <w:szCs w:val="14"/>
                <w:color w:val="auto"/>
                <w:w w:val="97"/>
              </w:rPr>
              <w:t>Market Yield</w:t>
            </w:r>
          </w:p>
        </w:tc>
        <w:tc>
          <w:tcPr>
            <w:tcW w:w="160" w:type="dxa"/>
            <w:vAlign w:val="bottom"/>
          </w:tcPr>
          <w:p>
            <w:pPr>
              <w:spacing w:after="0"/>
              <w:rPr>
                <w:sz w:val="15"/>
                <w:szCs w:val="15"/>
                <w:color w:val="auto"/>
              </w:rPr>
            </w:pPr>
          </w:p>
        </w:tc>
        <w:tc>
          <w:tcPr>
            <w:tcW w:w="1760" w:type="dxa"/>
            <w:vAlign w:val="bottom"/>
          </w:tcPr>
          <w:p>
            <w:pPr>
              <w:jc w:val="center"/>
              <w:spacing w:after="0"/>
              <w:rPr>
                <w:sz w:val="20"/>
                <w:szCs w:val="20"/>
                <w:color w:val="auto"/>
              </w:rPr>
            </w:pPr>
            <w:r>
              <w:rPr>
                <w:rFonts w:ascii="Arial" w:cs="Arial" w:eastAsia="Arial" w:hAnsi="Arial"/>
                <w:sz w:val="14"/>
                <w:szCs w:val="14"/>
                <w:color w:val="auto"/>
                <w:w w:val="93"/>
              </w:rPr>
              <w:t>11.0% – 14.0% (11.8%)</w:t>
            </w:r>
          </w:p>
        </w:tc>
        <w:tc>
          <w:tcPr>
            <w:tcW w:w="0" w:type="dxa"/>
            <w:vAlign w:val="bottom"/>
          </w:tcPr>
          <w:p>
            <w:pPr>
              <w:spacing w:after="0"/>
              <w:rPr>
                <w:sz w:val="1"/>
                <w:szCs w:val="1"/>
                <w:color w:val="auto"/>
              </w:rPr>
            </w:pPr>
          </w:p>
        </w:tc>
      </w:tr>
      <w:tr>
        <w:trPr>
          <w:trHeight w:val="175"/>
        </w:trPr>
        <w:tc>
          <w:tcPr>
            <w:tcW w:w="3300" w:type="dxa"/>
            <w:vAlign w:val="bottom"/>
            <w:shd w:val="clear" w:color="auto" w:fill="CCECFF"/>
          </w:tcPr>
          <w:p>
            <w:pPr>
              <w:ind w:left="20"/>
              <w:spacing w:after="0"/>
              <w:rPr>
                <w:sz w:val="20"/>
                <w:szCs w:val="20"/>
                <w:color w:val="auto"/>
              </w:rPr>
            </w:pPr>
            <w:r>
              <w:rPr>
                <w:rFonts w:ascii="Arial" w:cs="Arial" w:eastAsia="Arial" w:hAnsi="Arial"/>
                <w:sz w:val="14"/>
                <w:szCs w:val="14"/>
                <w:color w:val="auto"/>
              </w:rPr>
              <w:t>First lien</w:t>
            </w:r>
          </w:p>
        </w:tc>
        <w:tc>
          <w:tcPr>
            <w:tcW w:w="160" w:type="dxa"/>
            <w:vAlign w:val="bottom"/>
            <w:shd w:val="clear" w:color="auto" w:fill="CCECFF"/>
          </w:tcPr>
          <w:p>
            <w:pPr>
              <w:spacing w:after="0"/>
              <w:rPr>
                <w:sz w:val="15"/>
                <w:szCs w:val="15"/>
                <w:color w:val="auto"/>
              </w:rPr>
            </w:pPr>
          </w:p>
        </w:tc>
        <w:tc>
          <w:tcPr>
            <w:tcW w:w="1100" w:type="dxa"/>
            <w:vAlign w:val="bottom"/>
            <w:shd w:val="clear" w:color="auto" w:fill="CCECFF"/>
          </w:tcPr>
          <w:p>
            <w:pPr>
              <w:spacing w:after="0"/>
              <w:rPr>
                <w:sz w:val="15"/>
                <w:szCs w:val="15"/>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2,934</w:t>
            </w:r>
          </w:p>
        </w:tc>
        <w:tc>
          <w:tcPr>
            <w:tcW w:w="280" w:type="dxa"/>
            <w:vAlign w:val="bottom"/>
            <w:shd w:val="clear" w:color="auto" w:fill="CCECFF"/>
          </w:tcPr>
          <w:p>
            <w:pPr>
              <w:spacing w:after="0"/>
              <w:rPr>
                <w:sz w:val="15"/>
                <w:szCs w:val="15"/>
                <w:color w:val="auto"/>
              </w:rPr>
            </w:pPr>
          </w:p>
        </w:tc>
        <w:tc>
          <w:tcPr>
            <w:tcW w:w="1780" w:type="dxa"/>
            <w:vAlign w:val="bottom"/>
            <w:shd w:val="clear" w:color="auto" w:fill="CCECFF"/>
          </w:tcPr>
          <w:p>
            <w:pPr>
              <w:jc w:val="center"/>
              <w:spacing w:after="0"/>
              <w:rPr>
                <w:sz w:val="20"/>
                <w:szCs w:val="20"/>
                <w:color w:val="auto"/>
              </w:rPr>
            </w:pPr>
            <w:r>
              <w:rPr>
                <w:rFonts w:ascii="Arial" w:cs="Arial" w:eastAsia="Arial" w:hAnsi="Arial"/>
                <w:sz w:val="14"/>
                <w:szCs w:val="14"/>
                <w:color w:val="auto"/>
                <w:w w:val="94"/>
              </w:rPr>
              <w:t>Enterprise Market Value</w:t>
            </w:r>
          </w:p>
        </w:tc>
        <w:tc>
          <w:tcPr>
            <w:tcW w:w="140" w:type="dxa"/>
            <w:vAlign w:val="bottom"/>
            <w:shd w:val="clear" w:color="auto" w:fill="CCECFF"/>
          </w:tcPr>
          <w:p>
            <w:pPr>
              <w:spacing w:after="0"/>
              <w:rPr>
                <w:sz w:val="15"/>
                <w:szCs w:val="15"/>
                <w:color w:val="auto"/>
              </w:rPr>
            </w:pPr>
          </w:p>
        </w:tc>
        <w:tc>
          <w:tcPr>
            <w:tcW w:w="1880" w:type="dxa"/>
            <w:vAlign w:val="bottom"/>
            <w:shd w:val="clear" w:color="auto" w:fill="CCECFF"/>
          </w:tcPr>
          <w:p>
            <w:pPr>
              <w:jc w:val="center"/>
              <w:spacing w:after="0"/>
              <w:rPr>
                <w:sz w:val="20"/>
                <w:szCs w:val="20"/>
                <w:color w:val="auto"/>
              </w:rPr>
            </w:pPr>
            <w:r>
              <w:rPr>
                <w:rFonts w:ascii="Arial" w:cs="Arial" w:eastAsia="Arial" w:hAnsi="Arial"/>
                <w:sz w:val="14"/>
                <w:szCs w:val="14"/>
                <w:color w:val="auto"/>
              </w:rPr>
              <w:t>EBITDA multiple</w:t>
            </w:r>
          </w:p>
        </w:tc>
        <w:tc>
          <w:tcPr>
            <w:tcW w:w="160" w:type="dxa"/>
            <w:vAlign w:val="bottom"/>
            <w:shd w:val="clear" w:color="auto" w:fill="CCECFF"/>
          </w:tcPr>
          <w:p>
            <w:pPr>
              <w:spacing w:after="0"/>
              <w:rPr>
                <w:sz w:val="15"/>
                <w:szCs w:val="15"/>
                <w:color w:val="auto"/>
              </w:rPr>
            </w:pPr>
          </w:p>
        </w:tc>
        <w:tc>
          <w:tcPr>
            <w:tcW w:w="1760" w:type="dxa"/>
            <w:vAlign w:val="bottom"/>
            <w:shd w:val="clear" w:color="auto" w:fill="CCECFF"/>
          </w:tcPr>
          <w:p>
            <w:pPr>
              <w:jc w:val="center"/>
              <w:spacing w:after="0"/>
              <w:rPr>
                <w:sz w:val="20"/>
                <w:szCs w:val="20"/>
                <w:color w:val="auto"/>
              </w:rPr>
            </w:pPr>
            <w:r>
              <w:rPr>
                <w:rFonts w:ascii="Arial" w:cs="Arial" w:eastAsia="Arial" w:hAnsi="Arial"/>
                <w:sz w:val="14"/>
                <w:szCs w:val="14"/>
                <w:color w:val="auto"/>
                <w:w w:val="98"/>
              </w:rPr>
              <w:t>1.8x</w:t>
            </w:r>
          </w:p>
        </w:tc>
        <w:tc>
          <w:tcPr>
            <w:tcW w:w="0" w:type="dxa"/>
            <w:vAlign w:val="bottom"/>
          </w:tcPr>
          <w:p>
            <w:pPr>
              <w:spacing w:after="0"/>
              <w:rPr>
                <w:sz w:val="1"/>
                <w:szCs w:val="1"/>
                <w:color w:val="auto"/>
              </w:rPr>
            </w:pPr>
          </w:p>
        </w:tc>
      </w:tr>
      <w:tr>
        <w:trPr>
          <w:trHeight w:val="176"/>
        </w:trPr>
        <w:tc>
          <w:tcPr>
            <w:tcW w:w="3300" w:type="dxa"/>
            <w:vAlign w:val="bottom"/>
          </w:tcPr>
          <w:p>
            <w:pPr>
              <w:ind w:left="20"/>
              <w:spacing w:after="0"/>
              <w:rPr>
                <w:sz w:val="20"/>
                <w:szCs w:val="20"/>
                <w:color w:val="auto"/>
              </w:rPr>
            </w:pPr>
            <w:r>
              <w:rPr>
                <w:rFonts w:ascii="Arial" w:cs="Arial" w:eastAsia="Arial" w:hAnsi="Arial"/>
                <w:sz w:val="14"/>
                <w:szCs w:val="14"/>
                <w:color w:val="auto"/>
              </w:rPr>
              <w:t>Second lien</w:t>
            </w: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864</w:t>
            </w:r>
          </w:p>
        </w:tc>
        <w:tc>
          <w:tcPr>
            <w:tcW w:w="280" w:type="dxa"/>
            <w:vAlign w:val="bottom"/>
          </w:tcPr>
          <w:p>
            <w:pPr>
              <w:spacing w:after="0"/>
              <w:rPr>
                <w:sz w:val="15"/>
                <w:szCs w:val="15"/>
                <w:color w:val="auto"/>
              </w:rPr>
            </w:pPr>
          </w:p>
        </w:tc>
        <w:tc>
          <w:tcPr>
            <w:tcW w:w="1780" w:type="dxa"/>
            <w:vAlign w:val="bottom"/>
          </w:tcPr>
          <w:p>
            <w:pPr>
              <w:jc w:val="center"/>
              <w:spacing w:after="0"/>
              <w:rPr>
                <w:sz w:val="20"/>
                <w:szCs w:val="20"/>
                <w:color w:val="auto"/>
              </w:rPr>
            </w:pPr>
            <w:r>
              <w:rPr>
                <w:rFonts w:ascii="Arial" w:cs="Arial" w:eastAsia="Arial" w:hAnsi="Arial"/>
                <w:sz w:val="14"/>
                <w:szCs w:val="14"/>
                <w:color w:val="auto"/>
                <w:w w:val="94"/>
              </w:rPr>
              <w:t>Enterprise Market Value</w:t>
            </w:r>
          </w:p>
        </w:tc>
        <w:tc>
          <w:tcPr>
            <w:tcW w:w="140" w:type="dxa"/>
            <w:vAlign w:val="bottom"/>
          </w:tcPr>
          <w:p>
            <w:pPr>
              <w:spacing w:after="0"/>
              <w:rPr>
                <w:sz w:val="15"/>
                <w:szCs w:val="15"/>
                <w:color w:val="auto"/>
              </w:rPr>
            </w:pPr>
          </w:p>
        </w:tc>
        <w:tc>
          <w:tcPr>
            <w:tcW w:w="1880" w:type="dxa"/>
            <w:vAlign w:val="bottom"/>
          </w:tcPr>
          <w:p>
            <w:pPr>
              <w:jc w:val="center"/>
              <w:spacing w:after="0"/>
              <w:rPr>
                <w:sz w:val="20"/>
                <w:szCs w:val="20"/>
                <w:color w:val="auto"/>
              </w:rPr>
            </w:pPr>
            <w:r>
              <w:rPr>
                <w:rFonts w:ascii="Arial" w:cs="Arial" w:eastAsia="Arial" w:hAnsi="Arial"/>
                <w:sz w:val="14"/>
                <w:szCs w:val="14"/>
                <w:color w:val="auto"/>
              </w:rPr>
              <w:t>EBITDA multiple</w:t>
            </w:r>
          </w:p>
        </w:tc>
        <w:tc>
          <w:tcPr>
            <w:tcW w:w="160" w:type="dxa"/>
            <w:vAlign w:val="bottom"/>
          </w:tcPr>
          <w:p>
            <w:pPr>
              <w:spacing w:after="0"/>
              <w:rPr>
                <w:sz w:val="15"/>
                <w:szCs w:val="15"/>
                <w:color w:val="auto"/>
              </w:rPr>
            </w:pPr>
          </w:p>
        </w:tc>
        <w:tc>
          <w:tcPr>
            <w:tcW w:w="1760" w:type="dxa"/>
            <w:vAlign w:val="bottom"/>
          </w:tcPr>
          <w:p>
            <w:pPr>
              <w:jc w:val="center"/>
              <w:spacing w:after="0"/>
              <w:rPr>
                <w:sz w:val="20"/>
                <w:szCs w:val="20"/>
                <w:color w:val="auto"/>
              </w:rPr>
            </w:pPr>
            <w:r>
              <w:rPr>
                <w:rFonts w:ascii="Arial" w:cs="Arial" w:eastAsia="Arial" w:hAnsi="Arial"/>
                <w:sz w:val="14"/>
                <w:szCs w:val="14"/>
                <w:color w:val="auto"/>
                <w:w w:val="98"/>
              </w:rPr>
              <w:t>5.4x</w:t>
            </w:r>
          </w:p>
        </w:tc>
        <w:tc>
          <w:tcPr>
            <w:tcW w:w="0" w:type="dxa"/>
            <w:vAlign w:val="bottom"/>
          </w:tcPr>
          <w:p>
            <w:pPr>
              <w:spacing w:after="0"/>
              <w:rPr>
                <w:sz w:val="1"/>
                <w:szCs w:val="1"/>
                <w:color w:val="auto"/>
              </w:rPr>
            </w:pPr>
          </w:p>
        </w:tc>
      </w:tr>
      <w:tr>
        <w:trPr>
          <w:trHeight w:val="175"/>
        </w:trPr>
        <w:tc>
          <w:tcPr>
            <w:tcW w:w="3300" w:type="dxa"/>
            <w:vAlign w:val="bottom"/>
            <w:shd w:val="clear" w:color="auto" w:fill="CCECFF"/>
          </w:tcPr>
          <w:p>
            <w:pPr>
              <w:ind w:left="20"/>
              <w:spacing w:after="0"/>
              <w:rPr>
                <w:sz w:val="20"/>
                <w:szCs w:val="20"/>
                <w:color w:val="auto"/>
              </w:rPr>
            </w:pPr>
            <w:r>
              <w:rPr>
                <w:rFonts w:ascii="Arial" w:cs="Arial" w:eastAsia="Arial" w:hAnsi="Arial"/>
                <w:sz w:val="14"/>
                <w:szCs w:val="14"/>
                <w:color w:val="auto"/>
              </w:rPr>
              <w:t>Equity</w:t>
            </w:r>
          </w:p>
        </w:tc>
        <w:tc>
          <w:tcPr>
            <w:tcW w:w="160" w:type="dxa"/>
            <w:vAlign w:val="bottom"/>
            <w:shd w:val="clear" w:color="auto" w:fill="CCECFF"/>
          </w:tcPr>
          <w:p>
            <w:pPr>
              <w:spacing w:after="0"/>
              <w:rPr>
                <w:sz w:val="15"/>
                <w:szCs w:val="15"/>
                <w:color w:val="auto"/>
              </w:rPr>
            </w:pPr>
          </w:p>
        </w:tc>
        <w:tc>
          <w:tcPr>
            <w:tcW w:w="1100" w:type="dxa"/>
            <w:vAlign w:val="bottom"/>
            <w:shd w:val="clear" w:color="auto" w:fill="CCECFF"/>
          </w:tcPr>
          <w:p>
            <w:pPr>
              <w:spacing w:after="0"/>
              <w:rPr>
                <w:sz w:val="15"/>
                <w:szCs w:val="15"/>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70,253</w:t>
            </w:r>
          </w:p>
        </w:tc>
        <w:tc>
          <w:tcPr>
            <w:tcW w:w="280" w:type="dxa"/>
            <w:vAlign w:val="bottom"/>
            <w:shd w:val="clear" w:color="auto" w:fill="CCECFF"/>
          </w:tcPr>
          <w:p>
            <w:pPr>
              <w:spacing w:after="0"/>
              <w:rPr>
                <w:sz w:val="15"/>
                <w:szCs w:val="15"/>
                <w:color w:val="auto"/>
              </w:rPr>
            </w:pPr>
          </w:p>
        </w:tc>
        <w:tc>
          <w:tcPr>
            <w:tcW w:w="1780" w:type="dxa"/>
            <w:vAlign w:val="bottom"/>
            <w:shd w:val="clear" w:color="auto" w:fill="CCECFF"/>
          </w:tcPr>
          <w:p>
            <w:pPr>
              <w:jc w:val="center"/>
              <w:spacing w:after="0"/>
              <w:rPr>
                <w:sz w:val="20"/>
                <w:szCs w:val="20"/>
                <w:color w:val="auto"/>
              </w:rPr>
            </w:pPr>
            <w:r>
              <w:rPr>
                <w:rFonts w:ascii="Arial" w:cs="Arial" w:eastAsia="Arial" w:hAnsi="Arial"/>
                <w:sz w:val="14"/>
                <w:szCs w:val="14"/>
                <w:color w:val="auto"/>
                <w:w w:val="94"/>
              </w:rPr>
              <w:t>Enterprise Market Value</w:t>
            </w:r>
          </w:p>
        </w:tc>
        <w:tc>
          <w:tcPr>
            <w:tcW w:w="140" w:type="dxa"/>
            <w:vAlign w:val="bottom"/>
            <w:shd w:val="clear" w:color="auto" w:fill="CCECFF"/>
          </w:tcPr>
          <w:p>
            <w:pPr>
              <w:spacing w:after="0"/>
              <w:rPr>
                <w:sz w:val="15"/>
                <w:szCs w:val="15"/>
                <w:color w:val="auto"/>
              </w:rPr>
            </w:pPr>
          </w:p>
        </w:tc>
        <w:tc>
          <w:tcPr>
            <w:tcW w:w="1880" w:type="dxa"/>
            <w:vAlign w:val="bottom"/>
            <w:shd w:val="clear" w:color="auto" w:fill="CCECFF"/>
          </w:tcPr>
          <w:p>
            <w:pPr>
              <w:jc w:val="center"/>
              <w:spacing w:after="0"/>
              <w:rPr>
                <w:sz w:val="20"/>
                <w:szCs w:val="20"/>
                <w:color w:val="auto"/>
              </w:rPr>
            </w:pPr>
            <w:r>
              <w:rPr>
                <w:rFonts w:ascii="Arial" w:cs="Arial" w:eastAsia="Arial" w:hAnsi="Arial"/>
                <w:sz w:val="14"/>
                <w:szCs w:val="14"/>
                <w:color w:val="auto"/>
              </w:rPr>
              <w:t>EBITDA multiple</w:t>
            </w:r>
          </w:p>
        </w:tc>
        <w:tc>
          <w:tcPr>
            <w:tcW w:w="160" w:type="dxa"/>
            <w:vAlign w:val="bottom"/>
            <w:shd w:val="clear" w:color="auto" w:fill="CCECFF"/>
          </w:tcPr>
          <w:p>
            <w:pPr>
              <w:spacing w:after="0"/>
              <w:rPr>
                <w:sz w:val="15"/>
                <w:szCs w:val="15"/>
                <w:color w:val="auto"/>
              </w:rPr>
            </w:pPr>
          </w:p>
        </w:tc>
        <w:tc>
          <w:tcPr>
            <w:tcW w:w="1760" w:type="dxa"/>
            <w:vAlign w:val="bottom"/>
            <w:shd w:val="clear" w:color="auto" w:fill="CCECFF"/>
          </w:tcPr>
          <w:p>
            <w:pPr>
              <w:jc w:val="center"/>
              <w:spacing w:after="0"/>
              <w:rPr>
                <w:sz w:val="20"/>
                <w:szCs w:val="20"/>
                <w:color w:val="auto"/>
              </w:rPr>
            </w:pPr>
            <w:r>
              <w:rPr>
                <w:rFonts w:ascii="Arial" w:cs="Arial" w:eastAsia="Arial" w:hAnsi="Arial"/>
                <w:sz w:val="14"/>
                <w:szCs w:val="14"/>
                <w:color w:val="auto"/>
                <w:w w:val="93"/>
              </w:rPr>
              <w:t>4.7x – 18.5x (11.5x)</w:t>
            </w:r>
          </w:p>
        </w:tc>
        <w:tc>
          <w:tcPr>
            <w:tcW w:w="0" w:type="dxa"/>
            <w:vAlign w:val="bottom"/>
          </w:tcPr>
          <w:p>
            <w:pPr>
              <w:spacing w:after="0"/>
              <w:rPr>
                <w:sz w:val="1"/>
                <w:szCs w:val="1"/>
                <w:color w:val="auto"/>
              </w:rPr>
            </w:pPr>
          </w:p>
        </w:tc>
      </w:tr>
      <w:tr>
        <w:trPr>
          <w:trHeight w:val="175"/>
        </w:trPr>
        <w:tc>
          <w:tcPr>
            <w:tcW w:w="3300" w:type="dxa"/>
            <w:vAlign w:val="bottom"/>
          </w:tcPr>
          <w:p>
            <w:pPr>
              <w:ind w:left="20"/>
              <w:spacing w:after="0"/>
              <w:rPr>
                <w:sz w:val="20"/>
                <w:szCs w:val="20"/>
                <w:color w:val="auto"/>
              </w:rPr>
            </w:pPr>
            <w:r>
              <w:rPr>
                <w:rFonts w:ascii="Arial" w:cs="Arial" w:eastAsia="Arial" w:hAnsi="Arial"/>
                <w:sz w:val="14"/>
                <w:szCs w:val="14"/>
                <w:color w:val="auto"/>
              </w:rPr>
              <w:t>Equity</w:t>
            </w:r>
          </w:p>
        </w:tc>
        <w:tc>
          <w:tcPr>
            <w:tcW w:w="160" w:type="dxa"/>
            <w:vAlign w:val="bottom"/>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7,569</w:t>
            </w:r>
          </w:p>
        </w:tc>
        <w:tc>
          <w:tcPr>
            <w:tcW w:w="280" w:type="dxa"/>
            <w:vAlign w:val="bottom"/>
          </w:tcPr>
          <w:p>
            <w:pPr>
              <w:spacing w:after="0"/>
              <w:rPr>
                <w:sz w:val="15"/>
                <w:szCs w:val="15"/>
                <w:color w:val="auto"/>
              </w:rPr>
            </w:pPr>
          </w:p>
        </w:tc>
        <w:tc>
          <w:tcPr>
            <w:tcW w:w="1780" w:type="dxa"/>
            <w:vAlign w:val="bottom"/>
          </w:tcPr>
          <w:p>
            <w:pPr>
              <w:jc w:val="center"/>
              <w:spacing w:after="0"/>
              <w:rPr>
                <w:sz w:val="20"/>
                <w:szCs w:val="20"/>
                <w:color w:val="auto"/>
              </w:rPr>
            </w:pPr>
            <w:r>
              <w:rPr>
                <w:rFonts w:ascii="Arial" w:cs="Arial" w:eastAsia="Arial" w:hAnsi="Arial"/>
                <w:sz w:val="14"/>
                <w:szCs w:val="14"/>
                <w:color w:val="auto"/>
                <w:w w:val="94"/>
              </w:rPr>
              <w:t>Enterprise Market Value</w:t>
            </w:r>
          </w:p>
        </w:tc>
        <w:tc>
          <w:tcPr>
            <w:tcW w:w="140" w:type="dxa"/>
            <w:vAlign w:val="bottom"/>
          </w:tcPr>
          <w:p>
            <w:pPr>
              <w:spacing w:after="0"/>
              <w:rPr>
                <w:sz w:val="15"/>
                <w:szCs w:val="15"/>
                <w:color w:val="auto"/>
              </w:rPr>
            </w:pPr>
          </w:p>
        </w:tc>
        <w:tc>
          <w:tcPr>
            <w:tcW w:w="1880" w:type="dxa"/>
            <w:vAlign w:val="bottom"/>
          </w:tcPr>
          <w:p>
            <w:pPr>
              <w:jc w:val="center"/>
              <w:spacing w:after="0"/>
              <w:rPr>
                <w:sz w:val="20"/>
                <w:szCs w:val="20"/>
                <w:color w:val="auto"/>
              </w:rPr>
            </w:pPr>
            <w:r>
              <w:rPr>
                <w:rFonts w:ascii="Arial" w:cs="Arial" w:eastAsia="Arial" w:hAnsi="Arial"/>
                <w:sz w:val="14"/>
                <w:szCs w:val="14"/>
                <w:color w:val="auto"/>
              </w:rPr>
              <w:t>DLOM</w:t>
            </w:r>
          </w:p>
        </w:tc>
        <w:tc>
          <w:tcPr>
            <w:tcW w:w="1920" w:type="dxa"/>
            <w:vAlign w:val="bottom"/>
            <w:gridSpan w:val="2"/>
          </w:tcPr>
          <w:p>
            <w:pPr>
              <w:jc w:val="center"/>
              <w:ind w:left="68"/>
              <w:spacing w:after="0"/>
              <w:rPr>
                <w:sz w:val="20"/>
                <w:szCs w:val="20"/>
                <w:color w:val="auto"/>
              </w:rPr>
            </w:pPr>
            <w:r>
              <w:rPr>
                <w:rFonts w:ascii="Arial" w:cs="Arial" w:eastAsia="Arial" w:hAnsi="Arial"/>
                <w:sz w:val="14"/>
                <w:szCs w:val="14"/>
                <w:color w:val="auto"/>
                <w:w w:val="93"/>
              </w:rPr>
              <w:t>9.3%</w:t>
            </w:r>
          </w:p>
        </w:tc>
        <w:tc>
          <w:tcPr>
            <w:tcW w:w="0" w:type="dxa"/>
            <w:vAlign w:val="bottom"/>
          </w:tcPr>
          <w:p>
            <w:pPr>
              <w:spacing w:after="0"/>
              <w:rPr>
                <w:sz w:val="1"/>
                <w:szCs w:val="1"/>
                <w:color w:val="auto"/>
              </w:rPr>
            </w:pPr>
          </w:p>
        </w:tc>
      </w:tr>
      <w:tr>
        <w:trPr>
          <w:trHeight w:val="209"/>
        </w:trPr>
        <w:tc>
          <w:tcPr>
            <w:tcW w:w="3300" w:type="dxa"/>
            <w:vAlign w:val="bottom"/>
            <w:tcBorders>
              <w:bottom w:val="single" w:sz="8" w:color="CCECFF"/>
            </w:tcBorders>
            <w:shd w:val="clear" w:color="auto" w:fill="CCECFF"/>
          </w:tcPr>
          <w:p>
            <w:pPr>
              <w:ind w:left="200"/>
              <w:spacing w:after="0"/>
              <w:rPr>
                <w:sz w:val="20"/>
                <w:szCs w:val="20"/>
                <w:color w:val="auto"/>
              </w:rPr>
            </w:pPr>
            <w:r>
              <w:rPr>
                <w:rFonts w:ascii="Arial" w:cs="Arial" w:eastAsia="Arial" w:hAnsi="Arial"/>
                <w:sz w:val="14"/>
                <w:szCs w:val="14"/>
                <w:color w:val="auto"/>
              </w:rPr>
              <w:t>Total Level 3 investments</w:t>
            </w:r>
          </w:p>
        </w:tc>
        <w:tc>
          <w:tcPr>
            <w:tcW w:w="160" w:type="dxa"/>
            <w:vAlign w:val="bottom"/>
            <w:tcBorders>
              <w:bottom w:val="single" w:sz="8" w:color="CCECFF"/>
            </w:tcBorders>
            <w:shd w:val="clear" w:color="auto" w:fill="CCECFF"/>
          </w:tcPr>
          <w:p>
            <w:pPr>
              <w:spacing w:after="0"/>
              <w:rPr>
                <w:sz w:val="18"/>
                <w:szCs w:val="18"/>
                <w:color w:val="auto"/>
              </w:rPr>
            </w:pPr>
          </w:p>
        </w:tc>
        <w:tc>
          <w:tcPr>
            <w:tcW w:w="1100" w:type="dxa"/>
            <w:vAlign w:val="bottom"/>
            <w:tcBorders>
              <w:bottom w:val="single" w:sz="8" w:color="auto"/>
            </w:tcBorders>
            <w:shd w:val="clear" w:color="auto" w:fill="CCECFF"/>
          </w:tcPr>
          <w:p>
            <w:pPr>
              <w:ind w:left="2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1,021,189</w:t>
            </w:r>
          </w:p>
        </w:tc>
        <w:tc>
          <w:tcPr>
            <w:tcW w:w="280" w:type="dxa"/>
            <w:vAlign w:val="bottom"/>
            <w:tcBorders>
              <w:bottom w:val="single" w:sz="8" w:color="CCECFF"/>
            </w:tcBorders>
            <w:shd w:val="clear" w:color="auto" w:fill="CCECFF"/>
          </w:tcPr>
          <w:p>
            <w:pPr>
              <w:spacing w:after="0"/>
              <w:rPr>
                <w:sz w:val="18"/>
                <w:szCs w:val="18"/>
                <w:color w:val="auto"/>
              </w:rPr>
            </w:pPr>
          </w:p>
        </w:tc>
        <w:tc>
          <w:tcPr>
            <w:tcW w:w="1780" w:type="dxa"/>
            <w:vAlign w:val="bottom"/>
            <w:tcBorders>
              <w:bottom w:val="single" w:sz="8" w:color="CCECFF"/>
            </w:tcBorders>
            <w:shd w:val="clear" w:color="auto" w:fill="CCECFF"/>
          </w:tcPr>
          <w:p>
            <w:pPr>
              <w:spacing w:after="0"/>
              <w:rPr>
                <w:sz w:val="18"/>
                <w:szCs w:val="18"/>
                <w:color w:val="auto"/>
              </w:rPr>
            </w:pPr>
          </w:p>
        </w:tc>
        <w:tc>
          <w:tcPr>
            <w:tcW w:w="140" w:type="dxa"/>
            <w:vAlign w:val="bottom"/>
            <w:tcBorders>
              <w:bottom w:val="single" w:sz="8" w:color="CCECFF"/>
            </w:tcBorders>
            <w:shd w:val="clear" w:color="auto" w:fill="CCECFF"/>
          </w:tcPr>
          <w:p>
            <w:pPr>
              <w:spacing w:after="0"/>
              <w:rPr>
                <w:sz w:val="18"/>
                <w:szCs w:val="18"/>
                <w:color w:val="auto"/>
              </w:rPr>
            </w:pPr>
          </w:p>
        </w:tc>
        <w:tc>
          <w:tcPr>
            <w:tcW w:w="1880" w:type="dxa"/>
            <w:vAlign w:val="bottom"/>
            <w:tcBorders>
              <w:bottom w:val="single" w:sz="8" w:color="CCECFF"/>
            </w:tcBorders>
            <w:shd w:val="clear" w:color="auto" w:fill="CCECFF"/>
          </w:tcPr>
          <w:p>
            <w:pPr>
              <w:spacing w:after="0"/>
              <w:rPr>
                <w:sz w:val="18"/>
                <w:szCs w:val="18"/>
                <w:color w:val="auto"/>
              </w:rPr>
            </w:pPr>
          </w:p>
        </w:tc>
        <w:tc>
          <w:tcPr>
            <w:tcW w:w="160" w:type="dxa"/>
            <w:vAlign w:val="bottom"/>
            <w:tcBorders>
              <w:bottom w:val="single" w:sz="8" w:color="CCECFF"/>
            </w:tcBorders>
            <w:shd w:val="clear" w:color="auto" w:fill="CCECFF"/>
          </w:tcPr>
          <w:p>
            <w:pPr>
              <w:spacing w:after="0"/>
              <w:rPr>
                <w:sz w:val="18"/>
                <w:szCs w:val="18"/>
                <w:color w:val="auto"/>
              </w:rPr>
            </w:pPr>
          </w:p>
        </w:tc>
        <w:tc>
          <w:tcPr>
            <w:tcW w:w="1760" w:type="dxa"/>
            <w:vAlign w:val="bottom"/>
            <w:tcBorders>
              <w:bottom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3300" w:type="dxa"/>
            <w:vAlign w:val="bottom"/>
          </w:tcPr>
          <w:p>
            <w:pPr>
              <w:ind w:left="20"/>
              <w:spacing w:after="0" w:line="156" w:lineRule="exact"/>
              <w:rPr>
                <w:sz w:val="20"/>
                <w:szCs w:val="20"/>
                <w:color w:val="auto"/>
              </w:rPr>
            </w:pPr>
            <w:r>
              <w:rPr>
                <w:rFonts w:ascii="Arial" w:cs="Arial" w:eastAsia="Arial" w:hAnsi="Arial"/>
                <w:sz w:val="14"/>
                <w:szCs w:val="14"/>
                <w:b w:val="1"/>
                <w:bCs w:val="1"/>
                <w:color w:val="auto"/>
              </w:rPr>
              <w:t>Debt Category</w:t>
            </w:r>
          </w:p>
        </w:tc>
        <w:tc>
          <w:tcPr>
            <w:tcW w:w="160" w:type="dxa"/>
            <w:vAlign w:val="bottom"/>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00" w:type="dxa"/>
            <w:vAlign w:val="bottom"/>
            <w:tcBorders>
              <w:bottom w:val="single" w:sz="8" w:color="CCECFF"/>
            </w:tcBorders>
            <w:shd w:val="clear" w:color="auto" w:fill="CCECFF"/>
          </w:tcPr>
          <w:p>
            <w:pPr>
              <w:ind w:left="20"/>
              <w:spacing w:after="0" w:line="155" w:lineRule="exact"/>
              <w:rPr>
                <w:sz w:val="20"/>
                <w:szCs w:val="20"/>
                <w:color w:val="auto"/>
              </w:rPr>
            </w:pPr>
            <w:r>
              <w:rPr>
                <w:rFonts w:ascii="Arial" w:cs="Arial" w:eastAsia="Arial" w:hAnsi="Arial"/>
                <w:sz w:val="14"/>
                <w:szCs w:val="14"/>
                <w:color w:val="auto"/>
              </w:rPr>
              <w:t>Long-Term Credit Facility</w:t>
            </w:r>
          </w:p>
        </w:tc>
        <w:tc>
          <w:tcPr>
            <w:tcW w:w="160" w:type="dxa"/>
            <w:vAlign w:val="bottom"/>
            <w:tcBorders>
              <w:bottom w:val="single" w:sz="8" w:color="CCECFF"/>
            </w:tcBorders>
            <w:shd w:val="clear" w:color="auto" w:fill="CCECFF"/>
          </w:tcPr>
          <w:p>
            <w:pPr>
              <w:spacing w:after="0"/>
              <w:rPr>
                <w:sz w:val="17"/>
                <w:szCs w:val="17"/>
                <w:color w:val="auto"/>
              </w:rPr>
            </w:pPr>
          </w:p>
        </w:tc>
        <w:tc>
          <w:tcPr>
            <w:tcW w:w="1100" w:type="dxa"/>
            <w:vAlign w:val="bottom"/>
            <w:tcBorders>
              <w:bottom w:val="single" w:sz="8" w:color="auto"/>
            </w:tcBorders>
            <w:shd w:val="clear" w:color="auto" w:fill="CCECFF"/>
          </w:tcPr>
          <w:p>
            <w:pPr>
              <w:ind w:left="20"/>
              <w:spacing w:after="0" w:line="155"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218,852</w:t>
            </w:r>
          </w:p>
        </w:tc>
        <w:tc>
          <w:tcPr>
            <w:tcW w:w="280" w:type="dxa"/>
            <w:vAlign w:val="bottom"/>
            <w:tcBorders>
              <w:bottom w:val="single" w:sz="8" w:color="CCECFF"/>
            </w:tcBorders>
            <w:shd w:val="clear" w:color="auto" w:fill="CCECFF"/>
          </w:tcPr>
          <w:p>
            <w:pPr>
              <w:spacing w:after="0"/>
              <w:rPr>
                <w:sz w:val="17"/>
                <w:szCs w:val="17"/>
                <w:color w:val="auto"/>
              </w:rPr>
            </w:pPr>
          </w:p>
        </w:tc>
        <w:tc>
          <w:tcPr>
            <w:tcW w:w="1780" w:type="dxa"/>
            <w:vAlign w:val="bottom"/>
            <w:tcBorders>
              <w:bottom w:val="single" w:sz="8" w:color="CCECFF"/>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4"/>
              </w:rPr>
              <w:t>Market Comparable</w:t>
            </w:r>
          </w:p>
        </w:tc>
        <w:tc>
          <w:tcPr>
            <w:tcW w:w="140" w:type="dxa"/>
            <w:vAlign w:val="bottom"/>
            <w:tcBorders>
              <w:bottom w:val="single" w:sz="8" w:color="CCECFF"/>
            </w:tcBorders>
            <w:shd w:val="clear" w:color="auto" w:fill="CCECFF"/>
          </w:tcPr>
          <w:p>
            <w:pPr>
              <w:spacing w:after="0"/>
              <w:rPr>
                <w:sz w:val="17"/>
                <w:szCs w:val="17"/>
                <w:color w:val="auto"/>
              </w:rPr>
            </w:pPr>
          </w:p>
        </w:tc>
        <w:tc>
          <w:tcPr>
            <w:tcW w:w="1880" w:type="dxa"/>
            <w:vAlign w:val="bottom"/>
            <w:tcBorders>
              <w:bottom w:val="single" w:sz="8" w:color="CCECFF"/>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7"/>
              </w:rPr>
              <w:t>Market Yield</w:t>
            </w:r>
          </w:p>
        </w:tc>
        <w:tc>
          <w:tcPr>
            <w:tcW w:w="1920" w:type="dxa"/>
            <w:vAlign w:val="bottom"/>
            <w:tcBorders>
              <w:bottom w:val="single" w:sz="8" w:color="CCECFF"/>
            </w:tcBorders>
            <w:gridSpan w:val="2"/>
            <w:shd w:val="clear" w:color="auto" w:fill="CCECFF"/>
          </w:tcPr>
          <w:p>
            <w:pPr>
              <w:jc w:val="center"/>
              <w:ind w:left="68"/>
              <w:spacing w:after="0" w:line="155" w:lineRule="exact"/>
              <w:rPr>
                <w:sz w:val="20"/>
                <w:szCs w:val="20"/>
                <w:color w:val="auto"/>
              </w:rPr>
            </w:pPr>
            <w:r>
              <w:rPr>
                <w:rFonts w:ascii="Arial" w:cs="Arial" w:eastAsia="Arial" w:hAnsi="Arial"/>
                <w:sz w:val="14"/>
                <w:szCs w:val="14"/>
                <w:color w:val="auto"/>
                <w:w w:val="93"/>
              </w:rPr>
              <w:t>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3322320</wp:posOffset>
            </wp:positionH>
            <wp:positionV relativeFrom="paragraph">
              <wp:posOffset>-1842135</wp:posOffset>
            </wp:positionV>
            <wp:extent cx="77470"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-1824990</wp:posOffset>
            </wp:positionV>
            <wp:extent cx="7747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-1567815</wp:posOffset>
            </wp:positionV>
            <wp:extent cx="77470"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-1550670</wp:posOffset>
            </wp:positionV>
            <wp:extent cx="77470"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-299720</wp:posOffset>
            </wp:positionV>
            <wp:extent cx="7747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-281940</wp:posOffset>
            </wp:positionV>
            <wp:extent cx="77470"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-24765</wp:posOffset>
            </wp:positionV>
            <wp:extent cx="77470"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-7620</wp:posOffset>
            </wp:positionV>
            <wp:extent cx="77470"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128905</wp:posOffset>
            </wp:positionV>
            <wp:extent cx="1714500"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181" w:lineRule="exact"/>
        <w:rPr>
          <w:sz w:val="20"/>
          <w:szCs w:val="20"/>
          <w:color w:val="auto"/>
        </w:rPr>
      </w:pPr>
    </w:p>
    <w:p>
      <w:pPr>
        <w:ind w:left="380" w:hanging="372"/>
        <w:spacing w:after="0"/>
        <w:tabs>
          <w:tab w:leader="none" w:pos="380" w:val="left"/>
        </w:tabs>
        <w:numPr>
          <w:ilvl w:val="0"/>
          <w:numId w:val="12"/>
        </w:numPr>
        <w:rPr>
          <w:rFonts w:ascii="Arial" w:cs="Arial" w:eastAsia="Arial" w:hAnsi="Arial"/>
          <w:sz w:val="16"/>
          <w:szCs w:val="16"/>
          <w:color w:val="auto"/>
          <w:vertAlign w:val="superscript"/>
        </w:rPr>
      </w:pPr>
      <w:r>
        <w:rPr>
          <w:rFonts w:ascii="Arial" w:cs="Arial" w:eastAsia="Arial" w:hAnsi="Arial"/>
          <w:sz w:val="12"/>
          <w:szCs w:val="12"/>
          <w:color w:val="auto"/>
        </w:rPr>
        <w:t>The weighted averages disclosed in the table above were weighted by their relative fair value.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June 30, 2022</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92" w:lineRule="exact"/>
        <w:rPr>
          <w:sz w:val="20"/>
          <w:szCs w:val="20"/>
          <w:color w:val="auto"/>
        </w:rPr>
      </w:pPr>
    </w:p>
    <w:p>
      <w:pPr>
        <w:ind w:right="40" w:firstLine="449"/>
        <w:spacing w:after="0" w:line="273" w:lineRule="auto"/>
        <w:rPr>
          <w:sz w:val="20"/>
          <w:szCs w:val="20"/>
          <w:color w:val="auto"/>
        </w:rPr>
      </w:pPr>
      <w:r>
        <w:rPr>
          <w:rFonts w:ascii="Arial" w:cs="Arial" w:eastAsia="Arial" w:hAnsi="Arial"/>
          <w:sz w:val="14"/>
          <w:szCs w:val="14"/>
          <w:color w:val="auto"/>
        </w:rPr>
        <w:t>Our investments, cash and cash equivalents, Credit Facility or Prior Credit Facility, as applicable, 2023 Notes, 2026 Notes and 2031 Asset-Backed Debt were categorized as follows in the fair value hierarchy for ASC 820 purposes ($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Fair Value at June 30, 2022</w:t>
            </w: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37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200" w:type="dxa"/>
            <w:vAlign w:val="bottom"/>
          </w:tcPr>
          <w:p>
            <w:pPr>
              <w:spacing w:after="0"/>
              <w:rPr>
                <w:sz w:val="11"/>
                <w:szCs w:val="11"/>
                <w:color w:val="auto"/>
              </w:rPr>
            </w:pPr>
          </w:p>
        </w:tc>
        <w:tc>
          <w:tcPr>
            <w:tcW w:w="106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Fair Value</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2"/>
              </w:rPr>
              <w:t>Level 2</w:t>
            </w:r>
          </w:p>
        </w:tc>
        <w:tc>
          <w:tcPr>
            <w:tcW w:w="240" w:type="dxa"/>
            <w:vAlign w:val="bottom"/>
          </w:tcPr>
          <w:p>
            <w:pPr>
              <w:spacing w:after="0"/>
              <w:rPr>
                <w:sz w:val="11"/>
                <w:szCs w:val="11"/>
                <w:color w:val="auto"/>
              </w:rPr>
            </w:pPr>
          </w:p>
        </w:tc>
        <w:tc>
          <w:tcPr>
            <w:tcW w:w="100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Level 3</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jc w:val="right"/>
              <w:ind w:right="88"/>
              <w:spacing w:after="0" w:line="129" w:lineRule="exact"/>
              <w:rPr>
                <w:sz w:val="20"/>
                <w:szCs w:val="20"/>
                <w:color w:val="auto"/>
              </w:rPr>
            </w:pPr>
            <w:r>
              <w:rPr>
                <w:rFonts w:ascii="Arial" w:cs="Arial" w:eastAsia="Arial" w:hAnsi="Arial"/>
                <w:sz w:val="14"/>
                <w:szCs w:val="14"/>
                <w:b w:val="1"/>
                <w:bCs w:val="1"/>
                <w:color w:val="auto"/>
                <w:w w:val="96"/>
              </w:rPr>
              <w:t>Measured at Net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37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ind w:right="168"/>
              <w:spacing w:after="0" w:line="189" w:lineRule="exact"/>
              <w:rPr>
                <w:sz w:val="20"/>
                <w:szCs w:val="20"/>
                <w:color w:val="auto"/>
              </w:rPr>
            </w:pPr>
            <w:r>
              <w:rPr>
                <w:rFonts w:ascii="Arial" w:cs="Arial" w:eastAsia="Arial" w:hAnsi="Arial"/>
                <w:sz w:val="14"/>
                <w:szCs w:val="14"/>
                <w:b w:val="1"/>
                <w:bCs w:val="1"/>
                <w:color w:val="auto"/>
                <w:w w:val="97"/>
              </w:rPr>
              <w:t xml:space="preserve">Asset Value </w:t>
            </w:r>
            <w:r>
              <w:rPr>
                <w:rFonts w:ascii="Arial" w:cs="Arial" w:eastAsia="Arial" w:hAnsi="Arial"/>
                <w:sz w:val="19"/>
                <w:szCs w:val="19"/>
                <w:b w:val="1"/>
                <w:bCs w:val="1"/>
                <w:color w:val="auto"/>
                <w:w w:val="97"/>
                <w:vertAlign w:val="superscript"/>
              </w:rPr>
              <w:t>(1)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580" w:type="dxa"/>
            <w:vAlign w:val="bottom"/>
            <w:tcBorders>
              <w:top w:val="single" w:sz="8" w:color="auto"/>
            </w:tcBorders>
            <w:shd w:val="clear" w:color="auto" w:fill="CCECFF"/>
          </w:tcPr>
          <w:p>
            <w:pPr>
              <w:ind w:left="20"/>
              <w:spacing w:after="0"/>
              <w:rPr>
                <w:sz w:val="20"/>
                <w:szCs w:val="20"/>
                <w:color w:val="auto"/>
              </w:rPr>
            </w:pPr>
            <w:r>
              <w:rPr>
                <w:rFonts w:ascii="Arial" w:cs="Arial" w:eastAsia="Arial" w:hAnsi="Arial"/>
                <w:sz w:val="14"/>
                <w:szCs w:val="14"/>
                <w:color w:val="auto"/>
              </w:rPr>
              <w:t>First lien</w:t>
            </w:r>
          </w:p>
        </w:tc>
        <w:tc>
          <w:tcPr>
            <w:tcW w:w="160" w:type="dxa"/>
            <w:vAlign w:val="bottom"/>
            <w:shd w:val="clear" w:color="auto" w:fill="CCECFF"/>
          </w:tcPr>
          <w:p>
            <w:pPr>
              <w:spacing w:after="0"/>
              <w:rPr>
                <w:sz w:val="14"/>
                <w:szCs w:val="14"/>
                <w:color w:val="auto"/>
              </w:rPr>
            </w:pPr>
          </w:p>
        </w:tc>
        <w:tc>
          <w:tcPr>
            <w:tcW w:w="200" w:type="dxa"/>
            <w:vAlign w:val="bottom"/>
            <w:tcBorders>
              <w:top w:val="single" w:sz="8" w:color="auto"/>
            </w:tcBorders>
            <w:shd w:val="clear" w:color="auto" w:fill="CCECFF"/>
          </w:tcPr>
          <w:p>
            <w:pPr>
              <w:jc w:val="right"/>
              <w:ind w:right="48"/>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1,062,382</w:t>
            </w:r>
          </w:p>
        </w:tc>
        <w:tc>
          <w:tcPr>
            <w:tcW w:w="280" w:type="dxa"/>
            <w:vAlign w:val="bottom"/>
            <w:shd w:val="clear" w:color="auto" w:fill="CCECFF"/>
          </w:tcPr>
          <w:p>
            <w:pPr>
              <w:spacing w:after="0"/>
              <w:rPr>
                <w:sz w:val="14"/>
                <w:szCs w:val="14"/>
                <w:color w:val="auto"/>
              </w:rPr>
            </w:pPr>
          </w:p>
        </w:tc>
        <w:tc>
          <w:tcPr>
            <w:tcW w:w="240" w:type="dxa"/>
            <w:vAlign w:val="bottom"/>
            <w:tcBorders>
              <w:top w:val="single" w:sz="8" w:color="auto"/>
            </w:tcBorders>
            <w:shd w:val="clear" w:color="auto" w:fill="CCECFF"/>
          </w:tcPr>
          <w:p>
            <w:pPr>
              <w:jc w:val="right"/>
              <w:ind w:right="88"/>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CFF"/>
          </w:tcPr>
          <w:p>
            <w:pPr>
              <w:spacing w:after="0"/>
              <w:rPr>
                <w:sz w:val="14"/>
                <w:szCs w:val="14"/>
                <w:color w:val="auto"/>
              </w:rPr>
            </w:pPr>
          </w:p>
        </w:tc>
        <w:tc>
          <w:tcPr>
            <w:tcW w:w="240" w:type="dxa"/>
            <w:vAlign w:val="bottom"/>
            <w:tcBorders>
              <w:top w:val="single" w:sz="8" w:color="auto"/>
            </w:tcBorders>
            <w:shd w:val="clear" w:color="auto" w:fill="CCECFF"/>
          </w:tcPr>
          <w:p>
            <w:pPr>
              <w:jc w:val="right"/>
              <w:ind w:right="88"/>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CFF"/>
          </w:tcPr>
          <w:p>
            <w:pPr>
              <w:spacing w:after="0"/>
              <w:rPr>
                <w:sz w:val="14"/>
                <w:szCs w:val="14"/>
                <w:color w:val="auto"/>
              </w:rPr>
            </w:pPr>
          </w:p>
        </w:tc>
        <w:tc>
          <w:tcPr>
            <w:tcW w:w="240" w:type="dxa"/>
            <w:vAlign w:val="bottom"/>
            <w:tcBorders>
              <w:top w:val="single" w:sz="8" w:color="auto"/>
            </w:tcBorders>
            <w:shd w:val="clear" w:color="auto" w:fill="CCECFF"/>
          </w:tcPr>
          <w:p>
            <w:pPr>
              <w:jc w:val="right"/>
              <w:ind w:right="88"/>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1,062,382</w:t>
            </w:r>
          </w:p>
        </w:tc>
        <w:tc>
          <w:tcPr>
            <w:tcW w:w="240" w:type="dxa"/>
            <w:vAlign w:val="bottom"/>
            <w:shd w:val="clear" w:color="auto" w:fill="CCECFF"/>
          </w:tcPr>
          <w:p>
            <w:pPr>
              <w:spacing w:after="0"/>
              <w:rPr>
                <w:sz w:val="14"/>
                <w:szCs w:val="14"/>
                <w:color w:val="auto"/>
              </w:rPr>
            </w:pPr>
          </w:p>
        </w:tc>
        <w:tc>
          <w:tcPr>
            <w:tcW w:w="1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740" w:type="dxa"/>
            <w:vAlign w:val="bottom"/>
            <w:gridSpan w:val="2"/>
          </w:tcPr>
          <w:p>
            <w:pPr>
              <w:ind w:left="20"/>
              <w:spacing w:after="0"/>
              <w:rPr>
                <w:sz w:val="20"/>
                <w:szCs w:val="20"/>
                <w:color w:val="auto"/>
              </w:rPr>
            </w:pPr>
            <w:r>
              <w:rPr>
                <w:rFonts w:ascii="Arial" w:cs="Arial" w:eastAsia="Arial" w:hAnsi="Arial"/>
                <w:sz w:val="14"/>
                <w:szCs w:val="14"/>
                <w:color w:val="auto"/>
              </w:rPr>
              <w:t>Second lien</w:t>
            </w:r>
          </w:p>
        </w:tc>
        <w:tc>
          <w:tcPr>
            <w:tcW w:w="2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661</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661</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740" w:type="dxa"/>
            <w:vAlign w:val="bottom"/>
            <w:tcBorders>
              <w:bottom w:val="single" w:sz="8" w:color="CCECFF"/>
            </w:tcBorders>
            <w:gridSpan w:val="2"/>
            <w:shd w:val="clear" w:color="auto" w:fill="CCECFF"/>
          </w:tcPr>
          <w:p>
            <w:pPr>
              <w:ind w:left="20"/>
              <w:spacing w:after="0"/>
              <w:rPr>
                <w:sz w:val="20"/>
                <w:szCs w:val="20"/>
                <w:color w:val="auto"/>
              </w:rPr>
            </w:pPr>
            <w:r>
              <w:rPr>
                <w:rFonts w:ascii="Arial" w:cs="Arial" w:eastAsia="Arial" w:hAnsi="Arial"/>
                <w:sz w:val="14"/>
                <w:szCs w:val="14"/>
                <w:color w:val="auto"/>
              </w:rPr>
              <w:t>Equity</w:t>
            </w:r>
          </w:p>
        </w:tc>
        <w:tc>
          <w:tcPr>
            <w:tcW w:w="200" w:type="dxa"/>
            <w:vAlign w:val="bottom"/>
            <w:tcBorders>
              <w:bottom w:val="single" w:sz="8" w:color="auto"/>
            </w:tcBorders>
            <w:shd w:val="clear" w:color="auto" w:fill="CCECFF"/>
          </w:tcPr>
          <w:p>
            <w:pPr>
              <w:spacing w:after="0"/>
              <w:rPr>
                <w:sz w:val="15"/>
                <w:szCs w:val="15"/>
                <w:color w:val="auto"/>
              </w:rPr>
            </w:pPr>
          </w:p>
        </w:tc>
        <w:tc>
          <w:tcPr>
            <w:tcW w:w="10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163,399</w:t>
            </w:r>
          </w:p>
        </w:tc>
        <w:tc>
          <w:tcPr>
            <w:tcW w:w="280" w:type="dxa"/>
            <w:vAlign w:val="bottom"/>
            <w:tcBorders>
              <w:bottom w:val="single" w:sz="8" w:color="CCECFF"/>
            </w:tcBorders>
            <w:shd w:val="clear" w:color="auto" w:fill="CCECFF"/>
          </w:tcPr>
          <w:p>
            <w:pPr>
              <w:spacing w:after="0"/>
              <w:rPr>
                <w:sz w:val="15"/>
                <w:szCs w:val="15"/>
                <w:color w:val="auto"/>
              </w:rPr>
            </w:pPr>
          </w:p>
        </w:tc>
        <w:tc>
          <w:tcPr>
            <w:tcW w:w="240" w:type="dxa"/>
            <w:vAlign w:val="bottom"/>
            <w:tcBorders>
              <w:bottom w:val="single" w:sz="8" w:color="auto"/>
            </w:tcBorders>
            <w:shd w:val="clear" w:color="auto" w:fill="CCECFF"/>
          </w:tcPr>
          <w:p>
            <w:pPr>
              <w:spacing w:after="0"/>
              <w:rPr>
                <w:sz w:val="15"/>
                <w:szCs w:val="15"/>
                <w:color w:val="auto"/>
              </w:rPr>
            </w:pPr>
          </w:p>
        </w:tc>
        <w:tc>
          <w:tcPr>
            <w:tcW w:w="10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CFF"/>
            </w:tcBorders>
            <w:shd w:val="clear" w:color="auto" w:fill="CCECFF"/>
          </w:tcPr>
          <w:p>
            <w:pPr>
              <w:spacing w:after="0"/>
              <w:rPr>
                <w:sz w:val="15"/>
                <w:szCs w:val="15"/>
                <w:color w:val="auto"/>
              </w:rPr>
            </w:pPr>
          </w:p>
        </w:tc>
        <w:tc>
          <w:tcPr>
            <w:tcW w:w="240" w:type="dxa"/>
            <w:vAlign w:val="bottom"/>
            <w:tcBorders>
              <w:bottom w:val="single" w:sz="8" w:color="auto"/>
            </w:tcBorders>
            <w:shd w:val="clear" w:color="auto" w:fill="CCECFF"/>
          </w:tcPr>
          <w:p>
            <w:pPr>
              <w:spacing w:after="0"/>
              <w:rPr>
                <w:sz w:val="15"/>
                <w:szCs w:val="15"/>
                <w:color w:val="auto"/>
              </w:rPr>
            </w:pPr>
          </w:p>
        </w:tc>
        <w:tc>
          <w:tcPr>
            <w:tcW w:w="10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CFF"/>
            </w:tcBorders>
            <w:shd w:val="clear" w:color="auto" w:fill="CCECFF"/>
          </w:tcPr>
          <w:p>
            <w:pPr>
              <w:spacing w:after="0"/>
              <w:rPr>
                <w:sz w:val="15"/>
                <w:szCs w:val="15"/>
                <w:color w:val="auto"/>
              </w:rPr>
            </w:pPr>
          </w:p>
        </w:tc>
        <w:tc>
          <w:tcPr>
            <w:tcW w:w="240" w:type="dxa"/>
            <w:vAlign w:val="bottom"/>
            <w:tcBorders>
              <w:bottom w:val="single" w:sz="8" w:color="auto"/>
            </w:tcBorders>
            <w:shd w:val="clear" w:color="auto" w:fill="CCECFF"/>
          </w:tcPr>
          <w:p>
            <w:pPr>
              <w:spacing w:after="0"/>
              <w:rPr>
                <w:sz w:val="15"/>
                <w:szCs w:val="15"/>
                <w:color w:val="auto"/>
              </w:rPr>
            </w:pPr>
          </w:p>
        </w:tc>
        <w:tc>
          <w:tcPr>
            <w:tcW w:w="10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94,092</w:t>
            </w:r>
          </w:p>
        </w:tc>
        <w:tc>
          <w:tcPr>
            <w:tcW w:w="240" w:type="dxa"/>
            <w:vAlign w:val="bottom"/>
            <w:tcBorders>
              <w:bottom w:val="single" w:sz="8" w:color="CCECFF"/>
            </w:tcBorders>
            <w:shd w:val="clear" w:color="auto" w:fill="CCECFF"/>
          </w:tcPr>
          <w:p>
            <w:pPr>
              <w:spacing w:after="0"/>
              <w:rPr>
                <w:sz w:val="15"/>
                <w:szCs w:val="15"/>
                <w:color w:val="auto"/>
              </w:rPr>
            </w:pPr>
          </w:p>
        </w:tc>
        <w:tc>
          <w:tcPr>
            <w:tcW w:w="120" w:type="dxa"/>
            <w:vAlign w:val="bottom"/>
            <w:tcBorders>
              <w:bottom w:val="single" w:sz="8" w:color="auto"/>
            </w:tcBorders>
            <w:shd w:val="clear" w:color="auto" w:fill="CCECFF"/>
          </w:tcPr>
          <w:p>
            <w:pPr>
              <w:spacing w:after="0"/>
              <w:rPr>
                <w:sz w:val="15"/>
                <w:szCs w:val="15"/>
                <w:color w:val="auto"/>
              </w:rPr>
            </w:pPr>
          </w:p>
        </w:tc>
        <w:tc>
          <w:tcPr>
            <w:tcW w:w="12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69,307</w:t>
            </w:r>
          </w:p>
        </w:tc>
        <w:tc>
          <w:tcPr>
            <w:tcW w:w="100" w:type="dxa"/>
            <w:vAlign w:val="bottom"/>
            <w:tcBorders>
              <w:bottom w:val="single" w:sz="8" w:color="CCECFF"/>
            </w:tcBorders>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740" w:type="dxa"/>
            <w:vAlign w:val="bottom"/>
            <w:gridSpan w:val="2"/>
          </w:tcPr>
          <w:p>
            <w:pPr>
              <w:ind w:left="380"/>
              <w:spacing w:after="0"/>
              <w:rPr>
                <w:sz w:val="20"/>
                <w:szCs w:val="20"/>
                <w:color w:val="auto"/>
              </w:rPr>
            </w:pPr>
            <w:r>
              <w:rPr>
                <w:rFonts w:ascii="Arial" w:cs="Arial" w:eastAsia="Arial" w:hAnsi="Arial"/>
                <w:sz w:val="14"/>
                <w:szCs w:val="14"/>
                <w:color w:val="auto"/>
              </w:rPr>
              <w:t>Total investments</w:t>
            </w:r>
          </w:p>
        </w:tc>
        <w:tc>
          <w:tcPr>
            <w:tcW w:w="2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1,226,442</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1,157,135</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69,307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740" w:type="dxa"/>
            <w:vAlign w:val="bottom"/>
            <w:tcBorders>
              <w:bottom w:val="single" w:sz="8" w:color="CCECFF"/>
            </w:tcBorders>
            <w:gridSpan w:val="2"/>
            <w:shd w:val="clear" w:color="auto" w:fill="CCECFF"/>
          </w:tcPr>
          <w:p>
            <w:pPr>
              <w:ind w:left="20"/>
              <w:spacing w:after="0"/>
              <w:rPr>
                <w:sz w:val="20"/>
                <w:szCs w:val="20"/>
                <w:color w:val="auto"/>
              </w:rPr>
            </w:pPr>
            <w:r>
              <w:rPr>
                <w:rFonts w:ascii="Arial" w:cs="Arial" w:eastAsia="Arial" w:hAnsi="Arial"/>
                <w:sz w:val="14"/>
                <w:szCs w:val="14"/>
                <w:color w:val="auto"/>
              </w:rPr>
              <w:t>Cash and cash equivalents</w:t>
            </w:r>
          </w:p>
        </w:tc>
        <w:tc>
          <w:tcPr>
            <w:tcW w:w="200" w:type="dxa"/>
            <w:vAlign w:val="bottom"/>
            <w:tcBorders>
              <w:top w:val="single" w:sz="8" w:color="auto"/>
              <w:bottom w:val="single" w:sz="8" w:color="auto"/>
            </w:tcBorders>
            <w:shd w:val="clear" w:color="auto" w:fill="CCECFF"/>
          </w:tcPr>
          <w:p>
            <w:pPr>
              <w:spacing w:after="0"/>
              <w:rPr>
                <w:sz w:val="14"/>
                <w:szCs w:val="14"/>
                <w:color w:val="auto"/>
              </w:rPr>
            </w:pPr>
          </w:p>
        </w:tc>
        <w:tc>
          <w:tcPr>
            <w:tcW w:w="10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40,616</w:t>
            </w:r>
          </w:p>
        </w:tc>
        <w:tc>
          <w:tcPr>
            <w:tcW w:w="280" w:type="dxa"/>
            <w:vAlign w:val="bottom"/>
            <w:tcBorders>
              <w:bottom w:val="single" w:sz="8" w:color="CCECFF"/>
            </w:tcBorders>
            <w:shd w:val="clear" w:color="auto" w:fill="CCECFF"/>
          </w:tcPr>
          <w:p>
            <w:pPr>
              <w:spacing w:after="0"/>
              <w:rPr>
                <w:sz w:val="14"/>
                <w:szCs w:val="14"/>
                <w:color w:val="auto"/>
              </w:rPr>
            </w:pPr>
          </w:p>
        </w:tc>
        <w:tc>
          <w:tcPr>
            <w:tcW w:w="240" w:type="dxa"/>
            <w:vAlign w:val="bottom"/>
            <w:tcBorders>
              <w:top w:val="single" w:sz="8" w:color="auto"/>
              <w:bottom w:val="single" w:sz="8" w:color="auto"/>
            </w:tcBorders>
            <w:shd w:val="clear" w:color="auto" w:fill="CCECFF"/>
          </w:tcPr>
          <w:p>
            <w:pPr>
              <w:spacing w:after="0"/>
              <w:rPr>
                <w:sz w:val="14"/>
                <w:szCs w:val="14"/>
                <w:color w:val="auto"/>
              </w:rPr>
            </w:pPr>
          </w:p>
        </w:tc>
        <w:tc>
          <w:tcPr>
            <w:tcW w:w="10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40,616</w:t>
            </w:r>
          </w:p>
        </w:tc>
        <w:tc>
          <w:tcPr>
            <w:tcW w:w="280" w:type="dxa"/>
            <w:vAlign w:val="bottom"/>
            <w:tcBorders>
              <w:bottom w:val="single" w:sz="8" w:color="CCECFF"/>
            </w:tcBorders>
            <w:shd w:val="clear" w:color="auto" w:fill="CCECFF"/>
          </w:tcPr>
          <w:p>
            <w:pPr>
              <w:spacing w:after="0"/>
              <w:rPr>
                <w:sz w:val="14"/>
                <w:szCs w:val="14"/>
                <w:color w:val="auto"/>
              </w:rPr>
            </w:pPr>
          </w:p>
        </w:tc>
        <w:tc>
          <w:tcPr>
            <w:tcW w:w="240" w:type="dxa"/>
            <w:vAlign w:val="bottom"/>
            <w:tcBorders>
              <w:top w:val="single" w:sz="8" w:color="auto"/>
              <w:bottom w:val="single" w:sz="8" w:color="auto"/>
            </w:tcBorders>
            <w:shd w:val="clear" w:color="auto" w:fill="CCECFF"/>
          </w:tcPr>
          <w:p>
            <w:pPr>
              <w:spacing w:after="0"/>
              <w:rPr>
                <w:sz w:val="14"/>
                <w:szCs w:val="14"/>
                <w:color w:val="auto"/>
              </w:rPr>
            </w:pPr>
          </w:p>
        </w:tc>
        <w:tc>
          <w:tcPr>
            <w:tcW w:w="10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CFF"/>
            </w:tcBorders>
            <w:shd w:val="clear" w:color="auto" w:fill="CCECFF"/>
          </w:tcPr>
          <w:p>
            <w:pPr>
              <w:spacing w:after="0"/>
              <w:rPr>
                <w:sz w:val="14"/>
                <w:szCs w:val="14"/>
                <w:color w:val="auto"/>
              </w:rPr>
            </w:pPr>
          </w:p>
        </w:tc>
        <w:tc>
          <w:tcPr>
            <w:tcW w:w="240" w:type="dxa"/>
            <w:vAlign w:val="bottom"/>
            <w:tcBorders>
              <w:top w:val="single" w:sz="8" w:color="auto"/>
              <w:bottom w:val="single" w:sz="8" w:color="auto"/>
            </w:tcBorders>
            <w:shd w:val="clear" w:color="auto" w:fill="CCECFF"/>
          </w:tcPr>
          <w:p>
            <w:pPr>
              <w:spacing w:after="0"/>
              <w:rPr>
                <w:sz w:val="14"/>
                <w:szCs w:val="14"/>
                <w:color w:val="auto"/>
              </w:rPr>
            </w:pPr>
          </w:p>
        </w:tc>
        <w:tc>
          <w:tcPr>
            <w:tcW w:w="10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CFF"/>
            </w:tcBorders>
            <w:shd w:val="clear" w:color="auto" w:fill="CCECFF"/>
          </w:tcPr>
          <w:p>
            <w:pPr>
              <w:spacing w:after="0"/>
              <w:rPr>
                <w:sz w:val="14"/>
                <w:szCs w:val="14"/>
                <w:color w:val="auto"/>
              </w:rPr>
            </w:pPr>
          </w:p>
        </w:tc>
        <w:tc>
          <w:tcPr>
            <w:tcW w:w="120" w:type="dxa"/>
            <w:vAlign w:val="bottom"/>
            <w:tcBorders>
              <w:top w:val="single" w:sz="8" w:color="auto"/>
              <w:bottom w:val="single" w:sz="8" w:color="auto"/>
            </w:tcBorders>
            <w:shd w:val="clear" w:color="auto" w:fill="CCECFF"/>
          </w:tcPr>
          <w:p>
            <w:pPr>
              <w:spacing w:after="0"/>
              <w:rPr>
                <w:sz w:val="14"/>
                <w:szCs w:val="14"/>
                <w:color w:val="auto"/>
              </w:rPr>
            </w:pPr>
          </w:p>
        </w:tc>
        <w:tc>
          <w:tcPr>
            <w:tcW w:w="12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CFF"/>
            </w:tcBorders>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740" w:type="dxa"/>
            <w:vAlign w:val="bottom"/>
            <w:gridSpan w:val="2"/>
          </w:tcPr>
          <w:p>
            <w:pPr>
              <w:ind w:left="380"/>
              <w:spacing w:after="0"/>
              <w:rPr>
                <w:sz w:val="20"/>
                <w:szCs w:val="20"/>
                <w:color w:val="auto"/>
              </w:rPr>
            </w:pPr>
            <w:r>
              <w:rPr>
                <w:rFonts w:ascii="Arial" w:cs="Arial" w:eastAsia="Arial" w:hAnsi="Arial"/>
                <w:sz w:val="14"/>
                <w:szCs w:val="14"/>
                <w:color w:val="auto"/>
              </w:rPr>
              <w:t>Total investments and cash and cash equivalents</w:t>
            </w: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1,267,058</w:t>
            </w:r>
          </w:p>
        </w:tc>
        <w:tc>
          <w:tcPr>
            <w:tcW w:w="280" w:type="dxa"/>
            <w:vAlign w:val="bottom"/>
          </w:tcPr>
          <w:p>
            <w:pPr>
              <w:spacing w:after="0"/>
              <w:rPr>
                <w:sz w:val="14"/>
                <w:szCs w:val="14"/>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40,616</w:t>
            </w:r>
          </w:p>
        </w:tc>
        <w:tc>
          <w:tcPr>
            <w:tcW w:w="280" w:type="dxa"/>
            <w:vAlign w:val="bottom"/>
          </w:tcPr>
          <w:p>
            <w:pPr>
              <w:spacing w:after="0"/>
              <w:rPr>
                <w:sz w:val="14"/>
                <w:szCs w:val="14"/>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1,157,135</w:t>
            </w:r>
          </w:p>
        </w:tc>
        <w:tc>
          <w:tcPr>
            <w:tcW w:w="24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69,307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7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740" w:type="dxa"/>
            <w:vAlign w:val="bottom"/>
            <w:gridSpan w:val="2"/>
            <w:shd w:val="clear" w:color="auto" w:fill="CCECFF"/>
          </w:tcPr>
          <w:p>
            <w:pPr>
              <w:ind w:left="20"/>
              <w:spacing w:after="0" w:line="156" w:lineRule="exact"/>
              <w:rPr>
                <w:sz w:val="20"/>
                <w:szCs w:val="20"/>
                <w:color w:val="auto"/>
              </w:rPr>
            </w:pPr>
            <w:r>
              <w:rPr>
                <w:rFonts w:ascii="Arial" w:cs="Arial" w:eastAsia="Arial" w:hAnsi="Arial"/>
                <w:sz w:val="14"/>
                <w:szCs w:val="14"/>
                <w:color w:val="auto"/>
              </w:rPr>
              <w:t>Credit Facility payable</w:t>
            </w:r>
          </w:p>
        </w:tc>
        <w:tc>
          <w:tcPr>
            <w:tcW w:w="200" w:type="dxa"/>
            <w:vAlign w:val="bottom"/>
            <w:tcBorders>
              <w:top w:val="single" w:sz="8" w:color="auto"/>
            </w:tcBorders>
            <w:shd w:val="clear" w:color="auto" w:fill="CCECFF"/>
          </w:tcPr>
          <w:p>
            <w:pPr>
              <w:jc w:val="right"/>
              <w:ind w:right="48"/>
              <w:spacing w:after="0" w:line="156" w:lineRule="exact"/>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shd w:val="clear" w:color="auto" w:fill="CCECFF"/>
          </w:tcPr>
          <w:p>
            <w:pPr>
              <w:jc w:val="right"/>
              <w:spacing w:after="0" w:line="156" w:lineRule="exact"/>
              <w:rPr>
                <w:sz w:val="20"/>
                <w:szCs w:val="20"/>
                <w:color w:val="auto"/>
              </w:rPr>
            </w:pPr>
            <w:r>
              <w:rPr>
                <w:rFonts w:ascii="Arial" w:cs="Arial" w:eastAsia="Arial" w:hAnsi="Arial"/>
                <w:sz w:val="14"/>
                <w:szCs w:val="14"/>
                <w:color w:val="auto"/>
              </w:rPr>
              <w:t>253,443</w:t>
            </w:r>
          </w:p>
        </w:tc>
        <w:tc>
          <w:tcPr>
            <w:tcW w:w="280" w:type="dxa"/>
            <w:vAlign w:val="bottom"/>
            <w:shd w:val="clear" w:color="auto" w:fill="CCECFF"/>
          </w:tcPr>
          <w:p>
            <w:pPr>
              <w:spacing w:after="0"/>
              <w:rPr>
                <w:sz w:val="13"/>
                <w:szCs w:val="13"/>
                <w:color w:val="auto"/>
              </w:rPr>
            </w:pPr>
          </w:p>
        </w:tc>
        <w:tc>
          <w:tcPr>
            <w:tcW w:w="240" w:type="dxa"/>
            <w:vAlign w:val="bottom"/>
            <w:tcBorders>
              <w:top w:val="single" w:sz="8" w:color="auto"/>
            </w:tcBorders>
            <w:shd w:val="clear" w:color="auto" w:fill="CCECFF"/>
          </w:tcPr>
          <w:p>
            <w:pPr>
              <w:jc w:val="right"/>
              <w:ind w:right="88"/>
              <w:spacing w:after="0" w:line="156"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ECFF"/>
          </w:tcPr>
          <w:p>
            <w:pPr>
              <w:jc w:val="right"/>
              <w:spacing w:after="0" w:line="156" w:lineRule="exact"/>
              <w:rPr>
                <w:sz w:val="20"/>
                <w:szCs w:val="20"/>
                <w:color w:val="auto"/>
              </w:rPr>
            </w:pPr>
            <w:r>
              <w:rPr>
                <w:rFonts w:ascii="Arial" w:cs="Arial" w:eastAsia="Arial" w:hAnsi="Arial"/>
                <w:sz w:val="14"/>
                <w:szCs w:val="14"/>
                <w:color w:val="auto"/>
              </w:rPr>
              <w:t>—</w:t>
            </w:r>
          </w:p>
        </w:tc>
        <w:tc>
          <w:tcPr>
            <w:tcW w:w="280" w:type="dxa"/>
            <w:vAlign w:val="bottom"/>
            <w:shd w:val="clear" w:color="auto" w:fill="CCECFF"/>
          </w:tcPr>
          <w:p>
            <w:pPr>
              <w:spacing w:after="0"/>
              <w:rPr>
                <w:sz w:val="13"/>
                <w:szCs w:val="13"/>
                <w:color w:val="auto"/>
              </w:rPr>
            </w:pPr>
          </w:p>
        </w:tc>
        <w:tc>
          <w:tcPr>
            <w:tcW w:w="240" w:type="dxa"/>
            <w:vAlign w:val="bottom"/>
            <w:tcBorders>
              <w:top w:val="single" w:sz="8" w:color="auto"/>
            </w:tcBorders>
            <w:shd w:val="clear" w:color="auto" w:fill="CCECFF"/>
          </w:tcPr>
          <w:p>
            <w:pPr>
              <w:jc w:val="right"/>
              <w:ind w:right="88"/>
              <w:spacing w:after="0" w:line="156"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CECFF"/>
          </w:tcPr>
          <w:p>
            <w:pPr>
              <w:jc w:val="right"/>
              <w:spacing w:after="0" w:line="156" w:lineRule="exact"/>
              <w:rPr>
                <w:sz w:val="20"/>
                <w:szCs w:val="20"/>
                <w:color w:val="auto"/>
              </w:rPr>
            </w:pPr>
            <w:r>
              <w:rPr>
                <w:rFonts w:ascii="Arial" w:cs="Arial" w:eastAsia="Arial" w:hAnsi="Arial"/>
                <w:sz w:val="14"/>
                <w:szCs w:val="14"/>
                <w:color w:val="auto"/>
              </w:rPr>
              <w:t>—</w:t>
            </w:r>
          </w:p>
        </w:tc>
        <w:tc>
          <w:tcPr>
            <w:tcW w:w="260" w:type="dxa"/>
            <w:vAlign w:val="bottom"/>
            <w:shd w:val="clear" w:color="auto" w:fill="CCECFF"/>
          </w:tcPr>
          <w:p>
            <w:pPr>
              <w:spacing w:after="0"/>
              <w:rPr>
                <w:sz w:val="13"/>
                <w:szCs w:val="13"/>
                <w:color w:val="auto"/>
              </w:rPr>
            </w:pPr>
          </w:p>
        </w:tc>
        <w:tc>
          <w:tcPr>
            <w:tcW w:w="240" w:type="dxa"/>
            <w:vAlign w:val="bottom"/>
            <w:tcBorders>
              <w:top w:val="single" w:sz="8" w:color="auto"/>
            </w:tcBorders>
            <w:shd w:val="clear" w:color="auto" w:fill="CCECFF"/>
          </w:tcPr>
          <w:p>
            <w:pPr>
              <w:jc w:val="right"/>
              <w:ind w:right="88"/>
              <w:spacing w:after="0" w:line="156"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CECFF"/>
          </w:tcPr>
          <w:p>
            <w:pPr>
              <w:jc w:val="right"/>
              <w:spacing w:after="0" w:line="156" w:lineRule="exact"/>
              <w:rPr>
                <w:sz w:val="20"/>
                <w:szCs w:val="20"/>
                <w:color w:val="auto"/>
              </w:rPr>
            </w:pPr>
            <w:r>
              <w:rPr>
                <w:rFonts w:ascii="Arial" w:cs="Arial" w:eastAsia="Arial" w:hAnsi="Arial"/>
                <w:sz w:val="14"/>
                <w:szCs w:val="14"/>
                <w:color w:val="auto"/>
              </w:rPr>
              <w:t>253,443</w:t>
            </w:r>
          </w:p>
        </w:tc>
        <w:tc>
          <w:tcPr>
            <w:tcW w:w="240" w:type="dxa"/>
            <w:vAlign w:val="bottom"/>
            <w:shd w:val="clear" w:color="auto" w:fill="CCECFF"/>
          </w:tcPr>
          <w:p>
            <w:pPr>
              <w:spacing w:after="0"/>
              <w:rPr>
                <w:sz w:val="13"/>
                <w:szCs w:val="13"/>
                <w:color w:val="auto"/>
              </w:rPr>
            </w:pPr>
          </w:p>
        </w:tc>
        <w:tc>
          <w:tcPr>
            <w:tcW w:w="120" w:type="dxa"/>
            <w:vAlign w:val="bottom"/>
            <w:tcBorders>
              <w:top w:val="single" w:sz="8" w:color="auto"/>
            </w:tcBorders>
            <w:shd w:val="clear" w:color="auto" w:fill="CCECFF"/>
          </w:tcPr>
          <w:p>
            <w:pPr>
              <w:jc w:val="right"/>
              <w:spacing w:after="0" w:line="156" w:lineRule="exact"/>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tcBorders>
            <w:shd w:val="clear" w:color="auto" w:fill="CCECFF"/>
          </w:tcPr>
          <w:p>
            <w:pPr>
              <w:jc w:val="right"/>
              <w:spacing w:after="0" w:line="156" w:lineRule="exact"/>
              <w:rPr>
                <w:sz w:val="20"/>
                <w:szCs w:val="20"/>
                <w:color w:val="auto"/>
              </w:rPr>
            </w:pPr>
            <w:r>
              <w:rPr>
                <w:rFonts w:ascii="Arial" w:cs="Arial" w:eastAsia="Arial" w:hAnsi="Arial"/>
                <w:sz w:val="14"/>
                <w:szCs w:val="14"/>
                <w:color w:val="auto"/>
              </w:rPr>
              <w:t>—</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740" w:type="dxa"/>
            <w:vAlign w:val="bottom"/>
            <w:gridSpan w:val="2"/>
          </w:tcPr>
          <w:p>
            <w:pPr>
              <w:ind w:left="20"/>
              <w:spacing w:after="0"/>
              <w:rPr>
                <w:sz w:val="20"/>
                <w:szCs w:val="20"/>
                <w:color w:val="auto"/>
              </w:rPr>
            </w:pPr>
            <w:r>
              <w:rPr>
                <w:rFonts w:ascii="Arial" w:cs="Arial" w:eastAsia="Arial" w:hAnsi="Arial"/>
                <w:sz w:val="14"/>
                <w:szCs w:val="14"/>
                <w:color w:val="auto"/>
              </w:rPr>
              <w:t>2023 Notes payable</w:t>
            </w:r>
          </w:p>
        </w:tc>
        <w:tc>
          <w:tcPr>
            <w:tcW w:w="2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94,717</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94,717</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740" w:type="dxa"/>
            <w:vAlign w:val="bottom"/>
            <w:gridSpan w:val="2"/>
            <w:shd w:val="clear" w:color="auto" w:fill="CCECFF"/>
          </w:tcPr>
          <w:p>
            <w:pPr>
              <w:ind w:left="20"/>
              <w:spacing w:after="0" w:line="175" w:lineRule="exact"/>
              <w:rPr>
                <w:sz w:val="20"/>
                <w:szCs w:val="20"/>
                <w:color w:val="auto"/>
              </w:rPr>
            </w:pPr>
            <w:r>
              <w:rPr>
                <w:rFonts w:ascii="Arial" w:cs="Arial" w:eastAsia="Arial" w:hAnsi="Arial"/>
                <w:sz w:val="14"/>
                <w:szCs w:val="14"/>
                <w:color w:val="auto"/>
              </w:rPr>
              <w:t xml:space="preserve">2026 Notes payable </w:t>
            </w:r>
            <w:r>
              <w:rPr>
                <w:rFonts w:ascii="Arial" w:cs="Arial" w:eastAsia="Arial" w:hAnsi="Arial"/>
                <w:sz w:val="19"/>
                <w:szCs w:val="19"/>
                <w:color w:val="auto"/>
                <w:vertAlign w:val="superscript"/>
              </w:rPr>
              <w:t>(2)</w:t>
            </w:r>
          </w:p>
        </w:tc>
        <w:tc>
          <w:tcPr>
            <w:tcW w:w="200" w:type="dxa"/>
            <w:vAlign w:val="bottom"/>
            <w:shd w:val="clear" w:color="auto" w:fill="CCECFF"/>
          </w:tcPr>
          <w:p>
            <w:pPr>
              <w:spacing w:after="0"/>
              <w:rPr>
                <w:sz w:val="15"/>
                <w:szCs w:val="15"/>
                <w:color w:val="auto"/>
              </w:rPr>
            </w:pPr>
          </w:p>
        </w:tc>
        <w:tc>
          <w:tcPr>
            <w:tcW w:w="10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182,082</w:t>
            </w:r>
          </w:p>
        </w:tc>
        <w:tc>
          <w:tcPr>
            <w:tcW w:w="28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182,082</w:t>
            </w:r>
          </w:p>
        </w:tc>
        <w:tc>
          <w:tcPr>
            <w:tcW w:w="26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12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40" w:type="dxa"/>
            <w:vAlign w:val="bottom"/>
            <w:gridSpan w:val="2"/>
          </w:tcPr>
          <w:p>
            <w:pPr>
              <w:ind w:left="20"/>
              <w:spacing w:after="0" w:line="175" w:lineRule="exact"/>
              <w:rPr>
                <w:sz w:val="20"/>
                <w:szCs w:val="20"/>
                <w:color w:val="auto"/>
              </w:rPr>
            </w:pPr>
            <w:r>
              <w:rPr>
                <w:rFonts w:ascii="Arial" w:cs="Arial" w:eastAsia="Arial" w:hAnsi="Arial"/>
                <w:sz w:val="14"/>
                <w:szCs w:val="14"/>
                <w:color w:val="auto"/>
              </w:rPr>
              <w:t>2031 Asset-Backed Debt</w:t>
            </w:r>
            <w:r>
              <w:rPr>
                <w:rFonts w:ascii="Arial" w:cs="Arial" w:eastAsia="Arial" w:hAnsi="Arial"/>
                <w:sz w:val="19"/>
                <w:szCs w:val="19"/>
                <w:color w:val="auto"/>
                <w:vertAlign w:val="superscript"/>
              </w:rPr>
              <w:t>(2)</w:t>
            </w:r>
          </w:p>
        </w:tc>
        <w:tc>
          <w:tcPr>
            <w:tcW w:w="2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225,970</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225,970</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740" w:type="dxa"/>
            <w:vAlign w:val="bottom"/>
            <w:tcBorders>
              <w:bottom w:val="single" w:sz="8" w:color="CCECFF"/>
            </w:tcBorders>
            <w:gridSpan w:val="2"/>
            <w:shd w:val="clear" w:color="auto" w:fill="CCECFF"/>
          </w:tcPr>
          <w:p>
            <w:pPr>
              <w:ind w:left="380"/>
              <w:spacing w:after="0"/>
              <w:rPr>
                <w:sz w:val="20"/>
                <w:szCs w:val="20"/>
                <w:color w:val="auto"/>
              </w:rPr>
            </w:pPr>
            <w:r>
              <w:rPr>
                <w:rFonts w:ascii="Arial" w:cs="Arial" w:eastAsia="Arial" w:hAnsi="Arial"/>
                <w:sz w:val="14"/>
                <w:szCs w:val="14"/>
                <w:color w:val="auto"/>
              </w:rPr>
              <w:t>Total debt</w:t>
            </w:r>
          </w:p>
        </w:tc>
        <w:tc>
          <w:tcPr>
            <w:tcW w:w="200" w:type="dxa"/>
            <w:vAlign w:val="bottom"/>
            <w:tcBorders>
              <w:top w:val="single" w:sz="8" w:color="auto"/>
              <w:bottom w:val="single" w:sz="8" w:color="auto"/>
            </w:tcBorders>
            <w:shd w:val="clear" w:color="auto" w:fill="CCECFF"/>
          </w:tcPr>
          <w:p>
            <w:pPr>
              <w:jc w:val="right"/>
              <w:ind w:right="48"/>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756,212</w:t>
            </w:r>
          </w:p>
        </w:tc>
        <w:tc>
          <w:tcPr>
            <w:tcW w:w="280" w:type="dxa"/>
            <w:vAlign w:val="bottom"/>
            <w:tcBorders>
              <w:bottom w:val="single" w:sz="8" w:color="CCECFF"/>
            </w:tcBorders>
            <w:shd w:val="clear" w:color="auto" w:fill="CCECFF"/>
          </w:tcPr>
          <w:p>
            <w:pPr>
              <w:spacing w:after="0"/>
              <w:rPr>
                <w:sz w:val="18"/>
                <w:szCs w:val="18"/>
                <w:color w:val="auto"/>
              </w:rPr>
            </w:pPr>
          </w:p>
        </w:tc>
        <w:tc>
          <w:tcPr>
            <w:tcW w:w="240" w:type="dxa"/>
            <w:vAlign w:val="bottom"/>
            <w:tcBorders>
              <w:top w:val="single" w:sz="8" w:color="auto"/>
              <w:bottom w:val="single" w:sz="8" w:color="auto"/>
            </w:tcBorders>
            <w:shd w:val="clear" w:color="auto" w:fill="CCECFF"/>
          </w:tcPr>
          <w:p>
            <w:pPr>
              <w:jc w:val="right"/>
              <w:ind w:right="88"/>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94,717</w:t>
            </w:r>
          </w:p>
        </w:tc>
        <w:tc>
          <w:tcPr>
            <w:tcW w:w="280" w:type="dxa"/>
            <w:vAlign w:val="bottom"/>
            <w:tcBorders>
              <w:bottom w:val="single" w:sz="8" w:color="CCECFF"/>
            </w:tcBorders>
            <w:shd w:val="clear" w:color="auto" w:fill="CCECFF"/>
          </w:tcPr>
          <w:p>
            <w:pPr>
              <w:spacing w:after="0"/>
              <w:rPr>
                <w:sz w:val="18"/>
                <w:szCs w:val="18"/>
                <w:color w:val="auto"/>
              </w:rPr>
            </w:pPr>
          </w:p>
        </w:tc>
        <w:tc>
          <w:tcPr>
            <w:tcW w:w="240" w:type="dxa"/>
            <w:vAlign w:val="bottom"/>
            <w:tcBorders>
              <w:top w:val="single" w:sz="8" w:color="auto"/>
              <w:bottom w:val="single" w:sz="8" w:color="auto"/>
            </w:tcBorders>
            <w:shd w:val="clear" w:color="auto" w:fill="CCECFF"/>
          </w:tcPr>
          <w:p>
            <w:pPr>
              <w:jc w:val="right"/>
              <w:ind w:right="88"/>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182,082</w:t>
            </w:r>
          </w:p>
        </w:tc>
        <w:tc>
          <w:tcPr>
            <w:tcW w:w="260" w:type="dxa"/>
            <w:vAlign w:val="bottom"/>
            <w:tcBorders>
              <w:bottom w:val="single" w:sz="8" w:color="CCECFF"/>
            </w:tcBorders>
            <w:shd w:val="clear" w:color="auto" w:fill="CCECFF"/>
          </w:tcPr>
          <w:p>
            <w:pPr>
              <w:spacing w:after="0"/>
              <w:rPr>
                <w:sz w:val="18"/>
                <w:szCs w:val="18"/>
                <w:color w:val="auto"/>
              </w:rPr>
            </w:pPr>
          </w:p>
        </w:tc>
        <w:tc>
          <w:tcPr>
            <w:tcW w:w="240" w:type="dxa"/>
            <w:vAlign w:val="bottom"/>
            <w:tcBorders>
              <w:top w:val="single" w:sz="8" w:color="auto"/>
              <w:bottom w:val="single" w:sz="8" w:color="auto"/>
            </w:tcBorders>
            <w:shd w:val="clear" w:color="auto" w:fill="CCECFF"/>
          </w:tcPr>
          <w:p>
            <w:pPr>
              <w:jc w:val="right"/>
              <w:ind w:right="88"/>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479,413</w:t>
            </w:r>
          </w:p>
        </w:tc>
        <w:tc>
          <w:tcPr>
            <w:tcW w:w="240" w:type="dxa"/>
            <w:vAlign w:val="bottom"/>
            <w:tcBorders>
              <w:bottom w:val="single" w:sz="8" w:color="CCECFF"/>
            </w:tcBorders>
            <w:shd w:val="clear" w:color="auto" w:fill="CCECFF"/>
          </w:tcPr>
          <w:p>
            <w:pPr>
              <w:spacing w:after="0"/>
              <w:rPr>
                <w:sz w:val="18"/>
                <w:szCs w:val="18"/>
                <w:color w:val="auto"/>
              </w:rPr>
            </w:pPr>
          </w:p>
        </w:tc>
        <w:tc>
          <w:tcPr>
            <w:tcW w:w="1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-973455</wp:posOffset>
            </wp:positionV>
            <wp:extent cx="77470" cy="571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-973455</wp:posOffset>
            </wp:positionV>
            <wp:extent cx="76835" cy="571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-973455</wp:posOffset>
            </wp:positionV>
            <wp:extent cx="68580" cy="571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-973455</wp:posOffset>
            </wp:positionV>
            <wp:extent cx="68580" cy="571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-973455</wp:posOffset>
            </wp:positionV>
            <wp:extent cx="68580" cy="571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-733425</wp:posOffset>
            </wp:positionV>
            <wp:extent cx="77470" cy="571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-733425</wp:posOffset>
            </wp:positionV>
            <wp:extent cx="76835" cy="571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-733425</wp:posOffset>
            </wp:positionV>
            <wp:extent cx="68580" cy="571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-733425</wp:posOffset>
            </wp:positionV>
            <wp:extent cx="68580" cy="571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-733425</wp:posOffset>
            </wp:positionV>
            <wp:extent cx="68580" cy="571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-25400</wp:posOffset>
            </wp:positionV>
            <wp:extent cx="77470"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-8255</wp:posOffset>
            </wp:positionV>
            <wp:extent cx="77470"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-25400</wp:posOffset>
            </wp:positionV>
            <wp:extent cx="76835"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-8255</wp:posOffset>
            </wp:positionV>
            <wp:extent cx="76835"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-25400</wp:posOffset>
            </wp:positionV>
            <wp:extent cx="68580"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-8255</wp:posOffset>
            </wp:positionV>
            <wp:extent cx="68580"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-25400</wp:posOffset>
            </wp:positionV>
            <wp:extent cx="68580"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-8255</wp:posOffset>
            </wp:positionV>
            <wp:extent cx="68580"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3" w:lineRule="exact"/>
        <w:rPr>
          <w:sz w:val="20"/>
          <w:szCs w:val="20"/>
          <w:color w:val="auto"/>
        </w:rPr>
      </w:pPr>
    </w:p>
    <w:p>
      <w:pPr>
        <w:ind w:left="380" w:right="360" w:hanging="372"/>
        <w:spacing w:after="0" w:line="201" w:lineRule="auto"/>
        <w:tabs>
          <w:tab w:leader="none" w:pos="380" w:val="left"/>
        </w:tabs>
        <w:numPr>
          <w:ilvl w:val="0"/>
          <w:numId w:val="13"/>
        </w:numPr>
        <w:rPr>
          <w:rFonts w:ascii="Arial" w:cs="Arial" w:eastAsia="Arial" w:hAnsi="Arial"/>
          <w:sz w:val="16"/>
          <w:szCs w:val="16"/>
          <w:color w:val="auto"/>
          <w:vertAlign w:val="superscript"/>
        </w:rPr>
      </w:pPr>
      <w:r>
        <w:rPr>
          <w:rFonts w:ascii="Arial" w:cs="Arial" w:eastAsia="Arial" w:hAnsi="Arial"/>
          <w:sz w:val="12"/>
          <w:szCs w:val="12"/>
          <w:color w:val="auto"/>
        </w:rPr>
        <w:t>In accordance with ASC Subtopic 820-10, Fair Value Measurements and Disclosures, or ASC 820-10, our equity investment in PSSL and PTSF are measured using the net asset value per share (or its equivalent) as a practical expedient for fair value, and thus have not been classified in the fair value hierarchy.</w:t>
      </w:r>
    </w:p>
    <w:p>
      <w:pPr>
        <w:ind w:left="380" w:right="100" w:hanging="372"/>
        <w:spacing w:after="0" w:line="201" w:lineRule="auto"/>
        <w:tabs>
          <w:tab w:leader="none" w:pos="380" w:val="left"/>
        </w:tabs>
        <w:numPr>
          <w:ilvl w:val="0"/>
          <w:numId w:val="13"/>
        </w:numPr>
        <w:rPr>
          <w:rFonts w:ascii="Arial" w:cs="Arial" w:eastAsia="Arial" w:hAnsi="Arial"/>
          <w:sz w:val="16"/>
          <w:szCs w:val="16"/>
          <w:color w:val="auto"/>
          <w:vertAlign w:val="superscript"/>
        </w:rPr>
      </w:pPr>
      <w:r>
        <w:rPr>
          <w:rFonts w:ascii="Arial" w:cs="Arial" w:eastAsia="Arial" w:hAnsi="Arial"/>
          <w:sz w:val="12"/>
          <w:szCs w:val="12"/>
          <w:color w:val="auto"/>
        </w:rPr>
        <w:t>We elected not to apply the fair value option allowed by ASC 825-10 to the 2026 Notes and the 2031 Asset-Backed Debt and thus the balance reported in the Consolidated Statement of Assets and Liabilities represents the carrying value, which approximates the fair value.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6"/>
          </w:tcPr>
          <w:p>
            <w:pPr>
              <w:jc w:val="right"/>
              <w:ind w:right="48"/>
              <w:spacing w:after="0"/>
              <w:rPr>
                <w:sz w:val="20"/>
                <w:szCs w:val="20"/>
                <w:color w:val="auto"/>
              </w:rPr>
            </w:pPr>
            <w:r>
              <w:rPr>
                <w:rFonts w:ascii="Arial" w:cs="Arial" w:eastAsia="Arial" w:hAnsi="Arial"/>
                <w:sz w:val="14"/>
                <w:szCs w:val="14"/>
                <w:b w:val="1"/>
                <w:bCs w:val="1"/>
                <w:color w:val="auto"/>
              </w:rPr>
              <w:t>Fair Value at September 30, 2021</w:t>
            </w:r>
          </w:p>
        </w:tc>
        <w:tc>
          <w:tcPr>
            <w:tcW w:w="9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37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200" w:type="dxa"/>
            <w:vAlign w:val="bottom"/>
          </w:tcPr>
          <w:p>
            <w:pPr>
              <w:spacing w:after="0"/>
              <w:rPr>
                <w:sz w:val="11"/>
                <w:szCs w:val="11"/>
                <w:color w:val="auto"/>
              </w:rPr>
            </w:pPr>
          </w:p>
        </w:tc>
        <w:tc>
          <w:tcPr>
            <w:tcW w:w="106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Fair Value</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Level 3</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jc w:val="right"/>
              <w:ind w:right="88"/>
              <w:spacing w:after="0" w:line="129" w:lineRule="exact"/>
              <w:rPr>
                <w:sz w:val="20"/>
                <w:szCs w:val="20"/>
                <w:color w:val="auto"/>
              </w:rPr>
            </w:pPr>
            <w:r>
              <w:rPr>
                <w:rFonts w:ascii="Arial" w:cs="Arial" w:eastAsia="Arial" w:hAnsi="Arial"/>
                <w:sz w:val="14"/>
                <w:szCs w:val="14"/>
                <w:b w:val="1"/>
                <w:bCs w:val="1"/>
                <w:color w:val="auto"/>
                <w:w w:val="96"/>
              </w:rPr>
              <w:t>Measured at Net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37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ind w:right="168"/>
              <w:spacing w:after="0" w:line="189" w:lineRule="exact"/>
              <w:rPr>
                <w:sz w:val="20"/>
                <w:szCs w:val="20"/>
                <w:color w:val="auto"/>
              </w:rPr>
            </w:pPr>
            <w:r>
              <w:rPr>
                <w:rFonts w:ascii="Arial" w:cs="Arial" w:eastAsia="Arial" w:hAnsi="Arial"/>
                <w:sz w:val="14"/>
                <w:szCs w:val="14"/>
                <w:b w:val="1"/>
                <w:bCs w:val="1"/>
                <w:color w:val="auto"/>
                <w:w w:val="97"/>
              </w:rPr>
              <w:t xml:space="preserve">Asset Value </w:t>
            </w:r>
            <w:r>
              <w:rPr>
                <w:rFonts w:ascii="Arial" w:cs="Arial" w:eastAsia="Arial" w:hAnsi="Arial"/>
                <w:sz w:val="19"/>
                <w:szCs w:val="19"/>
                <w:b w:val="1"/>
                <w:bCs w:val="1"/>
                <w:color w:val="auto"/>
                <w:w w:val="97"/>
                <w:vertAlign w:val="superscript"/>
              </w:rPr>
              <w:t>(1)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580" w:type="dxa"/>
            <w:vAlign w:val="bottom"/>
            <w:tcBorders>
              <w:top w:val="single" w:sz="8" w:color="auto"/>
            </w:tcBorders>
            <w:shd w:val="clear" w:color="auto" w:fill="CCECFF"/>
          </w:tcPr>
          <w:p>
            <w:pPr>
              <w:ind w:left="20"/>
              <w:spacing w:after="0"/>
              <w:rPr>
                <w:sz w:val="20"/>
                <w:szCs w:val="20"/>
                <w:color w:val="auto"/>
              </w:rPr>
            </w:pPr>
            <w:r>
              <w:rPr>
                <w:rFonts w:ascii="Arial" w:cs="Arial" w:eastAsia="Arial" w:hAnsi="Arial"/>
                <w:sz w:val="14"/>
                <w:szCs w:val="14"/>
                <w:color w:val="auto"/>
              </w:rPr>
              <w:t>First lien</w:t>
            </w:r>
          </w:p>
        </w:tc>
        <w:tc>
          <w:tcPr>
            <w:tcW w:w="160" w:type="dxa"/>
            <w:vAlign w:val="bottom"/>
            <w:shd w:val="clear" w:color="auto" w:fill="CCECFF"/>
          </w:tcPr>
          <w:p>
            <w:pPr>
              <w:spacing w:after="0"/>
              <w:rPr>
                <w:sz w:val="14"/>
                <w:szCs w:val="14"/>
                <w:color w:val="auto"/>
              </w:rPr>
            </w:pPr>
          </w:p>
        </w:tc>
        <w:tc>
          <w:tcPr>
            <w:tcW w:w="200" w:type="dxa"/>
            <w:vAlign w:val="bottom"/>
            <w:tcBorders>
              <w:top w:val="single" w:sz="8" w:color="auto"/>
            </w:tcBorders>
            <w:shd w:val="clear" w:color="auto" w:fill="CCECFF"/>
          </w:tcPr>
          <w:p>
            <w:pPr>
              <w:jc w:val="right"/>
              <w:ind w:right="48"/>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934,418</w:t>
            </w:r>
          </w:p>
        </w:tc>
        <w:tc>
          <w:tcPr>
            <w:tcW w:w="280" w:type="dxa"/>
            <w:vAlign w:val="bottom"/>
            <w:shd w:val="clear" w:color="auto" w:fill="CCECFF"/>
          </w:tcPr>
          <w:p>
            <w:pPr>
              <w:spacing w:after="0"/>
              <w:rPr>
                <w:sz w:val="14"/>
                <w:szCs w:val="14"/>
                <w:color w:val="auto"/>
              </w:rPr>
            </w:pPr>
          </w:p>
        </w:tc>
        <w:tc>
          <w:tcPr>
            <w:tcW w:w="240" w:type="dxa"/>
            <w:vAlign w:val="bottom"/>
            <w:tcBorders>
              <w:top w:val="single" w:sz="8" w:color="auto"/>
            </w:tcBorders>
            <w:shd w:val="clear" w:color="auto" w:fill="CCECFF"/>
          </w:tcPr>
          <w:p>
            <w:pPr>
              <w:jc w:val="right"/>
              <w:ind w:right="88"/>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CFF"/>
          </w:tcPr>
          <w:p>
            <w:pPr>
              <w:spacing w:after="0"/>
              <w:rPr>
                <w:sz w:val="14"/>
                <w:szCs w:val="14"/>
                <w:color w:val="auto"/>
              </w:rPr>
            </w:pPr>
          </w:p>
        </w:tc>
        <w:tc>
          <w:tcPr>
            <w:tcW w:w="240" w:type="dxa"/>
            <w:vAlign w:val="bottom"/>
            <w:tcBorders>
              <w:top w:val="single" w:sz="8" w:color="auto"/>
            </w:tcBorders>
            <w:shd w:val="clear" w:color="auto" w:fill="CCECFF"/>
          </w:tcPr>
          <w:p>
            <w:pPr>
              <w:jc w:val="right"/>
              <w:ind w:right="88"/>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CFF"/>
          </w:tcPr>
          <w:p>
            <w:pPr>
              <w:spacing w:after="0"/>
              <w:rPr>
                <w:sz w:val="14"/>
                <w:szCs w:val="14"/>
                <w:color w:val="auto"/>
              </w:rPr>
            </w:pPr>
          </w:p>
        </w:tc>
        <w:tc>
          <w:tcPr>
            <w:tcW w:w="260" w:type="dxa"/>
            <w:vAlign w:val="bottom"/>
            <w:tcBorders>
              <w:top w:val="single" w:sz="8" w:color="auto"/>
            </w:tcBorders>
            <w:shd w:val="clear" w:color="auto" w:fill="CCECFF"/>
          </w:tcPr>
          <w:p>
            <w:pPr>
              <w:jc w:val="right"/>
              <w:ind w:right="108"/>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934,418</w:t>
            </w:r>
          </w:p>
        </w:tc>
        <w:tc>
          <w:tcPr>
            <w:tcW w:w="240" w:type="dxa"/>
            <w:vAlign w:val="bottom"/>
            <w:shd w:val="clear" w:color="auto" w:fill="CCECFF"/>
          </w:tcPr>
          <w:p>
            <w:pPr>
              <w:spacing w:after="0"/>
              <w:rPr>
                <w:sz w:val="14"/>
                <w:szCs w:val="14"/>
                <w:color w:val="auto"/>
              </w:rPr>
            </w:pPr>
          </w:p>
        </w:tc>
        <w:tc>
          <w:tcPr>
            <w:tcW w:w="1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740" w:type="dxa"/>
            <w:vAlign w:val="bottom"/>
            <w:gridSpan w:val="2"/>
          </w:tcPr>
          <w:p>
            <w:pPr>
              <w:ind w:left="20"/>
              <w:spacing w:after="0"/>
              <w:rPr>
                <w:sz w:val="20"/>
                <w:szCs w:val="20"/>
                <w:color w:val="auto"/>
              </w:rPr>
            </w:pPr>
            <w:r>
              <w:rPr>
                <w:rFonts w:ascii="Arial" w:cs="Arial" w:eastAsia="Arial" w:hAnsi="Arial"/>
                <w:sz w:val="14"/>
                <w:szCs w:val="14"/>
                <w:color w:val="auto"/>
              </w:rPr>
              <w:t>Second lien</w:t>
            </w:r>
          </w:p>
        </w:tc>
        <w:tc>
          <w:tcPr>
            <w:tcW w:w="2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8,949</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8,949</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740" w:type="dxa"/>
            <w:vAlign w:val="bottom"/>
            <w:tcBorders>
              <w:bottom w:val="single" w:sz="8" w:color="CCECFF"/>
            </w:tcBorders>
            <w:gridSpan w:val="2"/>
            <w:shd w:val="clear" w:color="auto" w:fill="CCECFF"/>
          </w:tcPr>
          <w:p>
            <w:pPr>
              <w:ind w:left="20"/>
              <w:spacing w:after="0"/>
              <w:rPr>
                <w:sz w:val="20"/>
                <w:szCs w:val="20"/>
                <w:color w:val="auto"/>
              </w:rPr>
            </w:pPr>
            <w:r>
              <w:rPr>
                <w:rFonts w:ascii="Arial" w:cs="Arial" w:eastAsia="Arial" w:hAnsi="Arial"/>
                <w:sz w:val="14"/>
                <w:szCs w:val="14"/>
                <w:color w:val="auto"/>
              </w:rPr>
              <w:t>Equity</w:t>
            </w:r>
          </w:p>
        </w:tc>
        <w:tc>
          <w:tcPr>
            <w:tcW w:w="200" w:type="dxa"/>
            <w:vAlign w:val="bottom"/>
            <w:tcBorders>
              <w:bottom w:val="single" w:sz="8" w:color="auto"/>
            </w:tcBorders>
            <w:shd w:val="clear" w:color="auto" w:fill="CCECFF"/>
          </w:tcPr>
          <w:p>
            <w:pPr>
              <w:spacing w:after="0"/>
              <w:rPr>
                <w:sz w:val="15"/>
                <w:szCs w:val="15"/>
                <w:color w:val="auto"/>
              </w:rPr>
            </w:pPr>
          </w:p>
        </w:tc>
        <w:tc>
          <w:tcPr>
            <w:tcW w:w="10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138,252</w:t>
            </w:r>
          </w:p>
        </w:tc>
        <w:tc>
          <w:tcPr>
            <w:tcW w:w="280" w:type="dxa"/>
            <w:vAlign w:val="bottom"/>
            <w:tcBorders>
              <w:bottom w:val="single" w:sz="8" w:color="CCECFF"/>
            </w:tcBorders>
            <w:shd w:val="clear" w:color="auto" w:fill="CCECFF"/>
          </w:tcPr>
          <w:p>
            <w:pPr>
              <w:spacing w:after="0"/>
              <w:rPr>
                <w:sz w:val="15"/>
                <w:szCs w:val="15"/>
                <w:color w:val="auto"/>
              </w:rPr>
            </w:pPr>
          </w:p>
        </w:tc>
        <w:tc>
          <w:tcPr>
            <w:tcW w:w="240" w:type="dxa"/>
            <w:vAlign w:val="bottom"/>
            <w:tcBorders>
              <w:bottom w:val="single" w:sz="8" w:color="auto"/>
            </w:tcBorders>
            <w:shd w:val="clear" w:color="auto" w:fill="CCECFF"/>
          </w:tcPr>
          <w:p>
            <w:pPr>
              <w:spacing w:after="0"/>
              <w:rPr>
                <w:sz w:val="15"/>
                <w:szCs w:val="15"/>
                <w:color w:val="auto"/>
              </w:rPr>
            </w:pPr>
          </w:p>
        </w:tc>
        <w:tc>
          <w:tcPr>
            <w:tcW w:w="10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CFF"/>
            </w:tcBorders>
            <w:shd w:val="clear" w:color="auto" w:fill="CCECFF"/>
          </w:tcPr>
          <w:p>
            <w:pPr>
              <w:spacing w:after="0"/>
              <w:rPr>
                <w:sz w:val="15"/>
                <w:szCs w:val="15"/>
                <w:color w:val="auto"/>
              </w:rPr>
            </w:pPr>
          </w:p>
        </w:tc>
        <w:tc>
          <w:tcPr>
            <w:tcW w:w="240" w:type="dxa"/>
            <w:vAlign w:val="bottom"/>
            <w:tcBorders>
              <w:bottom w:val="single" w:sz="8" w:color="auto"/>
            </w:tcBorders>
            <w:shd w:val="clear" w:color="auto" w:fill="CCECFF"/>
          </w:tcPr>
          <w:p>
            <w:pPr>
              <w:spacing w:after="0"/>
              <w:rPr>
                <w:sz w:val="15"/>
                <w:szCs w:val="15"/>
                <w:color w:val="auto"/>
              </w:rPr>
            </w:pPr>
          </w:p>
        </w:tc>
        <w:tc>
          <w:tcPr>
            <w:tcW w:w="10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CFF"/>
            </w:tcBorders>
            <w:shd w:val="clear" w:color="auto" w:fill="CCECFF"/>
          </w:tcPr>
          <w:p>
            <w:pPr>
              <w:spacing w:after="0"/>
              <w:rPr>
                <w:sz w:val="15"/>
                <w:szCs w:val="15"/>
                <w:color w:val="auto"/>
              </w:rPr>
            </w:pPr>
          </w:p>
        </w:tc>
        <w:tc>
          <w:tcPr>
            <w:tcW w:w="260" w:type="dxa"/>
            <w:vAlign w:val="bottom"/>
            <w:tcBorders>
              <w:bottom w:val="single" w:sz="8" w:color="auto"/>
            </w:tcBorders>
            <w:shd w:val="clear" w:color="auto" w:fill="CCECFF"/>
          </w:tcPr>
          <w:p>
            <w:pPr>
              <w:spacing w:after="0"/>
              <w:rPr>
                <w:sz w:val="15"/>
                <w:szCs w:val="15"/>
                <w:color w:val="auto"/>
              </w:rPr>
            </w:pPr>
          </w:p>
        </w:tc>
        <w:tc>
          <w:tcPr>
            <w:tcW w:w="9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77,822</w:t>
            </w:r>
          </w:p>
        </w:tc>
        <w:tc>
          <w:tcPr>
            <w:tcW w:w="240" w:type="dxa"/>
            <w:vAlign w:val="bottom"/>
            <w:tcBorders>
              <w:bottom w:val="single" w:sz="8" w:color="CCECFF"/>
            </w:tcBorders>
            <w:shd w:val="clear" w:color="auto" w:fill="CCECFF"/>
          </w:tcPr>
          <w:p>
            <w:pPr>
              <w:spacing w:after="0"/>
              <w:rPr>
                <w:sz w:val="15"/>
                <w:szCs w:val="15"/>
                <w:color w:val="auto"/>
              </w:rPr>
            </w:pPr>
          </w:p>
        </w:tc>
        <w:tc>
          <w:tcPr>
            <w:tcW w:w="120" w:type="dxa"/>
            <w:vAlign w:val="bottom"/>
            <w:tcBorders>
              <w:bottom w:val="single" w:sz="8" w:color="auto"/>
            </w:tcBorders>
            <w:shd w:val="clear" w:color="auto" w:fill="CCECFF"/>
          </w:tcPr>
          <w:p>
            <w:pPr>
              <w:spacing w:after="0"/>
              <w:rPr>
                <w:sz w:val="15"/>
                <w:szCs w:val="15"/>
                <w:color w:val="auto"/>
              </w:rPr>
            </w:pPr>
          </w:p>
        </w:tc>
        <w:tc>
          <w:tcPr>
            <w:tcW w:w="12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60,430</w:t>
            </w:r>
          </w:p>
        </w:tc>
        <w:tc>
          <w:tcPr>
            <w:tcW w:w="100" w:type="dxa"/>
            <w:vAlign w:val="bottom"/>
            <w:tcBorders>
              <w:bottom w:val="single" w:sz="8" w:color="CCECFF"/>
            </w:tcBorders>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740" w:type="dxa"/>
            <w:vAlign w:val="bottom"/>
            <w:gridSpan w:val="2"/>
          </w:tcPr>
          <w:p>
            <w:pPr>
              <w:ind w:left="380"/>
              <w:spacing w:after="0"/>
              <w:rPr>
                <w:sz w:val="20"/>
                <w:szCs w:val="20"/>
                <w:color w:val="auto"/>
              </w:rPr>
            </w:pPr>
            <w:r>
              <w:rPr>
                <w:rFonts w:ascii="Arial" w:cs="Arial" w:eastAsia="Arial" w:hAnsi="Arial"/>
                <w:sz w:val="14"/>
                <w:szCs w:val="14"/>
                <w:color w:val="auto"/>
              </w:rPr>
              <w:t>Total investments</w:t>
            </w: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1,081,619</w:t>
            </w:r>
          </w:p>
        </w:tc>
        <w:tc>
          <w:tcPr>
            <w:tcW w:w="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1,021,189</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60,430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740" w:type="dxa"/>
            <w:vAlign w:val="bottom"/>
            <w:tcBorders>
              <w:bottom w:val="single" w:sz="8" w:color="CCECFF"/>
            </w:tcBorders>
            <w:gridSpan w:val="2"/>
            <w:shd w:val="clear" w:color="auto" w:fill="CCECFF"/>
          </w:tcPr>
          <w:p>
            <w:pPr>
              <w:ind w:left="20"/>
              <w:spacing w:after="0"/>
              <w:rPr>
                <w:sz w:val="20"/>
                <w:szCs w:val="20"/>
                <w:color w:val="auto"/>
              </w:rPr>
            </w:pPr>
            <w:r>
              <w:rPr>
                <w:rFonts w:ascii="Arial" w:cs="Arial" w:eastAsia="Arial" w:hAnsi="Arial"/>
                <w:sz w:val="14"/>
                <w:szCs w:val="14"/>
                <w:color w:val="auto"/>
              </w:rPr>
              <w:t>Cash and cash equivalents</w:t>
            </w:r>
          </w:p>
        </w:tc>
        <w:tc>
          <w:tcPr>
            <w:tcW w:w="200" w:type="dxa"/>
            <w:vAlign w:val="bottom"/>
            <w:tcBorders>
              <w:bottom w:val="single" w:sz="8" w:color="auto"/>
            </w:tcBorders>
            <w:shd w:val="clear" w:color="auto" w:fill="CCECFF"/>
          </w:tcPr>
          <w:p>
            <w:pPr>
              <w:spacing w:after="0"/>
              <w:rPr>
                <w:sz w:val="14"/>
                <w:szCs w:val="14"/>
                <w:color w:val="auto"/>
              </w:rPr>
            </w:pPr>
          </w:p>
        </w:tc>
        <w:tc>
          <w:tcPr>
            <w:tcW w:w="10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49,826</w:t>
            </w:r>
          </w:p>
        </w:tc>
        <w:tc>
          <w:tcPr>
            <w:tcW w:w="280" w:type="dxa"/>
            <w:vAlign w:val="bottom"/>
            <w:tcBorders>
              <w:bottom w:val="single" w:sz="8" w:color="CCECFF"/>
            </w:tcBorders>
            <w:shd w:val="clear" w:color="auto" w:fill="CCECFF"/>
          </w:tcPr>
          <w:p>
            <w:pPr>
              <w:spacing w:after="0"/>
              <w:rPr>
                <w:sz w:val="14"/>
                <w:szCs w:val="14"/>
                <w:color w:val="auto"/>
              </w:rPr>
            </w:pPr>
          </w:p>
        </w:tc>
        <w:tc>
          <w:tcPr>
            <w:tcW w:w="240" w:type="dxa"/>
            <w:vAlign w:val="bottom"/>
            <w:tcBorders>
              <w:bottom w:val="single" w:sz="8" w:color="auto"/>
            </w:tcBorders>
            <w:shd w:val="clear" w:color="auto" w:fill="CCECFF"/>
          </w:tcPr>
          <w:p>
            <w:pPr>
              <w:spacing w:after="0"/>
              <w:rPr>
                <w:sz w:val="14"/>
                <w:szCs w:val="14"/>
                <w:color w:val="auto"/>
              </w:rPr>
            </w:pPr>
          </w:p>
        </w:tc>
        <w:tc>
          <w:tcPr>
            <w:tcW w:w="10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49,826</w:t>
            </w:r>
          </w:p>
        </w:tc>
        <w:tc>
          <w:tcPr>
            <w:tcW w:w="280" w:type="dxa"/>
            <w:vAlign w:val="bottom"/>
            <w:tcBorders>
              <w:bottom w:val="single" w:sz="8" w:color="CCECFF"/>
            </w:tcBorders>
            <w:shd w:val="clear" w:color="auto" w:fill="CCECFF"/>
          </w:tcPr>
          <w:p>
            <w:pPr>
              <w:spacing w:after="0"/>
              <w:rPr>
                <w:sz w:val="14"/>
                <w:szCs w:val="14"/>
                <w:color w:val="auto"/>
              </w:rPr>
            </w:pPr>
          </w:p>
        </w:tc>
        <w:tc>
          <w:tcPr>
            <w:tcW w:w="240" w:type="dxa"/>
            <w:vAlign w:val="bottom"/>
            <w:tcBorders>
              <w:bottom w:val="single" w:sz="8" w:color="auto"/>
            </w:tcBorders>
            <w:shd w:val="clear" w:color="auto" w:fill="CCECFF"/>
          </w:tcPr>
          <w:p>
            <w:pPr>
              <w:spacing w:after="0"/>
              <w:rPr>
                <w:sz w:val="14"/>
                <w:szCs w:val="14"/>
                <w:color w:val="auto"/>
              </w:rPr>
            </w:pPr>
          </w:p>
        </w:tc>
        <w:tc>
          <w:tcPr>
            <w:tcW w:w="10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CFF"/>
            </w:tcBorders>
            <w:shd w:val="clear" w:color="auto" w:fill="CCECFF"/>
          </w:tcPr>
          <w:p>
            <w:pPr>
              <w:spacing w:after="0"/>
              <w:rPr>
                <w:sz w:val="14"/>
                <w:szCs w:val="14"/>
                <w:color w:val="auto"/>
              </w:rPr>
            </w:pPr>
          </w:p>
        </w:tc>
        <w:tc>
          <w:tcPr>
            <w:tcW w:w="260" w:type="dxa"/>
            <w:vAlign w:val="bottom"/>
            <w:tcBorders>
              <w:bottom w:val="single" w:sz="8" w:color="auto"/>
            </w:tcBorders>
            <w:shd w:val="clear" w:color="auto" w:fill="CCECFF"/>
          </w:tcPr>
          <w:p>
            <w:pPr>
              <w:spacing w:after="0"/>
              <w:rPr>
                <w:sz w:val="14"/>
                <w:szCs w:val="14"/>
                <w:color w:val="auto"/>
              </w:rPr>
            </w:pPr>
          </w:p>
        </w:tc>
        <w:tc>
          <w:tcPr>
            <w:tcW w:w="9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CFF"/>
            </w:tcBorders>
            <w:shd w:val="clear" w:color="auto" w:fill="CCECFF"/>
          </w:tcPr>
          <w:p>
            <w:pPr>
              <w:spacing w:after="0"/>
              <w:rPr>
                <w:sz w:val="14"/>
                <w:szCs w:val="14"/>
                <w:color w:val="auto"/>
              </w:rPr>
            </w:pPr>
          </w:p>
        </w:tc>
        <w:tc>
          <w:tcPr>
            <w:tcW w:w="120" w:type="dxa"/>
            <w:vAlign w:val="bottom"/>
            <w:tcBorders>
              <w:bottom w:val="single" w:sz="8" w:color="auto"/>
            </w:tcBorders>
            <w:shd w:val="clear" w:color="auto" w:fill="CCECFF"/>
          </w:tcPr>
          <w:p>
            <w:pPr>
              <w:spacing w:after="0"/>
              <w:rPr>
                <w:sz w:val="14"/>
                <w:szCs w:val="14"/>
                <w:color w:val="auto"/>
              </w:rPr>
            </w:pPr>
          </w:p>
        </w:tc>
        <w:tc>
          <w:tcPr>
            <w:tcW w:w="12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CFF"/>
            </w:tcBorders>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740" w:type="dxa"/>
            <w:vAlign w:val="bottom"/>
            <w:gridSpan w:val="2"/>
          </w:tcPr>
          <w:p>
            <w:pPr>
              <w:ind w:left="380"/>
              <w:spacing w:after="0"/>
              <w:rPr>
                <w:sz w:val="20"/>
                <w:szCs w:val="20"/>
                <w:color w:val="auto"/>
              </w:rPr>
            </w:pPr>
            <w:r>
              <w:rPr>
                <w:rFonts w:ascii="Arial" w:cs="Arial" w:eastAsia="Arial" w:hAnsi="Arial"/>
                <w:sz w:val="14"/>
                <w:szCs w:val="14"/>
                <w:color w:val="auto"/>
              </w:rPr>
              <w:t>Total investments and cash and cash equivalents</w:t>
            </w: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1,131,445</w:t>
            </w:r>
          </w:p>
        </w:tc>
        <w:tc>
          <w:tcPr>
            <w:tcW w:w="280" w:type="dxa"/>
            <w:vAlign w:val="bottom"/>
          </w:tcPr>
          <w:p>
            <w:pPr>
              <w:spacing w:after="0"/>
              <w:rPr>
                <w:sz w:val="14"/>
                <w:szCs w:val="14"/>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49,826</w:t>
            </w:r>
          </w:p>
        </w:tc>
        <w:tc>
          <w:tcPr>
            <w:tcW w:w="280" w:type="dxa"/>
            <w:vAlign w:val="bottom"/>
          </w:tcPr>
          <w:p>
            <w:pPr>
              <w:spacing w:after="0"/>
              <w:rPr>
                <w:sz w:val="14"/>
                <w:szCs w:val="14"/>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1,021,189</w:t>
            </w:r>
          </w:p>
        </w:tc>
        <w:tc>
          <w:tcPr>
            <w:tcW w:w="24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60,430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7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740" w:type="dxa"/>
            <w:vAlign w:val="bottom"/>
            <w:gridSpan w:val="2"/>
            <w:shd w:val="clear" w:color="auto" w:fill="CCECFF"/>
          </w:tcPr>
          <w:p>
            <w:pPr>
              <w:ind w:left="20"/>
              <w:spacing w:after="0" w:line="156" w:lineRule="exact"/>
              <w:rPr>
                <w:sz w:val="20"/>
                <w:szCs w:val="20"/>
                <w:color w:val="auto"/>
              </w:rPr>
            </w:pPr>
            <w:r>
              <w:rPr>
                <w:rFonts w:ascii="Arial" w:cs="Arial" w:eastAsia="Arial" w:hAnsi="Arial"/>
                <w:sz w:val="14"/>
                <w:szCs w:val="14"/>
                <w:color w:val="auto"/>
              </w:rPr>
              <w:t>Credit Facility payable</w:t>
            </w:r>
          </w:p>
        </w:tc>
        <w:tc>
          <w:tcPr>
            <w:tcW w:w="200" w:type="dxa"/>
            <w:vAlign w:val="bottom"/>
            <w:tcBorders>
              <w:top w:val="single" w:sz="8" w:color="auto"/>
            </w:tcBorders>
            <w:shd w:val="clear" w:color="auto" w:fill="CCECFF"/>
          </w:tcPr>
          <w:p>
            <w:pPr>
              <w:jc w:val="right"/>
              <w:ind w:right="48"/>
              <w:spacing w:after="0" w:line="156" w:lineRule="exact"/>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shd w:val="clear" w:color="auto" w:fill="CCECFF"/>
          </w:tcPr>
          <w:p>
            <w:pPr>
              <w:jc w:val="right"/>
              <w:spacing w:after="0" w:line="156" w:lineRule="exact"/>
              <w:rPr>
                <w:sz w:val="20"/>
                <w:szCs w:val="20"/>
                <w:color w:val="auto"/>
              </w:rPr>
            </w:pPr>
            <w:r>
              <w:rPr>
                <w:rFonts w:ascii="Arial" w:cs="Arial" w:eastAsia="Arial" w:hAnsi="Arial"/>
                <w:sz w:val="14"/>
                <w:szCs w:val="14"/>
                <w:color w:val="auto"/>
              </w:rPr>
              <w:t>218,852</w:t>
            </w:r>
          </w:p>
        </w:tc>
        <w:tc>
          <w:tcPr>
            <w:tcW w:w="280" w:type="dxa"/>
            <w:vAlign w:val="bottom"/>
            <w:shd w:val="clear" w:color="auto" w:fill="CCECFF"/>
          </w:tcPr>
          <w:p>
            <w:pPr>
              <w:spacing w:after="0"/>
              <w:rPr>
                <w:sz w:val="13"/>
                <w:szCs w:val="13"/>
                <w:color w:val="auto"/>
              </w:rPr>
            </w:pPr>
          </w:p>
        </w:tc>
        <w:tc>
          <w:tcPr>
            <w:tcW w:w="240" w:type="dxa"/>
            <w:vAlign w:val="bottom"/>
            <w:tcBorders>
              <w:top w:val="single" w:sz="8" w:color="auto"/>
            </w:tcBorders>
            <w:shd w:val="clear" w:color="auto" w:fill="CCECFF"/>
          </w:tcPr>
          <w:p>
            <w:pPr>
              <w:jc w:val="right"/>
              <w:ind w:right="88"/>
              <w:spacing w:after="0" w:line="156"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ECFF"/>
          </w:tcPr>
          <w:p>
            <w:pPr>
              <w:jc w:val="right"/>
              <w:spacing w:after="0" w:line="156" w:lineRule="exact"/>
              <w:rPr>
                <w:sz w:val="20"/>
                <w:szCs w:val="20"/>
                <w:color w:val="auto"/>
              </w:rPr>
            </w:pPr>
            <w:r>
              <w:rPr>
                <w:rFonts w:ascii="Arial" w:cs="Arial" w:eastAsia="Arial" w:hAnsi="Arial"/>
                <w:sz w:val="14"/>
                <w:szCs w:val="14"/>
                <w:color w:val="auto"/>
              </w:rPr>
              <w:t>—</w:t>
            </w:r>
          </w:p>
        </w:tc>
        <w:tc>
          <w:tcPr>
            <w:tcW w:w="280" w:type="dxa"/>
            <w:vAlign w:val="bottom"/>
            <w:shd w:val="clear" w:color="auto" w:fill="CCECFF"/>
          </w:tcPr>
          <w:p>
            <w:pPr>
              <w:spacing w:after="0"/>
              <w:rPr>
                <w:sz w:val="13"/>
                <w:szCs w:val="13"/>
                <w:color w:val="auto"/>
              </w:rPr>
            </w:pPr>
          </w:p>
        </w:tc>
        <w:tc>
          <w:tcPr>
            <w:tcW w:w="240" w:type="dxa"/>
            <w:vAlign w:val="bottom"/>
            <w:tcBorders>
              <w:top w:val="single" w:sz="8" w:color="auto"/>
            </w:tcBorders>
            <w:shd w:val="clear" w:color="auto" w:fill="CCECFF"/>
          </w:tcPr>
          <w:p>
            <w:pPr>
              <w:jc w:val="right"/>
              <w:ind w:right="88"/>
              <w:spacing w:after="0" w:line="156"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CECFF"/>
          </w:tcPr>
          <w:p>
            <w:pPr>
              <w:jc w:val="right"/>
              <w:spacing w:after="0" w:line="156" w:lineRule="exact"/>
              <w:rPr>
                <w:sz w:val="20"/>
                <w:szCs w:val="20"/>
                <w:color w:val="auto"/>
              </w:rPr>
            </w:pPr>
            <w:r>
              <w:rPr>
                <w:rFonts w:ascii="Arial" w:cs="Arial" w:eastAsia="Arial" w:hAnsi="Arial"/>
                <w:sz w:val="14"/>
                <w:szCs w:val="14"/>
                <w:color w:val="auto"/>
              </w:rPr>
              <w:t>—</w:t>
            </w:r>
          </w:p>
        </w:tc>
        <w:tc>
          <w:tcPr>
            <w:tcW w:w="260" w:type="dxa"/>
            <w:vAlign w:val="bottom"/>
            <w:shd w:val="clear" w:color="auto" w:fill="CCECFF"/>
          </w:tcPr>
          <w:p>
            <w:pPr>
              <w:spacing w:after="0"/>
              <w:rPr>
                <w:sz w:val="13"/>
                <w:szCs w:val="13"/>
                <w:color w:val="auto"/>
              </w:rPr>
            </w:pPr>
          </w:p>
        </w:tc>
        <w:tc>
          <w:tcPr>
            <w:tcW w:w="260" w:type="dxa"/>
            <w:vAlign w:val="bottom"/>
            <w:tcBorders>
              <w:top w:val="single" w:sz="8" w:color="auto"/>
            </w:tcBorders>
            <w:shd w:val="clear" w:color="auto" w:fill="CCECFF"/>
          </w:tcPr>
          <w:p>
            <w:pPr>
              <w:jc w:val="right"/>
              <w:ind w:right="108"/>
              <w:spacing w:after="0" w:line="156"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CFF"/>
          </w:tcPr>
          <w:p>
            <w:pPr>
              <w:jc w:val="right"/>
              <w:spacing w:after="0" w:line="156" w:lineRule="exact"/>
              <w:rPr>
                <w:sz w:val="20"/>
                <w:szCs w:val="20"/>
                <w:color w:val="auto"/>
              </w:rPr>
            </w:pPr>
            <w:r>
              <w:rPr>
                <w:rFonts w:ascii="Arial" w:cs="Arial" w:eastAsia="Arial" w:hAnsi="Arial"/>
                <w:sz w:val="14"/>
                <w:szCs w:val="14"/>
                <w:color w:val="auto"/>
              </w:rPr>
              <w:t>218,852</w:t>
            </w:r>
          </w:p>
        </w:tc>
        <w:tc>
          <w:tcPr>
            <w:tcW w:w="240" w:type="dxa"/>
            <w:vAlign w:val="bottom"/>
            <w:shd w:val="clear" w:color="auto" w:fill="CCECFF"/>
          </w:tcPr>
          <w:p>
            <w:pPr>
              <w:spacing w:after="0"/>
              <w:rPr>
                <w:sz w:val="13"/>
                <w:szCs w:val="13"/>
                <w:color w:val="auto"/>
              </w:rPr>
            </w:pPr>
          </w:p>
        </w:tc>
        <w:tc>
          <w:tcPr>
            <w:tcW w:w="120" w:type="dxa"/>
            <w:vAlign w:val="bottom"/>
            <w:tcBorders>
              <w:top w:val="single" w:sz="8" w:color="auto"/>
            </w:tcBorders>
            <w:shd w:val="clear" w:color="auto" w:fill="CCECFF"/>
          </w:tcPr>
          <w:p>
            <w:pPr>
              <w:jc w:val="right"/>
              <w:spacing w:after="0" w:line="156" w:lineRule="exact"/>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tcBorders>
            <w:shd w:val="clear" w:color="auto" w:fill="CCECFF"/>
          </w:tcPr>
          <w:p>
            <w:pPr>
              <w:jc w:val="right"/>
              <w:spacing w:after="0" w:line="156" w:lineRule="exact"/>
              <w:rPr>
                <w:sz w:val="20"/>
                <w:szCs w:val="20"/>
                <w:color w:val="auto"/>
              </w:rPr>
            </w:pPr>
            <w:r>
              <w:rPr>
                <w:rFonts w:ascii="Arial" w:cs="Arial" w:eastAsia="Arial" w:hAnsi="Arial"/>
                <w:sz w:val="14"/>
                <w:szCs w:val="14"/>
                <w:color w:val="auto"/>
              </w:rPr>
              <w:t>—</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740" w:type="dxa"/>
            <w:vAlign w:val="bottom"/>
            <w:gridSpan w:val="2"/>
          </w:tcPr>
          <w:p>
            <w:pPr>
              <w:ind w:left="20"/>
              <w:spacing w:after="0"/>
              <w:rPr>
                <w:sz w:val="20"/>
                <w:szCs w:val="20"/>
                <w:color w:val="auto"/>
              </w:rPr>
            </w:pPr>
            <w:r>
              <w:rPr>
                <w:rFonts w:ascii="Arial" w:cs="Arial" w:eastAsia="Arial" w:hAnsi="Arial"/>
                <w:sz w:val="14"/>
                <w:szCs w:val="14"/>
                <w:color w:val="auto"/>
              </w:rPr>
              <w:t>2023 Notes payable</w:t>
            </w:r>
          </w:p>
        </w:tc>
        <w:tc>
          <w:tcPr>
            <w:tcW w:w="2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111,114</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111,114</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40" w:type="dxa"/>
            <w:vAlign w:val="bottom"/>
            <w:gridSpan w:val="2"/>
            <w:shd w:val="clear" w:color="auto" w:fill="CCECFF"/>
          </w:tcPr>
          <w:p>
            <w:pPr>
              <w:ind w:left="20"/>
              <w:spacing w:after="0" w:line="175" w:lineRule="exact"/>
              <w:rPr>
                <w:sz w:val="20"/>
                <w:szCs w:val="20"/>
                <w:color w:val="auto"/>
              </w:rPr>
            </w:pPr>
            <w:r>
              <w:rPr>
                <w:rFonts w:ascii="Arial" w:cs="Arial" w:eastAsia="Arial" w:hAnsi="Arial"/>
                <w:sz w:val="14"/>
                <w:szCs w:val="14"/>
                <w:color w:val="auto"/>
              </w:rPr>
              <w:t xml:space="preserve">2026 Notes payable </w:t>
            </w:r>
            <w:r>
              <w:rPr>
                <w:rFonts w:ascii="Arial" w:cs="Arial" w:eastAsia="Arial" w:hAnsi="Arial"/>
                <w:sz w:val="19"/>
                <w:szCs w:val="19"/>
                <w:color w:val="auto"/>
                <w:vertAlign w:val="superscript"/>
              </w:rPr>
              <w:t>(2)</w:t>
            </w:r>
          </w:p>
        </w:tc>
        <w:tc>
          <w:tcPr>
            <w:tcW w:w="200" w:type="dxa"/>
            <w:vAlign w:val="bottom"/>
            <w:shd w:val="clear" w:color="auto" w:fill="CCECFF"/>
          </w:tcPr>
          <w:p>
            <w:pPr>
              <w:spacing w:after="0"/>
              <w:rPr>
                <w:sz w:val="15"/>
                <w:szCs w:val="15"/>
                <w:color w:val="auto"/>
              </w:rPr>
            </w:pPr>
          </w:p>
        </w:tc>
        <w:tc>
          <w:tcPr>
            <w:tcW w:w="10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97,171</w:t>
            </w:r>
          </w:p>
        </w:tc>
        <w:tc>
          <w:tcPr>
            <w:tcW w:w="28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97,171</w:t>
            </w:r>
          </w:p>
        </w:tc>
        <w:tc>
          <w:tcPr>
            <w:tcW w:w="26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9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12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40" w:type="dxa"/>
            <w:vAlign w:val="bottom"/>
            <w:gridSpan w:val="2"/>
          </w:tcPr>
          <w:p>
            <w:pPr>
              <w:ind w:left="20"/>
              <w:spacing w:after="0" w:line="175" w:lineRule="exact"/>
              <w:rPr>
                <w:sz w:val="20"/>
                <w:szCs w:val="20"/>
                <w:color w:val="auto"/>
              </w:rPr>
            </w:pPr>
            <w:r>
              <w:rPr>
                <w:rFonts w:ascii="Arial" w:cs="Arial" w:eastAsia="Arial" w:hAnsi="Arial"/>
                <w:sz w:val="14"/>
                <w:szCs w:val="14"/>
                <w:color w:val="auto"/>
              </w:rPr>
              <w:t>2031 Asset-Backed Debt</w:t>
            </w:r>
            <w:r>
              <w:rPr>
                <w:rFonts w:ascii="Arial" w:cs="Arial" w:eastAsia="Arial" w:hAnsi="Arial"/>
                <w:sz w:val="19"/>
                <w:szCs w:val="19"/>
                <w:color w:val="auto"/>
                <w:vertAlign w:val="superscript"/>
              </w:rPr>
              <w:t>(2)</w:t>
            </w: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225,497</w:t>
            </w:r>
          </w:p>
        </w:tc>
        <w:tc>
          <w:tcPr>
            <w:tcW w:w="2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225,497</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740" w:type="dxa"/>
            <w:vAlign w:val="bottom"/>
            <w:tcBorders>
              <w:bottom w:val="single" w:sz="8" w:color="CCECFF"/>
            </w:tcBorders>
            <w:gridSpan w:val="2"/>
            <w:shd w:val="clear" w:color="auto" w:fill="CCECFF"/>
          </w:tcPr>
          <w:p>
            <w:pPr>
              <w:ind w:left="380"/>
              <w:spacing w:after="0"/>
              <w:rPr>
                <w:sz w:val="20"/>
                <w:szCs w:val="20"/>
                <w:color w:val="auto"/>
              </w:rPr>
            </w:pPr>
            <w:r>
              <w:rPr>
                <w:rFonts w:ascii="Arial" w:cs="Arial" w:eastAsia="Arial" w:hAnsi="Arial"/>
                <w:sz w:val="14"/>
                <w:szCs w:val="14"/>
                <w:color w:val="auto"/>
              </w:rPr>
              <w:t>Total debt</w:t>
            </w:r>
          </w:p>
        </w:tc>
        <w:tc>
          <w:tcPr>
            <w:tcW w:w="200" w:type="dxa"/>
            <w:vAlign w:val="bottom"/>
            <w:tcBorders>
              <w:bottom w:val="single" w:sz="8" w:color="auto"/>
            </w:tcBorders>
            <w:shd w:val="clear" w:color="auto" w:fill="CCECFF"/>
          </w:tcPr>
          <w:p>
            <w:pPr>
              <w:jc w:val="right"/>
              <w:ind w:right="48"/>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652,633</w:t>
            </w:r>
          </w:p>
        </w:tc>
        <w:tc>
          <w:tcPr>
            <w:tcW w:w="280" w:type="dxa"/>
            <w:vAlign w:val="bottom"/>
            <w:tcBorders>
              <w:bottom w:val="single" w:sz="8" w:color="CCECFF"/>
            </w:tcBorders>
            <w:shd w:val="clear" w:color="auto" w:fill="CCECFF"/>
          </w:tcPr>
          <w:p>
            <w:pPr>
              <w:spacing w:after="0"/>
              <w:rPr>
                <w:sz w:val="18"/>
                <w:szCs w:val="18"/>
                <w:color w:val="auto"/>
              </w:rPr>
            </w:pPr>
          </w:p>
        </w:tc>
        <w:tc>
          <w:tcPr>
            <w:tcW w:w="240" w:type="dxa"/>
            <w:vAlign w:val="bottom"/>
            <w:tcBorders>
              <w:bottom w:val="single" w:sz="8" w:color="auto"/>
            </w:tcBorders>
            <w:shd w:val="clear" w:color="auto" w:fill="CCECFF"/>
          </w:tcPr>
          <w:p>
            <w:pPr>
              <w:jc w:val="right"/>
              <w:ind w:right="8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111,114</w:t>
            </w:r>
          </w:p>
        </w:tc>
        <w:tc>
          <w:tcPr>
            <w:tcW w:w="280" w:type="dxa"/>
            <w:vAlign w:val="bottom"/>
            <w:tcBorders>
              <w:bottom w:val="single" w:sz="8" w:color="CCECFF"/>
            </w:tcBorders>
            <w:shd w:val="clear" w:color="auto" w:fill="CCECFF"/>
          </w:tcPr>
          <w:p>
            <w:pPr>
              <w:spacing w:after="0"/>
              <w:rPr>
                <w:sz w:val="18"/>
                <w:szCs w:val="18"/>
                <w:color w:val="auto"/>
              </w:rPr>
            </w:pPr>
          </w:p>
        </w:tc>
        <w:tc>
          <w:tcPr>
            <w:tcW w:w="240" w:type="dxa"/>
            <w:vAlign w:val="bottom"/>
            <w:tcBorders>
              <w:bottom w:val="single" w:sz="8" w:color="auto"/>
            </w:tcBorders>
            <w:shd w:val="clear" w:color="auto" w:fill="CCECFF"/>
          </w:tcPr>
          <w:p>
            <w:pPr>
              <w:jc w:val="right"/>
              <w:ind w:right="88"/>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97,171</w:t>
            </w:r>
          </w:p>
        </w:tc>
        <w:tc>
          <w:tcPr>
            <w:tcW w:w="260" w:type="dxa"/>
            <w:vAlign w:val="bottom"/>
            <w:tcBorders>
              <w:bottom w:val="single" w:sz="8" w:color="CCECFF"/>
            </w:tcBorders>
            <w:shd w:val="clear" w:color="auto" w:fill="CCECFF"/>
          </w:tcPr>
          <w:p>
            <w:pPr>
              <w:spacing w:after="0"/>
              <w:rPr>
                <w:sz w:val="18"/>
                <w:szCs w:val="18"/>
                <w:color w:val="auto"/>
              </w:rPr>
            </w:pPr>
          </w:p>
        </w:tc>
        <w:tc>
          <w:tcPr>
            <w:tcW w:w="260" w:type="dxa"/>
            <w:vAlign w:val="bottom"/>
            <w:tcBorders>
              <w:bottom w:val="single" w:sz="8" w:color="auto"/>
            </w:tcBorders>
            <w:shd w:val="clear" w:color="auto" w:fill="CCECFF"/>
          </w:tcPr>
          <w:p>
            <w:pPr>
              <w:jc w:val="right"/>
              <w:ind w:right="108"/>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444,349</w:t>
            </w:r>
          </w:p>
        </w:tc>
        <w:tc>
          <w:tcPr>
            <w:tcW w:w="240" w:type="dxa"/>
            <w:vAlign w:val="bottom"/>
            <w:tcBorders>
              <w:bottom w:val="single" w:sz="8" w:color="CCECFF"/>
            </w:tcBorders>
            <w:shd w:val="clear" w:color="auto" w:fill="CCECFF"/>
          </w:tcPr>
          <w:p>
            <w:pPr>
              <w:spacing w:after="0"/>
              <w:rPr>
                <w:sz w:val="18"/>
                <w:szCs w:val="18"/>
                <w:color w:val="auto"/>
              </w:rPr>
            </w:pPr>
          </w:p>
        </w:tc>
        <w:tc>
          <w:tcPr>
            <w:tcW w:w="1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-973455</wp:posOffset>
            </wp:positionV>
            <wp:extent cx="77470" cy="571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-973455</wp:posOffset>
            </wp:positionV>
            <wp:extent cx="76835" cy="571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-973455</wp:posOffset>
            </wp:positionV>
            <wp:extent cx="68580" cy="571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-973455</wp:posOffset>
            </wp:positionV>
            <wp:extent cx="68580" cy="571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-973455</wp:posOffset>
            </wp:positionV>
            <wp:extent cx="68580" cy="571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-733425</wp:posOffset>
            </wp:positionV>
            <wp:extent cx="77470" cy="571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-733425</wp:posOffset>
            </wp:positionV>
            <wp:extent cx="76835" cy="571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-733425</wp:posOffset>
            </wp:positionV>
            <wp:extent cx="68580" cy="571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-733425</wp:posOffset>
            </wp:positionV>
            <wp:extent cx="68580" cy="571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-733425</wp:posOffset>
            </wp:positionV>
            <wp:extent cx="68580" cy="571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-24765</wp:posOffset>
            </wp:positionV>
            <wp:extent cx="77470"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-7620</wp:posOffset>
            </wp:positionV>
            <wp:extent cx="77470"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-24765</wp:posOffset>
            </wp:positionV>
            <wp:extent cx="76835"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-7620</wp:posOffset>
            </wp:positionV>
            <wp:extent cx="76835"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-24765</wp:posOffset>
            </wp:positionV>
            <wp:extent cx="68580"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-7620</wp:posOffset>
            </wp:positionV>
            <wp:extent cx="68580"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-24765</wp:posOffset>
            </wp:positionV>
            <wp:extent cx="68580"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-7620</wp:posOffset>
            </wp:positionV>
            <wp:extent cx="68580"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3" w:lineRule="exact"/>
        <w:rPr>
          <w:sz w:val="20"/>
          <w:szCs w:val="20"/>
          <w:color w:val="auto"/>
        </w:rPr>
      </w:pPr>
    </w:p>
    <w:p>
      <w:pPr>
        <w:ind w:left="380" w:right="80" w:hanging="372"/>
        <w:spacing w:after="0" w:line="201" w:lineRule="auto"/>
        <w:tabs>
          <w:tab w:leader="none" w:pos="380" w:val="left"/>
        </w:tabs>
        <w:numPr>
          <w:ilvl w:val="0"/>
          <w:numId w:val="14"/>
        </w:numPr>
        <w:rPr>
          <w:rFonts w:ascii="Arial" w:cs="Arial" w:eastAsia="Arial" w:hAnsi="Arial"/>
          <w:sz w:val="16"/>
          <w:szCs w:val="16"/>
          <w:color w:val="auto"/>
          <w:vertAlign w:val="superscript"/>
        </w:rPr>
      </w:pPr>
      <w:r>
        <w:rPr>
          <w:rFonts w:ascii="Arial" w:cs="Arial" w:eastAsia="Arial" w:hAnsi="Arial"/>
          <w:sz w:val="12"/>
          <w:szCs w:val="12"/>
          <w:color w:val="auto"/>
        </w:rPr>
        <w:t>In accordance with ASC Subtopic 820-10, Fair Value Measurements and Disclosures, or ASC 820-10, our equity investment in PSSL is measured using the net asset value per share (or its equivalent) as a practical expedient for fair value, and thus has not been classified in the fair value hierarchy.</w:t>
      </w:r>
    </w:p>
    <w:p>
      <w:pPr>
        <w:spacing w:after="0" w:line="13" w:lineRule="exact"/>
        <w:rPr>
          <w:rFonts w:ascii="Arial" w:cs="Arial" w:eastAsia="Arial" w:hAnsi="Arial"/>
          <w:sz w:val="16"/>
          <w:szCs w:val="16"/>
          <w:color w:val="auto"/>
          <w:vertAlign w:val="superscript"/>
        </w:rPr>
      </w:pPr>
    </w:p>
    <w:p>
      <w:pPr>
        <w:ind w:left="380" w:right="420" w:hanging="372"/>
        <w:spacing w:after="0" w:line="201" w:lineRule="auto"/>
        <w:tabs>
          <w:tab w:leader="none" w:pos="380" w:val="left"/>
        </w:tabs>
        <w:numPr>
          <w:ilvl w:val="0"/>
          <w:numId w:val="14"/>
        </w:numPr>
        <w:rPr>
          <w:rFonts w:ascii="Arial" w:cs="Arial" w:eastAsia="Arial" w:hAnsi="Arial"/>
          <w:sz w:val="16"/>
          <w:szCs w:val="16"/>
          <w:color w:val="auto"/>
          <w:vertAlign w:val="superscript"/>
        </w:rPr>
      </w:pPr>
      <w:r>
        <w:rPr>
          <w:rFonts w:ascii="Arial" w:cs="Arial" w:eastAsia="Arial" w:hAnsi="Arial"/>
          <w:sz w:val="12"/>
          <w:szCs w:val="12"/>
          <w:color w:val="auto"/>
        </w:rPr>
        <w:t>We elected not to apply the fair value option allowed by ASC 825-10 to the 2031 Asset-Backed Debt and thus the balance reported in the Consolidated Statement of Assets and Liabilities represents the carrying value, which approximates the fair value.</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tables below show a reconciliation of the beginning and ending balances for fair valued investments measured using significant unobservable inputs (Level 3)</w:t>
      </w:r>
    </w:p>
    <w:p>
      <w:pPr>
        <w:spacing w:after="0" w:line="1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in thousands):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4020185"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4020185" cy="889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4"/>
          <w:szCs w:val="14"/>
          <w:color w:val="auto"/>
        </w:rPr>
        <w:t>Beginning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11112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132320" cy="111125"/>
                    </a:xfrm>
                    <a:prstGeom prst="rect">
                      <a:avLst/>
                    </a:prstGeom>
                    <a:noFill/>
                  </pic:spPr>
                </pic:pic>
              </a:graphicData>
            </a:graphic>
          </wp:anchor>
        </w:drawing>
      </w:r>
    </w:p>
    <w:p>
      <w:pPr>
        <w:spacing w:after="0" w:line="1" w:lineRule="exact"/>
        <w:rPr>
          <w:sz w:val="20"/>
          <w:szCs w:val="20"/>
          <w:color w:val="auto"/>
        </w:rPr>
      </w:pPr>
    </w:p>
    <w:p>
      <w:pPr>
        <w:ind w:left="380"/>
        <w:spacing w:after="0"/>
        <w:rPr>
          <w:sz w:val="20"/>
          <w:szCs w:val="20"/>
          <w:color w:val="auto"/>
        </w:rPr>
      </w:pPr>
      <w:r>
        <w:rPr>
          <w:rFonts w:ascii="Arial" w:cs="Arial" w:eastAsia="Arial" w:hAnsi="Arial"/>
          <w:sz w:val="14"/>
          <w:szCs w:val="14"/>
          <w:color w:val="auto"/>
        </w:rPr>
        <w:t>Net realized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11112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132320" cy="111125"/>
                    </a:xfrm>
                    <a:prstGeom prst="rect">
                      <a:avLst/>
                    </a:prstGeom>
                    <a:noFill/>
                  </pic:spPr>
                </pic:pic>
              </a:graphicData>
            </a:graphic>
          </wp:anchor>
        </w:drawing>
      </w:r>
    </w:p>
    <w:p>
      <w:pPr>
        <w:ind w:left="380"/>
        <w:spacing w:after="0"/>
        <w:rPr>
          <w:sz w:val="20"/>
          <w:szCs w:val="20"/>
          <w:color w:val="auto"/>
        </w:rPr>
      </w:pPr>
      <w:r>
        <w:rPr>
          <w:rFonts w:ascii="Arial" w:cs="Arial" w:eastAsia="Arial" w:hAnsi="Arial"/>
          <w:sz w:val="14"/>
          <w:szCs w:val="14"/>
          <w:color w:val="auto"/>
        </w:rPr>
        <w:t>Net change in unrealized depreciation</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Purchases, PIK interest, net discount accretion and non-cash exchanges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11112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132320" cy="111125"/>
                    </a:xfrm>
                    <a:prstGeom prst="rect">
                      <a:avLst/>
                    </a:prstGeom>
                    <a:noFill/>
                  </pic:spPr>
                </pic:pic>
              </a:graphicData>
            </a:graphic>
          </wp:anchor>
        </w:drawing>
      </w:r>
    </w:p>
    <w:p>
      <w:pPr>
        <w:ind w:left="380"/>
        <w:spacing w:after="0"/>
        <w:rPr>
          <w:sz w:val="20"/>
          <w:szCs w:val="20"/>
          <w:color w:val="auto"/>
        </w:rPr>
      </w:pPr>
      <w:r>
        <w:rPr>
          <w:rFonts w:ascii="Arial" w:cs="Arial" w:eastAsia="Arial" w:hAnsi="Arial"/>
          <w:sz w:val="14"/>
          <w:szCs w:val="14"/>
          <w:color w:val="auto"/>
        </w:rPr>
        <w:t>Sales, repayments and non-cash exchanges</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Transfers in and/or out of Level 3</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Ending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13716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5" w:lineRule="exact"/>
        <w:rPr>
          <w:sz w:val="20"/>
          <w:szCs w:val="20"/>
          <w:color w:val="auto"/>
        </w:rPr>
      </w:pPr>
    </w:p>
    <w:p>
      <w:pPr>
        <w:ind w:left="120" w:right="1000" w:hanging="107"/>
        <w:spacing w:after="0" w:line="238" w:lineRule="auto"/>
        <w:rPr>
          <w:sz w:val="20"/>
          <w:szCs w:val="20"/>
          <w:color w:val="auto"/>
        </w:rPr>
      </w:pPr>
      <w:r>
        <w:rPr>
          <w:rFonts w:ascii="Arial" w:cs="Arial" w:eastAsia="Arial" w:hAnsi="Arial"/>
          <w:sz w:val="14"/>
          <w:szCs w:val="14"/>
          <w:color w:val="auto"/>
        </w:rPr>
        <w:t>Net change in unrealized depreciation reported within the net change in unrealized depreciation on investments in our Consolidated Statements of Operations attributable to our Level 3 assets still held at the reporting date.</w:t>
      </w:r>
    </w:p>
    <w:p>
      <w:pPr>
        <w:spacing w:after="0" w:line="183" w:lineRule="exact"/>
        <w:rPr>
          <w:sz w:val="20"/>
          <w:szCs w:val="20"/>
          <w:color w:val="auto"/>
        </w:rPr>
      </w:pPr>
    </w:p>
    <w:p>
      <w:pPr>
        <w:jc w:val="right"/>
        <w:ind w:right="80"/>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left="1280"/>
        <w:spacing w:after="0"/>
        <w:rPr>
          <w:sz w:val="20"/>
          <w:szCs w:val="20"/>
          <w:color w:val="auto"/>
        </w:rPr>
      </w:pPr>
      <w:r>
        <w:rPr>
          <w:rFonts w:ascii="Arial" w:cs="Arial" w:eastAsia="Arial" w:hAnsi="Arial"/>
          <w:sz w:val="14"/>
          <w:szCs w:val="14"/>
          <w:b w:val="1"/>
          <w:bCs w:val="1"/>
          <w:color w:val="auto"/>
        </w:rPr>
        <w:t>Nine months ended June 30, 2022</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22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500" w:type="dxa"/>
            <w:vAlign w:val="bottom"/>
            <w:tcBorders>
              <w:top w:val="single" w:sz="8" w:color="auto"/>
            </w:tcBorders>
            <w:gridSpan w:val="2"/>
          </w:tcPr>
          <w:p>
            <w:pPr>
              <w:jc w:val="center"/>
              <w:ind w:right="400"/>
              <w:spacing w:after="0" w:line="133" w:lineRule="exact"/>
              <w:rPr>
                <w:sz w:val="20"/>
                <w:szCs w:val="20"/>
                <w:color w:val="auto"/>
              </w:rPr>
            </w:pPr>
            <w:r>
              <w:rPr>
                <w:rFonts w:ascii="Arial" w:cs="Arial" w:eastAsia="Arial" w:hAnsi="Arial"/>
                <w:sz w:val="14"/>
                <w:szCs w:val="14"/>
                <w:b w:val="1"/>
                <w:bCs w:val="1"/>
                <w:color w:val="auto"/>
                <w:w w:val="89"/>
              </w:rPr>
              <w:t>Second lien,</w:t>
            </w:r>
          </w:p>
        </w:tc>
        <w:tc>
          <w:tcPr>
            <w:tcW w:w="28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subordinated</w:t>
            </w:r>
          </w:p>
        </w:tc>
        <w:tc>
          <w:tcPr>
            <w:tcW w:w="2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0" w:type="dxa"/>
            <w:vAlign w:val="bottom"/>
          </w:tcPr>
          <w:p>
            <w:pPr>
              <w:spacing w:after="0"/>
              <w:rPr>
                <w:sz w:val="12"/>
                <w:szCs w:val="12"/>
                <w:color w:val="auto"/>
              </w:rPr>
            </w:pPr>
          </w:p>
        </w:tc>
        <w:tc>
          <w:tcPr>
            <w:tcW w:w="138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First Lien</w:t>
            </w:r>
          </w:p>
        </w:tc>
        <w:tc>
          <w:tcPr>
            <w:tcW w:w="160" w:type="dxa"/>
            <w:vAlign w:val="bottom"/>
          </w:tcPr>
          <w:p>
            <w:pPr>
              <w:spacing w:after="0"/>
              <w:rPr>
                <w:sz w:val="12"/>
                <w:szCs w:val="12"/>
                <w:color w:val="auto"/>
              </w:rPr>
            </w:pPr>
          </w:p>
        </w:tc>
        <w:tc>
          <w:tcPr>
            <w:tcW w:w="15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debt and equity</w:t>
            </w:r>
          </w:p>
        </w:tc>
        <w:tc>
          <w:tcPr>
            <w:tcW w:w="280" w:type="dxa"/>
            <w:vAlign w:val="bottom"/>
          </w:tcPr>
          <w:p>
            <w:pPr>
              <w:spacing w:after="0"/>
              <w:rPr>
                <w:sz w:val="12"/>
                <w:szCs w:val="12"/>
                <w:color w:val="auto"/>
              </w:rPr>
            </w:pPr>
          </w:p>
        </w:tc>
        <w:tc>
          <w:tcPr>
            <w:tcW w:w="116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85"/>
        </w:trPr>
        <w:tc>
          <w:tcPr>
            <w:tcW w:w="22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8"/>
              </w:rPr>
              <w:t>investments</w:t>
            </w:r>
          </w:p>
        </w:tc>
        <w:tc>
          <w:tcPr>
            <w:tcW w:w="28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2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934,418</w:t>
            </w:r>
          </w:p>
        </w:tc>
        <w:tc>
          <w:tcPr>
            <w:tcW w:w="240" w:type="dxa"/>
            <w:vAlign w:val="bottom"/>
          </w:tcPr>
          <w:p>
            <w:pPr>
              <w:spacing w:after="0"/>
              <w:rPr>
                <w:sz w:val="14"/>
                <w:szCs w:val="14"/>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86,771</w:t>
            </w:r>
          </w:p>
        </w:tc>
        <w:tc>
          <w:tcPr>
            <w:tcW w:w="260" w:type="dxa"/>
            <w:vAlign w:val="bottom"/>
          </w:tcPr>
          <w:p>
            <w:pPr>
              <w:spacing w:after="0"/>
              <w:rPr>
                <w:sz w:val="14"/>
                <w:szCs w:val="14"/>
                <w:color w:val="auto"/>
              </w:rPr>
            </w:pPr>
          </w:p>
        </w:tc>
        <w:tc>
          <w:tcPr>
            <w:tcW w:w="28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1,021,189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1,124</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4"/>
                <w:szCs w:val="14"/>
                <w:color w:val="auto"/>
              </w:rPr>
              <w:t>(13,106 )</w:t>
            </w:r>
          </w:p>
        </w:tc>
        <w:tc>
          <w:tcPr>
            <w:tcW w:w="280" w:type="dxa"/>
            <w:vAlign w:val="bottom"/>
          </w:tcPr>
          <w:p>
            <w:pPr>
              <w:spacing w:after="0"/>
              <w:rPr>
                <w:sz w:val="15"/>
                <w:szCs w:val="15"/>
                <w:color w:val="auto"/>
              </w:rPr>
            </w:pP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(11,982 )</w:t>
            </w:r>
          </w:p>
        </w:tc>
        <w:tc>
          <w:tcPr>
            <w:tcW w:w="0" w:type="dxa"/>
            <w:vAlign w:val="bottom"/>
          </w:tcPr>
          <w:p>
            <w:pPr>
              <w:spacing w:after="0"/>
              <w:rPr>
                <w:sz w:val="1"/>
                <w:szCs w:val="1"/>
                <w:color w:val="auto"/>
              </w:rPr>
            </w:pPr>
          </w:p>
        </w:tc>
      </w:tr>
      <w:tr>
        <w:trPr>
          <w:trHeight w:val="175"/>
        </w:trPr>
        <w:tc>
          <w:tcPr>
            <w:tcW w:w="220" w:type="dxa"/>
            <w:vAlign w:val="bottom"/>
          </w:tcPr>
          <w:p>
            <w:pPr>
              <w:spacing w:after="0"/>
              <w:rPr>
                <w:sz w:val="15"/>
                <w:szCs w:val="15"/>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4"/>
                <w:szCs w:val="14"/>
                <w:color w:val="auto"/>
              </w:rPr>
              <w:t>(7,553 )</w:t>
            </w:r>
          </w:p>
        </w:tc>
        <w:tc>
          <w:tcPr>
            <w:tcW w:w="1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12,411</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4,858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539,028</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25,045</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564,073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0" w:type="dxa"/>
            <w:vAlign w:val="bottom"/>
          </w:tcPr>
          <w:p>
            <w:pPr>
              <w:spacing w:after="0"/>
              <w:rPr>
                <w:sz w:val="15"/>
                <w:szCs w:val="15"/>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4"/>
                <w:szCs w:val="14"/>
                <w:color w:val="auto"/>
              </w:rPr>
              <w:t>(404,635 )</w:t>
            </w:r>
          </w:p>
        </w:tc>
        <w:tc>
          <w:tcPr>
            <w:tcW w:w="160" w:type="dxa"/>
            <w:vAlign w:val="bottom"/>
          </w:tcPr>
          <w:p>
            <w:pPr>
              <w:spacing w:after="0"/>
              <w:rPr>
                <w:sz w:val="15"/>
                <w:szCs w:val="15"/>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4"/>
                <w:szCs w:val="14"/>
                <w:color w:val="auto"/>
              </w:rPr>
              <w:t>(16,368 )</w:t>
            </w:r>
          </w:p>
        </w:tc>
        <w:tc>
          <w:tcPr>
            <w:tcW w:w="280" w:type="dxa"/>
            <w:vAlign w:val="bottom"/>
          </w:tcPr>
          <w:p>
            <w:pPr>
              <w:spacing w:after="0"/>
              <w:rPr>
                <w:sz w:val="15"/>
                <w:szCs w:val="15"/>
                <w:color w:val="auto"/>
              </w:rPr>
            </w:pP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(421,003 )</w:t>
            </w:r>
          </w:p>
        </w:tc>
        <w:tc>
          <w:tcPr>
            <w:tcW w:w="0" w:type="dxa"/>
            <w:vAlign w:val="bottom"/>
          </w:tcPr>
          <w:p>
            <w:pPr>
              <w:spacing w:after="0"/>
              <w:rPr>
                <w:sz w:val="1"/>
                <w:szCs w:val="1"/>
                <w:color w:val="auto"/>
              </w:rPr>
            </w:pPr>
          </w:p>
        </w:tc>
      </w:tr>
      <w:tr>
        <w:trPr>
          <w:trHeight w:val="181"/>
        </w:trPr>
        <w:tc>
          <w:tcPr>
            <w:tcW w:w="220" w:type="dxa"/>
            <w:vAlign w:val="bottom"/>
          </w:tcPr>
          <w:p>
            <w:pPr>
              <w:spacing w:after="0"/>
              <w:rPr>
                <w:sz w:val="15"/>
                <w:szCs w:val="15"/>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1,062,382</w:t>
            </w:r>
          </w:p>
        </w:tc>
        <w:tc>
          <w:tcPr>
            <w:tcW w:w="24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94,753</w:t>
            </w:r>
          </w:p>
        </w:tc>
        <w:tc>
          <w:tcPr>
            <w:tcW w:w="26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1,157,135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380" w:type="dxa"/>
            <w:vAlign w:val="bottom"/>
            <w:gridSpan w:val="2"/>
          </w:tcPr>
          <w:p>
            <w:pPr>
              <w:jc w:val="right"/>
              <w:ind w:right="180"/>
              <w:spacing w:after="0"/>
              <w:rPr>
                <w:sz w:val="20"/>
                <w:szCs w:val="20"/>
                <w:color w:val="auto"/>
              </w:rPr>
            </w:pPr>
            <w:r>
              <w:rPr>
                <w:rFonts w:ascii="Arial" w:cs="Arial" w:eastAsia="Arial" w:hAnsi="Arial"/>
                <w:sz w:val="14"/>
                <w:szCs w:val="14"/>
                <w:color w:val="auto"/>
              </w:rPr>
              <w:t>(5,627 )</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12,170</w:t>
            </w:r>
          </w:p>
        </w:tc>
        <w:tc>
          <w:tcPr>
            <w:tcW w:w="260" w:type="dxa"/>
            <w:vAlign w:val="bottom"/>
          </w:tcPr>
          <w:p>
            <w:pPr>
              <w:spacing w:after="0"/>
              <w:rPr>
                <w:sz w:val="24"/>
                <w:szCs w:val="24"/>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6,543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2">
            <w:col w:w="5780" w:space="720"/>
            <w:col w:w="4740"/>
          </w:cols>
          <w:pgMar w:left="320" w:top="118" w:right="339" w:bottom="1440" w:gutter="0" w:footer="0" w:header="0"/>
          <w:type w:val="continuous"/>
        </w:sectPr>
      </w:pPr>
    </w:p>
    <w:bookmarkStart w:id="32" w:name="page33"/>
    <w:bookmarkEnd w:id="32"/>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June 30, 2022</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gridSpan w:val="6"/>
          </w:tcPr>
          <w:p>
            <w:pPr>
              <w:jc w:val="center"/>
              <w:ind w:left="768"/>
              <w:spacing w:after="0"/>
              <w:rPr>
                <w:sz w:val="20"/>
                <w:szCs w:val="20"/>
                <w:color w:val="auto"/>
              </w:rPr>
            </w:pPr>
            <w:r>
              <w:rPr>
                <w:rFonts w:ascii="Arial" w:cs="Arial" w:eastAsia="Arial" w:hAnsi="Arial"/>
                <w:sz w:val="14"/>
                <w:szCs w:val="14"/>
                <w:b w:val="1"/>
                <w:bCs w:val="1"/>
                <w:color w:val="auto"/>
                <w:w w:val="91"/>
              </w:rPr>
              <w:t>Nine months ended June 30, 2021</w:t>
            </w: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6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60" w:type="dxa"/>
            <w:vAlign w:val="bottom"/>
            <w:gridSpan w:val="2"/>
          </w:tcPr>
          <w:p>
            <w:pPr>
              <w:jc w:val="center"/>
              <w:ind w:right="400"/>
              <w:spacing w:after="0" w:line="133" w:lineRule="exact"/>
              <w:rPr>
                <w:sz w:val="20"/>
                <w:szCs w:val="20"/>
                <w:color w:val="auto"/>
              </w:rPr>
            </w:pPr>
            <w:r>
              <w:rPr>
                <w:rFonts w:ascii="Arial" w:cs="Arial" w:eastAsia="Arial" w:hAnsi="Arial"/>
                <w:sz w:val="14"/>
                <w:szCs w:val="14"/>
                <w:b w:val="1"/>
                <w:bCs w:val="1"/>
                <w:color w:val="auto"/>
                <w:w w:val="89"/>
              </w:rPr>
              <w:t>Second lien,</w:t>
            </w:r>
          </w:p>
        </w:tc>
        <w:tc>
          <w:tcPr>
            <w:tcW w:w="3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subordinated</w:t>
            </w: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5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240" w:type="dxa"/>
            <w:vAlign w:val="bottom"/>
          </w:tcPr>
          <w:p>
            <w:pPr>
              <w:spacing w:after="0"/>
              <w:rPr>
                <w:sz w:val="12"/>
                <w:szCs w:val="12"/>
                <w:color w:val="auto"/>
              </w:rPr>
            </w:pPr>
          </w:p>
        </w:tc>
        <w:tc>
          <w:tcPr>
            <w:tcW w:w="138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First Lien</w:t>
            </w:r>
          </w:p>
        </w:tc>
        <w:tc>
          <w:tcPr>
            <w:tcW w:w="160" w:type="dxa"/>
            <w:vAlign w:val="bottom"/>
          </w:tcPr>
          <w:p>
            <w:pPr>
              <w:spacing w:after="0"/>
              <w:rPr>
                <w:sz w:val="12"/>
                <w:szCs w:val="12"/>
                <w:color w:val="auto"/>
              </w:rPr>
            </w:pPr>
          </w:p>
        </w:tc>
        <w:tc>
          <w:tcPr>
            <w:tcW w:w="14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debt and equity</w:t>
            </w:r>
          </w:p>
        </w:tc>
        <w:tc>
          <w:tcPr>
            <w:tcW w:w="300" w:type="dxa"/>
            <w:vAlign w:val="bottom"/>
          </w:tcPr>
          <w:p>
            <w:pPr>
              <w:spacing w:after="0"/>
              <w:rPr>
                <w:sz w:val="12"/>
                <w:szCs w:val="12"/>
                <w:color w:val="auto"/>
              </w:rPr>
            </w:pPr>
          </w:p>
        </w:tc>
        <w:tc>
          <w:tcPr>
            <w:tcW w:w="118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85"/>
        </w:trPr>
        <w:tc>
          <w:tcPr>
            <w:tcW w:w="65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investments</w:t>
            </w:r>
          </w:p>
        </w:tc>
        <w:tc>
          <w:tcPr>
            <w:tcW w:w="30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360" w:type="dxa"/>
            <w:vAlign w:val="bottom"/>
            <w:tcBorders>
              <w:top w:val="single" w:sz="8" w:color="auto"/>
            </w:tcBorders>
            <w:shd w:val="clear" w:color="auto" w:fill="CCECFF"/>
          </w:tcPr>
          <w:p>
            <w:pPr>
              <w:ind w:left="20"/>
              <w:spacing w:after="0"/>
              <w:rPr>
                <w:sz w:val="20"/>
                <w:szCs w:val="20"/>
                <w:color w:val="auto"/>
              </w:rPr>
            </w:pPr>
            <w:r>
              <w:rPr>
                <w:rFonts w:ascii="Arial" w:cs="Arial" w:eastAsia="Arial" w:hAnsi="Arial"/>
                <w:sz w:val="14"/>
                <w:szCs w:val="14"/>
                <w:color w:val="auto"/>
              </w:rPr>
              <w:t>Beginning Balance</w:t>
            </w:r>
          </w:p>
        </w:tc>
        <w:tc>
          <w:tcPr>
            <w:tcW w:w="160" w:type="dxa"/>
            <w:vAlign w:val="bottom"/>
            <w:shd w:val="clear" w:color="auto" w:fill="CCECFF"/>
          </w:tcPr>
          <w:p>
            <w:pPr>
              <w:spacing w:after="0"/>
              <w:rPr>
                <w:sz w:val="14"/>
                <w:szCs w:val="14"/>
                <w:color w:val="auto"/>
              </w:rPr>
            </w:pPr>
          </w:p>
        </w:tc>
        <w:tc>
          <w:tcPr>
            <w:tcW w:w="240" w:type="dxa"/>
            <w:vAlign w:val="bottom"/>
            <w:tcBorders>
              <w:top w:val="single" w:sz="8" w:color="auto"/>
            </w:tcBorders>
            <w:shd w:val="clear" w:color="auto" w:fill="CCECFF"/>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968,616</w:t>
            </w:r>
          </w:p>
        </w:tc>
        <w:tc>
          <w:tcPr>
            <w:tcW w:w="260" w:type="dxa"/>
            <w:vAlign w:val="bottom"/>
            <w:shd w:val="clear" w:color="auto" w:fill="CCECFF"/>
          </w:tcPr>
          <w:p>
            <w:pPr>
              <w:spacing w:after="0"/>
              <w:rPr>
                <w:sz w:val="14"/>
                <w:szCs w:val="14"/>
                <w:color w:val="auto"/>
              </w:rPr>
            </w:pPr>
          </w:p>
        </w:tc>
        <w:tc>
          <w:tcPr>
            <w:tcW w:w="16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78,402</w:t>
            </w:r>
          </w:p>
        </w:tc>
        <w:tc>
          <w:tcPr>
            <w:tcW w:w="240" w:type="dxa"/>
            <w:vAlign w:val="bottom"/>
            <w:shd w:val="clear" w:color="auto" w:fill="CCECFF"/>
          </w:tcPr>
          <w:p>
            <w:pPr>
              <w:spacing w:after="0"/>
              <w:rPr>
                <w:sz w:val="14"/>
                <w:szCs w:val="14"/>
                <w:color w:val="auto"/>
              </w:rPr>
            </w:pPr>
          </w:p>
        </w:tc>
        <w:tc>
          <w:tcPr>
            <w:tcW w:w="300" w:type="dxa"/>
            <w:vAlign w:val="bottom"/>
            <w:tcBorders>
              <w:top w:val="single" w:sz="8" w:color="auto"/>
            </w:tcBorders>
            <w:shd w:val="clear" w:color="auto" w:fill="CCECFF"/>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1,047,018</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520" w:type="dxa"/>
            <w:vAlign w:val="bottom"/>
            <w:gridSpan w:val="2"/>
          </w:tcPr>
          <w:p>
            <w:pPr>
              <w:ind w:left="380"/>
              <w:spacing w:after="0"/>
              <w:rPr>
                <w:sz w:val="20"/>
                <w:szCs w:val="20"/>
                <w:color w:val="auto"/>
              </w:rPr>
            </w:pPr>
            <w:r>
              <w:rPr>
                <w:rFonts w:ascii="Arial" w:cs="Arial" w:eastAsia="Arial" w:hAnsi="Arial"/>
                <w:sz w:val="14"/>
                <w:szCs w:val="14"/>
                <w:color w:val="auto"/>
              </w:rPr>
              <w:t>Net realized losses</w:t>
            </w:r>
          </w:p>
        </w:tc>
        <w:tc>
          <w:tcPr>
            <w:tcW w:w="240" w:type="dxa"/>
            <w:vAlign w:val="bottom"/>
          </w:tcPr>
          <w:p>
            <w:pPr>
              <w:spacing w:after="0"/>
              <w:rPr>
                <w:sz w:val="15"/>
                <w:szCs w:val="15"/>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4"/>
                <w:szCs w:val="14"/>
                <w:color w:val="auto"/>
              </w:rPr>
              <w:t>(3,798 )</w:t>
            </w:r>
          </w:p>
        </w:tc>
        <w:tc>
          <w:tcPr>
            <w:tcW w:w="160" w:type="dxa"/>
            <w:vAlign w:val="bottom"/>
          </w:tcPr>
          <w:p>
            <w:pPr>
              <w:spacing w:after="0"/>
              <w:rPr>
                <w:sz w:val="15"/>
                <w:szCs w:val="15"/>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4"/>
                <w:szCs w:val="14"/>
                <w:color w:val="auto"/>
              </w:rPr>
              <w:t>(10,617 )</w:t>
            </w:r>
          </w:p>
        </w:tc>
        <w:tc>
          <w:tcPr>
            <w:tcW w:w="300" w:type="dxa"/>
            <w:vAlign w:val="bottom"/>
          </w:tcPr>
          <w:p>
            <w:pPr>
              <w:spacing w:after="0"/>
              <w:rPr>
                <w:sz w:val="15"/>
                <w:szCs w:val="15"/>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4"/>
                <w:szCs w:val="14"/>
                <w:color w:val="auto"/>
              </w:rPr>
              <w:t>(14,415 )</w:t>
            </w:r>
          </w:p>
        </w:tc>
        <w:tc>
          <w:tcPr>
            <w:tcW w:w="0" w:type="dxa"/>
            <w:vAlign w:val="bottom"/>
          </w:tcPr>
          <w:p>
            <w:pPr>
              <w:spacing w:after="0"/>
              <w:rPr>
                <w:sz w:val="1"/>
                <w:szCs w:val="1"/>
                <w:color w:val="auto"/>
              </w:rPr>
            </w:pPr>
          </w:p>
        </w:tc>
      </w:tr>
      <w:tr>
        <w:trPr>
          <w:trHeight w:val="176"/>
        </w:trPr>
        <w:tc>
          <w:tcPr>
            <w:tcW w:w="6520" w:type="dxa"/>
            <w:vAlign w:val="bottom"/>
            <w:gridSpan w:val="2"/>
            <w:shd w:val="clear" w:color="auto" w:fill="CCECFF"/>
          </w:tcPr>
          <w:p>
            <w:pPr>
              <w:ind w:left="380"/>
              <w:spacing w:after="0"/>
              <w:rPr>
                <w:sz w:val="20"/>
                <w:szCs w:val="20"/>
                <w:color w:val="auto"/>
              </w:rPr>
            </w:pPr>
            <w:r>
              <w:rPr>
                <w:rFonts w:ascii="Arial" w:cs="Arial" w:eastAsia="Arial" w:hAnsi="Arial"/>
                <w:sz w:val="14"/>
                <w:szCs w:val="14"/>
                <w:color w:val="auto"/>
              </w:rPr>
              <w:t>Net change in unrealized depreciation</w:t>
            </w:r>
          </w:p>
        </w:tc>
        <w:tc>
          <w:tcPr>
            <w:tcW w:w="240" w:type="dxa"/>
            <w:vAlign w:val="bottom"/>
            <w:shd w:val="clear" w:color="auto" w:fill="CCECFF"/>
          </w:tcPr>
          <w:p>
            <w:pPr>
              <w:spacing w:after="0"/>
              <w:rPr>
                <w:sz w:val="15"/>
                <w:szCs w:val="15"/>
                <w:color w:val="auto"/>
              </w:rPr>
            </w:pPr>
          </w:p>
        </w:tc>
        <w:tc>
          <w:tcPr>
            <w:tcW w:w="11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14,440</w:t>
            </w:r>
          </w:p>
        </w:tc>
        <w:tc>
          <w:tcPr>
            <w:tcW w:w="26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12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30,405</w:t>
            </w:r>
          </w:p>
        </w:tc>
        <w:tc>
          <w:tcPr>
            <w:tcW w:w="240" w:type="dxa"/>
            <w:vAlign w:val="bottom"/>
            <w:shd w:val="clear" w:color="auto" w:fill="CCECFF"/>
          </w:tcPr>
          <w:p>
            <w:pPr>
              <w:spacing w:after="0"/>
              <w:rPr>
                <w:sz w:val="15"/>
                <w:szCs w:val="15"/>
                <w:color w:val="auto"/>
              </w:rPr>
            </w:pPr>
          </w:p>
        </w:tc>
        <w:tc>
          <w:tcPr>
            <w:tcW w:w="300" w:type="dxa"/>
            <w:vAlign w:val="bottom"/>
            <w:shd w:val="clear" w:color="auto" w:fill="CCECFF"/>
          </w:tcPr>
          <w:p>
            <w:pPr>
              <w:spacing w:after="0"/>
              <w:rPr>
                <w:sz w:val="15"/>
                <w:szCs w:val="15"/>
                <w:color w:val="auto"/>
              </w:rPr>
            </w:pPr>
          </w:p>
        </w:tc>
        <w:tc>
          <w:tcPr>
            <w:tcW w:w="10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44,845</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520" w:type="dxa"/>
            <w:vAlign w:val="bottom"/>
            <w:gridSpan w:val="2"/>
          </w:tcPr>
          <w:p>
            <w:pPr>
              <w:ind w:left="380"/>
              <w:spacing w:after="0"/>
              <w:rPr>
                <w:sz w:val="20"/>
                <w:szCs w:val="20"/>
                <w:color w:val="auto"/>
              </w:rPr>
            </w:pPr>
            <w:r>
              <w:rPr>
                <w:rFonts w:ascii="Arial" w:cs="Arial" w:eastAsia="Arial" w:hAnsi="Arial"/>
                <w:sz w:val="14"/>
                <w:szCs w:val="14"/>
                <w:color w:val="auto"/>
              </w:rPr>
              <w:t>Purchases, PIK interest, net discount accretion and non-cash exchanges</w:t>
            </w:r>
          </w:p>
        </w:tc>
        <w:tc>
          <w:tcPr>
            <w:tcW w:w="2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448,247</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25,199</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473,446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20" w:type="dxa"/>
            <w:vAlign w:val="bottom"/>
            <w:gridSpan w:val="2"/>
            <w:shd w:val="clear" w:color="auto" w:fill="CCECFF"/>
          </w:tcPr>
          <w:p>
            <w:pPr>
              <w:ind w:left="380"/>
              <w:spacing w:after="0"/>
              <w:rPr>
                <w:sz w:val="20"/>
                <w:szCs w:val="20"/>
                <w:color w:val="auto"/>
              </w:rPr>
            </w:pPr>
            <w:r>
              <w:rPr>
                <w:rFonts w:ascii="Arial" w:cs="Arial" w:eastAsia="Arial" w:hAnsi="Arial"/>
                <w:sz w:val="14"/>
                <w:szCs w:val="14"/>
                <w:color w:val="auto"/>
              </w:rPr>
              <w:t>Sales, repayments and non-cash exchanges</w:t>
            </w:r>
          </w:p>
        </w:tc>
        <w:tc>
          <w:tcPr>
            <w:tcW w:w="240" w:type="dxa"/>
            <w:vAlign w:val="bottom"/>
            <w:shd w:val="clear" w:color="auto" w:fill="CCECFF"/>
          </w:tcPr>
          <w:p>
            <w:pPr>
              <w:spacing w:after="0"/>
              <w:rPr>
                <w:sz w:val="15"/>
                <w:szCs w:val="15"/>
                <w:color w:val="auto"/>
              </w:rPr>
            </w:pPr>
          </w:p>
        </w:tc>
        <w:tc>
          <w:tcPr>
            <w:tcW w:w="138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(544,240 )</w:t>
            </w:r>
          </w:p>
        </w:tc>
        <w:tc>
          <w:tcPr>
            <w:tcW w:w="160" w:type="dxa"/>
            <w:vAlign w:val="bottom"/>
            <w:shd w:val="clear" w:color="auto" w:fill="CCECFF"/>
          </w:tcPr>
          <w:p>
            <w:pPr>
              <w:spacing w:after="0"/>
              <w:rPr>
                <w:sz w:val="15"/>
                <w:szCs w:val="15"/>
                <w:color w:val="auto"/>
              </w:rPr>
            </w:pPr>
          </w:p>
        </w:tc>
        <w:tc>
          <w:tcPr>
            <w:tcW w:w="1460" w:type="dxa"/>
            <w:vAlign w:val="bottom"/>
            <w:gridSpan w:val="2"/>
            <w:shd w:val="clear" w:color="auto" w:fill="CCECFF"/>
          </w:tcPr>
          <w:p>
            <w:pPr>
              <w:jc w:val="right"/>
              <w:ind w:right="180"/>
              <w:spacing w:after="0"/>
              <w:rPr>
                <w:sz w:val="20"/>
                <w:szCs w:val="20"/>
                <w:color w:val="auto"/>
              </w:rPr>
            </w:pPr>
            <w:r>
              <w:rPr>
                <w:rFonts w:ascii="Arial" w:cs="Arial" w:eastAsia="Arial" w:hAnsi="Arial"/>
                <w:sz w:val="14"/>
                <w:szCs w:val="14"/>
                <w:color w:val="auto"/>
              </w:rPr>
              <w:t>(21,298 )</w:t>
            </w:r>
          </w:p>
        </w:tc>
        <w:tc>
          <w:tcPr>
            <w:tcW w:w="300" w:type="dxa"/>
            <w:vAlign w:val="bottom"/>
            <w:shd w:val="clear" w:color="auto" w:fill="CCECFF"/>
          </w:tcPr>
          <w:p>
            <w:pPr>
              <w:spacing w:after="0"/>
              <w:rPr>
                <w:sz w:val="15"/>
                <w:szCs w:val="15"/>
                <w:color w:val="auto"/>
              </w:rPr>
            </w:pPr>
          </w:p>
        </w:tc>
        <w:tc>
          <w:tcPr>
            <w:tcW w:w="1180" w:type="dxa"/>
            <w:vAlign w:val="bottom"/>
            <w:gridSpan w:val="2"/>
            <w:shd w:val="clear" w:color="auto" w:fill="CCECFF"/>
          </w:tcPr>
          <w:p>
            <w:pPr>
              <w:jc w:val="right"/>
              <w:ind w:right="40"/>
              <w:spacing w:after="0"/>
              <w:rPr>
                <w:sz w:val="20"/>
                <w:szCs w:val="20"/>
                <w:color w:val="auto"/>
              </w:rPr>
            </w:pPr>
            <w:r>
              <w:rPr>
                <w:rFonts w:ascii="Arial" w:cs="Arial" w:eastAsia="Arial" w:hAnsi="Arial"/>
                <w:sz w:val="14"/>
                <w:szCs w:val="14"/>
                <w:color w:val="auto"/>
              </w:rPr>
              <w:t>(565,538 )</w:t>
            </w:r>
          </w:p>
        </w:tc>
        <w:tc>
          <w:tcPr>
            <w:tcW w:w="0" w:type="dxa"/>
            <w:vAlign w:val="bottom"/>
          </w:tcPr>
          <w:p>
            <w:pPr>
              <w:spacing w:after="0"/>
              <w:rPr>
                <w:sz w:val="1"/>
                <w:szCs w:val="1"/>
                <w:color w:val="auto"/>
              </w:rPr>
            </w:pPr>
          </w:p>
        </w:tc>
      </w:tr>
      <w:tr>
        <w:trPr>
          <w:trHeight w:val="175"/>
        </w:trPr>
        <w:tc>
          <w:tcPr>
            <w:tcW w:w="6520" w:type="dxa"/>
            <w:vAlign w:val="bottom"/>
            <w:gridSpan w:val="2"/>
          </w:tcPr>
          <w:p>
            <w:pPr>
              <w:ind w:left="380"/>
              <w:spacing w:after="0"/>
              <w:rPr>
                <w:sz w:val="20"/>
                <w:szCs w:val="20"/>
                <w:color w:val="auto"/>
              </w:rPr>
            </w:pPr>
            <w:r>
              <w:rPr>
                <w:rFonts w:ascii="Arial" w:cs="Arial" w:eastAsia="Arial" w:hAnsi="Arial"/>
                <w:sz w:val="14"/>
                <w:szCs w:val="14"/>
                <w:color w:val="auto"/>
              </w:rPr>
              <w:t>Transfers in and/or out of Level 3</w:t>
            </w:r>
          </w:p>
        </w:tc>
        <w:tc>
          <w:tcPr>
            <w:tcW w:w="240" w:type="dxa"/>
            <w:vAlign w:val="bottom"/>
          </w:tcPr>
          <w:p>
            <w:pPr>
              <w:spacing w:after="0"/>
              <w:rPr>
                <w:sz w:val="15"/>
                <w:szCs w:val="15"/>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6520" w:type="dxa"/>
            <w:vAlign w:val="bottom"/>
            <w:tcBorders>
              <w:bottom w:val="single" w:sz="8" w:color="CCECFF"/>
            </w:tcBorders>
            <w:gridSpan w:val="2"/>
            <w:shd w:val="clear" w:color="auto" w:fill="CCECFF"/>
          </w:tcPr>
          <w:p>
            <w:pPr>
              <w:ind w:left="20"/>
              <w:spacing w:after="0"/>
              <w:rPr>
                <w:sz w:val="20"/>
                <w:szCs w:val="20"/>
                <w:color w:val="auto"/>
              </w:rPr>
            </w:pPr>
            <w:r>
              <w:rPr>
                <w:rFonts w:ascii="Arial" w:cs="Arial" w:eastAsia="Arial" w:hAnsi="Arial"/>
                <w:sz w:val="14"/>
                <w:szCs w:val="14"/>
                <w:color w:val="auto"/>
              </w:rPr>
              <w:t>Ending Balance</w:t>
            </w:r>
          </w:p>
        </w:tc>
        <w:tc>
          <w:tcPr>
            <w:tcW w:w="240" w:type="dxa"/>
            <w:vAlign w:val="bottom"/>
            <w:tcBorders>
              <w:top w:val="single" w:sz="8" w:color="auto"/>
              <w:bottom w:val="single" w:sz="8" w:color="auto"/>
            </w:tcBorders>
            <w:shd w:val="clear" w:color="auto" w:fill="CCECFF"/>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883,265</w:t>
            </w:r>
          </w:p>
        </w:tc>
        <w:tc>
          <w:tcPr>
            <w:tcW w:w="260" w:type="dxa"/>
            <w:vAlign w:val="bottom"/>
            <w:tcBorders>
              <w:bottom w:val="single" w:sz="8" w:color="CCECFF"/>
            </w:tcBorders>
            <w:shd w:val="clear" w:color="auto" w:fill="CCECFF"/>
          </w:tcPr>
          <w:p>
            <w:pPr>
              <w:spacing w:after="0"/>
              <w:rPr>
                <w:sz w:val="18"/>
                <w:szCs w:val="18"/>
                <w:color w:val="auto"/>
              </w:rPr>
            </w:pPr>
          </w:p>
        </w:tc>
        <w:tc>
          <w:tcPr>
            <w:tcW w:w="1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102,091</w:t>
            </w:r>
          </w:p>
        </w:tc>
        <w:tc>
          <w:tcPr>
            <w:tcW w:w="240" w:type="dxa"/>
            <w:vAlign w:val="bottom"/>
            <w:tcBorders>
              <w:bottom w:val="single" w:sz="8" w:color="CCECFF"/>
            </w:tcBorders>
            <w:shd w:val="clear" w:color="auto" w:fill="CCECFF"/>
          </w:tcPr>
          <w:p>
            <w:pPr>
              <w:spacing w:after="0"/>
              <w:rPr>
                <w:sz w:val="18"/>
                <w:szCs w:val="18"/>
                <w:color w:val="auto"/>
              </w:rPr>
            </w:pPr>
          </w:p>
        </w:tc>
        <w:tc>
          <w:tcPr>
            <w:tcW w:w="300" w:type="dxa"/>
            <w:vAlign w:val="bottom"/>
            <w:tcBorders>
              <w:top w:val="single" w:sz="8" w:color="auto"/>
              <w:bottom w:val="single" w:sz="8" w:color="auto"/>
            </w:tcBorders>
            <w:shd w:val="clear" w:color="auto" w:fill="CCECFF"/>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985,356</w:t>
            </w:r>
          </w:p>
        </w:tc>
        <w:tc>
          <w:tcPr>
            <w:tcW w:w="100" w:type="dxa"/>
            <w:vAlign w:val="bottom"/>
            <w:tcBorders>
              <w:bottom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124"/>
        </w:trPr>
        <w:tc>
          <w:tcPr>
            <w:tcW w:w="6520" w:type="dxa"/>
            <w:vAlign w:val="bottom"/>
            <w:gridSpan w:val="2"/>
          </w:tcPr>
          <w:p>
            <w:pPr>
              <w:ind w:left="20"/>
              <w:spacing w:after="0" w:line="124" w:lineRule="exact"/>
              <w:rPr>
                <w:sz w:val="20"/>
                <w:szCs w:val="20"/>
                <w:color w:val="auto"/>
              </w:rPr>
            </w:pPr>
            <w:r>
              <w:rPr>
                <w:rFonts w:ascii="Arial" w:cs="Arial" w:eastAsia="Arial" w:hAnsi="Arial"/>
                <w:sz w:val="14"/>
                <w:szCs w:val="14"/>
                <w:color w:val="auto"/>
              </w:rPr>
              <w:t>Net change in unrealized depreciation reported within the net change in unrealized</w:t>
            </w:r>
          </w:p>
        </w:tc>
        <w:tc>
          <w:tcPr>
            <w:tcW w:w="2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5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depreciation on investments in our Consolidated Statements of Operations</w:t>
            </w: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11,044</w:t>
            </w:r>
          </w:p>
        </w:tc>
        <w:tc>
          <w:tcPr>
            <w:tcW w:w="26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20" w:type="dxa"/>
            <w:vAlign w:val="bottom"/>
            <w:vMerge w:val="restart"/>
          </w:tcPr>
          <w:p>
            <w:pPr>
              <w:jc w:val="right"/>
              <w:spacing w:after="0"/>
              <w:rPr>
                <w:sz w:val="20"/>
                <w:szCs w:val="20"/>
                <w:color w:val="auto"/>
              </w:rPr>
            </w:pPr>
            <w:r>
              <w:rPr>
                <w:rFonts w:ascii="Arial" w:cs="Arial" w:eastAsia="Arial" w:hAnsi="Arial"/>
                <w:sz w:val="14"/>
                <w:szCs w:val="14"/>
                <w:color w:val="auto"/>
              </w:rPr>
              <w:t>29,006</w:t>
            </w:r>
          </w:p>
        </w:tc>
        <w:tc>
          <w:tcPr>
            <w:tcW w:w="240" w:type="dxa"/>
            <w:vAlign w:val="bottom"/>
          </w:tcPr>
          <w:p>
            <w:pPr>
              <w:spacing w:after="0"/>
              <w:rPr>
                <w:sz w:val="12"/>
                <w:szCs w:val="12"/>
                <w:color w:val="auto"/>
              </w:rPr>
            </w:pPr>
          </w:p>
        </w:tc>
        <w:tc>
          <w:tcPr>
            <w:tcW w:w="30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40,050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6520" w:type="dxa"/>
            <w:vAlign w:val="bottom"/>
            <w:gridSpan w:val="2"/>
          </w:tcPr>
          <w:p>
            <w:pPr>
              <w:ind w:left="120"/>
              <w:spacing w:after="0" w:line="121" w:lineRule="exact"/>
              <w:rPr>
                <w:sz w:val="20"/>
                <w:szCs w:val="20"/>
                <w:color w:val="auto"/>
              </w:rPr>
            </w:pPr>
            <w:r>
              <w:rPr>
                <w:rFonts w:ascii="Arial" w:cs="Arial" w:eastAsia="Arial" w:hAnsi="Arial"/>
                <w:sz w:val="13"/>
                <w:szCs w:val="13"/>
                <w:color w:val="auto"/>
              </w:rPr>
              <w:t>attributable to our Level 3 assets still held at the reporting date.</w:t>
            </w:r>
          </w:p>
        </w:tc>
        <w:tc>
          <w:tcPr>
            <w:tcW w:w="240" w:type="dxa"/>
            <w:vAlign w:val="bottom"/>
            <w:tcBorders>
              <w:bottom w:val="single" w:sz="8" w:color="auto"/>
            </w:tcBorders>
            <w:vMerge w:val="continue"/>
          </w:tcPr>
          <w:p>
            <w:pPr>
              <w:spacing w:after="0"/>
              <w:rPr>
                <w:sz w:val="12"/>
                <w:szCs w:val="12"/>
                <w:color w:val="auto"/>
              </w:rPr>
            </w:pPr>
          </w:p>
        </w:tc>
        <w:tc>
          <w:tcPr>
            <w:tcW w:w="1120" w:type="dxa"/>
            <w:vAlign w:val="bottom"/>
            <w:tcBorders>
              <w:bottom w:val="single" w:sz="8" w:color="auto"/>
            </w:tcBorders>
            <w:vMerge w:val="continue"/>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Borders>
              <w:bottom w:val="single" w:sz="8" w:color="auto"/>
            </w:tcBorders>
            <w:vMerge w:val="continue"/>
          </w:tcPr>
          <w:p>
            <w:pPr>
              <w:spacing w:after="0"/>
              <w:rPr>
                <w:sz w:val="12"/>
                <w:szCs w:val="12"/>
                <w:color w:val="auto"/>
              </w:rPr>
            </w:pPr>
          </w:p>
        </w:tc>
        <w:tc>
          <w:tcPr>
            <w:tcW w:w="1220" w:type="dxa"/>
            <w:vAlign w:val="bottom"/>
            <w:tcBorders>
              <w:bottom w:val="single" w:sz="8" w:color="auto"/>
            </w:tcBorders>
            <w:vMerge w:val="continue"/>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Borders>
              <w:bottom w:val="single" w:sz="8" w:color="auto"/>
            </w:tcBorders>
            <w:vMerge w:val="continue"/>
          </w:tcPr>
          <w:p>
            <w:pPr>
              <w:spacing w:after="0"/>
              <w:rPr>
                <w:sz w:val="12"/>
                <w:szCs w:val="12"/>
                <w:color w:val="auto"/>
              </w:rPr>
            </w:pPr>
          </w:p>
        </w:tc>
        <w:tc>
          <w:tcPr>
            <w:tcW w:w="108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-325120</wp:posOffset>
            </wp:positionV>
            <wp:extent cx="76835"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-307975</wp:posOffset>
            </wp:positionV>
            <wp:extent cx="76835"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-325120</wp:posOffset>
            </wp:positionV>
            <wp:extent cx="68580"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-307975</wp:posOffset>
            </wp:positionV>
            <wp:extent cx="68580"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-325120</wp:posOffset>
            </wp:positionV>
            <wp:extent cx="68580"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-307975</wp:posOffset>
            </wp:positionV>
            <wp:extent cx="68580"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4" w:lineRule="exact"/>
        <w:rPr>
          <w:sz w:val="20"/>
          <w:szCs w:val="20"/>
          <w:color w:val="auto"/>
        </w:rPr>
      </w:pPr>
    </w:p>
    <w:p>
      <w:pPr>
        <w:ind w:right="340" w:firstLine="449"/>
        <w:spacing w:after="0" w:line="273" w:lineRule="auto"/>
        <w:rPr>
          <w:sz w:val="20"/>
          <w:szCs w:val="20"/>
          <w:color w:val="auto"/>
        </w:rPr>
      </w:pPr>
      <w:r>
        <w:rPr>
          <w:rFonts w:ascii="Arial" w:cs="Arial" w:eastAsia="Arial" w:hAnsi="Arial"/>
          <w:sz w:val="14"/>
          <w:szCs w:val="14"/>
          <w:color w:val="auto"/>
        </w:rPr>
        <w:t>The table below shows a reconciliation of the beginning and ending balances for liabilities recognized at fair value and measured using significant unobservable inputs (Level 3)($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140" w:type="dxa"/>
            <w:vAlign w:val="bottom"/>
            <w:gridSpan w:val="5"/>
          </w:tcPr>
          <w:p>
            <w:pPr>
              <w:jc w:val="right"/>
              <w:ind w:right="940"/>
              <w:spacing w:after="0"/>
              <w:rPr>
                <w:sz w:val="20"/>
                <w:szCs w:val="20"/>
                <w:color w:val="auto"/>
              </w:rPr>
            </w:pPr>
            <w:r>
              <w:rPr>
                <w:rFonts w:ascii="Arial" w:cs="Arial" w:eastAsia="Arial" w:hAnsi="Arial"/>
                <w:sz w:val="14"/>
                <w:szCs w:val="14"/>
                <w:b w:val="1"/>
                <w:bCs w:val="1"/>
                <w:color w:val="auto"/>
              </w:rPr>
              <w:t>Nine months ended June 30,</w:t>
            </w:r>
          </w:p>
        </w:tc>
      </w:tr>
      <w:tr>
        <w:trPr>
          <w:trHeight w:val="169"/>
        </w:trPr>
        <w:tc>
          <w:tcPr>
            <w:tcW w:w="7740" w:type="dxa"/>
            <w:vAlign w:val="bottom"/>
            <w:gridSpan w:val="2"/>
          </w:tcPr>
          <w:p>
            <w:pPr>
              <w:ind w:left="20"/>
              <w:spacing w:after="0"/>
              <w:rPr>
                <w:sz w:val="20"/>
                <w:szCs w:val="20"/>
                <w:color w:val="auto"/>
              </w:rPr>
            </w:pPr>
            <w:r>
              <w:rPr>
                <w:rFonts w:ascii="Arial" w:cs="Arial" w:eastAsia="Arial" w:hAnsi="Arial"/>
                <w:sz w:val="14"/>
                <w:szCs w:val="14"/>
                <w:b w:val="1"/>
                <w:bCs w:val="1"/>
                <w:color w:val="auto"/>
              </w:rPr>
              <w:t>Long-Term Credit Facility</w:t>
            </w:r>
          </w:p>
        </w:tc>
        <w:tc>
          <w:tcPr>
            <w:tcW w:w="36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69"/>
        </w:trPr>
        <w:tc>
          <w:tcPr>
            <w:tcW w:w="7560" w:type="dxa"/>
            <w:vAlign w:val="bottom"/>
            <w:tcBorders>
              <w:top w:val="single" w:sz="8" w:color="auto"/>
            </w:tcBorders>
            <w:shd w:val="clear" w:color="auto" w:fill="CCECFF"/>
          </w:tcPr>
          <w:p>
            <w:pPr>
              <w:ind w:left="20"/>
              <w:spacing w:after="0"/>
              <w:rPr>
                <w:sz w:val="20"/>
                <w:szCs w:val="20"/>
                <w:color w:val="auto"/>
              </w:rPr>
            </w:pPr>
            <w:r>
              <w:rPr>
                <w:rFonts w:ascii="Arial" w:cs="Arial" w:eastAsia="Arial" w:hAnsi="Arial"/>
                <w:sz w:val="14"/>
                <w:szCs w:val="14"/>
                <w:color w:val="auto"/>
              </w:rPr>
              <w:t>Beginning Balance (cost – $219,400 and $308,599, respectively)</w:t>
            </w:r>
          </w:p>
        </w:tc>
        <w:tc>
          <w:tcPr>
            <w:tcW w:w="180" w:type="dxa"/>
            <w:vAlign w:val="bottom"/>
            <w:shd w:val="clear" w:color="auto" w:fill="CCECFF"/>
          </w:tcPr>
          <w:p>
            <w:pPr>
              <w:spacing w:after="0"/>
              <w:rPr>
                <w:sz w:val="14"/>
                <w:szCs w:val="14"/>
                <w:color w:val="auto"/>
              </w:rPr>
            </w:pPr>
          </w:p>
        </w:tc>
        <w:tc>
          <w:tcPr>
            <w:tcW w:w="360" w:type="dxa"/>
            <w:vAlign w:val="bottom"/>
            <w:tcBorders>
              <w:top w:val="single" w:sz="8" w:color="auto"/>
            </w:tcBorders>
            <w:shd w:val="clear" w:color="auto" w:fill="CCECFF"/>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218,852</w:t>
            </w:r>
          </w:p>
        </w:tc>
        <w:tc>
          <w:tcPr>
            <w:tcW w:w="280" w:type="dxa"/>
            <w:vAlign w:val="bottom"/>
            <w:shd w:val="clear" w:color="auto" w:fill="CCECFF"/>
          </w:tcPr>
          <w:p>
            <w:pPr>
              <w:spacing w:after="0"/>
              <w:rPr>
                <w:sz w:val="14"/>
                <w:szCs w:val="14"/>
                <w:color w:val="auto"/>
              </w:rPr>
            </w:pPr>
          </w:p>
        </w:tc>
        <w:tc>
          <w:tcPr>
            <w:tcW w:w="360" w:type="dxa"/>
            <w:vAlign w:val="bottom"/>
            <w:tcBorders>
              <w:top w:val="single" w:sz="8" w:color="auto"/>
            </w:tcBorders>
            <w:shd w:val="clear" w:color="auto" w:fill="CCECFF"/>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299,047</w:t>
            </w:r>
          </w:p>
        </w:tc>
        <w:tc>
          <w:tcPr>
            <w:tcW w:w="100" w:type="dxa"/>
            <w:vAlign w:val="bottom"/>
            <w:shd w:val="clear" w:color="auto" w:fill="CCECFF"/>
          </w:tcPr>
          <w:p>
            <w:pPr>
              <w:spacing w:after="0"/>
              <w:rPr>
                <w:sz w:val="14"/>
                <w:szCs w:val="14"/>
                <w:color w:val="auto"/>
              </w:rPr>
            </w:pPr>
          </w:p>
        </w:tc>
      </w:tr>
      <w:tr>
        <w:trPr>
          <w:trHeight w:val="176"/>
        </w:trPr>
        <w:tc>
          <w:tcPr>
            <w:tcW w:w="7740" w:type="dxa"/>
            <w:vAlign w:val="bottom"/>
            <w:gridSpan w:val="2"/>
          </w:tcPr>
          <w:p>
            <w:pPr>
              <w:ind w:left="380"/>
              <w:spacing w:after="0"/>
              <w:rPr>
                <w:sz w:val="20"/>
                <w:szCs w:val="20"/>
                <w:color w:val="auto"/>
              </w:rPr>
            </w:pPr>
            <w:r>
              <w:rPr>
                <w:rFonts w:ascii="Arial" w:cs="Arial" w:eastAsia="Arial" w:hAnsi="Arial"/>
                <w:sz w:val="14"/>
                <w:szCs w:val="14"/>
                <w:color w:val="auto"/>
              </w:rPr>
              <w:t>Net change in unrealized (depreciation) appreciation included in earnings</w:t>
            </w:r>
          </w:p>
        </w:tc>
        <w:tc>
          <w:tcPr>
            <w:tcW w:w="360" w:type="dxa"/>
            <w:vAlign w:val="bottom"/>
          </w:tcPr>
          <w:p>
            <w:pPr>
              <w:spacing w:after="0"/>
              <w:rPr>
                <w:sz w:val="15"/>
                <w:szCs w:val="15"/>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(5,663 )</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9,218</w:t>
            </w:r>
          </w:p>
        </w:tc>
        <w:tc>
          <w:tcPr>
            <w:tcW w:w="100" w:type="dxa"/>
            <w:vAlign w:val="bottom"/>
          </w:tcPr>
          <w:p>
            <w:pPr>
              <w:spacing w:after="0"/>
              <w:rPr>
                <w:sz w:val="15"/>
                <w:szCs w:val="15"/>
                <w:color w:val="auto"/>
              </w:rPr>
            </w:pPr>
          </w:p>
        </w:tc>
      </w:tr>
      <w:tr>
        <w:trPr>
          <w:trHeight w:val="176"/>
        </w:trPr>
        <w:tc>
          <w:tcPr>
            <w:tcW w:w="7740" w:type="dxa"/>
            <w:vAlign w:val="bottom"/>
            <w:gridSpan w:val="2"/>
            <w:shd w:val="clear" w:color="auto" w:fill="CCECFF"/>
          </w:tcPr>
          <w:p>
            <w:pPr>
              <w:ind w:left="380"/>
              <w:spacing w:after="0"/>
              <w:rPr>
                <w:sz w:val="20"/>
                <w:szCs w:val="20"/>
                <w:color w:val="auto"/>
              </w:rPr>
            </w:pPr>
            <w:r>
              <w:rPr>
                <w:rFonts w:ascii="Arial" w:cs="Arial" w:eastAsia="Arial" w:hAnsi="Arial"/>
                <w:sz w:val="14"/>
                <w:szCs w:val="14"/>
                <w:color w:val="auto"/>
              </w:rPr>
              <w:t>Borrowings</w:t>
            </w:r>
          </w:p>
        </w:tc>
        <w:tc>
          <w:tcPr>
            <w:tcW w:w="360" w:type="dxa"/>
            <w:vAlign w:val="bottom"/>
            <w:shd w:val="clear" w:color="auto" w:fill="CCECFF"/>
          </w:tcPr>
          <w:p>
            <w:pPr>
              <w:spacing w:after="0"/>
              <w:rPr>
                <w:sz w:val="15"/>
                <w:szCs w:val="15"/>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147,254</w:t>
            </w:r>
          </w:p>
        </w:tc>
        <w:tc>
          <w:tcPr>
            <w:tcW w:w="280" w:type="dxa"/>
            <w:vAlign w:val="bottom"/>
            <w:shd w:val="clear" w:color="auto" w:fill="CCECFF"/>
          </w:tcPr>
          <w:p>
            <w:pPr>
              <w:spacing w:after="0"/>
              <w:rPr>
                <w:sz w:val="15"/>
                <w:szCs w:val="15"/>
                <w:color w:val="auto"/>
              </w:rPr>
            </w:pPr>
          </w:p>
        </w:tc>
        <w:tc>
          <w:tcPr>
            <w:tcW w:w="360" w:type="dxa"/>
            <w:vAlign w:val="bottom"/>
            <w:shd w:val="clear" w:color="auto" w:fill="CCECFF"/>
          </w:tcPr>
          <w:p>
            <w:pPr>
              <w:spacing w:after="0"/>
              <w:rPr>
                <w:sz w:val="15"/>
                <w:szCs w:val="15"/>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255,500</w:t>
            </w:r>
          </w:p>
        </w:tc>
        <w:tc>
          <w:tcPr>
            <w:tcW w:w="100" w:type="dxa"/>
            <w:vAlign w:val="bottom"/>
            <w:shd w:val="clear" w:color="auto" w:fill="CCECFF"/>
          </w:tcPr>
          <w:p>
            <w:pPr>
              <w:spacing w:after="0"/>
              <w:rPr>
                <w:sz w:val="15"/>
                <w:szCs w:val="15"/>
                <w:color w:val="auto"/>
              </w:rPr>
            </w:pPr>
          </w:p>
        </w:tc>
      </w:tr>
      <w:tr>
        <w:trPr>
          <w:trHeight w:val="175"/>
        </w:trPr>
        <w:tc>
          <w:tcPr>
            <w:tcW w:w="7740" w:type="dxa"/>
            <w:vAlign w:val="bottom"/>
            <w:gridSpan w:val="2"/>
          </w:tcPr>
          <w:p>
            <w:pPr>
              <w:ind w:left="380"/>
              <w:spacing w:after="0"/>
              <w:rPr>
                <w:sz w:val="20"/>
                <w:szCs w:val="20"/>
                <w:color w:val="auto"/>
              </w:rPr>
            </w:pPr>
            <w:r>
              <w:rPr>
                <w:rFonts w:ascii="Arial" w:cs="Arial" w:eastAsia="Arial" w:hAnsi="Arial"/>
                <w:sz w:val="14"/>
                <w:szCs w:val="14"/>
                <w:color w:val="auto"/>
              </w:rPr>
              <w:t>Repayments</w:t>
            </w:r>
          </w:p>
        </w:tc>
        <w:tc>
          <w:tcPr>
            <w:tcW w:w="360" w:type="dxa"/>
            <w:vAlign w:val="bottom"/>
          </w:tcPr>
          <w:p>
            <w:pPr>
              <w:spacing w:after="0"/>
              <w:rPr>
                <w:sz w:val="15"/>
                <w:szCs w:val="15"/>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(107,000 )</w:t>
            </w:r>
          </w:p>
        </w:tc>
        <w:tc>
          <w:tcPr>
            <w:tcW w:w="360" w:type="dxa"/>
            <w:vAlign w:val="bottom"/>
          </w:tcPr>
          <w:p>
            <w:pPr>
              <w:spacing w:after="0"/>
              <w:rPr>
                <w:sz w:val="15"/>
                <w:szCs w:val="15"/>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4"/>
                <w:szCs w:val="14"/>
                <w:color w:val="auto"/>
              </w:rPr>
              <w:t>(430,699 )</w:t>
            </w:r>
          </w:p>
        </w:tc>
      </w:tr>
      <w:tr>
        <w:trPr>
          <w:trHeight w:val="176"/>
        </w:trPr>
        <w:tc>
          <w:tcPr>
            <w:tcW w:w="7740" w:type="dxa"/>
            <w:vAlign w:val="bottom"/>
            <w:gridSpan w:val="2"/>
            <w:shd w:val="clear" w:color="auto" w:fill="CCECFF"/>
          </w:tcPr>
          <w:p>
            <w:pPr>
              <w:ind w:left="380"/>
              <w:spacing w:after="0"/>
              <w:rPr>
                <w:sz w:val="20"/>
                <w:szCs w:val="20"/>
                <w:color w:val="auto"/>
              </w:rPr>
            </w:pPr>
            <w:r>
              <w:rPr>
                <w:rFonts w:ascii="Arial" w:cs="Arial" w:eastAsia="Arial" w:hAnsi="Arial"/>
                <w:sz w:val="14"/>
                <w:szCs w:val="14"/>
                <w:color w:val="auto"/>
              </w:rPr>
              <w:t>Transfers in and/or out of Level 3</w:t>
            </w:r>
          </w:p>
        </w:tc>
        <w:tc>
          <w:tcPr>
            <w:tcW w:w="360" w:type="dxa"/>
            <w:vAlign w:val="bottom"/>
            <w:shd w:val="clear" w:color="auto" w:fill="CCECFF"/>
          </w:tcPr>
          <w:p>
            <w:pPr>
              <w:spacing w:after="0"/>
              <w:rPr>
                <w:sz w:val="15"/>
                <w:szCs w:val="15"/>
                <w:color w:val="auto"/>
              </w:rPr>
            </w:pPr>
          </w:p>
        </w:tc>
        <w:tc>
          <w:tcPr>
            <w:tcW w:w="1480" w:type="dxa"/>
            <w:vAlign w:val="bottom"/>
            <w:gridSpan w:val="2"/>
            <w:shd w:val="clear" w:color="auto" w:fill="CCECFF"/>
          </w:tcPr>
          <w:p>
            <w:pPr>
              <w:jc w:val="right"/>
              <w:ind w:right="30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CFF"/>
          </w:tcPr>
          <w:p>
            <w:pPr>
              <w:spacing w:after="0"/>
              <w:rPr>
                <w:sz w:val="15"/>
                <w:szCs w:val="15"/>
                <w:color w:val="auto"/>
              </w:rPr>
            </w:pPr>
          </w:p>
        </w:tc>
        <w:tc>
          <w:tcPr>
            <w:tcW w:w="1300" w:type="dxa"/>
            <w:vAlign w:val="bottom"/>
            <w:gridSpan w:val="2"/>
            <w:shd w:val="clear" w:color="auto" w:fill="CCECFF"/>
          </w:tcPr>
          <w:p>
            <w:pPr>
              <w:jc w:val="right"/>
              <w:ind w:right="120"/>
              <w:spacing w:after="0"/>
              <w:rPr>
                <w:sz w:val="20"/>
                <w:szCs w:val="20"/>
                <w:color w:val="auto"/>
              </w:rPr>
            </w:pPr>
            <w:r>
              <w:rPr>
                <w:rFonts w:ascii="Arial" w:cs="Arial" w:eastAsia="Arial" w:hAnsi="Arial"/>
                <w:sz w:val="14"/>
                <w:szCs w:val="14"/>
                <w:color w:val="auto"/>
              </w:rPr>
              <w:t>—</w:t>
            </w:r>
          </w:p>
        </w:tc>
      </w:tr>
      <w:tr>
        <w:trPr>
          <w:trHeight w:val="169"/>
        </w:trPr>
        <w:tc>
          <w:tcPr>
            <w:tcW w:w="7740" w:type="dxa"/>
            <w:vAlign w:val="bottom"/>
            <w:tcBorders>
              <w:top w:val="single" w:sz="8" w:color="CCECFF"/>
            </w:tcBorders>
            <w:gridSpan w:val="2"/>
          </w:tcPr>
          <w:p>
            <w:pPr>
              <w:ind w:left="20"/>
              <w:spacing w:after="0"/>
              <w:rPr>
                <w:sz w:val="20"/>
                <w:szCs w:val="20"/>
                <w:color w:val="auto"/>
              </w:rPr>
            </w:pPr>
            <w:r>
              <w:rPr>
                <w:rFonts w:ascii="Arial" w:cs="Arial" w:eastAsia="Arial" w:hAnsi="Arial"/>
                <w:sz w:val="14"/>
                <w:szCs w:val="14"/>
                <w:color w:val="auto"/>
              </w:rPr>
              <w:t>Ending Balance (cost – $259,277 and $133,400, respectively)</w:t>
            </w:r>
          </w:p>
        </w:tc>
        <w:tc>
          <w:tcPr>
            <w:tcW w:w="36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253,443</w:t>
            </w:r>
          </w:p>
        </w:tc>
        <w:tc>
          <w:tcPr>
            <w:tcW w:w="280" w:type="dxa"/>
            <w:vAlign w:val="bottom"/>
            <w:tcBorders>
              <w:top w:val="single" w:sz="8" w:color="CCECFF"/>
            </w:tcBorders>
          </w:tcPr>
          <w:p>
            <w:pPr>
              <w:spacing w:after="0"/>
              <w:rPr>
                <w:sz w:val="14"/>
                <w:szCs w:val="14"/>
                <w:color w:val="auto"/>
              </w:rPr>
            </w:pPr>
          </w:p>
        </w:tc>
        <w:tc>
          <w:tcPr>
            <w:tcW w:w="36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133,066</w:t>
            </w:r>
          </w:p>
        </w:tc>
        <w:tc>
          <w:tcPr>
            <w:tcW w:w="100" w:type="dxa"/>
            <w:vAlign w:val="bottom"/>
            <w:tcBorders>
              <w:top w:val="single" w:sz="8" w:color="CCECFF"/>
            </w:tcBorders>
          </w:tcPr>
          <w:p>
            <w:pPr>
              <w:spacing w:after="0"/>
              <w:rPr>
                <w:sz w:val="14"/>
                <w:szCs w:val="14"/>
                <w:color w:val="auto"/>
              </w:rPr>
            </w:pPr>
          </w:p>
        </w:tc>
      </w:tr>
      <w:tr>
        <w:trPr>
          <w:trHeight w:val="20"/>
        </w:trPr>
        <w:tc>
          <w:tcPr>
            <w:tcW w:w="7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-142240</wp:posOffset>
            </wp:positionV>
            <wp:extent cx="68580" cy="571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-142240</wp:posOffset>
            </wp:positionV>
            <wp:extent cx="68580" cy="571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64" w:lineRule="exact"/>
        <w:rPr>
          <w:sz w:val="20"/>
          <w:szCs w:val="20"/>
          <w:color w:val="auto"/>
        </w:rPr>
      </w:pPr>
    </w:p>
    <w:p>
      <w:pPr>
        <w:ind w:right="160" w:firstLine="449"/>
        <w:spacing w:after="0" w:line="256" w:lineRule="auto"/>
        <w:rPr>
          <w:sz w:val="20"/>
          <w:szCs w:val="20"/>
          <w:color w:val="auto"/>
        </w:rPr>
      </w:pPr>
      <w:r>
        <w:rPr>
          <w:rFonts w:ascii="Arial" w:cs="Arial" w:eastAsia="Arial" w:hAnsi="Arial"/>
          <w:sz w:val="14"/>
          <w:szCs w:val="14"/>
          <w:color w:val="auto"/>
        </w:rPr>
        <w:t>As of June 30, 2022, we had outstanding non-U.S. dollar borrowings on our Credit Facility. Net change in fair value from currency translation on outstanding borrowings is listed below ($ in thousands):</w:t>
      </w:r>
    </w:p>
    <w:tbl>
      <w:tblPr>
        <w:tblLayout w:type="fixed"/>
        <w:tblInd w:w="0" w:type="dxa"/>
        <w:tblCellMar>
          <w:top w:w="0" w:type="dxa"/>
          <w:left w:w="0" w:type="dxa"/>
          <w:bottom w:w="0" w:type="dxa"/>
          <w:right w:w="0" w:type="dxa"/>
        </w:tblCellMar>
      </w:tblPr>
      <w:tr>
        <w:trPr>
          <w:trHeight w:val="139"/>
        </w:trPr>
        <w:tc>
          <w:tcPr>
            <w:tcW w:w="35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Foreign Currency</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center"/>
              <w:ind w:right="148"/>
              <w:spacing w:after="0" w:line="139" w:lineRule="exact"/>
              <w:rPr>
                <w:sz w:val="20"/>
                <w:szCs w:val="20"/>
                <w:color w:val="auto"/>
              </w:rPr>
            </w:pPr>
            <w:r>
              <w:rPr>
                <w:rFonts w:ascii="Arial" w:cs="Arial" w:eastAsia="Arial" w:hAnsi="Arial"/>
                <w:sz w:val="14"/>
                <w:szCs w:val="14"/>
                <w:b w:val="1"/>
                <w:bCs w:val="1"/>
                <w:color w:val="auto"/>
                <w:w w:val="98"/>
              </w:rPr>
              <w:t>Amount</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w w:val="95"/>
              </w:rPr>
              <w:t>Borrowing Cost</w:t>
            </w:r>
          </w:p>
        </w:tc>
        <w:tc>
          <w:tcPr>
            <w:tcW w:w="260" w:type="dxa"/>
            <w:vAlign w:val="bottom"/>
          </w:tcPr>
          <w:p>
            <w:pPr>
              <w:spacing w:after="0"/>
              <w:rPr>
                <w:sz w:val="12"/>
                <w:szCs w:val="12"/>
                <w:color w:val="auto"/>
              </w:rPr>
            </w:pPr>
          </w:p>
        </w:tc>
        <w:tc>
          <w:tcPr>
            <w:tcW w:w="128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Current Value</w:t>
            </w:r>
          </w:p>
        </w:tc>
        <w:tc>
          <w:tcPr>
            <w:tcW w:w="240" w:type="dxa"/>
            <w:vAlign w:val="bottom"/>
          </w:tcPr>
          <w:p>
            <w:pPr>
              <w:spacing w:after="0"/>
              <w:rPr>
                <w:sz w:val="12"/>
                <w:szCs w:val="12"/>
                <w:color w:val="auto"/>
              </w:rPr>
            </w:pPr>
          </w:p>
        </w:tc>
        <w:tc>
          <w:tcPr>
            <w:tcW w:w="13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Reset Date</w:t>
            </w:r>
          </w:p>
        </w:tc>
        <w:tc>
          <w:tcPr>
            <w:tcW w:w="120" w:type="dxa"/>
            <w:vAlign w:val="bottom"/>
          </w:tcPr>
          <w:p>
            <w:pPr>
              <w:spacing w:after="0"/>
              <w:rPr>
                <w:sz w:val="12"/>
                <w:szCs w:val="12"/>
                <w:color w:val="auto"/>
              </w:rPr>
            </w:pPr>
          </w:p>
        </w:tc>
        <w:tc>
          <w:tcPr>
            <w:tcW w:w="1400" w:type="dxa"/>
            <w:vAlign w:val="bottom"/>
            <w:gridSpan w:val="2"/>
          </w:tcPr>
          <w:p>
            <w:pPr>
              <w:jc w:val="center"/>
              <w:ind w:right="28"/>
              <w:spacing w:after="0" w:line="139" w:lineRule="exact"/>
              <w:rPr>
                <w:sz w:val="20"/>
                <w:szCs w:val="20"/>
                <w:color w:val="auto"/>
              </w:rPr>
            </w:pPr>
            <w:r>
              <w:rPr>
                <w:rFonts w:ascii="Arial" w:cs="Arial" w:eastAsia="Arial" w:hAnsi="Arial"/>
                <w:sz w:val="14"/>
                <w:szCs w:val="14"/>
                <w:b w:val="1"/>
                <w:bCs w:val="1"/>
                <w:color w:val="auto"/>
                <w:w w:val="96"/>
              </w:rPr>
              <w:t>Change in Fair</w:t>
            </w:r>
          </w:p>
        </w:tc>
        <w:tc>
          <w:tcPr>
            <w:tcW w:w="0" w:type="dxa"/>
            <w:vAlign w:val="bottom"/>
          </w:tcPr>
          <w:p>
            <w:pPr>
              <w:spacing w:after="0"/>
              <w:rPr>
                <w:sz w:val="1"/>
                <w:szCs w:val="1"/>
                <w:color w:val="auto"/>
              </w:rPr>
            </w:pPr>
          </w:p>
        </w:tc>
      </w:tr>
      <w:tr>
        <w:trPr>
          <w:trHeight w:val="185"/>
        </w:trPr>
        <w:tc>
          <w:tcPr>
            <w:tcW w:w="35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center"/>
              <w:ind w:right="148"/>
              <w:spacing w:after="0"/>
              <w:rPr>
                <w:sz w:val="20"/>
                <w:szCs w:val="20"/>
                <w:color w:val="auto"/>
              </w:rPr>
            </w:pPr>
            <w:r>
              <w:rPr>
                <w:rFonts w:ascii="Arial" w:cs="Arial" w:eastAsia="Arial" w:hAnsi="Arial"/>
                <w:sz w:val="14"/>
                <w:szCs w:val="14"/>
                <w:b w:val="1"/>
                <w:bCs w:val="1"/>
                <w:color w:val="auto"/>
                <w:w w:val="91"/>
              </w:rPr>
              <w:t>Borrowed</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center"/>
              <w:ind w:right="28"/>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69"/>
        </w:trPr>
        <w:tc>
          <w:tcPr>
            <w:tcW w:w="3580" w:type="dxa"/>
            <w:vAlign w:val="bottom"/>
            <w:tcBorders>
              <w:top w:val="single" w:sz="8" w:color="auto"/>
            </w:tcBorders>
            <w:shd w:val="clear" w:color="auto" w:fill="CCECFF"/>
          </w:tcPr>
          <w:p>
            <w:pPr>
              <w:ind w:left="20"/>
              <w:spacing w:after="0"/>
              <w:rPr>
                <w:sz w:val="20"/>
                <w:szCs w:val="20"/>
                <w:color w:val="auto"/>
              </w:rPr>
            </w:pPr>
            <w:r>
              <w:rPr>
                <w:rFonts w:ascii="Arial" w:cs="Arial" w:eastAsia="Arial" w:hAnsi="Arial"/>
                <w:sz w:val="14"/>
                <w:szCs w:val="14"/>
                <w:color w:val="auto"/>
              </w:rPr>
              <w:t>Australian Dollar</w:t>
            </w:r>
          </w:p>
        </w:tc>
        <w:tc>
          <w:tcPr>
            <w:tcW w:w="120" w:type="dxa"/>
            <w:vAlign w:val="bottom"/>
            <w:shd w:val="clear" w:color="auto" w:fill="CCECFF"/>
          </w:tcPr>
          <w:p>
            <w:pPr>
              <w:spacing w:after="0"/>
              <w:rPr>
                <w:sz w:val="14"/>
                <w:szCs w:val="14"/>
                <w:color w:val="auto"/>
              </w:rPr>
            </w:pPr>
          </w:p>
        </w:tc>
        <w:tc>
          <w:tcPr>
            <w:tcW w:w="220" w:type="dxa"/>
            <w:vAlign w:val="bottom"/>
            <w:tcBorders>
              <w:top w:val="single" w:sz="8" w:color="auto"/>
            </w:tcBorders>
            <w:shd w:val="clear" w:color="auto" w:fill="CCECFF"/>
          </w:tcPr>
          <w:p>
            <w:pPr>
              <w:jc w:val="right"/>
              <w:ind w:right="4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10,000</w:t>
            </w:r>
          </w:p>
        </w:tc>
        <w:tc>
          <w:tcPr>
            <w:tcW w:w="260" w:type="dxa"/>
            <w:vAlign w:val="bottom"/>
            <w:shd w:val="clear" w:color="auto" w:fill="CCECFF"/>
          </w:tcPr>
          <w:p>
            <w:pPr>
              <w:spacing w:after="0"/>
              <w:rPr>
                <w:sz w:val="14"/>
                <w:szCs w:val="14"/>
                <w:color w:val="auto"/>
              </w:rPr>
            </w:pPr>
          </w:p>
        </w:tc>
        <w:tc>
          <w:tcPr>
            <w:tcW w:w="14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7,254</w:t>
            </w:r>
          </w:p>
        </w:tc>
        <w:tc>
          <w:tcPr>
            <w:tcW w:w="260" w:type="dxa"/>
            <w:vAlign w:val="bottom"/>
            <w:shd w:val="clear" w:color="auto" w:fill="CCECFF"/>
          </w:tcPr>
          <w:p>
            <w:pPr>
              <w:spacing w:after="0"/>
              <w:rPr>
                <w:sz w:val="14"/>
                <w:szCs w:val="14"/>
                <w:color w:val="auto"/>
              </w:rPr>
            </w:pPr>
          </w:p>
        </w:tc>
        <w:tc>
          <w:tcPr>
            <w:tcW w:w="12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6,877</w:t>
            </w:r>
          </w:p>
        </w:tc>
        <w:tc>
          <w:tcPr>
            <w:tcW w:w="240" w:type="dxa"/>
            <w:vAlign w:val="bottom"/>
            <w:shd w:val="clear" w:color="auto" w:fill="CCECFF"/>
          </w:tcPr>
          <w:p>
            <w:pPr>
              <w:spacing w:after="0"/>
              <w:rPr>
                <w:sz w:val="14"/>
                <w:szCs w:val="14"/>
                <w:color w:val="auto"/>
              </w:rPr>
            </w:pPr>
          </w:p>
        </w:tc>
        <w:tc>
          <w:tcPr>
            <w:tcW w:w="1300" w:type="dxa"/>
            <w:vAlign w:val="bottom"/>
            <w:tcBorders>
              <w:top w:val="single" w:sz="8" w:color="auto"/>
            </w:tcBorders>
            <w:shd w:val="clear" w:color="auto" w:fill="CCECFF"/>
          </w:tcPr>
          <w:p>
            <w:pPr>
              <w:jc w:val="right"/>
              <w:ind w:right="328"/>
              <w:spacing w:after="0"/>
              <w:rPr>
                <w:sz w:val="20"/>
                <w:szCs w:val="20"/>
                <w:color w:val="auto"/>
              </w:rPr>
            </w:pPr>
            <w:r>
              <w:rPr>
                <w:rFonts w:ascii="Arial" w:cs="Arial" w:eastAsia="Arial" w:hAnsi="Arial"/>
                <w:sz w:val="14"/>
                <w:szCs w:val="14"/>
                <w:color w:val="auto"/>
              </w:rPr>
              <w:t>7/1/2022</w:t>
            </w:r>
          </w:p>
        </w:tc>
        <w:tc>
          <w:tcPr>
            <w:tcW w:w="120" w:type="dxa"/>
            <w:vAlign w:val="bottom"/>
            <w:shd w:val="clear" w:color="auto" w:fill="CCECFF"/>
          </w:tcPr>
          <w:p>
            <w:pPr>
              <w:spacing w:after="0"/>
              <w:rPr>
                <w:sz w:val="14"/>
                <w:szCs w:val="14"/>
                <w:color w:val="auto"/>
              </w:rPr>
            </w:pPr>
          </w:p>
        </w:tc>
        <w:tc>
          <w:tcPr>
            <w:tcW w:w="130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(377</w:t>
            </w:r>
          </w:p>
        </w:tc>
        <w:tc>
          <w:tcPr>
            <w:tcW w:w="100" w:type="dxa"/>
            <w:vAlign w:val="bottom"/>
            <w:shd w:val="clear" w:color="auto" w:fill="CCECFF"/>
          </w:tcPr>
          <w:p>
            <w:pPr>
              <w:jc w:val="right"/>
              <w:spacing w:after="0"/>
              <w:rPr>
                <w:sz w:val="20"/>
                <w:szCs w:val="20"/>
                <w:color w:val="auto"/>
              </w:rPr>
            </w:pPr>
            <w:r>
              <w:rPr>
                <w:rFonts w:ascii="Arial" w:cs="Arial" w:eastAsia="Arial" w:hAnsi="Arial"/>
                <w:sz w:val="14"/>
                <w:szCs w:val="14"/>
                <w:color w:val="auto"/>
                <w:w w:val="84"/>
              </w:rPr>
              <w:t>)</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As of September 30, 2021 we did not have any outstanding non-U.S. dollar borrowings on the Credit Facility.</w:t>
      </w:r>
    </w:p>
    <w:p>
      <w:pPr>
        <w:spacing w:after="0" w:line="204" w:lineRule="exact"/>
        <w:rPr>
          <w:sz w:val="20"/>
          <w:szCs w:val="20"/>
          <w:color w:val="auto"/>
        </w:rPr>
      </w:pPr>
    </w:p>
    <w:p>
      <w:pPr>
        <w:jc w:val="both"/>
        <w:ind w:firstLine="449"/>
        <w:spacing w:after="0" w:line="245" w:lineRule="auto"/>
        <w:rPr>
          <w:sz w:val="20"/>
          <w:szCs w:val="20"/>
          <w:color w:val="auto"/>
        </w:rPr>
      </w:pPr>
      <w:r>
        <w:rPr>
          <w:rFonts w:ascii="Arial" w:cs="Arial" w:eastAsia="Arial" w:hAnsi="Arial"/>
          <w:sz w:val="14"/>
          <w:szCs w:val="14"/>
          <w:color w:val="auto"/>
        </w:rPr>
        <w:t>Generally, the carrying value of our consolidated financial liabilities approximates fair value. We have adopted the principles under ASC Subtopic 825-10, Financial Instruments, or ASC 825-10, which provides companies with an option to report selected financial assets and liabilities at fair value, and made an irrevocable election to apply ASC 825-10 to our Credit Facility and the 2023 Notes. We elected to use the fair value option for our Credit Facility and the 2023 Notes to align the measurement attributes of both our assets and liabilities while mitigating volatility in earnings from using different measurement attributes. Due to that election and in accordance with GAAP, we did not incur any expenses relating to amendment costs on the Credit Facility during both the three and nine months ended June 30, 2022 and 2021.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Statements of Assets and Liabilities and changes in fair value of the Credit Facility and the 2023 Notes are reported in our Consolidated Statements of Operations. We elected not to apply ASC 825-10 to any other financial assets or liabilities, including our 2026 Notes and the 2031 Asset-Backed Debt.</w:t>
      </w:r>
    </w:p>
    <w:p>
      <w:pPr>
        <w:spacing w:after="0" w:line="181" w:lineRule="exact"/>
        <w:rPr>
          <w:sz w:val="20"/>
          <w:szCs w:val="20"/>
          <w:color w:val="auto"/>
        </w:rPr>
      </w:pPr>
    </w:p>
    <w:p>
      <w:pPr>
        <w:jc w:val="both"/>
        <w:ind w:firstLine="449"/>
        <w:spacing w:after="0" w:line="249" w:lineRule="auto"/>
        <w:rPr>
          <w:sz w:val="20"/>
          <w:szCs w:val="20"/>
          <w:color w:val="auto"/>
        </w:rPr>
      </w:pPr>
      <w:r>
        <w:rPr>
          <w:rFonts w:ascii="Arial" w:cs="Arial" w:eastAsia="Arial" w:hAnsi="Arial"/>
          <w:sz w:val="14"/>
          <w:szCs w:val="14"/>
          <w:color w:val="auto"/>
        </w:rPr>
        <w:t>For the three and nine months ended June 30, 2022, the Credit Facility and the 2023 Notes had a net change in unrealized depreciation of less than $0.1 million and $1.3 million, respectively. For the three and nine months ended June 30, 2021, the Credit Facility and the 2023 Notes had a net change in unrealized depreciation (appreciation) of $3.2 million and $(11.3) million, respectively. As of June 30, 2022 and September 30, 2021, the net unrealized depreciation on the Credit Facility and the 2023 Notes totaled $8.5 million and $7.2 million, respectively. We use a nationally recognized independent valuation service to measure the fair value of the Credit Facility in a manner consistent with the valuation process that our board of directors uses to value our investments. Our 2023 Notes trade on the TASE and we use the closing price on the exchange to determine the fair value.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June 30, 2022</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 TRANSACTIONS WITH AFFILIATED COMPANIES</w:t>
      </w:r>
    </w:p>
    <w:p>
      <w:pPr>
        <w:spacing w:after="0" w:line="208" w:lineRule="exact"/>
        <w:rPr>
          <w:sz w:val="20"/>
          <w:szCs w:val="20"/>
          <w:color w:val="auto"/>
        </w:rPr>
      </w:pPr>
    </w:p>
    <w:p>
      <w:pPr>
        <w:jc w:val="both"/>
        <w:ind w:firstLine="449"/>
        <w:spacing w:after="0" w:line="257" w:lineRule="auto"/>
        <w:rPr>
          <w:sz w:val="20"/>
          <w:szCs w:val="20"/>
          <w:color w:val="auto"/>
        </w:rPr>
      </w:pPr>
      <w:r>
        <w:rPr>
          <w:rFonts w:ascii="Arial" w:cs="Arial" w:eastAsia="Arial" w:hAnsi="Arial"/>
          <w:sz w:val="14"/>
          <w:szCs w:val="14"/>
          <w:color w:val="auto"/>
        </w:rPr>
        <w:t>An affiliated portfolio company is a company in which we have ownership of 5% or more of its voting securities. A portfolio company is generally presumed to be a non-controlled affiliate when we own at least 5% but less than 25% of its voting securities and a controlled affiliate generally when we own more than 25% of its voting securities. Transactions related to our funded investments with both controlled and non-controlled affiliates for the nine months ended June 30, 2022 were as follows ($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Fair Value at</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Sale of/</w:t>
            </w:r>
          </w:p>
        </w:tc>
        <w:tc>
          <w:tcPr>
            <w:tcW w:w="12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3"/>
              </w:rPr>
              <w:t>Net Change in</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Dividend/</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Gross</w:t>
            </w:r>
          </w:p>
        </w:tc>
        <w:tc>
          <w:tcPr>
            <w:tcW w:w="1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Unrealized</w:t>
            </w:r>
          </w:p>
        </w:tc>
        <w:tc>
          <w:tcPr>
            <w:tcW w:w="100" w:type="dxa"/>
            <w:vAlign w:val="bottom"/>
          </w:tcPr>
          <w:p>
            <w:pPr>
              <w:spacing w:after="0"/>
              <w:rPr>
                <w:sz w:val="12"/>
                <w:szCs w:val="12"/>
                <w:color w:val="auto"/>
              </w:rPr>
            </w:pPr>
          </w:p>
        </w:tc>
        <w:tc>
          <w:tcPr>
            <w:tcW w:w="110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Fair Value at</w:t>
            </w: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Net Realized</w:t>
            </w:r>
          </w:p>
        </w:tc>
        <w:tc>
          <w:tcPr>
            <w:tcW w:w="0" w:type="dxa"/>
            <w:vAlign w:val="bottom"/>
          </w:tcPr>
          <w:p>
            <w:pPr>
              <w:spacing w:after="0"/>
              <w:rPr>
                <w:sz w:val="1"/>
                <w:szCs w:val="1"/>
                <w:color w:val="auto"/>
              </w:rPr>
            </w:pPr>
          </w:p>
        </w:tc>
      </w:tr>
      <w:tr>
        <w:trPr>
          <w:trHeight w:val="148"/>
        </w:trPr>
        <w:tc>
          <w:tcPr>
            <w:tcW w:w="22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 of Investment</w:t>
            </w:r>
          </w:p>
        </w:tc>
        <w:tc>
          <w:tcPr>
            <w:tcW w:w="1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Distribution</w:t>
            </w:r>
          </w:p>
        </w:tc>
        <w:tc>
          <w:tcPr>
            <w:tcW w:w="12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10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Interest Income</w:t>
            </w:r>
          </w:p>
        </w:tc>
        <w:tc>
          <w:tcPr>
            <w:tcW w:w="1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200" w:type="dxa"/>
            <w:vAlign w:val="bottom"/>
            <w:vMerge w:val="continue"/>
          </w:tcPr>
          <w:p>
            <w:pPr>
              <w:spacing w:after="0"/>
              <w:rPr>
                <w:sz w:val="16"/>
                <w:szCs w:val="16"/>
                <w:color w:val="auto"/>
              </w:rPr>
            </w:pPr>
          </w:p>
        </w:tc>
        <w:tc>
          <w:tcPr>
            <w:tcW w:w="1160" w:type="dxa"/>
            <w:vAlign w:val="bottom"/>
            <w:gridSpan w:val="2"/>
          </w:tcPr>
          <w:p>
            <w:pPr>
              <w:jc w:val="center"/>
              <w:ind w:left="48"/>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Pr>
          <w:p>
            <w:pPr>
              <w:spacing w:after="0"/>
              <w:rPr>
                <w:sz w:val="16"/>
                <w:szCs w:val="16"/>
                <w:color w:val="auto"/>
              </w:rPr>
            </w:pPr>
          </w:p>
        </w:tc>
        <w:tc>
          <w:tcPr>
            <w:tcW w:w="980" w:type="dxa"/>
            <w:vAlign w:val="bottom"/>
          </w:tcPr>
          <w:p>
            <w:pPr>
              <w:jc w:val="right"/>
              <w:ind w:right="108"/>
              <w:spacing w:after="0"/>
              <w:rPr>
                <w:sz w:val="20"/>
                <w:szCs w:val="20"/>
                <w:color w:val="auto"/>
              </w:rPr>
            </w:pPr>
            <w:r>
              <w:rPr>
                <w:rFonts w:ascii="Arial" w:cs="Arial" w:eastAsia="Arial" w:hAnsi="Arial"/>
                <w:sz w:val="14"/>
                <w:szCs w:val="14"/>
                <w:b w:val="1"/>
                <w:bCs w:val="1"/>
                <w:color w:val="auto"/>
              </w:rPr>
              <w:t>Additions</w:t>
            </w:r>
          </w:p>
        </w:tc>
        <w:tc>
          <w:tcPr>
            <w:tcW w:w="12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5"/>
              </w:rPr>
              <w:t>from Affiliates</w:t>
            </w:r>
          </w:p>
        </w:tc>
        <w:tc>
          <w:tcPr>
            <w:tcW w:w="12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3"/>
              </w:rPr>
              <w:t>(Depreciation)</w:t>
            </w:r>
          </w:p>
        </w:tc>
        <w:tc>
          <w:tcPr>
            <w:tcW w:w="100" w:type="dxa"/>
            <w:vAlign w:val="bottom"/>
          </w:tcPr>
          <w:p>
            <w:pPr>
              <w:spacing w:after="0"/>
              <w:rPr>
                <w:sz w:val="16"/>
                <w:szCs w:val="16"/>
                <w:color w:val="auto"/>
              </w:rPr>
            </w:pPr>
          </w:p>
        </w:tc>
        <w:tc>
          <w:tcPr>
            <w:tcW w:w="1100" w:type="dxa"/>
            <w:vAlign w:val="bottom"/>
          </w:tcPr>
          <w:p>
            <w:pPr>
              <w:ind w:left="140"/>
              <w:spacing w:after="0"/>
              <w:rPr>
                <w:sz w:val="20"/>
                <w:szCs w:val="20"/>
                <w:color w:val="auto"/>
              </w:rPr>
            </w:pPr>
            <w:r>
              <w:rPr>
                <w:rFonts w:ascii="Arial" w:cs="Arial" w:eastAsia="Arial" w:hAnsi="Arial"/>
                <w:sz w:val="14"/>
                <w:szCs w:val="14"/>
                <w:b w:val="1"/>
                <w:bCs w:val="1"/>
                <w:color w:val="auto"/>
              </w:rPr>
              <w:t>June 30, 2022</w:t>
            </w:r>
          </w:p>
        </w:tc>
        <w:tc>
          <w:tcPr>
            <w:tcW w:w="1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3"/>
              </w:rPr>
              <w:t>Income</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w w:val="93"/>
              </w:rPr>
              <w:t>Gains (Losses)</w:t>
            </w:r>
          </w:p>
        </w:tc>
        <w:tc>
          <w:tcPr>
            <w:tcW w:w="0" w:type="dxa"/>
            <w:vAlign w:val="bottom"/>
          </w:tcPr>
          <w:p>
            <w:pPr>
              <w:spacing w:after="0"/>
              <w:rPr>
                <w:sz w:val="1"/>
                <w:szCs w:val="1"/>
                <w:color w:val="auto"/>
              </w:rPr>
            </w:pPr>
          </w:p>
        </w:tc>
      </w:tr>
      <w:tr>
        <w:trPr>
          <w:trHeight w:val="169"/>
        </w:trPr>
        <w:tc>
          <w:tcPr>
            <w:tcW w:w="2200" w:type="dxa"/>
            <w:vAlign w:val="bottom"/>
            <w:tcBorders>
              <w:top w:val="single" w:sz="8" w:color="auto"/>
            </w:tcBorders>
            <w:shd w:val="clear" w:color="auto" w:fill="CCECFF"/>
          </w:tcPr>
          <w:p>
            <w:pPr>
              <w:ind w:left="20"/>
              <w:spacing w:after="0"/>
              <w:rPr>
                <w:sz w:val="20"/>
                <w:szCs w:val="20"/>
                <w:color w:val="auto"/>
              </w:rPr>
            </w:pPr>
            <w:r>
              <w:rPr>
                <w:rFonts w:ascii="Arial" w:cs="Arial" w:eastAsia="Arial" w:hAnsi="Arial"/>
                <w:sz w:val="14"/>
                <w:szCs w:val="14"/>
                <w:b w:val="1"/>
                <w:bCs w:val="1"/>
                <w:color w:val="auto"/>
              </w:rPr>
              <w:t>Non-Controlled Affiliates</w:t>
            </w:r>
          </w:p>
        </w:tc>
        <w:tc>
          <w:tcPr>
            <w:tcW w:w="100" w:type="dxa"/>
            <w:vAlign w:val="bottom"/>
            <w:shd w:val="clear" w:color="auto" w:fill="CCECFF"/>
          </w:tcPr>
          <w:p>
            <w:pPr>
              <w:spacing w:after="0"/>
              <w:rPr>
                <w:sz w:val="14"/>
                <w:szCs w:val="14"/>
                <w:color w:val="auto"/>
              </w:rPr>
            </w:pPr>
          </w:p>
        </w:tc>
        <w:tc>
          <w:tcPr>
            <w:tcW w:w="1060" w:type="dxa"/>
            <w:vAlign w:val="bottom"/>
            <w:tcBorders>
              <w:top w:val="single" w:sz="8" w:color="auto"/>
            </w:tcBorders>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980" w:type="dxa"/>
            <w:vAlign w:val="bottom"/>
            <w:tcBorders>
              <w:top w:val="single" w:sz="8" w:color="auto"/>
            </w:tcBorders>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080" w:type="dxa"/>
            <w:vAlign w:val="bottom"/>
            <w:tcBorders>
              <w:top w:val="single" w:sz="8" w:color="auto"/>
            </w:tcBorders>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100" w:type="dxa"/>
            <w:vAlign w:val="bottom"/>
            <w:tcBorders>
              <w:top w:val="single" w:sz="8" w:color="auto"/>
            </w:tcBorders>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100" w:type="dxa"/>
            <w:vAlign w:val="bottom"/>
            <w:tcBorders>
              <w:top w:val="single" w:sz="8" w:color="auto"/>
            </w:tcBorders>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020" w:type="dxa"/>
            <w:vAlign w:val="bottom"/>
            <w:tcBorders>
              <w:top w:val="single" w:sz="8" w:color="auto"/>
            </w:tcBorders>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820" w:type="dxa"/>
            <w:vAlign w:val="bottom"/>
            <w:tcBorders>
              <w:top w:val="single" w:sz="8" w:color="auto"/>
            </w:tcBorders>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020" w:type="dxa"/>
            <w:vAlign w:val="bottom"/>
            <w:tcBorders>
              <w:top w:val="single" w:sz="8" w:color="auto"/>
            </w:tcBorders>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200" w:type="dxa"/>
            <w:vAlign w:val="bottom"/>
          </w:tcPr>
          <w:p>
            <w:pPr>
              <w:ind w:left="20"/>
              <w:spacing w:after="0"/>
              <w:rPr>
                <w:sz w:val="20"/>
                <w:szCs w:val="20"/>
                <w:color w:val="auto"/>
              </w:rPr>
            </w:pPr>
            <w:r>
              <w:rPr>
                <w:rFonts w:ascii="Arial" w:cs="Arial" w:eastAsia="Arial" w:hAnsi="Arial"/>
                <w:sz w:val="14"/>
                <w:szCs w:val="14"/>
                <w:color w:val="auto"/>
              </w:rPr>
              <w:t>DBI Holding, LLC</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$7,433</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$(22,380)</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$14,947</w:t>
            </w: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$112</w:t>
            </w: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$(22,380)</w:t>
            </w:r>
          </w:p>
        </w:tc>
        <w:tc>
          <w:tcPr>
            <w:tcW w:w="0" w:type="dxa"/>
            <w:vAlign w:val="bottom"/>
          </w:tcPr>
          <w:p>
            <w:pPr>
              <w:spacing w:after="0"/>
              <w:rPr>
                <w:sz w:val="1"/>
                <w:szCs w:val="1"/>
                <w:color w:val="auto"/>
              </w:rPr>
            </w:pPr>
          </w:p>
        </w:tc>
      </w:tr>
      <w:tr>
        <w:trPr>
          <w:trHeight w:val="143"/>
        </w:trPr>
        <w:tc>
          <w:tcPr>
            <w:tcW w:w="2200" w:type="dxa"/>
            <w:vAlign w:val="bottom"/>
            <w:shd w:val="clear" w:color="auto" w:fill="CCECFF"/>
          </w:tcPr>
          <w:p>
            <w:pPr>
              <w:ind w:left="20"/>
              <w:spacing w:after="0" w:line="143" w:lineRule="exact"/>
              <w:rPr>
                <w:sz w:val="20"/>
                <w:szCs w:val="20"/>
                <w:color w:val="auto"/>
              </w:rPr>
            </w:pPr>
            <w:r>
              <w:rPr>
                <w:rFonts w:ascii="Arial" w:cs="Arial" w:eastAsia="Arial" w:hAnsi="Arial"/>
                <w:sz w:val="14"/>
                <w:szCs w:val="14"/>
                <w:color w:val="auto"/>
              </w:rPr>
              <w:t>Country Fresh Holding</w:t>
            </w:r>
          </w:p>
        </w:tc>
        <w:tc>
          <w:tcPr>
            <w:tcW w:w="100" w:type="dxa"/>
            <w:vAlign w:val="bottom"/>
            <w:shd w:val="clear" w:color="auto" w:fill="CCECFF"/>
          </w:tcPr>
          <w:p>
            <w:pPr>
              <w:spacing w:after="0"/>
              <w:rPr>
                <w:sz w:val="12"/>
                <w:szCs w:val="12"/>
                <w:color w:val="auto"/>
              </w:rPr>
            </w:pPr>
          </w:p>
        </w:tc>
        <w:tc>
          <w:tcPr>
            <w:tcW w:w="10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9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0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0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20" w:type="dxa"/>
            <w:vAlign w:val="bottom"/>
            <w:shd w:val="clear" w:color="auto" w:fill="CCECFF"/>
          </w:tcPr>
          <w:p>
            <w:pPr>
              <w:spacing w:after="0"/>
              <w:rPr>
                <w:sz w:val="12"/>
                <w:szCs w:val="12"/>
                <w:color w:val="auto"/>
              </w:rPr>
            </w:pPr>
          </w:p>
        </w:tc>
        <w:tc>
          <w:tcPr>
            <w:tcW w:w="1120" w:type="dxa"/>
            <w:vAlign w:val="bottom"/>
            <w:gridSpan w:val="2"/>
            <w:shd w:val="clear" w:color="auto" w:fill="CCECFF"/>
          </w:tcPr>
          <w:p>
            <w:pPr>
              <w:jc w:val="right"/>
              <w:spacing w:after="0" w:line="143"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81"/>
        </w:trPr>
        <w:tc>
          <w:tcPr>
            <w:tcW w:w="2200" w:type="dxa"/>
            <w:vAlign w:val="bottom"/>
            <w:tcBorders>
              <w:bottom w:val="single" w:sz="8" w:color="CCECFF"/>
            </w:tcBorders>
            <w:shd w:val="clear" w:color="auto" w:fill="CCECFF"/>
          </w:tcPr>
          <w:p>
            <w:pPr>
              <w:ind w:left="280"/>
              <w:spacing w:after="0"/>
              <w:rPr>
                <w:sz w:val="20"/>
                <w:szCs w:val="20"/>
                <w:color w:val="auto"/>
              </w:rPr>
            </w:pPr>
            <w:r>
              <w:rPr>
                <w:rFonts w:ascii="Arial" w:cs="Arial" w:eastAsia="Arial" w:hAnsi="Arial"/>
                <w:sz w:val="14"/>
                <w:szCs w:val="14"/>
                <w:color w:val="auto"/>
              </w:rPr>
              <w:t>Company Inc.</w:t>
            </w:r>
          </w:p>
        </w:tc>
        <w:tc>
          <w:tcPr>
            <w:tcW w:w="100" w:type="dxa"/>
            <w:vAlign w:val="bottom"/>
            <w:tcBorders>
              <w:bottom w:val="single" w:sz="8" w:color="CCECFF"/>
            </w:tcBorders>
            <w:shd w:val="clear" w:color="auto" w:fill="CCECFF"/>
          </w:tcPr>
          <w:p>
            <w:pPr>
              <w:spacing w:after="0"/>
              <w:rPr>
                <w:sz w:val="15"/>
                <w:szCs w:val="15"/>
                <w:color w:val="auto"/>
              </w:rPr>
            </w:pPr>
          </w:p>
        </w:tc>
        <w:tc>
          <w:tcPr>
            <w:tcW w:w="10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CFF"/>
            </w:tcBorders>
            <w:shd w:val="clear" w:color="auto" w:fill="CCECFF"/>
          </w:tcPr>
          <w:p>
            <w:pPr>
              <w:spacing w:after="0"/>
              <w:rPr>
                <w:sz w:val="15"/>
                <w:szCs w:val="15"/>
                <w:color w:val="auto"/>
              </w:rPr>
            </w:pPr>
          </w:p>
        </w:tc>
        <w:tc>
          <w:tcPr>
            <w:tcW w:w="9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CFF"/>
            </w:tcBorders>
            <w:shd w:val="clear" w:color="auto" w:fill="CCECFF"/>
          </w:tcPr>
          <w:p>
            <w:pPr>
              <w:spacing w:after="0"/>
              <w:rPr>
                <w:sz w:val="15"/>
                <w:szCs w:val="15"/>
                <w:color w:val="auto"/>
              </w:rPr>
            </w:pPr>
          </w:p>
        </w:tc>
        <w:tc>
          <w:tcPr>
            <w:tcW w:w="10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CFF"/>
            </w:tcBorders>
            <w:shd w:val="clear" w:color="auto" w:fill="CCECFF"/>
          </w:tcPr>
          <w:p>
            <w:pPr>
              <w:spacing w:after="0"/>
              <w:rPr>
                <w:sz w:val="15"/>
                <w:szCs w:val="15"/>
                <w:color w:val="auto"/>
              </w:rPr>
            </w:pPr>
          </w:p>
        </w:tc>
        <w:tc>
          <w:tcPr>
            <w:tcW w:w="11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CFF"/>
            </w:tcBorders>
            <w:shd w:val="clear" w:color="auto" w:fill="CCECFF"/>
          </w:tcPr>
          <w:p>
            <w:pPr>
              <w:spacing w:after="0"/>
              <w:rPr>
                <w:sz w:val="15"/>
                <w:szCs w:val="15"/>
                <w:color w:val="auto"/>
              </w:rPr>
            </w:pPr>
          </w:p>
        </w:tc>
        <w:tc>
          <w:tcPr>
            <w:tcW w:w="11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CFF"/>
            </w:tcBorders>
            <w:shd w:val="clear" w:color="auto" w:fill="CCECFF"/>
          </w:tcPr>
          <w:p>
            <w:pPr>
              <w:spacing w:after="0"/>
              <w:rPr>
                <w:sz w:val="15"/>
                <w:szCs w:val="15"/>
                <w:color w:val="auto"/>
              </w:rPr>
            </w:pPr>
          </w:p>
        </w:tc>
        <w:tc>
          <w:tcPr>
            <w:tcW w:w="10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CFF"/>
            </w:tcBorders>
            <w:shd w:val="clear" w:color="auto" w:fill="CCECFF"/>
          </w:tcPr>
          <w:p>
            <w:pPr>
              <w:spacing w:after="0"/>
              <w:rPr>
                <w:sz w:val="15"/>
                <w:szCs w:val="15"/>
                <w:color w:val="auto"/>
              </w:rPr>
            </w:pPr>
          </w:p>
        </w:tc>
        <w:tc>
          <w:tcPr>
            <w:tcW w:w="8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CFF"/>
            </w:tcBorders>
            <w:shd w:val="clear" w:color="auto" w:fill="CCECFF"/>
          </w:tcPr>
          <w:p>
            <w:pPr>
              <w:spacing w:after="0"/>
              <w:rPr>
                <w:sz w:val="15"/>
                <w:szCs w:val="15"/>
                <w:color w:val="auto"/>
              </w:rPr>
            </w:pPr>
          </w:p>
        </w:tc>
        <w:tc>
          <w:tcPr>
            <w:tcW w:w="10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37"/>
        </w:trPr>
        <w:tc>
          <w:tcPr>
            <w:tcW w:w="2200" w:type="dxa"/>
            <w:vAlign w:val="bottom"/>
          </w:tcPr>
          <w:p>
            <w:pPr>
              <w:ind w:left="60"/>
              <w:spacing w:after="0" w:line="137" w:lineRule="exact"/>
              <w:rPr>
                <w:sz w:val="20"/>
                <w:szCs w:val="20"/>
                <w:color w:val="auto"/>
              </w:rPr>
            </w:pPr>
            <w:r>
              <w:rPr>
                <w:rFonts w:ascii="Arial" w:cs="Arial" w:eastAsia="Arial" w:hAnsi="Arial"/>
                <w:sz w:val="14"/>
                <w:szCs w:val="14"/>
                <w:color w:val="auto"/>
              </w:rPr>
              <w:t>Total Non-Controlled</w:t>
            </w:r>
          </w:p>
        </w:tc>
        <w:tc>
          <w:tcPr>
            <w:tcW w:w="1160" w:type="dxa"/>
            <w:vAlign w:val="bottom"/>
            <w:gridSpan w:val="2"/>
            <w:vMerge w:val="restart"/>
          </w:tcPr>
          <w:p>
            <w:pPr>
              <w:jc w:val="right"/>
              <w:spacing w:after="0"/>
              <w:rPr>
                <w:sz w:val="20"/>
                <w:szCs w:val="20"/>
                <w:color w:val="auto"/>
              </w:rPr>
            </w:pPr>
            <w:r>
              <w:rPr>
                <w:rFonts w:ascii="Arial" w:cs="Arial" w:eastAsia="Arial" w:hAnsi="Arial"/>
                <w:sz w:val="14"/>
                <w:szCs w:val="14"/>
                <w:color w:val="auto"/>
              </w:rPr>
              <w:t>$7,433</w:t>
            </w:r>
          </w:p>
        </w:tc>
        <w:tc>
          <w:tcPr>
            <w:tcW w:w="12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vMerge w:val="restart"/>
          </w:tcPr>
          <w:p>
            <w:pPr>
              <w:jc w:val="right"/>
              <w:spacing w:after="0"/>
              <w:rPr>
                <w:sz w:val="20"/>
                <w:szCs w:val="20"/>
                <w:color w:val="auto"/>
              </w:rPr>
            </w:pPr>
            <w:r>
              <w:rPr>
                <w:rFonts w:ascii="Arial" w:cs="Arial" w:eastAsia="Arial" w:hAnsi="Arial"/>
                <w:sz w:val="14"/>
                <w:szCs w:val="14"/>
                <w:color w:val="auto"/>
              </w:rPr>
              <w:t>$(22,380)</w:t>
            </w:r>
          </w:p>
        </w:tc>
        <w:tc>
          <w:tcPr>
            <w:tcW w:w="1220" w:type="dxa"/>
            <w:vAlign w:val="bottom"/>
            <w:gridSpan w:val="2"/>
            <w:vMerge w:val="restart"/>
          </w:tcPr>
          <w:p>
            <w:pPr>
              <w:jc w:val="right"/>
              <w:spacing w:after="0"/>
              <w:rPr>
                <w:sz w:val="20"/>
                <w:szCs w:val="20"/>
                <w:color w:val="auto"/>
              </w:rPr>
            </w:pPr>
            <w:r>
              <w:rPr>
                <w:rFonts w:ascii="Arial" w:cs="Arial" w:eastAsia="Arial" w:hAnsi="Arial"/>
                <w:sz w:val="14"/>
                <w:szCs w:val="14"/>
                <w:color w:val="auto"/>
              </w:rPr>
              <w:t>$14,947</w:t>
            </w:r>
          </w:p>
        </w:tc>
        <w:tc>
          <w:tcPr>
            <w:tcW w:w="100" w:type="dxa"/>
            <w:vAlign w:val="bottom"/>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tcPr>
          <w:p>
            <w:pPr>
              <w:jc w:val="right"/>
              <w:spacing w:after="0"/>
              <w:rPr>
                <w:sz w:val="20"/>
                <w:szCs w:val="20"/>
                <w:color w:val="auto"/>
              </w:rPr>
            </w:pPr>
            <w:r>
              <w:rPr>
                <w:rFonts w:ascii="Arial" w:cs="Arial" w:eastAsia="Arial" w:hAnsi="Arial"/>
                <w:sz w:val="14"/>
                <w:szCs w:val="14"/>
                <w:color w:val="auto"/>
              </w:rPr>
              <w:t>$112</w:t>
            </w:r>
          </w:p>
        </w:tc>
        <w:tc>
          <w:tcPr>
            <w:tcW w:w="10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tcPr>
          <w:p>
            <w:pPr>
              <w:jc w:val="right"/>
              <w:spacing w:after="0"/>
              <w:rPr>
                <w:sz w:val="20"/>
                <w:szCs w:val="20"/>
                <w:color w:val="auto"/>
              </w:rPr>
            </w:pPr>
            <w:r>
              <w:rPr>
                <w:rFonts w:ascii="Arial" w:cs="Arial" w:eastAsia="Arial" w:hAnsi="Arial"/>
                <w:sz w:val="14"/>
                <w:szCs w:val="14"/>
                <w:color w:val="auto"/>
              </w:rPr>
              <w:t>$(22,315)</w:t>
            </w:r>
          </w:p>
        </w:tc>
        <w:tc>
          <w:tcPr>
            <w:tcW w:w="0" w:type="dxa"/>
            <w:vAlign w:val="bottom"/>
          </w:tcPr>
          <w:p>
            <w:pPr>
              <w:spacing w:after="0"/>
              <w:rPr>
                <w:sz w:val="1"/>
                <w:szCs w:val="1"/>
                <w:color w:val="auto"/>
              </w:rPr>
            </w:pPr>
          </w:p>
        </w:tc>
      </w:tr>
      <w:tr>
        <w:trPr>
          <w:trHeight w:val="140"/>
        </w:trPr>
        <w:tc>
          <w:tcPr>
            <w:tcW w:w="2200" w:type="dxa"/>
            <w:vAlign w:val="bottom"/>
          </w:tcPr>
          <w:p>
            <w:pPr>
              <w:ind w:left="120"/>
              <w:spacing w:after="0" w:line="121" w:lineRule="exact"/>
              <w:rPr>
                <w:sz w:val="20"/>
                <w:szCs w:val="20"/>
                <w:color w:val="auto"/>
              </w:rPr>
            </w:pPr>
            <w:r>
              <w:rPr>
                <w:rFonts w:ascii="Arial" w:cs="Arial" w:eastAsia="Arial" w:hAnsi="Arial"/>
                <w:sz w:val="13"/>
                <w:szCs w:val="13"/>
                <w:color w:val="auto"/>
              </w:rPr>
              <w:t>Affiliates</w:t>
            </w:r>
          </w:p>
        </w:tc>
        <w:tc>
          <w:tcPr>
            <w:tcW w:w="11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200" w:type="dxa"/>
            <w:vAlign w:val="bottom"/>
            <w:shd w:val="clear" w:color="auto" w:fill="CCECFF"/>
          </w:tcPr>
          <w:p>
            <w:pPr>
              <w:ind w:left="20"/>
              <w:spacing w:after="0" w:line="156" w:lineRule="exact"/>
              <w:rPr>
                <w:sz w:val="20"/>
                <w:szCs w:val="20"/>
                <w:color w:val="auto"/>
              </w:rPr>
            </w:pPr>
            <w:r>
              <w:rPr>
                <w:rFonts w:ascii="Arial" w:cs="Arial" w:eastAsia="Arial" w:hAnsi="Arial"/>
                <w:sz w:val="14"/>
                <w:szCs w:val="14"/>
                <w:b w:val="1"/>
                <w:bCs w:val="1"/>
                <w:color w:val="auto"/>
              </w:rPr>
              <w:t>Controlled Affiliates</w:t>
            </w:r>
          </w:p>
        </w:tc>
        <w:tc>
          <w:tcPr>
            <w:tcW w:w="100" w:type="dxa"/>
            <w:vAlign w:val="bottom"/>
            <w:shd w:val="clear" w:color="auto" w:fill="CCECFF"/>
          </w:tcPr>
          <w:p>
            <w:pPr>
              <w:spacing w:after="0"/>
              <w:rPr>
                <w:sz w:val="13"/>
                <w:szCs w:val="13"/>
                <w:color w:val="auto"/>
              </w:rPr>
            </w:pPr>
          </w:p>
        </w:tc>
        <w:tc>
          <w:tcPr>
            <w:tcW w:w="106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98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08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1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1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0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8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0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200" w:type="dxa"/>
            <w:vAlign w:val="bottom"/>
          </w:tcPr>
          <w:p>
            <w:pPr>
              <w:ind w:left="20"/>
              <w:spacing w:after="0"/>
              <w:rPr>
                <w:sz w:val="20"/>
                <w:szCs w:val="20"/>
                <w:color w:val="auto"/>
              </w:rPr>
            </w:pPr>
            <w:r>
              <w:rPr>
                <w:rFonts w:ascii="Arial" w:cs="Arial" w:eastAsia="Arial" w:hAnsi="Arial"/>
                <w:sz w:val="14"/>
                <w:szCs w:val="14"/>
                <w:color w:val="auto"/>
              </w:rPr>
              <w:t>Marketplace Events, LLC</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$31,649</w:t>
            </w: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$317</w:t>
            </w: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$882</w:t>
            </w: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$32,847</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$392</w:t>
            </w: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2200" w:type="dxa"/>
            <w:vAlign w:val="bottom"/>
            <w:shd w:val="clear" w:color="auto" w:fill="CCECFF"/>
          </w:tcPr>
          <w:p>
            <w:pPr>
              <w:ind w:left="20"/>
              <w:spacing w:after="0"/>
              <w:rPr>
                <w:sz w:val="20"/>
                <w:szCs w:val="20"/>
                <w:color w:val="auto"/>
              </w:rPr>
            </w:pPr>
            <w:r>
              <w:rPr>
                <w:rFonts w:ascii="Arial" w:cs="Arial" w:eastAsia="Arial" w:hAnsi="Arial"/>
                <w:sz w:val="14"/>
                <w:szCs w:val="14"/>
                <w:color w:val="auto"/>
              </w:rPr>
              <w:t>PennantPark Senior Secured</w:t>
            </w:r>
          </w:p>
        </w:tc>
        <w:tc>
          <w:tcPr>
            <w:tcW w:w="100" w:type="dxa"/>
            <w:vAlign w:val="bottom"/>
            <w:shd w:val="clear" w:color="auto" w:fill="CCECFF"/>
          </w:tcPr>
          <w:p>
            <w:pPr>
              <w:spacing w:after="0"/>
              <w:rPr>
                <w:sz w:val="15"/>
                <w:szCs w:val="15"/>
                <w:color w:val="auto"/>
              </w:rPr>
            </w:pPr>
          </w:p>
        </w:tc>
        <w:tc>
          <w:tcPr>
            <w:tcW w:w="106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98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108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110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110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102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82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102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200" w:type="dxa"/>
            <w:vAlign w:val="bottom"/>
            <w:shd w:val="clear" w:color="auto" w:fill="CCECFF"/>
          </w:tcPr>
          <w:p>
            <w:pPr>
              <w:ind w:left="120"/>
              <w:spacing w:after="0" w:line="143" w:lineRule="exact"/>
              <w:rPr>
                <w:sz w:val="20"/>
                <w:szCs w:val="20"/>
                <w:color w:val="auto"/>
              </w:rPr>
            </w:pPr>
            <w:r>
              <w:rPr>
                <w:rFonts w:ascii="Arial" w:cs="Arial" w:eastAsia="Arial" w:hAnsi="Arial"/>
                <w:sz w:val="14"/>
                <w:szCs w:val="14"/>
                <w:color w:val="auto"/>
              </w:rPr>
              <w:t>Loan Fund I LLC *</w:t>
            </w:r>
          </w:p>
        </w:tc>
        <w:tc>
          <w:tcPr>
            <w:tcW w:w="100" w:type="dxa"/>
            <w:vAlign w:val="bottom"/>
            <w:shd w:val="clear" w:color="auto" w:fill="CCECFF"/>
          </w:tcPr>
          <w:p>
            <w:pPr>
              <w:spacing w:after="0"/>
              <w:rPr>
                <w:sz w:val="12"/>
                <w:szCs w:val="12"/>
                <w:color w:val="auto"/>
              </w:rPr>
            </w:pPr>
          </w:p>
        </w:tc>
        <w:tc>
          <w:tcPr>
            <w:tcW w:w="10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9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080" w:type="dxa"/>
            <w:vAlign w:val="bottom"/>
            <w:shd w:val="clear" w:color="auto" w:fill="CCECFF"/>
          </w:tcPr>
          <w:p>
            <w:pPr>
              <w:spacing w:after="0"/>
              <w:rPr>
                <w:sz w:val="12"/>
                <w:szCs w:val="12"/>
                <w:color w:val="auto"/>
              </w:rPr>
            </w:pPr>
          </w:p>
        </w:tc>
        <w:tc>
          <w:tcPr>
            <w:tcW w:w="1220" w:type="dxa"/>
            <w:vAlign w:val="bottom"/>
            <w:gridSpan w:val="2"/>
            <w:shd w:val="clear" w:color="auto" w:fill="CCECFF"/>
          </w:tcPr>
          <w:p>
            <w:pPr>
              <w:jc w:val="right"/>
              <w:spacing w:after="0" w:line="143" w:lineRule="exact"/>
              <w:rPr>
                <w:sz w:val="20"/>
                <w:szCs w:val="20"/>
                <w:color w:val="auto"/>
              </w:rPr>
            </w:pPr>
            <w:r>
              <w:rPr>
                <w:rFonts w:ascii="Arial" w:cs="Arial" w:eastAsia="Arial" w:hAnsi="Arial"/>
                <w:sz w:val="14"/>
                <w:szCs w:val="14"/>
                <w:color w:val="auto"/>
              </w:rPr>
              <w:t>(7,232</w:t>
            </w:r>
          </w:p>
        </w:tc>
        <w:tc>
          <w:tcPr>
            <w:tcW w:w="1200" w:type="dxa"/>
            <w:vAlign w:val="bottom"/>
            <w:gridSpan w:val="2"/>
            <w:shd w:val="clear" w:color="auto" w:fill="CCECFF"/>
          </w:tcPr>
          <w:p>
            <w:pPr>
              <w:jc w:val="right"/>
              <w:spacing w:after="0" w:line="143" w:lineRule="exact"/>
              <w:rPr>
                <w:sz w:val="20"/>
                <w:szCs w:val="20"/>
                <w:color w:val="auto"/>
              </w:rPr>
            </w:pPr>
            <w:r>
              <w:rPr>
                <w:rFonts w:ascii="Arial" w:cs="Arial" w:eastAsia="Arial" w:hAnsi="Arial"/>
                <w:sz w:val="14"/>
                <w:szCs w:val="14"/>
                <w:color w:val="auto"/>
              </w:rPr>
              <w:t>248,93</w:t>
            </w:r>
          </w:p>
        </w:tc>
        <w:tc>
          <w:tcPr>
            <w:tcW w:w="1120" w:type="dxa"/>
            <w:vAlign w:val="bottom"/>
            <w:gridSpan w:val="2"/>
            <w:shd w:val="clear" w:color="auto" w:fill="CCECFF"/>
          </w:tcPr>
          <w:p>
            <w:pPr>
              <w:jc w:val="right"/>
              <w:spacing w:after="0" w:line="143" w:lineRule="exact"/>
              <w:rPr>
                <w:sz w:val="20"/>
                <w:szCs w:val="20"/>
                <w:color w:val="auto"/>
              </w:rPr>
            </w:pPr>
            <w:r>
              <w:rPr>
                <w:rFonts w:ascii="Arial" w:cs="Arial" w:eastAsia="Arial" w:hAnsi="Arial"/>
                <w:sz w:val="14"/>
                <w:szCs w:val="14"/>
                <w:color w:val="auto"/>
              </w:rPr>
              <w:t>10,24</w:t>
            </w:r>
          </w:p>
        </w:tc>
        <w:tc>
          <w:tcPr>
            <w:tcW w:w="100" w:type="dxa"/>
            <w:vAlign w:val="bottom"/>
            <w:shd w:val="clear" w:color="auto" w:fill="CCECFF"/>
          </w:tcPr>
          <w:p>
            <w:pPr>
              <w:spacing w:after="0"/>
              <w:rPr>
                <w:sz w:val="12"/>
                <w:szCs w:val="12"/>
                <w:color w:val="auto"/>
              </w:rPr>
            </w:pPr>
          </w:p>
        </w:tc>
        <w:tc>
          <w:tcPr>
            <w:tcW w:w="8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0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200" w:type="dxa"/>
            <w:vAlign w:val="bottom"/>
            <w:tcBorders>
              <w:bottom w:val="single" w:sz="8" w:color="CCECFF"/>
            </w:tcBorders>
            <w:shd w:val="clear" w:color="auto" w:fill="CCECFF"/>
          </w:tcPr>
          <w:p>
            <w:pPr>
              <w:spacing w:after="0"/>
              <w:rPr>
                <w:sz w:val="15"/>
                <w:szCs w:val="15"/>
                <w:color w:val="auto"/>
              </w:rPr>
            </w:pPr>
          </w:p>
        </w:tc>
        <w:tc>
          <w:tcPr>
            <w:tcW w:w="100" w:type="dxa"/>
            <w:vAlign w:val="bottom"/>
            <w:tcBorders>
              <w:bottom w:val="single" w:sz="8" w:color="CCECFF"/>
            </w:tcBorders>
            <w:shd w:val="clear" w:color="auto" w:fill="CCECFF"/>
          </w:tcPr>
          <w:p>
            <w:pPr>
              <w:spacing w:after="0"/>
              <w:rPr>
                <w:sz w:val="15"/>
                <w:szCs w:val="15"/>
                <w:color w:val="auto"/>
              </w:rPr>
            </w:pPr>
          </w:p>
        </w:tc>
        <w:tc>
          <w:tcPr>
            <w:tcW w:w="10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185,731</w:t>
            </w:r>
          </w:p>
        </w:tc>
        <w:tc>
          <w:tcPr>
            <w:tcW w:w="120" w:type="dxa"/>
            <w:vAlign w:val="bottom"/>
            <w:tcBorders>
              <w:bottom w:val="single" w:sz="8" w:color="CCECFF"/>
            </w:tcBorders>
            <w:shd w:val="clear" w:color="auto" w:fill="CCECFF"/>
          </w:tcPr>
          <w:p>
            <w:pPr>
              <w:spacing w:after="0"/>
              <w:rPr>
                <w:sz w:val="15"/>
                <w:szCs w:val="15"/>
                <w:color w:val="auto"/>
              </w:rPr>
            </w:pPr>
          </w:p>
        </w:tc>
        <w:tc>
          <w:tcPr>
            <w:tcW w:w="9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70,438</w:t>
            </w:r>
          </w:p>
        </w:tc>
        <w:tc>
          <w:tcPr>
            <w:tcW w:w="120" w:type="dxa"/>
            <w:vAlign w:val="bottom"/>
            <w:tcBorders>
              <w:bottom w:val="single" w:sz="8" w:color="CCECFF"/>
            </w:tcBorders>
            <w:shd w:val="clear" w:color="auto" w:fill="CCECFF"/>
          </w:tcPr>
          <w:p>
            <w:pPr>
              <w:spacing w:after="0"/>
              <w:rPr>
                <w:sz w:val="15"/>
                <w:szCs w:val="15"/>
                <w:color w:val="auto"/>
              </w:rPr>
            </w:pPr>
          </w:p>
        </w:tc>
        <w:tc>
          <w:tcPr>
            <w:tcW w:w="10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CFF"/>
            </w:tcBorders>
            <w:shd w:val="clear" w:color="auto" w:fill="CCECFF"/>
          </w:tcPr>
          <w:p>
            <w:pPr>
              <w:spacing w:after="0"/>
              <w:rPr>
                <w:sz w:val="15"/>
                <w:szCs w:val="15"/>
                <w:color w:val="auto"/>
              </w:rPr>
            </w:pPr>
          </w:p>
        </w:tc>
        <w:tc>
          <w:tcPr>
            <w:tcW w:w="11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CFF"/>
            </w:tcBorders>
            <w:shd w:val="clear" w:color="auto" w:fill="CCECFF"/>
          </w:tcPr>
          <w:p>
            <w:pPr>
              <w:spacing w:after="0"/>
              <w:rPr>
                <w:sz w:val="15"/>
                <w:szCs w:val="15"/>
                <w:color w:val="auto"/>
              </w:rPr>
            </w:pPr>
          </w:p>
        </w:tc>
        <w:tc>
          <w:tcPr>
            <w:tcW w:w="11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7</w:t>
            </w:r>
          </w:p>
        </w:tc>
        <w:tc>
          <w:tcPr>
            <w:tcW w:w="100" w:type="dxa"/>
            <w:vAlign w:val="bottom"/>
            <w:tcBorders>
              <w:bottom w:val="single" w:sz="8" w:color="CCECFF"/>
            </w:tcBorders>
            <w:shd w:val="clear" w:color="auto" w:fill="CCECFF"/>
          </w:tcPr>
          <w:p>
            <w:pPr>
              <w:spacing w:after="0"/>
              <w:rPr>
                <w:sz w:val="15"/>
                <w:szCs w:val="15"/>
                <w:color w:val="auto"/>
              </w:rPr>
            </w:pPr>
          </w:p>
        </w:tc>
        <w:tc>
          <w:tcPr>
            <w:tcW w:w="10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CFF"/>
            </w:tcBorders>
            <w:shd w:val="clear" w:color="auto" w:fill="CCECFF"/>
          </w:tcPr>
          <w:p>
            <w:pPr>
              <w:spacing w:after="0"/>
              <w:rPr>
                <w:sz w:val="15"/>
                <w:szCs w:val="15"/>
                <w:color w:val="auto"/>
              </w:rPr>
            </w:pPr>
          </w:p>
        </w:tc>
        <w:tc>
          <w:tcPr>
            <w:tcW w:w="8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10,675</w:t>
            </w:r>
          </w:p>
        </w:tc>
        <w:tc>
          <w:tcPr>
            <w:tcW w:w="100" w:type="dxa"/>
            <w:vAlign w:val="bottom"/>
            <w:tcBorders>
              <w:bottom w:val="single" w:sz="8" w:color="CCECFF"/>
            </w:tcBorders>
            <w:shd w:val="clear" w:color="auto" w:fill="CCECFF"/>
          </w:tcPr>
          <w:p>
            <w:pPr>
              <w:spacing w:after="0"/>
              <w:rPr>
                <w:sz w:val="15"/>
                <w:szCs w:val="15"/>
                <w:color w:val="auto"/>
              </w:rPr>
            </w:pPr>
          </w:p>
        </w:tc>
        <w:tc>
          <w:tcPr>
            <w:tcW w:w="10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2200" w:type="dxa"/>
            <w:vAlign w:val="bottom"/>
          </w:tcPr>
          <w:p>
            <w:pPr>
              <w:ind w:left="20"/>
              <w:spacing w:after="0"/>
              <w:rPr>
                <w:sz w:val="20"/>
                <w:szCs w:val="20"/>
                <w:color w:val="auto"/>
              </w:rPr>
            </w:pPr>
            <w:r>
              <w:rPr>
                <w:rFonts w:ascii="Arial" w:cs="Arial" w:eastAsia="Arial" w:hAnsi="Arial"/>
                <w:sz w:val="14"/>
                <w:szCs w:val="14"/>
                <w:color w:val="auto"/>
              </w:rPr>
              <w:t>Total Controlled Affiliates</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$217,380</w:t>
            </w: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$70,754</w:t>
            </w: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$(6,350)</w:t>
            </w: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$281,784</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$10,633</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$10,675</w:t>
            </w: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200" w:type="dxa"/>
            <w:vAlign w:val="bottom"/>
            <w:vMerge w:val="restart"/>
          </w:tcPr>
          <w:p>
            <w:pPr>
              <w:ind w:left="20"/>
              <w:spacing w:after="0" w:line="160" w:lineRule="exact"/>
              <w:rPr>
                <w:sz w:val="20"/>
                <w:szCs w:val="20"/>
                <w:color w:val="auto"/>
              </w:rPr>
            </w:pPr>
            <w:r>
              <w:rPr>
                <w:rFonts w:ascii="Arial" w:cs="Arial" w:eastAsia="Arial" w:hAnsi="Arial"/>
                <w:sz w:val="14"/>
                <w:szCs w:val="14"/>
                <w:b w:val="1"/>
                <w:bCs w:val="1"/>
                <w:color w:val="auto"/>
              </w:rPr>
              <w:t>Total Controlled and</w:t>
            </w:r>
          </w:p>
        </w:tc>
        <w:tc>
          <w:tcPr>
            <w:tcW w:w="1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200" w:type="dxa"/>
            <w:vAlign w:val="bottom"/>
            <w:vMerge w:val="continue"/>
          </w:tcPr>
          <w:p>
            <w:pPr>
              <w:spacing w:after="0"/>
              <w:rPr>
                <w:sz w:val="10"/>
                <w:szCs w:val="10"/>
                <w:color w:val="auto"/>
              </w:rPr>
            </w:pPr>
          </w:p>
        </w:tc>
        <w:tc>
          <w:tcPr>
            <w:tcW w:w="1160" w:type="dxa"/>
            <w:vAlign w:val="bottom"/>
            <w:gridSpan w:val="2"/>
            <w:vMerge w:val="restart"/>
          </w:tcPr>
          <w:p>
            <w:pPr>
              <w:jc w:val="right"/>
              <w:spacing w:after="0"/>
              <w:rPr>
                <w:sz w:val="20"/>
                <w:szCs w:val="20"/>
                <w:color w:val="auto"/>
              </w:rPr>
            </w:pPr>
            <w:r>
              <w:rPr>
                <w:rFonts w:ascii="Arial" w:cs="Arial" w:eastAsia="Arial" w:hAnsi="Arial"/>
                <w:sz w:val="14"/>
                <w:szCs w:val="14"/>
                <w:color w:val="auto"/>
              </w:rPr>
              <w:t>$224,813</w:t>
            </w:r>
          </w:p>
        </w:tc>
        <w:tc>
          <w:tcPr>
            <w:tcW w:w="1100" w:type="dxa"/>
            <w:vAlign w:val="bottom"/>
            <w:gridSpan w:val="2"/>
            <w:vMerge w:val="restart"/>
          </w:tcPr>
          <w:p>
            <w:pPr>
              <w:jc w:val="right"/>
              <w:spacing w:after="0"/>
              <w:rPr>
                <w:sz w:val="20"/>
                <w:szCs w:val="20"/>
                <w:color w:val="auto"/>
              </w:rPr>
            </w:pPr>
            <w:r>
              <w:rPr>
                <w:rFonts w:ascii="Arial" w:cs="Arial" w:eastAsia="Arial" w:hAnsi="Arial"/>
                <w:sz w:val="14"/>
                <w:szCs w:val="14"/>
                <w:color w:val="auto"/>
              </w:rPr>
              <w:t>$70,754</w:t>
            </w:r>
          </w:p>
        </w:tc>
        <w:tc>
          <w:tcPr>
            <w:tcW w:w="1200" w:type="dxa"/>
            <w:vAlign w:val="bottom"/>
            <w:gridSpan w:val="2"/>
            <w:vMerge w:val="restart"/>
          </w:tcPr>
          <w:p>
            <w:pPr>
              <w:jc w:val="right"/>
              <w:spacing w:after="0"/>
              <w:rPr>
                <w:sz w:val="20"/>
                <w:szCs w:val="20"/>
                <w:color w:val="auto"/>
              </w:rPr>
            </w:pPr>
            <w:r>
              <w:rPr>
                <w:rFonts w:ascii="Arial" w:cs="Arial" w:eastAsia="Arial" w:hAnsi="Arial"/>
                <w:sz w:val="14"/>
                <w:szCs w:val="14"/>
                <w:color w:val="auto"/>
              </w:rPr>
              <w:t>$(22,380)</w:t>
            </w:r>
          </w:p>
        </w:tc>
        <w:tc>
          <w:tcPr>
            <w:tcW w:w="1220" w:type="dxa"/>
            <w:vAlign w:val="bottom"/>
            <w:gridSpan w:val="2"/>
            <w:vMerge w:val="restart"/>
          </w:tcPr>
          <w:p>
            <w:pPr>
              <w:jc w:val="right"/>
              <w:spacing w:after="0"/>
              <w:rPr>
                <w:sz w:val="20"/>
                <w:szCs w:val="20"/>
                <w:color w:val="auto"/>
              </w:rPr>
            </w:pPr>
            <w:r>
              <w:rPr>
                <w:rFonts w:ascii="Arial" w:cs="Arial" w:eastAsia="Arial" w:hAnsi="Arial"/>
                <w:sz w:val="14"/>
                <w:szCs w:val="14"/>
                <w:color w:val="auto"/>
              </w:rPr>
              <w:t>$8,597</w:t>
            </w:r>
          </w:p>
        </w:tc>
        <w:tc>
          <w:tcPr>
            <w:tcW w:w="1200" w:type="dxa"/>
            <w:vAlign w:val="bottom"/>
            <w:gridSpan w:val="2"/>
            <w:vMerge w:val="restart"/>
          </w:tcPr>
          <w:p>
            <w:pPr>
              <w:jc w:val="right"/>
              <w:spacing w:after="0"/>
              <w:rPr>
                <w:sz w:val="20"/>
                <w:szCs w:val="20"/>
                <w:color w:val="auto"/>
              </w:rPr>
            </w:pPr>
            <w:r>
              <w:rPr>
                <w:rFonts w:ascii="Arial" w:cs="Arial" w:eastAsia="Arial" w:hAnsi="Arial"/>
                <w:sz w:val="14"/>
                <w:szCs w:val="14"/>
                <w:color w:val="auto"/>
              </w:rPr>
              <w:t>$281,784</w:t>
            </w:r>
          </w:p>
        </w:tc>
        <w:tc>
          <w:tcPr>
            <w:tcW w:w="1120" w:type="dxa"/>
            <w:vAlign w:val="bottom"/>
            <w:gridSpan w:val="2"/>
            <w:vMerge w:val="restart"/>
          </w:tcPr>
          <w:p>
            <w:pPr>
              <w:jc w:val="right"/>
              <w:spacing w:after="0"/>
              <w:rPr>
                <w:sz w:val="20"/>
                <w:szCs w:val="20"/>
                <w:color w:val="auto"/>
              </w:rPr>
            </w:pPr>
            <w:r>
              <w:rPr>
                <w:rFonts w:ascii="Arial" w:cs="Arial" w:eastAsia="Arial" w:hAnsi="Arial"/>
                <w:sz w:val="14"/>
                <w:szCs w:val="14"/>
                <w:color w:val="auto"/>
              </w:rPr>
              <w:t>$10,745</w:t>
            </w:r>
          </w:p>
        </w:tc>
        <w:tc>
          <w:tcPr>
            <w:tcW w:w="920" w:type="dxa"/>
            <w:vAlign w:val="bottom"/>
            <w:gridSpan w:val="2"/>
            <w:vMerge w:val="restart"/>
          </w:tcPr>
          <w:p>
            <w:pPr>
              <w:jc w:val="right"/>
              <w:spacing w:after="0"/>
              <w:rPr>
                <w:sz w:val="20"/>
                <w:szCs w:val="20"/>
                <w:color w:val="auto"/>
              </w:rPr>
            </w:pPr>
            <w:r>
              <w:rPr>
                <w:rFonts w:ascii="Arial" w:cs="Arial" w:eastAsia="Arial" w:hAnsi="Arial"/>
                <w:sz w:val="14"/>
                <w:szCs w:val="14"/>
                <w:color w:val="auto"/>
              </w:rPr>
              <w:t>$10,675</w:t>
            </w:r>
          </w:p>
        </w:tc>
        <w:tc>
          <w:tcPr>
            <w:tcW w:w="1120" w:type="dxa"/>
            <w:vAlign w:val="bottom"/>
            <w:gridSpan w:val="2"/>
            <w:vMerge w:val="restart"/>
          </w:tcPr>
          <w:p>
            <w:pPr>
              <w:jc w:val="right"/>
              <w:spacing w:after="0"/>
              <w:rPr>
                <w:sz w:val="20"/>
                <w:szCs w:val="20"/>
                <w:color w:val="auto"/>
              </w:rPr>
            </w:pPr>
            <w:r>
              <w:rPr>
                <w:rFonts w:ascii="Arial" w:cs="Arial" w:eastAsia="Arial" w:hAnsi="Arial"/>
                <w:sz w:val="14"/>
                <w:szCs w:val="14"/>
                <w:color w:val="auto"/>
              </w:rPr>
              <w:t>$(22,315)</w:t>
            </w:r>
          </w:p>
        </w:tc>
        <w:tc>
          <w:tcPr>
            <w:tcW w:w="0" w:type="dxa"/>
            <w:vAlign w:val="bottom"/>
          </w:tcPr>
          <w:p>
            <w:pPr>
              <w:spacing w:after="0"/>
              <w:rPr>
                <w:sz w:val="1"/>
                <w:szCs w:val="1"/>
                <w:color w:val="auto"/>
              </w:rPr>
            </w:pPr>
          </w:p>
        </w:tc>
      </w:tr>
      <w:tr>
        <w:trPr>
          <w:trHeight w:val="144"/>
        </w:trPr>
        <w:tc>
          <w:tcPr>
            <w:tcW w:w="2200" w:type="dxa"/>
            <w:vAlign w:val="bottom"/>
          </w:tcPr>
          <w:p>
            <w:pPr>
              <w:ind w:left="120"/>
              <w:spacing w:after="0" w:line="125" w:lineRule="exact"/>
              <w:rPr>
                <w:sz w:val="20"/>
                <w:szCs w:val="20"/>
                <w:color w:val="auto"/>
              </w:rPr>
            </w:pPr>
            <w:r>
              <w:rPr>
                <w:rFonts w:ascii="Arial" w:cs="Arial" w:eastAsia="Arial" w:hAnsi="Arial"/>
                <w:sz w:val="14"/>
                <w:szCs w:val="14"/>
                <w:b w:val="1"/>
                <w:bCs w:val="1"/>
                <w:color w:val="auto"/>
              </w:rPr>
              <w:t>Non-Controlled Affiliates</w:t>
            </w:r>
          </w:p>
        </w:tc>
        <w:tc>
          <w:tcPr>
            <w:tcW w:w="1160" w:type="dxa"/>
            <w:vAlign w:val="bottom"/>
            <w:gridSpan w:val="2"/>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2139315</wp:posOffset>
            </wp:positionH>
            <wp:positionV relativeFrom="paragraph">
              <wp:posOffset>-1102360</wp:posOffset>
            </wp:positionV>
            <wp:extent cx="68580" cy="571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-1102360</wp:posOffset>
            </wp:positionV>
            <wp:extent cx="68580" cy="571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-1102360</wp:posOffset>
            </wp:positionV>
            <wp:extent cx="68580" cy="571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-1102360</wp:posOffset>
            </wp:positionV>
            <wp:extent cx="68580" cy="571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-1102360</wp:posOffset>
            </wp:positionV>
            <wp:extent cx="60325" cy="571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-1102360</wp:posOffset>
            </wp:positionV>
            <wp:extent cx="60325" cy="571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-1102360</wp:posOffset>
            </wp:positionV>
            <wp:extent cx="60325" cy="571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2139315</wp:posOffset>
            </wp:positionH>
            <wp:positionV relativeFrom="paragraph">
              <wp:posOffset>-347980</wp:posOffset>
            </wp:positionV>
            <wp:extent cx="68580" cy="571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-347980</wp:posOffset>
            </wp:positionV>
            <wp:extent cx="68580" cy="571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-347980</wp:posOffset>
            </wp:positionV>
            <wp:extent cx="68580" cy="571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-347980</wp:posOffset>
            </wp:positionV>
            <wp:extent cx="68580" cy="571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-347980</wp:posOffset>
            </wp:positionV>
            <wp:extent cx="60325" cy="571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-347980</wp:posOffset>
            </wp:positionV>
            <wp:extent cx="60325" cy="571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-347980</wp:posOffset>
            </wp:positionV>
            <wp:extent cx="60325" cy="571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60325" cy="5715"/>
                    </a:xfrm>
                    <a:prstGeom prst="rect">
                      <a:avLst/>
                    </a:prstGeom>
                    <a:noFill/>
                  </pic:spPr>
                </pic:pic>
              </a:graphicData>
            </a:graphic>
          </wp:anchor>
        </w:drawing>
      </w:r>
    </w:p>
    <w:p>
      <w:pPr>
        <w:spacing w:after="0" w:line="1" w:lineRule="exact"/>
        <w:rPr>
          <w:sz w:val="20"/>
          <w:szCs w:val="20"/>
          <w:color w:val="auto"/>
        </w:rPr>
      </w:pPr>
    </w:p>
    <w:p>
      <w:pPr>
        <w:ind w:right="120" w:firstLine="8"/>
        <w:spacing w:after="0" w:line="251" w:lineRule="auto"/>
        <w:tabs>
          <w:tab w:leader="none" w:pos="81" w:val="left"/>
        </w:tabs>
        <w:numPr>
          <w:ilvl w:val="0"/>
          <w:numId w:val="15"/>
        </w:numPr>
        <w:rPr>
          <w:rFonts w:ascii="Arial" w:cs="Arial" w:eastAsia="Arial" w:hAnsi="Arial"/>
          <w:sz w:val="10"/>
          <w:szCs w:val="10"/>
          <w:b w:val="1"/>
          <w:bCs w:val="1"/>
          <w:color w:val="auto"/>
        </w:rPr>
      </w:pPr>
      <w:r>
        <w:rPr>
          <w:rFonts w:ascii="Arial" w:cs="Arial" w:eastAsia="Arial" w:hAnsi="Arial"/>
          <w:sz w:val="11"/>
          <w:szCs w:val="11"/>
          <w:color w:val="auto"/>
        </w:rPr>
        <w:t>We and Kemper are the members of PSSL, a joint venture formed as a Delaware limited liability company that is not consolidated by us for financial reporting purposes. The members of PSSL make investments in PSSL in the form of first lien secured debt and equity interests, and all portfolio and other material decisions regarding PSSL must be submitted to PSSL’s board of directors or investment committee, both of which are comprised of two members appointed by each of us and Kemper. Because management of PSSL is shared equally between us and Kemper, we do not believe we control PSSL for purposes of the 1940 Act or otherwise.</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7. CHANGE IN NET ASSETS FROM OPERATIONS PER COMMON SHARE</w:t>
      </w:r>
    </w:p>
    <w:p>
      <w:pPr>
        <w:spacing w:after="0" w:line="208" w:lineRule="exact"/>
        <w:rPr>
          <w:sz w:val="20"/>
          <w:szCs w:val="20"/>
          <w:color w:val="auto"/>
        </w:rPr>
      </w:pPr>
    </w:p>
    <w:p>
      <w:pPr>
        <w:ind w:left="600" w:right="2420" w:hanging="143"/>
        <w:spacing w:after="0" w:line="273" w:lineRule="auto"/>
        <w:rPr>
          <w:sz w:val="20"/>
          <w:szCs w:val="20"/>
          <w:color w:val="auto"/>
        </w:rPr>
      </w:pPr>
      <w:r>
        <w:rPr>
          <w:rFonts w:ascii="Arial" w:cs="Arial" w:eastAsia="Arial" w:hAnsi="Arial"/>
          <w:sz w:val="14"/>
          <w:szCs w:val="14"/>
          <w:color w:val="auto"/>
        </w:rPr>
        <w:t>The following information sets forth the computation of basic and diluted per share net increase (decrease) in net assets resulting from operations ($ in thousands, except per share data):</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9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528"/>
              <w:spacing w:after="0"/>
              <w:rPr>
                <w:sz w:val="20"/>
                <w:szCs w:val="20"/>
                <w:color w:val="auto"/>
              </w:rPr>
            </w:pPr>
            <w:r>
              <w:rPr>
                <w:rFonts w:ascii="Arial" w:cs="Arial" w:eastAsia="Arial" w:hAnsi="Arial"/>
                <w:sz w:val="14"/>
                <w:szCs w:val="14"/>
                <w:b w:val="1"/>
                <w:bCs w:val="1"/>
                <w:color w:val="auto"/>
              </w:rPr>
              <w:t>Three Months Ended June 30,</w:t>
            </w:r>
          </w:p>
        </w:tc>
        <w:tc>
          <w:tcPr>
            <w:tcW w:w="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508"/>
              <w:spacing w:after="0"/>
              <w:rPr>
                <w:sz w:val="20"/>
                <w:szCs w:val="20"/>
                <w:color w:val="auto"/>
              </w:rPr>
            </w:pPr>
            <w:r>
              <w:rPr>
                <w:rFonts w:ascii="Arial" w:cs="Arial" w:eastAsia="Arial" w:hAnsi="Arial"/>
                <w:sz w:val="14"/>
                <w:szCs w:val="14"/>
                <w:b w:val="1"/>
                <w:bCs w:val="1"/>
                <w:color w:val="auto"/>
              </w:rPr>
              <w:t>Nine Months Ended June 30,</w:t>
            </w:r>
          </w:p>
        </w:tc>
        <w:tc>
          <w:tcPr>
            <w:tcW w:w="100" w:type="dxa"/>
            <w:vAlign w:val="bottom"/>
          </w:tcPr>
          <w:p>
            <w:pPr>
              <w:spacing w:after="0"/>
              <w:rPr>
                <w:sz w:val="16"/>
                <w:szCs w:val="16"/>
                <w:color w:val="auto"/>
              </w:rPr>
            </w:pPr>
          </w:p>
        </w:tc>
      </w:tr>
      <w:tr>
        <w:trPr>
          <w:trHeight w:val="169"/>
        </w:trPr>
        <w:tc>
          <w:tcPr>
            <w:tcW w:w="49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69"/>
        </w:trPr>
        <w:tc>
          <w:tcPr>
            <w:tcW w:w="4940" w:type="dxa"/>
            <w:vAlign w:val="bottom"/>
            <w:shd w:val="clear" w:color="auto" w:fill="CCECFF"/>
          </w:tcPr>
          <w:p>
            <w:pPr>
              <w:ind w:left="20"/>
              <w:spacing w:after="0"/>
              <w:rPr>
                <w:sz w:val="20"/>
                <w:szCs w:val="20"/>
                <w:color w:val="auto"/>
              </w:rPr>
            </w:pPr>
            <w:r>
              <w:rPr>
                <w:rFonts w:ascii="Arial" w:cs="Arial" w:eastAsia="Arial" w:hAnsi="Arial"/>
                <w:sz w:val="14"/>
                <w:szCs w:val="14"/>
                <w:color w:val="auto"/>
              </w:rPr>
              <w:t>Numerator for net increase in net assets resulting from operations</w:t>
            </w:r>
          </w:p>
        </w:tc>
        <w:tc>
          <w:tcPr>
            <w:tcW w:w="300" w:type="dxa"/>
            <w:vAlign w:val="bottom"/>
            <w:shd w:val="clear" w:color="auto" w:fill="CCECFF"/>
          </w:tcPr>
          <w:p>
            <w:pPr>
              <w:jc w:val="right"/>
              <w:ind w:right="148"/>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(5,085</w:t>
            </w:r>
          </w:p>
        </w:tc>
        <w:tc>
          <w:tcPr>
            <w:tcW w:w="260" w:type="dxa"/>
            <w:vAlign w:val="bottom"/>
            <w:shd w:val="clear" w:color="auto" w:fill="CCECFF"/>
          </w:tcPr>
          <w:p>
            <w:pPr>
              <w:jc w:val="right"/>
              <w:ind w:right="128"/>
              <w:spacing w:after="0"/>
              <w:rPr>
                <w:sz w:val="20"/>
                <w:szCs w:val="20"/>
                <w:color w:val="auto"/>
              </w:rPr>
            </w:pPr>
            <w:r>
              <w:rPr>
                <w:rFonts w:ascii="Arial" w:cs="Arial" w:eastAsia="Arial" w:hAnsi="Arial"/>
                <w:sz w:val="14"/>
                <w:szCs w:val="14"/>
                <w:color w:val="auto"/>
                <w:w w:val="84"/>
              </w:rPr>
              <w:t>)</w:t>
            </w:r>
          </w:p>
        </w:tc>
        <w:tc>
          <w:tcPr>
            <w:tcW w:w="340" w:type="dxa"/>
            <w:vAlign w:val="bottom"/>
            <w:shd w:val="clear" w:color="auto" w:fill="CCECFF"/>
          </w:tcPr>
          <w:p>
            <w:pPr>
              <w:jc w:val="right"/>
              <w:ind w:right="16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14,707</w:t>
            </w:r>
          </w:p>
        </w:tc>
        <w:tc>
          <w:tcPr>
            <w:tcW w:w="240" w:type="dxa"/>
            <w:vAlign w:val="bottom"/>
            <w:shd w:val="clear" w:color="auto" w:fill="CCECFF"/>
          </w:tcPr>
          <w:p>
            <w:pPr>
              <w:spacing w:after="0"/>
              <w:rPr>
                <w:sz w:val="14"/>
                <w:szCs w:val="14"/>
                <w:color w:val="auto"/>
              </w:rPr>
            </w:pPr>
          </w:p>
        </w:tc>
        <w:tc>
          <w:tcPr>
            <w:tcW w:w="300" w:type="dxa"/>
            <w:vAlign w:val="bottom"/>
            <w:shd w:val="clear" w:color="auto" w:fill="CCECFF"/>
          </w:tcPr>
          <w:p>
            <w:pPr>
              <w:jc w:val="right"/>
              <w:ind w:right="14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16,592</w:t>
            </w:r>
          </w:p>
        </w:tc>
        <w:tc>
          <w:tcPr>
            <w:tcW w:w="240" w:type="dxa"/>
            <w:vAlign w:val="bottom"/>
            <w:shd w:val="clear" w:color="auto" w:fill="CCECFF"/>
          </w:tcPr>
          <w:p>
            <w:pPr>
              <w:spacing w:after="0"/>
              <w:rPr>
                <w:sz w:val="14"/>
                <w:szCs w:val="14"/>
                <w:color w:val="auto"/>
              </w:rPr>
            </w:pPr>
          </w:p>
        </w:tc>
        <w:tc>
          <w:tcPr>
            <w:tcW w:w="320" w:type="dxa"/>
            <w:vAlign w:val="bottom"/>
            <w:shd w:val="clear" w:color="auto" w:fill="CCEC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52,511</w:t>
            </w:r>
          </w:p>
        </w:tc>
        <w:tc>
          <w:tcPr>
            <w:tcW w:w="100" w:type="dxa"/>
            <w:vAlign w:val="bottom"/>
            <w:shd w:val="clear" w:color="auto" w:fill="CCECFF"/>
          </w:tcPr>
          <w:p>
            <w:pPr>
              <w:spacing w:after="0"/>
              <w:rPr>
                <w:sz w:val="14"/>
                <w:szCs w:val="14"/>
                <w:color w:val="auto"/>
              </w:rPr>
            </w:pPr>
          </w:p>
        </w:tc>
      </w:tr>
      <w:tr>
        <w:trPr>
          <w:trHeight w:val="175"/>
        </w:trPr>
        <w:tc>
          <w:tcPr>
            <w:tcW w:w="4940" w:type="dxa"/>
            <w:vAlign w:val="bottom"/>
          </w:tcPr>
          <w:p>
            <w:pPr>
              <w:ind w:left="20"/>
              <w:spacing w:after="0"/>
              <w:rPr>
                <w:sz w:val="20"/>
                <w:szCs w:val="20"/>
                <w:color w:val="auto"/>
              </w:rPr>
            </w:pPr>
            <w:r>
              <w:rPr>
                <w:rFonts w:ascii="Arial" w:cs="Arial" w:eastAsia="Arial" w:hAnsi="Arial"/>
                <w:sz w:val="14"/>
                <w:szCs w:val="14"/>
                <w:color w:val="auto"/>
              </w:rPr>
              <w:t>Denominator for basic and diluted weighted average shares</w:t>
            </w: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41,334,234</w:t>
            </w: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38,772,074</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39,940,832</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38,772,074</w:t>
            </w:r>
          </w:p>
        </w:tc>
        <w:tc>
          <w:tcPr>
            <w:tcW w:w="100" w:type="dxa"/>
            <w:vAlign w:val="bottom"/>
          </w:tcPr>
          <w:p>
            <w:pPr>
              <w:spacing w:after="0"/>
              <w:rPr>
                <w:sz w:val="15"/>
                <w:szCs w:val="15"/>
                <w:color w:val="auto"/>
              </w:rPr>
            </w:pPr>
          </w:p>
        </w:tc>
      </w:tr>
      <w:tr>
        <w:trPr>
          <w:trHeight w:val="175"/>
        </w:trPr>
        <w:tc>
          <w:tcPr>
            <w:tcW w:w="4940" w:type="dxa"/>
            <w:vAlign w:val="bottom"/>
            <w:shd w:val="clear" w:color="auto" w:fill="CCECFF"/>
          </w:tcPr>
          <w:p>
            <w:pPr>
              <w:ind w:left="20"/>
              <w:spacing w:after="0"/>
              <w:rPr>
                <w:sz w:val="20"/>
                <w:szCs w:val="20"/>
                <w:color w:val="auto"/>
              </w:rPr>
            </w:pPr>
            <w:r>
              <w:rPr>
                <w:rFonts w:ascii="Arial" w:cs="Arial" w:eastAsia="Arial" w:hAnsi="Arial"/>
                <w:sz w:val="14"/>
                <w:szCs w:val="14"/>
                <w:color w:val="auto"/>
                <w:w w:val="99"/>
              </w:rPr>
              <w:t>Basic and diluted net increase in net assets per share resulting from operations</w:t>
            </w:r>
          </w:p>
        </w:tc>
        <w:tc>
          <w:tcPr>
            <w:tcW w:w="300" w:type="dxa"/>
            <w:vAlign w:val="bottom"/>
            <w:shd w:val="clear" w:color="auto" w:fill="CCECFF"/>
          </w:tcPr>
          <w:p>
            <w:pPr>
              <w:jc w:val="right"/>
              <w:ind w:right="148"/>
              <w:spacing w:after="0"/>
              <w:rPr>
                <w:sz w:val="20"/>
                <w:szCs w:val="20"/>
                <w:color w:val="auto"/>
              </w:rPr>
            </w:pPr>
            <w:r>
              <w:rPr>
                <w:rFonts w:ascii="Arial" w:cs="Arial" w:eastAsia="Arial" w:hAnsi="Arial"/>
                <w:sz w:val="14"/>
                <w:szCs w:val="14"/>
                <w:color w:val="auto"/>
                <w:w w:val="76"/>
              </w:rPr>
              <w:t>$</w:t>
            </w:r>
          </w:p>
        </w:tc>
        <w:tc>
          <w:tcPr>
            <w:tcW w:w="1320" w:type="dxa"/>
            <w:vAlign w:val="bottom"/>
            <w:gridSpan w:val="2"/>
            <w:shd w:val="clear" w:color="auto" w:fill="CCECFF"/>
          </w:tcPr>
          <w:p>
            <w:pPr>
              <w:jc w:val="right"/>
              <w:ind w:right="128"/>
              <w:spacing w:after="0"/>
              <w:rPr>
                <w:sz w:val="20"/>
                <w:szCs w:val="20"/>
                <w:color w:val="auto"/>
              </w:rPr>
            </w:pPr>
            <w:r>
              <w:rPr>
                <w:rFonts w:ascii="Arial" w:cs="Arial" w:eastAsia="Arial" w:hAnsi="Arial"/>
                <w:sz w:val="14"/>
                <w:szCs w:val="14"/>
                <w:color w:val="auto"/>
              </w:rPr>
              <w:t>(0.12 )</w:t>
            </w:r>
          </w:p>
        </w:tc>
        <w:tc>
          <w:tcPr>
            <w:tcW w:w="340" w:type="dxa"/>
            <w:vAlign w:val="bottom"/>
            <w:shd w:val="clear" w:color="auto" w:fill="CCECFF"/>
          </w:tcPr>
          <w:p>
            <w:pPr>
              <w:jc w:val="right"/>
              <w:ind w:right="16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0.38</w:t>
            </w:r>
          </w:p>
        </w:tc>
        <w:tc>
          <w:tcPr>
            <w:tcW w:w="540" w:type="dxa"/>
            <w:vAlign w:val="bottom"/>
            <w:gridSpan w:val="2"/>
            <w:shd w:val="clear" w:color="auto" w:fill="CCECFF"/>
          </w:tcPr>
          <w:p>
            <w:pPr>
              <w:jc w:val="right"/>
              <w:ind w:right="14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0.42</w:t>
            </w:r>
          </w:p>
        </w:tc>
        <w:tc>
          <w:tcPr>
            <w:tcW w:w="560" w:type="dxa"/>
            <w:vAlign w:val="bottom"/>
            <w:gridSpan w:val="2"/>
            <w:shd w:val="clear" w:color="auto" w:fill="CCEC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1.35</w:t>
            </w:r>
          </w:p>
        </w:tc>
        <w:tc>
          <w:tcPr>
            <w:tcW w:w="100" w:type="dxa"/>
            <w:vAlign w:val="bottom"/>
            <w:shd w:val="clear" w:color="auto" w:fill="CCECFF"/>
          </w:tcPr>
          <w:p>
            <w:pPr>
              <w:spacing w:after="0"/>
              <w:rPr>
                <w:sz w:val="15"/>
                <w:szCs w:val="15"/>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8. CASH AND CASH EQUIVALENTS</w:t>
      </w:r>
    </w:p>
    <w:p>
      <w:pPr>
        <w:spacing w:after="0" w:line="208" w:lineRule="exact"/>
        <w:rPr>
          <w:sz w:val="20"/>
          <w:szCs w:val="20"/>
          <w:color w:val="auto"/>
        </w:rPr>
      </w:pPr>
    </w:p>
    <w:p>
      <w:pPr>
        <w:jc w:val="both"/>
        <w:ind w:firstLine="449"/>
        <w:spacing w:after="0" w:line="267" w:lineRule="auto"/>
        <w:rPr>
          <w:sz w:val="20"/>
          <w:szCs w:val="20"/>
          <w:color w:val="auto"/>
        </w:rPr>
      </w:pPr>
      <w:r>
        <w:rPr>
          <w:rFonts w:ascii="Arial" w:cs="Arial" w:eastAsia="Arial" w:hAnsi="Arial"/>
          <w:sz w:val="13"/>
          <w:szCs w:val="13"/>
          <w:color w:val="auto"/>
        </w:rPr>
        <w:t>Cash equivalents represent cash in money market funds pending investment in longer-term portfolio holdings. Our portfolio may consist of temporary investments in U.S. Treasury Bills (of varying maturities), repurchase agreements, money market funds or repurchase agreement-like treasury securities. These temporary investments with original maturities of 90 days or less are deemed cash equivalents and are included in the Consolidated Schedule of Investments. At the end of each fiscal quarter, we may take proactive steps to preserve investment flexibility for the next quarter by investing in cash equivalents, which is dependent upon the composition of our total assets at quarter-end. We may accomplish this in several ways, including purchasing U.S. Treasury Bills and closing out positions on a net cash basis after quarter-end, temporarily drawing down on the Credit Facility, or utilizing repurchase agreements or other balance sheet transactions as are deemed appropriate for this purpose. These amounts are excluded from average adjusted gross assets for purposes of computing the Investment Adviser’s management fee. U.S. Treasury Bills with maturities greater than 60 days from the time of purchase are valued consistent with our valuation policy. As of June 30, 2022 and September 30, 2021, cash and cash equivalents consisted of money market funds in the amounts of $40.6 million and $49.8 million at fair value, respectively.</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jc w:val="center"/>
        <w:ind w:right="20"/>
        <w:spacing w:after="0"/>
        <w:rPr>
          <w:sz w:val="20"/>
          <w:szCs w:val="20"/>
          <w:color w:val="auto"/>
        </w:rPr>
      </w:pPr>
      <w:r>
        <w:rPr>
          <w:rFonts w:ascii="Arial" w:cs="Arial" w:eastAsia="Arial" w:hAnsi="Arial"/>
          <w:sz w:val="14"/>
          <w:szCs w:val="14"/>
          <w:b w:val="1"/>
          <w:bCs w:val="1"/>
          <w:color w:val="auto"/>
        </w:rPr>
        <w:t>PENNANTPARK FLOATING RATE CAPITAL LTD. AND SUBSIDIARIES</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NOTES TO CONSOLIDATED FINANCIAL STATEMENTS-(Continued)</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June 30, 2022</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20" w:type="dxa"/>
            <w:vAlign w:val="bottom"/>
          </w:tcPr>
          <w:p>
            <w:pPr>
              <w:spacing w:after="0"/>
              <w:rPr>
                <w:sz w:val="20"/>
                <w:szCs w:val="20"/>
                <w:color w:val="auto"/>
              </w:rPr>
            </w:pPr>
            <w:r>
              <w:rPr>
                <w:rFonts w:ascii="Arial" w:cs="Arial" w:eastAsia="Arial" w:hAnsi="Arial"/>
                <w:sz w:val="14"/>
                <w:szCs w:val="14"/>
                <w:b w:val="1"/>
                <w:bCs w:val="1"/>
                <w:color w:val="auto"/>
              </w:rPr>
              <w:t>9. FINANCIAL HIGHLIGHTS</w:t>
            </w:r>
          </w:p>
        </w:tc>
        <w:tc>
          <w:tcPr>
            <w:tcW w:w="1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5"/>
        </w:trPr>
        <w:tc>
          <w:tcPr>
            <w:tcW w:w="6820" w:type="dxa"/>
            <w:vAlign w:val="bottom"/>
          </w:tcPr>
          <w:p>
            <w:pPr>
              <w:ind w:left="460"/>
              <w:spacing w:after="0"/>
              <w:rPr>
                <w:sz w:val="20"/>
                <w:szCs w:val="20"/>
                <w:color w:val="auto"/>
              </w:rPr>
            </w:pPr>
            <w:r>
              <w:rPr>
                <w:rFonts w:ascii="Arial" w:cs="Arial" w:eastAsia="Arial" w:hAnsi="Arial"/>
                <w:sz w:val="14"/>
                <w:szCs w:val="14"/>
                <w:color w:val="auto"/>
              </w:rPr>
              <w:t>Below are the financial highlights ($ in thousands, except per share data):</w:t>
            </w:r>
          </w:p>
        </w:tc>
        <w:tc>
          <w:tcPr>
            <w:tcW w:w="1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820" w:type="dxa"/>
            <w:vAlign w:val="bottom"/>
          </w:tcPr>
          <w:p>
            <w:pPr>
              <w:spacing w:after="0"/>
              <w:rPr>
                <w:sz w:val="24"/>
                <w:szCs w:val="24"/>
                <w:color w:val="auto"/>
              </w:rPr>
            </w:pPr>
          </w:p>
        </w:tc>
        <w:tc>
          <w:tcPr>
            <w:tcW w:w="120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2022</w:t>
            </w:r>
          </w:p>
        </w:tc>
        <w:tc>
          <w:tcPr>
            <w:tcW w:w="1900" w:type="dxa"/>
            <w:vAlign w:val="bottom"/>
            <w:gridSpan w:val="3"/>
          </w:tcPr>
          <w:p>
            <w:pPr>
              <w:jc w:val="right"/>
              <w:spacing w:after="0"/>
              <w:rPr>
                <w:sz w:val="20"/>
                <w:szCs w:val="20"/>
                <w:color w:val="auto"/>
              </w:rPr>
            </w:pPr>
            <w:r>
              <w:rPr>
                <w:rFonts w:ascii="Arial" w:cs="Arial" w:eastAsia="Arial" w:hAnsi="Arial"/>
                <w:sz w:val="14"/>
                <w:szCs w:val="14"/>
                <w:b w:val="1"/>
                <w:bCs w:val="1"/>
                <w:color w:val="auto"/>
                <w:w w:val="95"/>
              </w:rPr>
              <w:t>Nine Months Ended June 30,</w:t>
            </w:r>
          </w:p>
        </w:tc>
        <w:tc>
          <w:tcPr>
            <w:tcW w:w="1220" w:type="dxa"/>
            <w:vAlign w:val="bottom"/>
            <w:vMerge w:val="restart"/>
          </w:tcPr>
          <w:p>
            <w:pPr>
              <w:jc w:val="right"/>
              <w:ind w:right="78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6820" w:type="dxa"/>
            <w:vAlign w:val="bottom"/>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820" w:type="dxa"/>
            <w:vAlign w:val="bottom"/>
            <w:shd w:val="clear" w:color="auto" w:fill="CCECFF"/>
          </w:tcPr>
          <w:p>
            <w:pPr>
              <w:ind w:left="20"/>
              <w:spacing w:after="0"/>
              <w:rPr>
                <w:sz w:val="20"/>
                <w:szCs w:val="20"/>
                <w:color w:val="auto"/>
              </w:rPr>
            </w:pPr>
            <w:r>
              <w:rPr>
                <w:rFonts w:ascii="Arial" w:cs="Arial" w:eastAsia="Arial" w:hAnsi="Arial"/>
                <w:sz w:val="14"/>
                <w:szCs w:val="14"/>
                <w:b w:val="1"/>
                <w:bCs w:val="1"/>
                <w:color w:val="auto"/>
              </w:rPr>
              <w:t>Per Share Data:</w:t>
            </w:r>
          </w:p>
        </w:tc>
        <w:tc>
          <w:tcPr>
            <w:tcW w:w="1200" w:type="dxa"/>
            <w:vAlign w:val="bottom"/>
            <w:shd w:val="clear" w:color="auto" w:fill="CCECFF"/>
          </w:tcPr>
          <w:p>
            <w:pPr>
              <w:spacing w:after="0"/>
              <w:rPr>
                <w:sz w:val="14"/>
                <w:szCs w:val="14"/>
                <w:color w:val="auto"/>
              </w:rPr>
            </w:pPr>
          </w:p>
        </w:tc>
        <w:tc>
          <w:tcPr>
            <w:tcW w:w="78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780" w:type="dxa"/>
            <w:vAlign w:val="bottom"/>
            <w:shd w:val="clear" w:color="auto" w:fill="CCECFF"/>
          </w:tcPr>
          <w:p>
            <w:pPr>
              <w:spacing w:after="0"/>
              <w:rPr>
                <w:sz w:val="14"/>
                <w:szCs w:val="14"/>
                <w:color w:val="auto"/>
              </w:rPr>
            </w:pPr>
          </w:p>
        </w:tc>
        <w:tc>
          <w:tcPr>
            <w:tcW w:w="12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820" w:type="dxa"/>
            <w:vAlign w:val="bottom"/>
          </w:tcPr>
          <w:p>
            <w:pPr>
              <w:ind w:left="20"/>
              <w:spacing w:after="0"/>
              <w:rPr>
                <w:sz w:val="20"/>
                <w:szCs w:val="20"/>
                <w:color w:val="auto"/>
              </w:rPr>
            </w:pPr>
            <w:r>
              <w:rPr>
                <w:rFonts w:ascii="Arial" w:cs="Arial" w:eastAsia="Arial" w:hAnsi="Arial"/>
                <w:sz w:val="14"/>
                <w:szCs w:val="14"/>
                <w:color w:val="auto"/>
              </w:rPr>
              <w:t>Net asset value, beginning of period</w:t>
            </w:r>
          </w:p>
        </w:tc>
        <w:tc>
          <w:tcPr>
            <w:tcW w:w="1200" w:type="dxa"/>
            <w:vAlign w:val="bottom"/>
          </w:tcPr>
          <w:p>
            <w:pPr>
              <w:jc w:val="right"/>
              <w:ind w:right="1048"/>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12.62</w:t>
            </w:r>
          </w:p>
        </w:tc>
        <w:tc>
          <w:tcPr>
            <w:tcW w:w="340" w:type="dxa"/>
            <w:vAlign w:val="bottom"/>
          </w:tcPr>
          <w:p>
            <w:pPr>
              <w:spacing w:after="0"/>
              <w:rPr>
                <w:sz w:val="15"/>
                <w:szCs w:val="15"/>
                <w:color w:val="auto"/>
              </w:rPr>
            </w:pPr>
          </w:p>
        </w:tc>
        <w:tc>
          <w:tcPr>
            <w:tcW w:w="780" w:type="dxa"/>
            <w:vAlign w:val="bottom"/>
          </w:tcPr>
          <w:p>
            <w:pPr>
              <w:jc w:val="right"/>
              <w:ind w:right="628"/>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12.31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820" w:type="dxa"/>
            <w:vAlign w:val="bottom"/>
            <w:shd w:val="clear" w:color="auto" w:fill="CCECFF"/>
          </w:tcPr>
          <w:p>
            <w:pPr>
              <w:ind w:left="20"/>
              <w:spacing w:after="0" w:line="175" w:lineRule="exact"/>
              <w:rPr>
                <w:sz w:val="20"/>
                <w:szCs w:val="20"/>
                <w:color w:val="auto"/>
              </w:rPr>
            </w:pPr>
            <w:r>
              <w:rPr>
                <w:rFonts w:ascii="Arial" w:cs="Arial" w:eastAsia="Arial" w:hAnsi="Arial"/>
                <w:sz w:val="14"/>
                <w:szCs w:val="14"/>
                <w:color w:val="auto"/>
              </w:rPr>
              <w:t xml:space="preserve">Net investment income </w:t>
            </w:r>
            <w:r>
              <w:rPr>
                <w:rFonts w:ascii="Arial" w:cs="Arial" w:eastAsia="Arial" w:hAnsi="Arial"/>
                <w:sz w:val="19"/>
                <w:szCs w:val="19"/>
                <w:color w:val="auto"/>
                <w:vertAlign w:val="superscript"/>
              </w:rPr>
              <w:t>(1)</w:t>
            </w:r>
          </w:p>
        </w:tc>
        <w:tc>
          <w:tcPr>
            <w:tcW w:w="1200" w:type="dxa"/>
            <w:vAlign w:val="bottom"/>
            <w:shd w:val="clear" w:color="auto" w:fill="CCECFF"/>
          </w:tcPr>
          <w:p>
            <w:pPr>
              <w:spacing w:after="0"/>
              <w:rPr>
                <w:sz w:val="15"/>
                <w:szCs w:val="15"/>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0.90</w:t>
            </w:r>
          </w:p>
        </w:tc>
        <w:tc>
          <w:tcPr>
            <w:tcW w:w="340" w:type="dxa"/>
            <w:vAlign w:val="bottom"/>
            <w:shd w:val="clear" w:color="auto" w:fill="CCECFF"/>
          </w:tcPr>
          <w:p>
            <w:pPr>
              <w:spacing w:after="0"/>
              <w:rPr>
                <w:sz w:val="15"/>
                <w:szCs w:val="15"/>
                <w:color w:val="auto"/>
              </w:rPr>
            </w:pPr>
          </w:p>
        </w:tc>
        <w:tc>
          <w:tcPr>
            <w:tcW w:w="780" w:type="dxa"/>
            <w:vAlign w:val="bottom"/>
            <w:shd w:val="clear" w:color="auto" w:fill="CCECFF"/>
          </w:tcPr>
          <w:p>
            <w:pPr>
              <w:spacing w:after="0"/>
              <w:rPr>
                <w:sz w:val="15"/>
                <w:szCs w:val="15"/>
                <w:color w:val="auto"/>
              </w:rPr>
            </w:pPr>
          </w:p>
        </w:tc>
        <w:tc>
          <w:tcPr>
            <w:tcW w:w="12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0.78</w:t>
            </w:r>
          </w:p>
        </w:tc>
        <w:tc>
          <w:tcPr>
            <w:tcW w:w="100" w:type="dxa"/>
            <w:vAlign w:val="bottom"/>
            <w:shd w:val="clear" w:color="auto" w:fill="CCEC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820" w:type="dxa"/>
            <w:vAlign w:val="bottom"/>
          </w:tcPr>
          <w:p>
            <w:pPr>
              <w:ind w:left="20"/>
              <w:spacing w:after="0" w:line="175" w:lineRule="exact"/>
              <w:rPr>
                <w:sz w:val="20"/>
                <w:szCs w:val="20"/>
                <w:color w:val="auto"/>
              </w:rPr>
            </w:pPr>
            <w:r>
              <w:rPr>
                <w:rFonts w:ascii="Arial" w:cs="Arial" w:eastAsia="Arial" w:hAnsi="Arial"/>
                <w:sz w:val="14"/>
                <w:szCs w:val="14"/>
                <w:color w:val="auto"/>
              </w:rPr>
              <w:t xml:space="preserve">Net change in realized and unrealized (loss) gain </w:t>
            </w:r>
            <w:r>
              <w:rPr>
                <w:rFonts w:ascii="Arial" w:cs="Arial" w:eastAsia="Arial" w:hAnsi="Arial"/>
                <w:sz w:val="19"/>
                <w:szCs w:val="19"/>
                <w:color w:val="auto"/>
                <w:vertAlign w:val="superscript"/>
              </w:rPr>
              <w:t>(1)</w:t>
            </w:r>
          </w:p>
        </w:tc>
        <w:tc>
          <w:tcPr>
            <w:tcW w:w="1200" w:type="dxa"/>
            <w:vAlign w:val="bottom"/>
          </w:tcPr>
          <w:p>
            <w:pPr>
              <w:spacing w:after="0"/>
              <w:rPr>
                <w:sz w:val="15"/>
                <w:szCs w:val="15"/>
                <w:color w:val="auto"/>
              </w:rPr>
            </w:pPr>
          </w:p>
        </w:tc>
        <w:tc>
          <w:tcPr>
            <w:tcW w:w="1120" w:type="dxa"/>
            <w:vAlign w:val="bottom"/>
            <w:gridSpan w:val="2"/>
          </w:tcPr>
          <w:p>
            <w:pPr>
              <w:jc w:val="right"/>
              <w:ind w:right="208"/>
              <w:spacing w:after="0"/>
              <w:rPr>
                <w:sz w:val="20"/>
                <w:szCs w:val="20"/>
                <w:color w:val="auto"/>
              </w:rPr>
            </w:pPr>
            <w:r>
              <w:rPr>
                <w:rFonts w:ascii="Arial" w:cs="Arial" w:eastAsia="Arial" w:hAnsi="Arial"/>
                <w:sz w:val="14"/>
                <w:szCs w:val="14"/>
                <w:color w:val="auto"/>
              </w:rPr>
              <w:t>(0.48 )</w:t>
            </w:r>
          </w:p>
        </w:tc>
        <w:tc>
          <w:tcPr>
            <w:tcW w:w="7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0.58</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820" w:type="dxa"/>
            <w:vAlign w:val="bottom"/>
            <w:shd w:val="clear" w:color="auto" w:fill="CCECFF"/>
          </w:tcPr>
          <w:p>
            <w:pPr>
              <w:ind w:left="20"/>
              <w:spacing w:after="0" w:line="169" w:lineRule="exact"/>
              <w:rPr>
                <w:sz w:val="20"/>
                <w:szCs w:val="20"/>
                <w:color w:val="auto"/>
              </w:rPr>
            </w:pPr>
            <w:r>
              <w:rPr>
                <w:rFonts w:ascii="Arial" w:cs="Arial" w:eastAsia="Arial" w:hAnsi="Arial"/>
                <w:sz w:val="14"/>
                <w:szCs w:val="14"/>
                <w:color w:val="auto"/>
              </w:rPr>
              <w:t xml:space="preserve">Net increase in net assets resulting from operations </w:t>
            </w:r>
            <w:r>
              <w:rPr>
                <w:rFonts w:ascii="Arial" w:cs="Arial" w:eastAsia="Arial" w:hAnsi="Arial"/>
                <w:sz w:val="19"/>
                <w:szCs w:val="19"/>
                <w:color w:val="auto"/>
                <w:vertAlign w:val="superscript"/>
              </w:rPr>
              <w:t>(1)</w:t>
            </w:r>
          </w:p>
        </w:tc>
        <w:tc>
          <w:tcPr>
            <w:tcW w:w="1200" w:type="dxa"/>
            <w:vAlign w:val="bottom"/>
            <w:tcBorders>
              <w:top w:val="single" w:sz="8" w:color="auto"/>
            </w:tcBorders>
            <w:shd w:val="clear" w:color="auto" w:fill="CCECFF"/>
          </w:tcPr>
          <w:p>
            <w:pPr>
              <w:spacing w:after="0"/>
              <w:rPr>
                <w:sz w:val="14"/>
                <w:szCs w:val="14"/>
                <w:color w:val="auto"/>
              </w:rPr>
            </w:pPr>
          </w:p>
        </w:tc>
        <w:tc>
          <w:tcPr>
            <w:tcW w:w="7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0.42</w:t>
            </w:r>
          </w:p>
        </w:tc>
        <w:tc>
          <w:tcPr>
            <w:tcW w:w="340" w:type="dxa"/>
            <w:vAlign w:val="bottom"/>
            <w:shd w:val="clear" w:color="auto" w:fill="CCECFF"/>
          </w:tcPr>
          <w:p>
            <w:pPr>
              <w:spacing w:after="0"/>
              <w:rPr>
                <w:sz w:val="14"/>
                <w:szCs w:val="14"/>
                <w:color w:val="auto"/>
              </w:rPr>
            </w:pPr>
          </w:p>
        </w:tc>
        <w:tc>
          <w:tcPr>
            <w:tcW w:w="780" w:type="dxa"/>
            <w:vAlign w:val="bottom"/>
            <w:tcBorders>
              <w:top w:val="single" w:sz="8" w:color="auto"/>
            </w:tcBorders>
            <w:shd w:val="clear" w:color="auto" w:fill="CCECFF"/>
          </w:tcPr>
          <w:p>
            <w:pPr>
              <w:spacing w:after="0"/>
              <w:rPr>
                <w:sz w:val="14"/>
                <w:szCs w:val="14"/>
                <w:color w:val="auto"/>
              </w:rPr>
            </w:pPr>
          </w:p>
        </w:tc>
        <w:tc>
          <w:tcPr>
            <w:tcW w:w="12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1.36</w:t>
            </w:r>
          </w:p>
        </w:tc>
        <w:tc>
          <w:tcPr>
            <w:tcW w:w="10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820" w:type="dxa"/>
            <w:vAlign w:val="bottom"/>
          </w:tcPr>
          <w:p>
            <w:pPr>
              <w:ind w:left="20"/>
              <w:spacing w:after="0" w:line="175" w:lineRule="exact"/>
              <w:rPr>
                <w:sz w:val="20"/>
                <w:szCs w:val="20"/>
                <w:color w:val="auto"/>
              </w:rPr>
            </w:pPr>
            <w:r>
              <w:rPr>
                <w:rFonts w:ascii="Arial" w:cs="Arial" w:eastAsia="Arial" w:hAnsi="Arial"/>
                <w:sz w:val="14"/>
                <w:szCs w:val="14"/>
                <w:color w:val="auto"/>
              </w:rPr>
              <w:t xml:space="preserve">Distributions to stockholders </w:t>
            </w:r>
            <w:r>
              <w:rPr>
                <w:rFonts w:ascii="Arial" w:cs="Arial" w:eastAsia="Arial" w:hAnsi="Arial"/>
                <w:sz w:val="19"/>
                <w:szCs w:val="19"/>
                <w:color w:val="auto"/>
                <w:vertAlign w:val="superscript"/>
              </w:rPr>
              <w:t>(1), (2)</w:t>
            </w:r>
          </w:p>
        </w:tc>
        <w:tc>
          <w:tcPr>
            <w:tcW w:w="1200" w:type="dxa"/>
            <w:vAlign w:val="bottom"/>
          </w:tcPr>
          <w:p>
            <w:pPr>
              <w:spacing w:after="0"/>
              <w:rPr>
                <w:sz w:val="15"/>
                <w:szCs w:val="15"/>
                <w:color w:val="auto"/>
              </w:rPr>
            </w:pPr>
          </w:p>
        </w:tc>
        <w:tc>
          <w:tcPr>
            <w:tcW w:w="1120" w:type="dxa"/>
            <w:vAlign w:val="bottom"/>
            <w:gridSpan w:val="2"/>
          </w:tcPr>
          <w:p>
            <w:pPr>
              <w:jc w:val="right"/>
              <w:ind w:right="208"/>
              <w:spacing w:after="0"/>
              <w:rPr>
                <w:sz w:val="20"/>
                <w:szCs w:val="20"/>
                <w:color w:val="auto"/>
              </w:rPr>
            </w:pPr>
            <w:r>
              <w:rPr>
                <w:rFonts w:ascii="Arial" w:cs="Arial" w:eastAsia="Arial" w:hAnsi="Arial"/>
                <w:sz w:val="14"/>
                <w:szCs w:val="14"/>
                <w:color w:val="auto"/>
              </w:rPr>
              <w:t>(0.86 )</w:t>
            </w:r>
          </w:p>
        </w:tc>
        <w:tc>
          <w:tcPr>
            <w:tcW w:w="780" w:type="dxa"/>
            <w:vAlign w:val="bottom"/>
          </w:tcPr>
          <w:p>
            <w:pPr>
              <w:spacing w:after="0"/>
              <w:rPr>
                <w:sz w:val="15"/>
                <w:szCs w:val="15"/>
                <w:color w:val="auto"/>
              </w:rPr>
            </w:pPr>
          </w:p>
        </w:tc>
        <w:tc>
          <w:tcPr>
            <w:tcW w:w="1320" w:type="dxa"/>
            <w:vAlign w:val="bottom"/>
            <w:gridSpan w:val="2"/>
          </w:tcPr>
          <w:p>
            <w:pPr>
              <w:jc w:val="right"/>
              <w:spacing w:after="0"/>
              <w:rPr>
                <w:sz w:val="20"/>
                <w:szCs w:val="20"/>
                <w:color w:val="auto"/>
              </w:rPr>
            </w:pPr>
            <w:r>
              <w:rPr>
                <w:rFonts w:ascii="Arial" w:cs="Arial" w:eastAsia="Arial" w:hAnsi="Arial"/>
                <w:sz w:val="14"/>
                <w:szCs w:val="14"/>
                <w:color w:val="auto"/>
              </w:rPr>
              <w:t>(0.86 )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820" w:type="dxa"/>
            <w:vAlign w:val="bottom"/>
            <w:shd w:val="clear" w:color="auto" w:fill="CCECFF"/>
          </w:tcPr>
          <w:p>
            <w:pPr>
              <w:ind w:left="20"/>
              <w:spacing w:after="0"/>
              <w:rPr>
                <w:sz w:val="20"/>
                <w:szCs w:val="20"/>
                <w:color w:val="auto"/>
              </w:rPr>
            </w:pPr>
            <w:r>
              <w:rPr>
                <w:rFonts w:ascii="Arial" w:cs="Arial" w:eastAsia="Arial" w:hAnsi="Arial"/>
                <w:sz w:val="14"/>
                <w:szCs w:val="14"/>
                <w:color w:val="auto"/>
              </w:rPr>
              <w:t>Issuance of common stock</w:t>
            </w:r>
          </w:p>
        </w:tc>
        <w:tc>
          <w:tcPr>
            <w:tcW w:w="1200" w:type="dxa"/>
            <w:vAlign w:val="bottom"/>
            <w:shd w:val="clear" w:color="auto" w:fill="CCECFF"/>
          </w:tcPr>
          <w:p>
            <w:pPr>
              <w:spacing w:after="0"/>
              <w:rPr>
                <w:sz w:val="15"/>
                <w:szCs w:val="15"/>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0.03</w:t>
            </w:r>
          </w:p>
        </w:tc>
        <w:tc>
          <w:tcPr>
            <w:tcW w:w="340" w:type="dxa"/>
            <w:vAlign w:val="bottom"/>
            <w:shd w:val="clear" w:color="auto" w:fill="CCECFF"/>
          </w:tcPr>
          <w:p>
            <w:pPr>
              <w:spacing w:after="0"/>
              <w:rPr>
                <w:sz w:val="15"/>
                <w:szCs w:val="15"/>
                <w:color w:val="auto"/>
              </w:rPr>
            </w:pPr>
          </w:p>
        </w:tc>
        <w:tc>
          <w:tcPr>
            <w:tcW w:w="780" w:type="dxa"/>
            <w:vAlign w:val="bottom"/>
            <w:shd w:val="clear" w:color="auto" w:fill="CCECFF"/>
          </w:tcPr>
          <w:p>
            <w:pPr>
              <w:spacing w:after="0"/>
              <w:rPr>
                <w:sz w:val="15"/>
                <w:szCs w:val="15"/>
                <w:color w:val="auto"/>
              </w:rPr>
            </w:pPr>
          </w:p>
        </w:tc>
        <w:tc>
          <w:tcPr>
            <w:tcW w:w="1320" w:type="dxa"/>
            <w:vAlign w:val="bottom"/>
            <w:gridSpan w:val="2"/>
            <w:shd w:val="clear" w:color="auto" w:fill="CCECFF"/>
          </w:tcPr>
          <w:p>
            <w:pPr>
              <w:jc w:val="right"/>
              <w:ind w:right="5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820" w:type="dxa"/>
            <w:vAlign w:val="bottom"/>
            <w:tcBorders>
              <w:top w:val="single" w:sz="8" w:color="CCECFF"/>
            </w:tcBorders>
          </w:tcPr>
          <w:p>
            <w:pPr>
              <w:ind w:left="20"/>
              <w:spacing w:after="0"/>
              <w:rPr>
                <w:sz w:val="20"/>
                <w:szCs w:val="20"/>
                <w:color w:val="auto"/>
              </w:rPr>
            </w:pPr>
            <w:r>
              <w:rPr>
                <w:rFonts w:ascii="Arial" w:cs="Arial" w:eastAsia="Arial" w:hAnsi="Arial"/>
                <w:sz w:val="14"/>
                <w:szCs w:val="14"/>
                <w:color w:val="auto"/>
              </w:rPr>
              <w:t>Net asset value, end of period</w:t>
            </w:r>
          </w:p>
        </w:tc>
        <w:tc>
          <w:tcPr>
            <w:tcW w:w="1200" w:type="dxa"/>
            <w:vAlign w:val="bottom"/>
            <w:tcBorders>
              <w:top w:val="single" w:sz="8" w:color="auto"/>
              <w:bottom w:val="single" w:sz="8" w:color="auto"/>
            </w:tcBorders>
          </w:tcPr>
          <w:p>
            <w:pPr>
              <w:jc w:val="right"/>
              <w:ind w:right="1048"/>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12.21</w:t>
            </w:r>
          </w:p>
        </w:tc>
        <w:tc>
          <w:tcPr>
            <w:tcW w:w="340" w:type="dxa"/>
            <w:vAlign w:val="bottom"/>
            <w:tcBorders>
              <w:top w:val="single" w:sz="8" w:color="CCECFF"/>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628"/>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12.81</w:t>
            </w:r>
          </w:p>
        </w:tc>
        <w:tc>
          <w:tcPr>
            <w:tcW w:w="100" w:type="dxa"/>
            <w:vAlign w:val="bottom"/>
            <w:tcBorders>
              <w:top w:val="single" w:sz="8" w:color="CCECFF"/>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20" w:type="dxa"/>
            <w:vAlign w:val="bottom"/>
            <w:tcBorders>
              <w:bottom w:val="single" w:sz="8" w:color="CCECFF"/>
            </w:tcBorders>
            <w:shd w:val="clear" w:color="auto" w:fill="CCECFF"/>
          </w:tcPr>
          <w:p>
            <w:pPr>
              <w:ind w:left="20"/>
              <w:spacing w:after="0" w:line="156" w:lineRule="exact"/>
              <w:rPr>
                <w:sz w:val="20"/>
                <w:szCs w:val="20"/>
                <w:color w:val="auto"/>
              </w:rPr>
            </w:pPr>
            <w:r>
              <w:rPr>
                <w:rFonts w:ascii="Arial" w:cs="Arial" w:eastAsia="Arial" w:hAnsi="Arial"/>
                <w:sz w:val="14"/>
                <w:szCs w:val="14"/>
                <w:color w:val="auto"/>
              </w:rPr>
              <w:t>Per share market value, end of period</w:t>
            </w:r>
          </w:p>
        </w:tc>
        <w:tc>
          <w:tcPr>
            <w:tcW w:w="1200" w:type="dxa"/>
            <w:vAlign w:val="bottom"/>
            <w:tcBorders>
              <w:bottom w:val="single" w:sz="8" w:color="auto"/>
            </w:tcBorders>
            <w:shd w:val="clear" w:color="auto" w:fill="CCECFF"/>
          </w:tcPr>
          <w:p>
            <w:pPr>
              <w:jc w:val="right"/>
              <w:ind w:right="1048"/>
              <w:spacing w:after="0" w:line="156" w:lineRule="exact"/>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CFF"/>
          </w:tcPr>
          <w:p>
            <w:pPr>
              <w:jc w:val="right"/>
              <w:spacing w:after="0" w:line="156" w:lineRule="exact"/>
              <w:rPr>
                <w:sz w:val="20"/>
                <w:szCs w:val="20"/>
                <w:color w:val="auto"/>
              </w:rPr>
            </w:pPr>
            <w:r>
              <w:rPr>
                <w:rFonts w:ascii="Arial" w:cs="Arial" w:eastAsia="Arial" w:hAnsi="Arial"/>
                <w:sz w:val="14"/>
                <w:szCs w:val="14"/>
                <w:color w:val="auto"/>
              </w:rPr>
              <w:t>11.48</w:t>
            </w:r>
          </w:p>
        </w:tc>
        <w:tc>
          <w:tcPr>
            <w:tcW w:w="340" w:type="dxa"/>
            <w:vAlign w:val="bottom"/>
            <w:tcBorders>
              <w:bottom w:val="single" w:sz="8" w:color="CCECFF"/>
            </w:tcBorders>
            <w:shd w:val="clear" w:color="auto" w:fill="CCECFF"/>
          </w:tcPr>
          <w:p>
            <w:pPr>
              <w:spacing w:after="0"/>
              <w:rPr>
                <w:sz w:val="17"/>
                <w:szCs w:val="17"/>
                <w:color w:val="auto"/>
              </w:rPr>
            </w:pPr>
          </w:p>
        </w:tc>
        <w:tc>
          <w:tcPr>
            <w:tcW w:w="780" w:type="dxa"/>
            <w:vAlign w:val="bottom"/>
            <w:tcBorders>
              <w:bottom w:val="single" w:sz="8" w:color="auto"/>
            </w:tcBorders>
            <w:shd w:val="clear" w:color="auto" w:fill="CCECFF"/>
          </w:tcPr>
          <w:p>
            <w:pPr>
              <w:jc w:val="right"/>
              <w:ind w:right="628"/>
              <w:spacing w:after="0" w:line="156" w:lineRule="exact"/>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shd w:val="clear" w:color="auto" w:fill="CCECFF"/>
          </w:tcPr>
          <w:p>
            <w:pPr>
              <w:jc w:val="right"/>
              <w:spacing w:after="0" w:line="156" w:lineRule="exact"/>
              <w:rPr>
                <w:sz w:val="20"/>
                <w:szCs w:val="20"/>
                <w:color w:val="auto"/>
              </w:rPr>
            </w:pPr>
            <w:r>
              <w:rPr>
                <w:rFonts w:ascii="Arial" w:cs="Arial" w:eastAsia="Arial" w:hAnsi="Arial"/>
                <w:sz w:val="14"/>
                <w:szCs w:val="14"/>
                <w:color w:val="auto"/>
              </w:rPr>
              <w:t>12.72</w:t>
            </w:r>
          </w:p>
        </w:tc>
        <w:tc>
          <w:tcPr>
            <w:tcW w:w="100" w:type="dxa"/>
            <w:vAlign w:val="bottom"/>
            <w:tcBorders>
              <w:bottom w:val="single" w:sz="8" w:color="CCECFF"/>
            </w:tcBorders>
            <w:shd w:val="clear" w:color="auto" w:fill="CCEC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6820" w:type="dxa"/>
            <w:vAlign w:val="bottom"/>
          </w:tcPr>
          <w:p>
            <w:pPr>
              <w:ind w:left="20"/>
              <w:spacing w:after="0" w:line="156" w:lineRule="exact"/>
              <w:rPr>
                <w:sz w:val="20"/>
                <w:szCs w:val="20"/>
                <w:color w:val="auto"/>
              </w:rPr>
            </w:pPr>
            <w:r>
              <w:rPr>
                <w:rFonts w:ascii="Arial" w:cs="Arial" w:eastAsia="Arial" w:hAnsi="Arial"/>
                <w:sz w:val="14"/>
                <w:szCs w:val="14"/>
                <w:color w:val="auto"/>
              </w:rPr>
              <w:t xml:space="preserve">Total return </w:t>
            </w:r>
            <w:r>
              <w:rPr>
                <w:rFonts w:ascii="Arial" w:cs="Arial" w:eastAsia="Arial" w:hAnsi="Arial"/>
                <w:sz w:val="18"/>
                <w:szCs w:val="18"/>
                <w:color w:val="auto"/>
                <w:vertAlign w:val="superscript"/>
              </w:rPr>
              <w:t>*(3)</w:t>
            </w:r>
          </w:p>
        </w:tc>
        <w:tc>
          <w:tcPr>
            <w:tcW w:w="1200" w:type="dxa"/>
            <w:vAlign w:val="bottom"/>
          </w:tcPr>
          <w:p>
            <w:pPr>
              <w:spacing w:after="0"/>
              <w:rPr>
                <w:sz w:val="13"/>
                <w:szCs w:val="13"/>
                <w:color w:val="auto"/>
              </w:rPr>
            </w:pPr>
          </w:p>
        </w:tc>
        <w:tc>
          <w:tcPr>
            <w:tcW w:w="1120" w:type="dxa"/>
            <w:vAlign w:val="bottom"/>
            <w:gridSpan w:val="2"/>
          </w:tcPr>
          <w:p>
            <w:pPr>
              <w:jc w:val="right"/>
              <w:ind w:right="148"/>
              <w:spacing w:after="0" w:line="156" w:lineRule="exact"/>
              <w:rPr>
                <w:sz w:val="20"/>
                <w:szCs w:val="20"/>
                <w:color w:val="auto"/>
              </w:rPr>
            </w:pPr>
            <w:r>
              <w:rPr>
                <w:rFonts w:ascii="Arial" w:cs="Arial" w:eastAsia="Arial" w:hAnsi="Arial"/>
                <w:sz w:val="14"/>
                <w:szCs w:val="14"/>
                <w:color w:val="auto"/>
              </w:rPr>
              <w:t>-4.08 %</w:t>
            </w:r>
          </w:p>
        </w:tc>
        <w:tc>
          <w:tcPr>
            <w:tcW w:w="780" w:type="dxa"/>
            <w:vAlign w:val="bottom"/>
          </w:tcPr>
          <w:p>
            <w:pPr>
              <w:spacing w:after="0"/>
              <w:rPr>
                <w:sz w:val="13"/>
                <w:szCs w:val="13"/>
                <w:color w:val="auto"/>
              </w:rPr>
            </w:pPr>
          </w:p>
        </w:tc>
        <w:tc>
          <w:tcPr>
            <w:tcW w:w="1320" w:type="dxa"/>
            <w:vAlign w:val="bottom"/>
            <w:gridSpan w:val="2"/>
          </w:tcPr>
          <w:p>
            <w:pPr>
              <w:jc w:val="right"/>
              <w:spacing w:after="0" w:line="156" w:lineRule="exact"/>
              <w:rPr>
                <w:sz w:val="20"/>
                <w:szCs w:val="20"/>
                <w:color w:val="auto"/>
              </w:rPr>
            </w:pPr>
            <w:r>
              <w:rPr>
                <w:rFonts w:ascii="Arial" w:cs="Arial" w:eastAsia="Arial" w:hAnsi="Arial"/>
                <w:sz w:val="14"/>
                <w:szCs w:val="14"/>
                <w:color w:val="auto"/>
              </w:rPr>
              <w:t>62.85 %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682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4"/>
                <w:szCs w:val="14"/>
                <w:color w:val="auto"/>
              </w:rPr>
              <w:t>Shares outstanding at end of period</w:t>
            </w:r>
          </w:p>
        </w:tc>
        <w:tc>
          <w:tcPr>
            <w:tcW w:w="1200" w:type="dxa"/>
            <w:vAlign w:val="bottom"/>
            <w:tcBorders>
              <w:bottom w:val="single" w:sz="8" w:color="auto"/>
            </w:tcBorders>
            <w:shd w:val="clear" w:color="auto" w:fill="CCECFF"/>
          </w:tcPr>
          <w:p>
            <w:pPr>
              <w:spacing w:after="0"/>
              <w:rPr>
                <w:sz w:val="15"/>
                <w:szCs w:val="15"/>
                <w:color w:val="auto"/>
              </w:rPr>
            </w:pPr>
          </w:p>
        </w:tc>
        <w:tc>
          <w:tcPr>
            <w:tcW w:w="7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41,345,638</w:t>
            </w:r>
          </w:p>
        </w:tc>
        <w:tc>
          <w:tcPr>
            <w:tcW w:w="340" w:type="dxa"/>
            <w:vAlign w:val="bottom"/>
            <w:tcBorders>
              <w:bottom w:val="single" w:sz="8" w:color="CCECFF"/>
            </w:tcBorders>
            <w:shd w:val="clear" w:color="auto" w:fill="CCECFF"/>
          </w:tcPr>
          <w:p>
            <w:pPr>
              <w:spacing w:after="0"/>
              <w:rPr>
                <w:sz w:val="15"/>
                <w:szCs w:val="15"/>
                <w:color w:val="auto"/>
              </w:rPr>
            </w:pPr>
          </w:p>
        </w:tc>
        <w:tc>
          <w:tcPr>
            <w:tcW w:w="780" w:type="dxa"/>
            <w:vAlign w:val="bottom"/>
            <w:tcBorders>
              <w:bottom w:val="single" w:sz="8" w:color="auto"/>
            </w:tcBorders>
            <w:shd w:val="clear" w:color="auto" w:fill="CCECFF"/>
          </w:tcPr>
          <w:p>
            <w:pPr>
              <w:spacing w:after="0"/>
              <w:rPr>
                <w:sz w:val="15"/>
                <w:szCs w:val="15"/>
                <w:color w:val="auto"/>
              </w:rPr>
            </w:pPr>
          </w:p>
        </w:tc>
        <w:tc>
          <w:tcPr>
            <w:tcW w:w="12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38,772,074</w:t>
            </w:r>
          </w:p>
        </w:tc>
        <w:tc>
          <w:tcPr>
            <w:tcW w:w="100" w:type="dxa"/>
            <w:vAlign w:val="bottom"/>
            <w:tcBorders>
              <w:bottom w:val="single" w:sz="8" w:color="CCECFF"/>
            </w:tcBorders>
            <w:shd w:val="clear" w:color="auto" w:fill="CCEC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820" w:type="dxa"/>
            <w:vAlign w:val="bottom"/>
          </w:tcPr>
          <w:p>
            <w:pPr>
              <w:ind w:left="20"/>
              <w:spacing w:after="0" w:line="169" w:lineRule="exact"/>
              <w:rPr>
                <w:sz w:val="20"/>
                <w:szCs w:val="20"/>
                <w:color w:val="auto"/>
              </w:rPr>
            </w:pPr>
            <w:r>
              <w:rPr>
                <w:rFonts w:ascii="Arial" w:cs="Arial" w:eastAsia="Arial" w:hAnsi="Arial"/>
                <w:sz w:val="14"/>
                <w:szCs w:val="14"/>
                <w:b w:val="1"/>
                <w:bCs w:val="1"/>
                <w:color w:val="auto"/>
              </w:rPr>
              <w:t>Ratios</w:t>
            </w:r>
            <w:r>
              <w:rPr>
                <w:rFonts w:ascii="Arial" w:cs="Arial" w:eastAsia="Arial" w:hAnsi="Arial"/>
                <w:sz w:val="19"/>
                <w:szCs w:val="19"/>
                <w:b w:val="1"/>
                <w:bCs w:val="1"/>
                <w:color w:val="auto"/>
                <w:vertAlign w:val="superscript"/>
              </w:rPr>
              <w:t>**</w:t>
            </w:r>
            <w:r>
              <w:rPr>
                <w:rFonts w:ascii="Arial" w:cs="Arial" w:eastAsia="Arial" w:hAnsi="Arial"/>
                <w:sz w:val="14"/>
                <w:szCs w:val="14"/>
                <w:b w:val="1"/>
                <w:bCs w:val="1"/>
                <w:color w:val="auto"/>
              </w:rPr>
              <w:t xml:space="preserve"> / Supplemental Data:</w:t>
            </w:r>
          </w:p>
        </w:tc>
        <w:tc>
          <w:tcPr>
            <w:tcW w:w="1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820" w:type="dxa"/>
            <w:vAlign w:val="bottom"/>
            <w:shd w:val="clear" w:color="auto" w:fill="CCECFF"/>
          </w:tcPr>
          <w:p>
            <w:pPr>
              <w:ind w:left="20"/>
              <w:spacing w:after="0" w:line="175" w:lineRule="exact"/>
              <w:rPr>
                <w:sz w:val="20"/>
                <w:szCs w:val="20"/>
                <w:color w:val="auto"/>
              </w:rPr>
            </w:pPr>
            <w:r>
              <w:rPr>
                <w:rFonts w:ascii="Arial" w:cs="Arial" w:eastAsia="Arial" w:hAnsi="Arial"/>
                <w:sz w:val="14"/>
                <w:szCs w:val="14"/>
                <w:color w:val="auto"/>
              </w:rPr>
              <w:t xml:space="preserve">Ratio of operating expenses to average net assets </w:t>
            </w:r>
            <w:r>
              <w:rPr>
                <w:rFonts w:ascii="Arial" w:cs="Arial" w:eastAsia="Arial" w:hAnsi="Arial"/>
                <w:sz w:val="19"/>
                <w:szCs w:val="19"/>
                <w:color w:val="auto"/>
                <w:vertAlign w:val="superscript"/>
              </w:rPr>
              <w:t>(4)</w:t>
            </w:r>
          </w:p>
        </w:tc>
        <w:tc>
          <w:tcPr>
            <w:tcW w:w="1200" w:type="dxa"/>
            <w:vAlign w:val="bottom"/>
            <w:shd w:val="clear" w:color="auto" w:fill="CCECFF"/>
          </w:tcPr>
          <w:p>
            <w:pPr>
              <w:spacing w:after="0"/>
              <w:rPr>
                <w:sz w:val="15"/>
                <w:szCs w:val="15"/>
                <w:color w:val="auto"/>
              </w:rPr>
            </w:pPr>
          </w:p>
        </w:tc>
        <w:tc>
          <w:tcPr>
            <w:tcW w:w="1120" w:type="dxa"/>
            <w:vAlign w:val="bottom"/>
            <w:gridSpan w:val="2"/>
            <w:shd w:val="clear" w:color="auto" w:fill="CCECFF"/>
          </w:tcPr>
          <w:p>
            <w:pPr>
              <w:jc w:val="right"/>
              <w:ind w:right="148"/>
              <w:spacing w:after="0"/>
              <w:rPr>
                <w:sz w:val="20"/>
                <w:szCs w:val="20"/>
                <w:color w:val="auto"/>
              </w:rPr>
            </w:pPr>
            <w:r>
              <w:rPr>
                <w:rFonts w:ascii="Arial" w:cs="Arial" w:eastAsia="Arial" w:hAnsi="Arial"/>
                <w:sz w:val="14"/>
                <w:szCs w:val="14"/>
                <w:color w:val="auto"/>
              </w:rPr>
              <w:t>5.33 %</w:t>
            </w:r>
          </w:p>
        </w:tc>
        <w:tc>
          <w:tcPr>
            <w:tcW w:w="780" w:type="dxa"/>
            <w:vAlign w:val="bottom"/>
            <w:shd w:val="clear" w:color="auto" w:fill="CCECFF"/>
          </w:tcPr>
          <w:p>
            <w:pPr>
              <w:spacing w:after="0"/>
              <w:rPr>
                <w:sz w:val="15"/>
                <w:szCs w:val="15"/>
                <w:color w:val="auto"/>
              </w:rPr>
            </w:pPr>
          </w:p>
        </w:tc>
        <w:tc>
          <w:tcPr>
            <w:tcW w:w="132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4.01 %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820" w:type="dxa"/>
            <w:vAlign w:val="bottom"/>
          </w:tcPr>
          <w:p>
            <w:pPr>
              <w:ind w:left="20"/>
              <w:spacing w:after="0" w:line="175" w:lineRule="exact"/>
              <w:rPr>
                <w:sz w:val="20"/>
                <w:szCs w:val="20"/>
                <w:color w:val="auto"/>
              </w:rPr>
            </w:pPr>
            <w:r>
              <w:rPr>
                <w:rFonts w:ascii="Arial" w:cs="Arial" w:eastAsia="Arial" w:hAnsi="Arial"/>
                <w:sz w:val="14"/>
                <w:szCs w:val="14"/>
                <w:color w:val="auto"/>
              </w:rPr>
              <w:t xml:space="preserve">Ratio of debt related expenses to average net assets </w:t>
            </w:r>
            <w:r>
              <w:rPr>
                <w:rFonts w:ascii="Arial" w:cs="Arial" w:eastAsia="Arial" w:hAnsi="Arial"/>
                <w:sz w:val="19"/>
                <w:szCs w:val="19"/>
                <w:color w:val="auto"/>
                <w:vertAlign w:val="superscript"/>
              </w:rPr>
              <w:t>(5)</w:t>
            </w:r>
          </w:p>
        </w:tc>
        <w:tc>
          <w:tcPr>
            <w:tcW w:w="1200" w:type="dxa"/>
            <w:vAlign w:val="bottom"/>
          </w:tcPr>
          <w:p>
            <w:pPr>
              <w:spacing w:after="0"/>
              <w:rPr>
                <w:sz w:val="15"/>
                <w:szCs w:val="15"/>
                <w:color w:val="auto"/>
              </w:rPr>
            </w:pPr>
          </w:p>
        </w:tc>
        <w:tc>
          <w:tcPr>
            <w:tcW w:w="1120" w:type="dxa"/>
            <w:vAlign w:val="bottom"/>
            <w:gridSpan w:val="2"/>
          </w:tcPr>
          <w:p>
            <w:pPr>
              <w:jc w:val="right"/>
              <w:ind w:right="148"/>
              <w:spacing w:after="0"/>
              <w:rPr>
                <w:sz w:val="20"/>
                <w:szCs w:val="20"/>
                <w:color w:val="auto"/>
              </w:rPr>
            </w:pPr>
            <w:r>
              <w:rPr>
                <w:rFonts w:ascii="Arial" w:cs="Arial" w:eastAsia="Arial" w:hAnsi="Arial"/>
                <w:sz w:val="14"/>
                <w:szCs w:val="14"/>
                <w:color w:val="auto"/>
              </w:rPr>
              <w:t>5.50 %</w:t>
            </w:r>
          </w:p>
        </w:tc>
        <w:tc>
          <w:tcPr>
            <w:tcW w:w="780" w:type="dxa"/>
            <w:vAlign w:val="bottom"/>
          </w:tcPr>
          <w:p>
            <w:pPr>
              <w:spacing w:after="0"/>
              <w:rPr>
                <w:sz w:val="15"/>
                <w:szCs w:val="15"/>
                <w:color w:val="auto"/>
              </w:rPr>
            </w:pPr>
          </w:p>
        </w:tc>
        <w:tc>
          <w:tcPr>
            <w:tcW w:w="1320" w:type="dxa"/>
            <w:vAlign w:val="bottom"/>
            <w:gridSpan w:val="2"/>
          </w:tcPr>
          <w:p>
            <w:pPr>
              <w:jc w:val="right"/>
              <w:spacing w:after="0"/>
              <w:rPr>
                <w:sz w:val="20"/>
                <w:szCs w:val="20"/>
                <w:color w:val="auto"/>
              </w:rPr>
            </w:pPr>
            <w:r>
              <w:rPr>
                <w:rFonts w:ascii="Arial" w:cs="Arial" w:eastAsia="Arial" w:hAnsi="Arial"/>
                <w:sz w:val="14"/>
                <w:szCs w:val="14"/>
                <w:color w:val="auto"/>
              </w:rPr>
              <w:t>4.36 %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820" w:type="dxa"/>
            <w:vAlign w:val="bottom"/>
            <w:shd w:val="clear" w:color="auto" w:fill="CCECFF"/>
          </w:tcPr>
          <w:p>
            <w:pPr>
              <w:ind w:left="20"/>
              <w:spacing w:after="0" w:line="169" w:lineRule="exact"/>
              <w:rPr>
                <w:sz w:val="20"/>
                <w:szCs w:val="20"/>
                <w:color w:val="auto"/>
              </w:rPr>
            </w:pPr>
            <w:r>
              <w:rPr>
                <w:rFonts w:ascii="Arial" w:cs="Arial" w:eastAsia="Arial" w:hAnsi="Arial"/>
                <w:sz w:val="14"/>
                <w:szCs w:val="14"/>
                <w:color w:val="auto"/>
              </w:rPr>
              <w:t xml:space="preserve">Ratio of total expenses to average net assets </w:t>
            </w:r>
            <w:r>
              <w:rPr>
                <w:rFonts w:ascii="Arial" w:cs="Arial" w:eastAsia="Arial" w:hAnsi="Arial"/>
                <w:sz w:val="19"/>
                <w:szCs w:val="19"/>
                <w:color w:val="auto"/>
                <w:vertAlign w:val="superscript"/>
              </w:rPr>
              <w:t>(5)</w:t>
            </w:r>
          </w:p>
        </w:tc>
        <w:tc>
          <w:tcPr>
            <w:tcW w:w="1200" w:type="dxa"/>
            <w:vAlign w:val="bottom"/>
            <w:tcBorders>
              <w:top w:val="single" w:sz="8" w:color="auto"/>
            </w:tcBorders>
            <w:shd w:val="clear" w:color="auto" w:fill="CCECFF"/>
          </w:tcPr>
          <w:p>
            <w:pPr>
              <w:spacing w:after="0"/>
              <w:rPr>
                <w:sz w:val="14"/>
                <w:szCs w:val="14"/>
                <w:color w:val="auto"/>
              </w:rPr>
            </w:pPr>
          </w:p>
        </w:tc>
        <w:tc>
          <w:tcPr>
            <w:tcW w:w="7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10.83</w:t>
            </w:r>
          </w:p>
        </w:tc>
        <w:tc>
          <w:tcPr>
            <w:tcW w:w="340" w:type="dxa"/>
            <w:vAlign w:val="bottom"/>
            <w:shd w:val="clear" w:color="auto" w:fill="CCECFF"/>
          </w:tcPr>
          <w:p>
            <w:pPr>
              <w:jc w:val="right"/>
              <w:ind w:right="148"/>
              <w:spacing w:after="0"/>
              <w:rPr>
                <w:sz w:val="20"/>
                <w:szCs w:val="20"/>
                <w:color w:val="auto"/>
              </w:rPr>
            </w:pPr>
            <w:r>
              <w:rPr>
                <w:rFonts w:ascii="Arial" w:cs="Arial" w:eastAsia="Arial" w:hAnsi="Arial"/>
                <w:sz w:val="14"/>
                <w:szCs w:val="14"/>
                <w:color w:val="auto"/>
                <w:w w:val="79"/>
              </w:rPr>
              <w:t>%</w:t>
            </w:r>
          </w:p>
        </w:tc>
        <w:tc>
          <w:tcPr>
            <w:tcW w:w="780" w:type="dxa"/>
            <w:vAlign w:val="bottom"/>
            <w:tcBorders>
              <w:top w:val="single" w:sz="8" w:color="auto"/>
            </w:tcBorders>
            <w:shd w:val="clear" w:color="auto" w:fill="CCECFF"/>
          </w:tcPr>
          <w:p>
            <w:pPr>
              <w:spacing w:after="0"/>
              <w:rPr>
                <w:sz w:val="14"/>
                <w:szCs w:val="14"/>
                <w:color w:val="auto"/>
              </w:rPr>
            </w:pPr>
          </w:p>
        </w:tc>
        <w:tc>
          <w:tcPr>
            <w:tcW w:w="12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8.37</w:t>
            </w:r>
          </w:p>
        </w:tc>
        <w:tc>
          <w:tcPr>
            <w:tcW w:w="100" w:type="dxa"/>
            <w:vAlign w:val="bottom"/>
            <w:shd w:val="clear" w:color="auto" w:fill="CCECFF"/>
          </w:tcPr>
          <w:p>
            <w:pPr>
              <w:jc w:val="right"/>
              <w:spacing w:after="0"/>
              <w:rPr>
                <w:sz w:val="20"/>
                <w:szCs w:val="20"/>
                <w:color w:val="auto"/>
              </w:rPr>
            </w:pPr>
            <w:r>
              <w:rPr>
                <w:rFonts w:ascii="Arial" w:cs="Arial" w:eastAsia="Arial" w:hAnsi="Arial"/>
                <w:sz w:val="12"/>
                <w:szCs w:val="12"/>
                <w:color w:val="auto"/>
                <w:w w:val="74"/>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820" w:type="dxa"/>
            <w:vAlign w:val="bottom"/>
          </w:tcPr>
          <w:p>
            <w:pPr>
              <w:ind w:left="20"/>
              <w:spacing w:after="0" w:line="175" w:lineRule="exact"/>
              <w:rPr>
                <w:sz w:val="20"/>
                <w:szCs w:val="20"/>
                <w:color w:val="auto"/>
              </w:rPr>
            </w:pPr>
            <w:r>
              <w:rPr>
                <w:rFonts w:ascii="Arial" w:cs="Arial" w:eastAsia="Arial" w:hAnsi="Arial"/>
                <w:sz w:val="14"/>
                <w:szCs w:val="14"/>
                <w:color w:val="auto"/>
              </w:rPr>
              <w:t xml:space="preserve">Ratio of net investment income to average net assets </w:t>
            </w:r>
            <w:r>
              <w:rPr>
                <w:rFonts w:ascii="Arial" w:cs="Arial" w:eastAsia="Arial" w:hAnsi="Arial"/>
                <w:sz w:val="19"/>
                <w:szCs w:val="19"/>
                <w:color w:val="auto"/>
                <w:vertAlign w:val="superscript"/>
              </w:rPr>
              <w:t>(5)</w:t>
            </w:r>
          </w:p>
        </w:tc>
        <w:tc>
          <w:tcPr>
            <w:tcW w:w="1200" w:type="dxa"/>
            <w:vAlign w:val="bottom"/>
          </w:tcPr>
          <w:p>
            <w:pPr>
              <w:spacing w:after="0"/>
              <w:rPr>
                <w:sz w:val="15"/>
                <w:szCs w:val="15"/>
                <w:color w:val="auto"/>
              </w:rPr>
            </w:pPr>
          </w:p>
        </w:tc>
        <w:tc>
          <w:tcPr>
            <w:tcW w:w="1120" w:type="dxa"/>
            <w:vAlign w:val="bottom"/>
            <w:gridSpan w:val="2"/>
          </w:tcPr>
          <w:p>
            <w:pPr>
              <w:jc w:val="right"/>
              <w:ind w:right="148"/>
              <w:spacing w:after="0"/>
              <w:rPr>
                <w:sz w:val="20"/>
                <w:szCs w:val="20"/>
                <w:color w:val="auto"/>
              </w:rPr>
            </w:pPr>
            <w:r>
              <w:rPr>
                <w:rFonts w:ascii="Arial" w:cs="Arial" w:eastAsia="Arial" w:hAnsi="Arial"/>
                <w:sz w:val="14"/>
                <w:szCs w:val="14"/>
                <w:color w:val="auto"/>
              </w:rPr>
              <w:t>9.54 %</w:t>
            </w:r>
          </w:p>
        </w:tc>
        <w:tc>
          <w:tcPr>
            <w:tcW w:w="780" w:type="dxa"/>
            <w:vAlign w:val="bottom"/>
          </w:tcPr>
          <w:p>
            <w:pPr>
              <w:spacing w:after="0"/>
              <w:rPr>
                <w:sz w:val="15"/>
                <w:szCs w:val="15"/>
                <w:color w:val="auto"/>
              </w:rPr>
            </w:pPr>
          </w:p>
        </w:tc>
        <w:tc>
          <w:tcPr>
            <w:tcW w:w="1320" w:type="dxa"/>
            <w:vAlign w:val="bottom"/>
            <w:gridSpan w:val="2"/>
          </w:tcPr>
          <w:p>
            <w:pPr>
              <w:jc w:val="right"/>
              <w:spacing w:after="0"/>
              <w:rPr>
                <w:sz w:val="20"/>
                <w:szCs w:val="20"/>
                <w:color w:val="auto"/>
              </w:rPr>
            </w:pPr>
            <w:r>
              <w:rPr>
                <w:rFonts w:ascii="Arial" w:cs="Arial" w:eastAsia="Arial" w:hAnsi="Arial"/>
                <w:sz w:val="14"/>
                <w:szCs w:val="14"/>
                <w:color w:val="auto"/>
              </w:rPr>
              <w:t>8.25 %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82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4"/>
                <w:szCs w:val="14"/>
                <w:color w:val="auto"/>
              </w:rPr>
              <w:t>Net assets at end of period</w:t>
            </w:r>
          </w:p>
        </w:tc>
        <w:tc>
          <w:tcPr>
            <w:tcW w:w="1200" w:type="dxa"/>
            <w:vAlign w:val="bottom"/>
            <w:tcBorders>
              <w:bottom w:val="single" w:sz="8" w:color="auto"/>
            </w:tcBorders>
            <w:shd w:val="clear" w:color="auto" w:fill="CCECFF"/>
          </w:tcPr>
          <w:p>
            <w:pPr>
              <w:jc w:val="right"/>
              <w:ind w:right="104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504,913</w:t>
            </w:r>
          </w:p>
        </w:tc>
        <w:tc>
          <w:tcPr>
            <w:tcW w:w="340" w:type="dxa"/>
            <w:vAlign w:val="bottom"/>
            <w:tcBorders>
              <w:bottom w:val="single" w:sz="8" w:color="CCECFF"/>
            </w:tcBorders>
            <w:shd w:val="clear" w:color="auto" w:fill="CCECFF"/>
          </w:tcPr>
          <w:p>
            <w:pPr>
              <w:spacing w:after="0"/>
              <w:rPr>
                <w:sz w:val="15"/>
                <w:szCs w:val="15"/>
                <w:color w:val="auto"/>
              </w:rPr>
            </w:pPr>
          </w:p>
        </w:tc>
        <w:tc>
          <w:tcPr>
            <w:tcW w:w="780" w:type="dxa"/>
            <w:vAlign w:val="bottom"/>
            <w:tcBorders>
              <w:bottom w:val="single" w:sz="8" w:color="auto"/>
            </w:tcBorders>
            <w:shd w:val="clear" w:color="auto" w:fill="CCECFF"/>
          </w:tcPr>
          <w:p>
            <w:pPr>
              <w:jc w:val="right"/>
              <w:ind w:right="628"/>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496,632</w:t>
            </w:r>
          </w:p>
        </w:tc>
        <w:tc>
          <w:tcPr>
            <w:tcW w:w="100" w:type="dxa"/>
            <w:vAlign w:val="bottom"/>
            <w:tcBorders>
              <w:bottom w:val="single" w:sz="8" w:color="CCECFF"/>
            </w:tcBorders>
            <w:shd w:val="clear" w:color="auto" w:fill="CCEC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820" w:type="dxa"/>
            <w:vAlign w:val="bottom"/>
          </w:tcPr>
          <w:p>
            <w:pPr>
              <w:ind w:left="20"/>
              <w:spacing w:after="0"/>
              <w:rPr>
                <w:sz w:val="20"/>
                <w:szCs w:val="20"/>
                <w:color w:val="auto"/>
              </w:rPr>
            </w:pPr>
            <w:r>
              <w:rPr>
                <w:rFonts w:ascii="Arial" w:cs="Arial" w:eastAsia="Arial" w:hAnsi="Arial"/>
                <w:sz w:val="14"/>
                <w:szCs w:val="14"/>
                <w:color w:val="auto"/>
              </w:rPr>
              <w:t>Weighted average debt outstanding</w:t>
            </w:r>
          </w:p>
        </w:tc>
        <w:tc>
          <w:tcPr>
            <w:tcW w:w="1200" w:type="dxa"/>
            <w:vAlign w:val="bottom"/>
            <w:tcBorders>
              <w:bottom w:val="single" w:sz="8" w:color="auto"/>
            </w:tcBorders>
          </w:tcPr>
          <w:p>
            <w:pPr>
              <w:jc w:val="right"/>
              <w:ind w:right="104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762,376</w:t>
            </w:r>
          </w:p>
        </w:tc>
        <w:tc>
          <w:tcPr>
            <w:tcW w:w="340" w:type="dxa"/>
            <w:vAlign w:val="bottom"/>
          </w:tcPr>
          <w:p>
            <w:pPr>
              <w:spacing w:after="0"/>
              <w:rPr>
                <w:sz w:val="14"/>
                <w:szCs w:val="14"/>
                <w:color w:val="auto"/>
              </w:rPr>
            </w:pPr>
          </w:p>
        </w:tc>
        <w:tc>
          <w:tcPr>
            <w:tcW w:w="78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623,132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820" w:type="dxa"/>
            <w:vAlign w:val="bottom"/>
            <w:shd w:val="clear" w:color="auto" w:fill="CCECFF"/>
          </w:tcPr>
          <w:p>
            <w:pPr>
              <w:ind w:left="20"/>
              <w:spacing w:after="0" w:line="169" w:lineRule="exact"/>
              <w:rPr>
                <w:sz w:val="20"/>
                <w:szCs w:val="20"/>
                <w:color w:val="auto"/>
              </w:rPr>
            </w:pPr>
            <w:r>
              <w:rPr>
                <w:rFonts w:ascii="Arial" w:cs="Arial" w:eastAsia="Arial" w:hAnsi="Arial"/>
                <w:sz w:val="14"/>
                <w:szCs w:val="14"/>
                <w:color w:val="auto"/>
              </w:rPr>
              <w:t xml:space="preserve">Weighted average debt per share </w:t>
            </w:r>
            <w:r>
              <w:rPr>
                <w:rFonts w:ascii="Arial" w:cs="Arial" w:eastAsia="Arial" w:hAnsi="Arial"/>
                <w:sz w:val="19"/>
                <w:szCs w:val="19"/>
                <w:color w:val="auto"/>
                <w:vertAlign w:val="superscript"/>
              </w:rPr>
              <w:t>(1)</w:t>
            </w:r>
          </w:p>
        </w:tc>
        <w:tc>
          <w:tcPr>
            <w:tcW w:w="1200" w:type="dxa"/>
            <w:vAlign w:val="bottom"/>
            <w:shd w:val="clear" w:color="auto" w:fill="CCECFF"/>
          </w:tcPr>
          <w:p>
            <w:pPr>
              <w:jc w:val="right"/>
              <w:ind w:right="1048"/>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19.09</w:t>
            </w:r>
          </w:p>
        </w:tc>
        <w:tc>
          <w:tcPr>
            <w:tcW w:w="340" w:type="dxa"/>
            <w:vAlign w:val="bottom"/>
            <w:shd w:val="clear" w:color="auto" w:fill="CCECFF"/>
          </w:tcPr>
          <w:p>
            <w:pPr>
              <w:spacing w:after="0"/>
              <w:rPr>
                <w:sz w:val="14"/>
                <w:szCs w:val="14"/>
                <w:color w:val="auto"/>
              </w:rPr>
            </w:pPr>
          </w:p>
        </w:tc>
        <w:tc>
          <w:tcPr>
            <w:tcW w:w="780" w:type="dxa"/>
            <w:vAlign w:val="bottom"/>
            <w:shd w:val="clear" w:color="auto" w:fill="CCECFF"/>
          </w:tcPr>
          <w:p>
            <w:pPr>
              <w:jc w:val="right"/>
              <w:ind w:right="628"/>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16.07</w:t>
            </w:r>
          </w:p>
        </w:tc>
        <w:tc>
          <w:tcPr>
            <w:tcW w:w="10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820" w:type="dxa"/>
            <w:vAlign w:val="bottom"/>
          </w:tcPr>
          <w:p>
            <w:pPr>
              <w:ind w:left="20"/>
              <w:spacing w:after="0" w:line="171" w:lineRule="exact"/>
              <w:rPr>
                <w:sz w:val="20"/>
                <w:szCs w:val="20"/>
                <w:color w:val="auto"/>
              </w:rPr>
            </w:pPr>
            <w:r>
              <w:rPr>
                <w:rFonts w:ascii="Arial" w:cs="Arial" w:eastAsia="Arial" w:hAnsi="Arial"/>
                <w:sz w:val="14"/>
                <w:szCs w:val="14"/>
                <w:color w:val="auto"/>
              </w:rPr>
              <w:t xml:space="preserve">Asset coverage per unit </w:t>
            </w:r>
            <w:r>
              <w:rPr>
                <w:rFonts w:ascii="Arial" w:cs="Arial" w:eastAsia="Arial" w:hAnsi="Arial"/>
                <w:sz w:val="19"/>
                <w:szCs w:val="19"/>
                <w:color w:val="auto"/>
                <w:vertAlign w:val="superscript"/>
              </w:rPr>
              <w:t>(6)</w:t>
            </w:r>
          </w:p>
        </w:tc>
        <w:tc>
          <w:tcPr>
            <w:tcW w:w="1200" w:type="dxa"/>
            <w:vAlign w:val="bottom"/>
          </w:tcPr>
          <w:p>
            <w:pPr>
              <w:jc w:val="right"/>
              <w:ind w:right="1048"/>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1,656</w:t>
            </w:r>
          </w:p>
        </w:tc>
        <w:tc>
          <w:tcPr>
            <w:tcW w:w="340" w:type="dxa"/>
            <w:vAlign w:val="bottom"/>
          </w:tcPr>
          <w:p>
            <w:pPr>
              <w:spacing w:after="0"/>
              <w:rPr>
                <w:sz w:val="14"/>
                <w:szCs w:val="14"/>
                <w:color w:val="auto"/>
              </w:rPr>
            </w:pPr>
          </w:p>
        </w:tc>
        <w:tc>
          <w:tcPr>
            <w:tcW w:w="780" w:type="dxa"/>
            <w:vAlign w:val="bottom"/>
          </w:tcPr>
          <w:p>
            <w:pPr>
              <w:jc w:val="right"/>
              <w:ind w:right="628"/>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1,845</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6820" w:type="dxa"/>
            <w:vAlign w:val="bottom"/>
          </w:tcPr>
          <w:p>
            <w:pPr>
              <w:ind w:left="20"/>
              <w:spacing w:after="0"/>
              <w:rPr>
                <w:sz w:val="20"/>
                <w:szCs w:val="20"/>
                <w:color w:val="auto"/>
              </w:rPr>
            </w:pPr>
            <w:r>
              <w:rPr>
                <w:rFonts w:ascii="Arial" w:cs="Arial" w:eastAsia="Arial" w:hAnsi="Arial"/>
                <w:sz w:val="14"/>
                <w:szCs w:val="14"/>
                <w:color w:val="auto"/>
              </w:rPr>
              <w:t>Portfolio turnover ratio</w:t>
            </w:r>
          </w:p>
        </w:tc>
        <w:tc>
          <w:tcPr>
            <w:tcW w:w="1200" w:type="dxa"/>
            <w:vAlign w:val="bottom"/>
          </w:tcPr>
          <w:p>
            <w:pPr>
              <w:spacing w:after="0"/>
              <w:rPr>
                <w:sz w:val="15"/>
                <w:szCs w:val="15"/>
                <w:color w:val="auto"/>
              </w:rPr>
            </w:pPr>
          </w:p>
        </w:tc>
        <w:tc>
          <w:tcPr>
            <w:tcW w:w="1120" w:type="dxa"/>
            <w:vAlign w:val="bottom"/>
            <w:gridSpan w:val="2"/>
          </w:tcPr>
          <w:p>
            <w:pPr>
              <w:jc w:val="right"/>
              <w:ind w:right="148"/>
              <w:spacing w:after="0"/>
              <w:rPr>
                <w:sz w:val="20"/>
                <w:szCs w:val="20"/>
                <w:color w:val="auto"/>
              </w:rPr>
            </w:pPr>
            <w:r>
              <w:rPr>
                <w:rFonts w:ascii="Arial" w:cs="Arial" w:eastAsia="Arial" w:hAnsi="Arial"/>
                <w:sz w:val="14"/>
                <w:szCs w:val="14"/>
                <w:color w:val="auto"/>
              </w:rPr>
              <w:t>33.07 %</w:t>
            </w:r>
          </w:p>
        </w:tc>
        <w:tc>
          <w:tcPr>
            <w:tcW w:w="780" w:type="dxa"/>
            <w:vAlign w:val="bottom"/>
          </w:tcPr>
          <w:p>
            <w:pPr>
              <w:spacing w:after="0"/>
              <w:rPr>
                <w:sz w:val="15"/>
                <w:szCs w:val="15"/>
                <w:color w:val="auto"/>
              </w:rPr>
            </w:pPr>
          </w:p>
        </w:tc>
        <w:tc>
          <w:tcPr>
            <w:tcW w:w="1340" w:type="dxa"/>
            <w:vAlign w:val="bottom"/>
            <w:gridSpan w:val="3"/>
          </w:tcPr>
          <w:p>
            <w:pPr>
              <w:jc w:val="right"/>
              <w:spacing w:after="0"/>
              <w:rPr>
                <w:sz w:val="20"/>
                <w:szCs w:val="20"/>
                <w:color w:val="auto"/>
              </w:rPr>
            </w:pPr>
            <w:r>
              <w:rPr>
                <w:rFonts w:ascii="Arial" w:cs="Arial" w:eastAsia="Arial" w:hAnsi="Arial"/>
                <w:sz w:val="14"/>
                <w:szCs w:val="14"/>
                <w:color w:val="auto"/>
              </w:rPr>
              <w:t>61.24 %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5585460</wp:posOffset>
            </wp:positionH>
            <wp:positionV relativeFrom="paragraph">
              <wp:posOffset>-1649730</wp:posOffset>
            </wp:positionV>
            <wp:extent cx="68580" cy="571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-1649730</wp:posOffset>
            </wp:positionV>
            <wp:extent cx="68580" cy="571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-1395730</wp:posOffset>
            </wp:positionV>
            <wp:extent cx="68580"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-1378585</wp:posOffset>
            </wp:positionV>
            <wp:extent cx="68580"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-1395730</wp:posOffset>
            </wp:positionV>
            <wp:extent cx="68580"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-1378585</wp:posOffset>
            </wp:positionV>
            <wp:extent cx="68580" cy="88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-1144270</wp:posOffset>
            </wp:positionV>
            <wp:extent cx="68580" cy="571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-1144270</wp:posOffset>
            </wp:positionV>
            <wp:extent cx="68580" cy="571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-458470</wp:posOffset>
            </wp:positionV>
            <wp:extent cx="68580" cy="571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-458470</wp:posOffset>
            </wp:positionV>
            <wp:extent cx="68580" cy="571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-109855</wp:posOffset>
            </wp:positionV>
            <wp:extent cx="7132320" cy="11112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132320" cy="111125"/>
                    </a:xfrm>
                    <a:prstGeom prst="rect">
                      <a:avLst/>
                    </a:prstGeom>
                    <a:noFill/>
                  </pic:spPr>
                </pic:pic>
              </a:graphicData>
            </a:graphic>
          </wp:anchor>
        </w:drawing>
      </w:r>
    </w:p>
    <w:p>
      <w:pPr>
        <w:ind w:right="9200" w:firstLine="8"/>
        <w:spacing w:after="0" w:line="281" w:lineRule="auto"/>
        <w:tabs>
          <w:tab w:leader="none" w:pos="81" w:val="left"/>
        </w:tabs>
        <w:numPr>
          <w:ilvl w:val="0"/>
          <w:numId w:val="16"/>
        </w:numPr>
        <w:rPr>
          <w:rFonts w:ascii="Arial" w:cs="Arial" w:eastAsia="Arial" w:hAnsi="Arial"/>
          <w:sz w:val="9"/>
          <w:szCs w:val="9"/>
          <w:b w:val="1"/>
          <w:bCs w:val="1"/>
          <w:color w:val="auto"/>
        </w:rPr>
      </w:pPr>
      <w:r>
        <w:rPr>
          <w:rFonts w:ascii="Arial" w:cs="Arial" w:eastAsia="Arial" w:hAnsi="Arial"/>
          <w:sz w:val="9"/>
          <w:szCs w:val="9"/>
          <w:color w:val="auto"/>
        </w:rPr>
        <w:t xml:space="preserve">Not annualized for periods less than one year. </w:t>
      </w:r>
      <w:r>
        <w:rPr>
          <w:rFonts w:ascii="Arial" w:cs="Arial" w:eastAsia="Arial" w:hAnsi="Arial"/>
          <w:sz w:val="9"/>
          <w:szCs w:val="9"/>
          <w:b w:val="1"/>
          <w:bCs w:val="1"/>
          <w:color w:val="auto"/>
        </w:rPr>
        <w:t xml:space="preserve">** </w:t>
      </w:r>
      <w:r>
        <w:rPr>
          <w:rFonts w:ascii="Arial" w:cs="Arial" w:eastAsia="Arial" w:hAnsi="Arial"/>
          <w:sz w:val="9"/>
          <w:szCs w:val="9"/>
          <w:color w:val="auto"/>
        </w:rPr>
        <w:t>Annualized for periods less than one year.</w:t>
      </w:r>
    </w:p>
    <w:p>
      <w:pPr>
        <w:ind w:left="380" w:hanging="372"/>
        <w:spacing w:after="0" w:line="182" w:lineRule="auto"/>
        <w:tabs>
          <w:tab w:leader="none" w:pos="380" w:val="left"/>
        </w:tabs>
        <w:numPr>
          <w:ilvl w:val="0"/>
          <w:numId w:val="17"/>
        </w:numPr>
        <w:rPr>
          <w:rFonts w:ascii="Arial" w:cs="Arial" w:eastAsia="Arial" w:hAnsi="Arial"/>
          <w:sz w:val="14"/>
          <w:szCs w:val="14"/>
          <w:color w:val="auto"/>
          <w:vertAlign w:val="superscript"/>
        </w:rPr>
      </w:pPr>
      <w:r>
        <w:rPr>
          <w:rFonts w:ascii="Arial" w:cs="Arial" w:eastAsia="Arial" w:hAnsi="Arial"/>
          <w:sz w:val="11"/>
          <w:szCs w:val="11"/>
          <w:color w:val="auto"/>
        </w:rPr>
        <w:t>Based on the weighted average shares outstanding for the respective periods.</w:t>
      </w:r>
    </w:p>
    <w:p>
      <w:pPr>
        <w:ind w:left="380" w:hanging="372"/>
        <w:spacing w:after="0" w:line="181" w:lineRule="auto"/>
        <w:tabs>
          <w:tab w:leader="none" w:pos="380" w:val="left"/>
        </w:tabs>
        <w:numPr>
          <w:ilvl w:val="0"/>
          <w:numId w:val="17"/>
        </w:numPr>
        <w:rPr>
          <w:rFonts w:ascii="Arial" w:cs="Arial" w:eastAsia="Arial" w:hAnsi="Arial"/>
          <w:sz w:val="14"/>
          <w:szCs w:val="14"/>
          <w:color w:val="auto"/>
          <w:vertAlign w:val="superscript"/>
        </w:rPr>
      </w:pPr>
      <w:r>
        <w:rPr>
          <w:rFonts w:ascii="Arial" w:cs="Arial" w:eastAsia="Arial" w:hAnsi="Arial"/>
          <w:sz w:val="11"/>
          <w:szCs w:val="11"/>
          <w:color w:val="auto"/>
        </w:rPr>
        <w:t>The tax status of distributions is calculated in accordance with income tax regulations, which may differ from amounts determined under GAAP, and reported on Form 1099-DIV each calendar year.</w:t>
      </w:r>
    </w:p>
    <w:p>
      <w:pPr>
        <w:ind w:left="380" w:hanging="372"/>
        <w:spacing w:after="0" w:line="181" w:lineRule="auto"/>
        <w:tabs>
          <w:tab w:leader="none" w:pos="380" w:val="left"/>
        </w:tabs>
        <w:numPr>
          <w:ilvl w:val="0"/>
          <w:numId w:val="17"/>
        </w:numPr>
        <w:rPr>
          <w:rFonts w:ascii="Arial" w:cs="Arial" w:eastAsia="Arial" w:hAnsi="Arial"/>
          <w:sz w:val="14"/>
          <w:szCs w:val="14"/>
          <w:color w:val="auto"/>
          <w:vertAlign w:val="superscript"/>
        </w:rPr>
      </w:pPr>
      <w:r>
        <w:rPr>
          <w:rFonts w:ascii="Arial" w:cs="Arial" w:eastAsia="Arial" w:hAnsi="Arial"/>
          <w:sz w:val="11"/>
          <w:szCs w:val="11"/>
          <w:color w:val="auto"/>
        </w:rPr>
        <w:t>Based on the change in market price per share during the periods and assumes distributions, if any, are reinvested.</w:t>
      </w:r>
    </w:p>
    <w:p>
      <w:pPr>
        <w:ind w:left="380" w:hanging="372"/>
        <w:spacing w:after="0" w:line="181" w:lineRule="auto"/>
        <w:tabs>
          <w:tab w:leader="none" w:pos="380" w:val="left"/>
        </w:tabs>
        <w:numPr>
          <w:ilvl w:val="0"/>
          <w:numId w:val="17"/>
        </w:numPr>
        <w:rPr>
          <w:rFonts w:ascii="Arial" w:cs="Arial" w:eastAsia="Arial" w:hAnsi="Arial"/>
          <w:sz w:val="14"/>
          <w:szCs w:val="14"/>
          <w:color w:val="auto"/>
          <w:vertAlign w:val="superscript"/>
        </w:rPr>
      </w:pPr>
      <w:r>
        <w:rPr>
          <w:rFonts w:ascii="Arial" w:cs="Arial" w:eastAsia="Arial" w:hAnsi="Arial"/>
          <w:sz w:val="11"/>
          <w:szCs w:val="11"/>
          <w:color w:val="auto"/>
        </w:rPr>
        <w:t>Excludes debt-related costs.</w:t>
      </w:r>
    </w:p>
    <w:p>
      <w:pPr>
        <w:ind w:left="380" w:hanging="372"/>
        <w:spacing w:after="0" w:line="181" w:lineRule="auto"/>
        <w:tabs>
          <w:tab w:leader="none" w:pos="380" w:val="left"/>
        </w:tabs>
        <w:numPr>
          <w:ilvl w:val="0"/>
          <w:numId w:val="17"/>
        </w:numPr>
        <w:rPr>
          <w:rFonts w:ascii="Arial" w:cs="Arial" w:eastAsia="Arial" w:hAnsi="Arial"/>
          <w:sz w:val="14"/>
          <w:szCs w:val="14"/>
          <w:color w:val="auto"/>
          <w:vertAlign w:val="superscript"/>
        </w:rPr>
      </w:pPr>
      <w:r>
        <w:rPr>
          <w:rFonts w:ascii="Arial" w:cs="Arial" w:eastAsia="Arial" w:hAnsi="Arial"/>
          <w:sz w:val="11"/>
          <w:szCs w:val="11"/>
          <w:color w:val="auto"/>
        </w:rPr>
        <w:t>Includes interest and expenses on debt (annualized) as well as Credit Facility amendment and debt issuance costs, if any, (not annualized).</w:t>
      </w:r>
    </w:p>
    <w:p>
      <w:pPr>
        <w:ind w:left="380" w:right="380" w:hanging="372"/>
        <w:spacing w:after="0" w:line="208" w:lineRule="auto"/>
        <w:tabs>
          <w:tab w:leader="none" w:pos="380" w:val="left"/>
        </w:tabs>
        <w:numPr>
          <w:ilvl w:val="0"/>
          <w:numId w:val="17"/>
        </w:numPr>
        <w:rPr>
          <w:rFonts w:ascii="Arial" w:cs="Arial" w:eastAsia="Arial" w:hAnsi="Arial"/>
          <w:sz w:val="14"/>
          <w:szCs w:val="14"/>
          <w:color w:val="auto"/>
          <w:vertAlign w:val="superscript"/>
        </w:rPr>
      </w:pPr>
      <w:r>
        <w:rPr>
          <w:rFonts w:ascii="Arial" w:cs="Arial" w:eastAsia="Arial" w:hAnsi="Arial"/>
          <w:sz w:val="11"/>
          <w:szCs w:val="11"/>
          <w:color w:val="auto"/>
        </w:rPr>
        <w:t>The asset coverage ratio for a class of senior securities representing indebtedness is calculated on our consolidated total assets, less all liabilities and indebtedness not represented by senior securities, divided by the senior securities representing indebtedness at par (changed from fair value). This asset coverage ratio is multiplied by $1,000 to determine the asset coverage per unit.</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 DEBT</w:t>
      </w:r>
    </w:p>
    <w:p>
      <w:pPr>
        <w:spacing w:after="0" w:line="208" w:lineRule="exact"/>
        <w:rPr>
          <w:sz w:val="20"/>
          <w:szCs w:val="20"/>
          <w:color w:val="auto"/>
        </w:rPr>
      </w:pPr>
    </w:p>
    <w:p>
      <w:pPr>
        <w:jc w:val="both"/>
        <w:ind w:right="20" w:firstLine="449"/>
        <w:spacing w:after="0" w:line="257" w:lineRule="auto"/>
        <w:rPr>
          <w:sz w:val="20"/>
          <w:szCs w:val="20"/>
          <w:color w:val="auto"/>
        </w:rPr>
      </w:pPr>
      <w:r>
        <w:rPr>
          <w:rFonts w:ascii="Arial" w:cs="Arial" w:eastAsia="Arial" w:hAnsi="Arial"/>
          <w:sz w:val="14"/>
          <w:szCs w:val="14"/>
          <w:color w:val="auto"/>
        </w:rPr>
        <w:t>The annualized weighted average cost of debt for the nine months ended June 30, 2022 and 2021, inclusive of the fee on the undrawn commitment on the Credit Facility or the Prior Credit Facility, as applicable, amendment costs and debt issuance costs, was 3.7% and 3.4%, respectively. As of June 30, 2022, in accordance with the 1940 Act, with certain limited exceptions, we are only allowed to borrow amounts such that we are in compliance with a 150% asset coverage ratio requirement after such borrowing.</w:t>
      </w:r>
    </w:p>
    <w:p>
      <w:pPr>
        <w:spacing w:after="0" w:line="171" w:lineRule="exact"/>
        <w:rPr>
          <w:sz w:val="20"/>
          <w:szCs w:val="20"/>
          <w:color w:val="auto"/>
        </w:rPr>
      </w:pPr>
    </w:p>
    <w:p>
      <w:pPr>
        <w:jc w:val="both"/>
        <w:ind w:right="20" w:firstLine="449"/>
        <w:spacing w:after="0" w:line="277" w:lineRule="auto"/>
        <w:rPr>
          <w:sz w:val="20"/>
          <w:szCs w:val="20"/>
          <w:color w:val="auto"/>
        </w:rPr>
      </w:pPr>
      <w:r>
        <w:rPr>
          <w:rFonts w:ascii="Arial" w:cs="Arial" w:eastAsia="Arial" w:hAnsi="Arial"/>
          <w:sz w:val="13"/>
          <w:szCs w:val="13"/>
          <w:color w:val="auto"/>
        </w:rPr>
        <w:t>On April 5, 2018, our board of directors approved the application of the modified asset coverage requirements set forth in Section 61(a)(2) of the 1940 Act, as amended by the Consolidated Appropriations Act of 2018 (which includes the Small Business Credit Availability Act, or SBCAA). As a result, the asset coverage requirement applicable to us for senior securities was reduced from 200% (i.e., $1 of debt outstanding for each $1 of equity) to 150% (i.e., $2 of debt outstanding for each $1 of equity), effective as of April 5, 2019, subject to compliance with certain disclosure requirements. As of June 30, 2022 and September 30, 2021, our asset coverage ratio, as computed in accordance with the 1940 Act, was 166% and 175%, respectively.</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Credit Facility</w:t>
      </w:r>
    </w:p>
    <w:p>
      <w:pPr>
        <w:spacing w:after="0" w:line="204" w:lineRule="exact"/>
        <w:rPr>
          <w:sz w:val="20"/>
          <w:szCs w:val="20"/>
          <w:color w:val="auto"/>
        </w:rPr>
      </w:pPr>
    </w:p>
    <w:p>
      <w:pPr>
        <w:jc w:val="both"/>
        <w:ind w:right="20" w:firstLine="449"/>
        <w:spacing w:after="0" w:line="247" w:lineRule="auto"/>
        <w:rPr>
          <w:sz w:val="20"/>
          <w:szCs w:val="20"/>
          <w:color w:val="auto"/>
        </w:rPr>
      </w:pPr>
      <w:r>
        <w:rPr>
          <w:rFonts w:ascii="Arial" w:cs="Arial" w:eastAsia="Arial" w:hAnsi="Arial"/>
          <w:sz w:val="14"/>
          <w:szCs w:val="14"/>
          <w:color w:val="auto"/>
        </w:rPr>
        <w:t>Funding I’s multi-currency Credit Facility with affiliates of Truist Bank (formerly SunTrust Bank), or the Lenders, was $300 million as of June 30, 2022, subject to satisfaction of certain conditions and regulatory restrictions that the 1940 Act imposes on us as a BDC, has an interest rate spread above LIBOR (or an alternative risk-free floating interest rate index) of 225 basis points, a maturity date of August 2026 and a revolving period that ends in August 2024. As of June 30, 2022 and September 30, 2021, Funding I had $259.3 million and $219.4 million of outstanding borrowings under the Credit Facility, respectively. The Credit Facility had a weighted average interest rate of 3.3% and 2.3%, exclusive of the fee on undrawn commitments as of June 30, 2022 and September 30, 2021, respectively. As of June 30, 2022 and September 30, 2021, we had $40.7 million and $80.6 million of unused borrowing capacity under the Credit Facility, respectively, subject to leverage and borrowing base restrictions.</w:t>
      </w:r>
    </w:p>
    <w:p>
      <w:pPr>
        <w:spacing w:after="0" w:line="167" w:lineRule="exact"/>
        <w:rPr>
          <w:sz w:val="20"/>
          <w:szCs w:val="20"/>
          <w:color w:val="auto"/>
        </w:rPr>
      </w:pPr>
    </w:p>
    <w:p>
      <w:pPr>
        <w:jc w:val="both"/>
        <w:ind w:right="20" w:firstLine="449"/>
        <w:spacing w:after="0" w:line="252" w:lineRule="auto"/>
        <w:rPr>
          <w:sz w:val="20"/>
          <w:szCs w:val="20"/>
          <w:color w:val="auto"/>
        </w:rPr>
      </w:pPr>
      <w:r>
        <w:rPr>
          <w:rFonts w:ascii="Arial" w:cs="Arial" w:eastAsia="Arial" w:hAnsi="Arial"/>
          <w:sz w:val="14"/>
          <w:szCs w:val="14"/>
          <w:color w:val="auto"/>
        </w:rPr>
        <w:t>During the revolving period, the Credit Facility bears interest at LIBOR (or an alternative risk-free floating interest rate index) plus 225 basis points and, after the revolving period, the rate will reset to Base Rate (or an alternative risk-free floating interest rate index) plus 250 basis points for the remaining two years, maturing in August 2026. The Credit Facility is secured by all of the assets of Funding I. Both we and Funding I have made customary representations and warranties and are required to comply with various covenants, reporting requirements and other customary requirements for similar credit facilities.</w:t>
      </w:r>
    </w:p>
    <w:p>
      <w:pPr>
        <w:spacing w:after="0" w:line="174" w:lineRule="exact"/>
        <w:rPr>
          <w:sz w:val="20"/>
          <w:szCs w:val="20"/>
          <w:color w:val="auto"/>
        </w:rPr>
      </w:pPr>
    </w:p>
    <w:p>
      <w:pPr>
        <w:jc w:val="both"/>
        <w:ind w:right="20" w:firstLine="449"/>
        <w:spacing w:after="0" w:line="252" w:lineRule="auto"/>
        <w:rPr>
          <w:sz w:val="20"/>
          <w:szCs w:val="20"/>
          <w:color w:val="auto"/>
        </w:rPr>
      </w:pPr>
      <w:r>
        <w:rPr>
          <w:rFonts w:ascii="Arial" w:cs="Arial" w:eastAsia="Arial" w:hAnsi="Arial"/>
          <w:sz w:val="14"/>
          <w:szCs w:val="14"/>
          <w:color w:val="auto"/>
        </w:rPr>
        <w:t>The Credit Facility contains covenants, including, but not limited to, restrictions of loan size, industry requirements, average life of loans, geographic and individual portfolio concentrations, minimum portfolio yield and loan payment frequency. Additionally, the Credit Facility requires the maintenance of a minimum equity investment in Funding I and income ratio as well as restrictions on certain payments and issuance of debt. The Credit Facility compliance reporting is prepared on a basis of accounting other than GAAP. As of June 30, 2022, we were in compliance with the covenants relating to the Credit Facility.</w:t>
      </w:r>
    </w:p>
    <w:p>
      <w:pPr>
        <w:spacing w:after="0" w:line="174" w:lineRule="exact"/>
        <w:rPr>
          <w:sz w:val="20"/>
          <w:szCs w:val="20"/>
          <w:color w:val="auto"/>
        </w:rPr>
      </w:pPr>
    </w:p>
    <w:p>
      <w:pPr>
        <w:jc w:val="both"/>
        <w:ind w:right="20" w:firstLine="449"/>
        <w:spacing w:after="0" w:line="273" w:lineRule="auto"/>
        <w:rPr>
          <w:sz w:val="20"/>
          <w:szCs w:val="20"/>
          <w:color w:val="auto"/>
        </w:rPr>
      </w:pPr>
      <w:r>
        <w:rPr>
          <w:rFonts w:ascii="Arial" w:cs="Arial" w:eastAsia="Arial" w:hAnsi="Arial"/>
          <w:sz w:val="14"/>
          <w:szCs w:val="14"/>
          <w:color w:val="auto"/>
        </w:rPr>
        <w:t>We own 100% of the equity interest in Funding I and treat the indebtedness of Funding I as our leverage. Our Investment Adviser serves as collateral manager to Funding I under the Credit Facility.</w:t>
      </w:r>
    </w:p>
    <w:p>
      <w:pPr>
        <w:spacing w:after="0" w:line="106" w:lineRule="exact"/>
        <w:rPr>
          <w:sz w:val="20"/>
          <w:szCs w:val="20"/>
          <w:color w:val="auto"/>
        </w:rPr>
      </w:pPr>
    </w:p>
    <w:p>
      <w:pPr>
        <w:jc w:val="both"/>
        <w:ind w:right="20" w:firstLine="449"/>
        <w:spacing w:after="0" w:line="250" w:lineRule="auto"/>
        <w:rPr>
          <w:sz w:val="20"/>
          <w:szCs w:val="20"/>
          <w:color w:val="auto"/>
        </w:rPr>
      </w:pPr>
      <w:r>
        <w:rPr>
          <w:rFonts w:ascii="Arial" w:cs="Arial" w:eastAsia="Arial" w:hAnsi="Arial"/>
          <w:sz w:val="14"/>
          <w:szCs w:val="14"/>
          <w:color w:val="auto"/>
        </w:rPr>
        <w:t>Our interest in Funding I (other than the management fee) is subordinate in priority of payment to every other obligation of Funding I and is subject to certain payment restrictions set forth in the Credit Facility. We may receive cash distributions on our equity interests in Funding I only after it has made all required payments of (1) cash</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35" w:name="page36"/>
    <w:bookmarkEnd w:id="35"/>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June 30, 2022</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340" w:lineRule="exact"/>
        <w:rPr>
          <w:sz w:val="20"/>
          <w:szCs w:val="20"/>
          <w:color w:val="auto"/>
        </w:rPr>
      </w:pPr>
    </w:p>
    <w:p>
      <w:pPr>
        <w:jc w:val="both"/>
        <w:spacing w:after="0" w:line="273" w:lineRule="auto"/>
        <w:rPr>
          <w:sz w:val="20"/>
          <w:szCs w:val="20"/>
          <w:color w:val="auto"/>
        </w:rPr>
      </w:pPr>
      <w:r>
        <w:rPr>
          <w:rFonts w:ascii="Arial" w:cs="Arial" w:eastAsia="Arial" w:hAnsi="Arial"/>
          <w:sz w:val="14"/>
          <w:szCs w:val="14"/>
          <w:color w:val="auto"/>
        </w:rPr>
        <w:t>interest and, if applicable, principal to the Lenders, (2) administrative expenses and (3) claims of other unsecured creditors of Funding I. The Investment Adviser has irrevocably directed that any management fee owed with respect to such services is to be paid to the Company so long as the Investment Adviser remains the collateral manager.</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2023 Notes</w:t>
      </w:r>
    </w:p>
    <w:p>
      <w:pPr>
        <w:spacing w:after="0" w:line="204" w:lineRule="exact"/>
        <w:rPr>
          <w:sz w:val="20"/>
          <w:szCs w:val="20"/>
          <w:color w:val="auto"/>
        </w:rPr>
      </w:pPr>
    </w:p>
    <w:p>
      <w:pPr>
        <w:ind w:left="460"/>
        <w:spacing w:after="0"/>
        <w:rPr>
          <w:sz w:val="20"/>
          <w:szCs w:val="20"/>
          <w:color w:val="auto"/>
        </w:rPr>
      </w:pPr>
      <w:r>
        <w:rPr>
          <w:rFonts w:ascii="Arial" w:cs="Arial" w:eastAsia="Arial" w:hAnsi="Arial"/>
          <w:sz w:val="13"/>
          <w:szCs w:val="13"/>
          <w:color w:val="auto"/>
        </w:rPr>
        <w:t>In November 2017, we issued $138.6 million of our 2023 Notes of which $97.0 million and $117.8 million were outstanding as at June 30, 2022 and September 30, 2021, respectively.</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The 2023 Notes were issued pursuant to a deed of trust between the Company and Mishmeret Trust Company, Ltd., as trustee.</w:t>
      </w:r>
    </w:p>
    <w:p>
      <w:pPr>
        <w:spacing w:after="0" w:line="192" w:lineRule="exact"/>
        <w:rPr>
          <w:sz w:val="20"/>
          <w:szCs w:val="20"/>
          <w:color w:val="auto"/>
        </w:rPr>
      </w:pPr>
    </w:p>
    <w:p>
      <w:pPr>
        <w:jc w:val="both"/>
        <w:ind w:firstLine="449"/>
        <w:spacing w:after="0" w:line="252" w:lineRule="auto"/>
        <w:rPr>
          <w:sz w:val="20"/>
          <w:szCs w:val="20"/>
          <w:color w:val="auto"/>
        </w:rPr>
      </w:pPr>
      <w:r>
        <w:rPr>
          <w:rFonts w:ascii="Arial" w:cs="Arial" w:eastAsia="Arial" w:hAnsi="Arial"/>
          <w:sz w:val="14"/>
          <w:szCs w:val="14"/>
          <w:color w:val="auto"/>
        </w:rPr>
        <w:t>The 2023 Notes pay interest at a rate of 4.3% per year. As a result of the downgrade of the 2023 Notes from “ilA+” to “ilA-” in March 2020, the interest rate of the 2023 Notes was increased to 4.3% from 3.8%. Interest on the 2023 Notes is payable semi-annually in arrears on June 15 and December 15 of each year, commencing June 15, 2018. The principal on the 2023 Notes will be payable in four annual installments as follows: 15% of the original principal amount on December 15, 2020, 15% of the original principal amount on December 15, 2021, 15% of the original principal amount on December 15, 2022 and 55% of the original principal amount on December 15, 2023.</w:t>
      </w:r>
    </w:p>
    <w:p>
      <w:pPr>
        <w:spacing w:after="0" w:line="174" w:lineRule="exact"/>
        <w:rPr>
          <w:sz w:val="20"/>
          <w:szCs w:val="20"/>
          <w:color w:val="auto"/>
        </w:rPr>
      </w:pPr>
    </w:p>
    <w:p>
      <w:pPr>
        <w:jc w:val="both"/>
        <w:ind w:firstLine="449"/>
        <w:spacing w:after="0" w:line="252" w:lineRule="auto"/>
        <w:rPr>
          <w:sz w:val="20"/>
          <w:szCs w:val="20"/>
          <w:color w:val="auto"/>
        </w:rPr>
      </w:pPr>
      <w:r>
        <w:rPr>
          <w:rFonts w:ascii="Arial" w:cs="Arial" w:eastAsia="Arial" w:hAnsi="Arial"/>
          <w:sz w:val="14"/>
          <w:szCs w:val="14"/>
          <w:color w:val="auto"/>
        </w:rPr>
        <w:t>The 2023 Notes are general, unsecured obligations, rank equal in right of payment with all of PennantPark Floating Rate Capital Ltd.'s existing and future senior unsecured indebtedness and are generally redeemable at our option. The deed of trust governing the 2023 Notes includes certain customary covenants, including minimum equity requirements, and events of default. Please refer to the deed of trust filed as Exhibit (d)(8) to our post-effective amendment filed on December 13, 2017 for more information. The 2023 Notes are rated ilA- by S&amp;P Global Ratings Maalot Ltd. and are listed on the TASE. In connection with this offering, we have dual listed our common stock on the TASE.</w:t>
      </w:r>
    </w:p>
    <w:p>
      <w:pPr>
        <w:spacing w:after="0" w:line="174" w:lineRule="exact"/>
        <w:rPr>
          <w:sz w:val="20"/>
          <w:szCs w:val="20"/>
          <w:color w:val="auto"/>
        </w:rPr>
      </w:pPr>
    </w:p>
    <w:p>
      <w:pPr>
        <w:jc w:val="both"/>
        <w:ind w:right="20" w:firstLine="449"/>
        <w:spacing w:after="0" w:line="273" w:lineRule="auto"/>
        <w:rPr>
          <w:sz w:val="20"/>
          <w:szCs w:val="20"/>
          <w:color w:val="auto"/>
        </w:rPr>
      </w:pPr>
      <w:r>
        <w:rPr>
          <w:rFonts w:ascii="Arial" w:cs="Arial" w:eastAsia="Arial" w:hAnsi="Arial"/>
          <w:sz w:val="14"/>
          <w:szCs w:val="14"/>
          <w:color w:val="auto"/>
        </w:rPr>
        <w:t>The 2023 Notes have not been and will not be registered under the Securities Act and may not be offered or sold in the United States absent registration under the Securities Act or in transactions exempt from, or not subject to, such registration requirements.</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2026 Notes</w:t>
      </w:r>
    </w:p>
    <w:p>
      <w:pPr>
        <w:spacing w:after="0" w:line="204" w:lineRule="exact"/>
        <w:rPr>
          <w:sz w:val="20"/>
          <w:szCs w:val="20"/>
          <w:color w:val="auto"/>
        </w:rPr>
      </w:pPr>
    </w:p>
    <w:p>
      <w:pPr>
        <w:jc w:val="both"/>
        <w:ind w:firstLine="449"/>
        <w:spacing w:after="0" w:line="270" w:lineRule="auto"/>
        <w:rPr>
          <w:sz w:val="20"/>
          <w:szCs w:val="20"/>
          <w:color w:val="auto"/>
        </w:rPr>
      </w:pPr>
      <w:r>
        <w:rPr>
          <w:rFonts w:ascii="Arial" w:cs="Arial" w:eastAsia="Arial" w:hAnsi="Arial"/>
          <w:sz w:val="13"/>
          <w:szCs w:val="13"/>
          <w:color w:val="auto"/>
        </w:rPr>
        <w:t>In March 2021 and in October 2021, we issued $100.0 million and $85.0 million, respectively, in aggregate principal amount of $185.0 million of our 2026 Notes at a public offering price per note of 99.4% and 101.5%, respectively. Interest on the 2026 Notes is paid semi-annually on April 1 and October 1 of each year, at a rate of 4.25% per year, commencing October 1, 2021. The 2026 Notes mature on April 1, 2026 and may be redeemed in whole or in part at our option subject to a make-whole premium if redeemed more than three months prior to maturity. The 2026 Notes are our general, unsecured obligations and rank equal in right of payment with all existing and future senior unsecured indebtedness. The 2026 Notes are effectively subordinated to all existing and future secured indebtedness to the extent of the value of the assets securing such indebtedness and structurally subordinated to all existing and future indebtedness and other obligations of any of our subsidiaries, financing vehicles, or similar facilities. We do not intend to list the 2026 Notes on any securities exchange or automated dealer quotation system.</w:t>
      </w:r>
    </w:p>
    <w:p>
      <w:pPr>
        <w:spacing w:after="0" w:line="36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2031 Asset-Backed Debt</w:t>
      </w:r>
    </w:p>
    <w:p>
      <w:pPr>
        <w:spacing w:after="0" w:line="204" w:lineRule="exact"/>
        <w:rPr>
          <w:sz w:val="20"/>
          <w:szCs w:val="20"/>
          <w:color w:val="auto"/>
        </w:rPr>
      </w:pPr>
    </w:p>
    <w:p>
      <w:pPr>
        <w:jc w:val="both"/>
        <w:ind w:firstLine="489"/>
        <w:spacing w:after="0" w:line="164" w:lineRule="exact"/>
        <w:rPr>
          <w:sz w:val="20"/>
          <w:szCs w:val="20"/>
          <w:color w:val="auto"/>
        </w:rPr>
      </w:pPr>
      <w:r>
        <w:rPr>
          <w:rFonts w:ascii="Arial" w:cs="Arial" w:eastAsia="Arial" w:hAnsi="Arial"/>
          <w:sz w:val="13"/>
          <w:szCs w:val="13"/>
          <w:color w:val="auto"/>
        </w:rPr>
        <w:t>In September 2019, the Company completed the $301.4 million term debt securitization. Term debt securitizations, also known as CLOs, are a form of secured financing incurred by the Company, which is consolidated by the Company and subject to the Company’s asset coverage requirements. The 2031 Asset-Backed Debt was issued by the Securitization Issuer. The 2031 Asset-Backed Debt is secured by the middle market loans, participation interests in middle market loans and other assets of the Securitization Issuer. The Debt Securitization was executed through (A) a private placement of: (i) $78.5 million Class A-1 Senior Secured Floating Rate Loans maturing 2031, which bear interest at the three-month LIBOR plus 1.8%, (ii) $15.0 million Class A-2 Senior Secured Fixed Rate Notes due 2031, which bear interest at 3.7%, (iii) $14.0 million Class B-1 Senior Secured Floating Rate Notes due 2031, which bear interest at the three-month LIBOR plus 2.9%, (iv) $16.0 million Class B-2 Senior Secured Fixed Rate Notes due 2031, which bear interest at 4.3%, (v) $19.0 million Class C</w:t>
      </w:r>
      <w:r>
        <w:rPr>
          <w:rFonts w:ascii="MS PGothic" w:cs="MS PGothic" w:eastAsia="MS PGothic" w:hAnsi="MS PGothic"/>
          <w:sz w:val="13"/>
          <w:szCs w:val="13"/>
          <w:color w:val="auto"/>
        </w:rPr>
        <w:t>‑</w:t>
      </w:r>
      <w:r>
        <w:rPr>
          <w:rFonts w:ascii="Arial" w:cs="Arial" w:eastAsia="Arial" w:hAnsi="Arial"/>
          <w:sz w:val="13"/>
          <w:szCs w:val="13"/>
          <w:color w:val="auto"/>
        </w:rPr>
        <w:t>1 Secured Deferrable Floating Rate Notes due 2031, which bear interest at the three-month LIBOR plus 4.0%, (vi) $8.0 million Class C-2 Secured Deferrable Fixed Rate Notes due 2031, which bear interest at 5.4%, and (vii) $18.0 million Class D Secured Deferrable Floating Rate Notes due 2031, which bear interest at the three-month LIBOR plus 4.8% and (B) the borrowing of $77.5 million Class A</w:t>
      </w:r>
      <w:r>
        <w:rPr>
          <w:rFonts w:ascii="MS PGothic" w:cs="MS PGothic" w:eastAsia="MS PGothic" w:hAnsi="MS PGothic"/>
          <w:sz w:val="13"/>
          <w:szCs w:val="13"/>
          <w:color w:val="auto"/>
        </w:rPr>
        <w:t>‑</w:t>
      </w:r>
      <w:r>
        <w:rPr>
          <w:rFonts w:ascii="Arial" w:cs="Arial" w:eastAsia="Arial" w:hAnsi="Arial"/>
          <w:sz w:val="13"/>
          <w:szCs w:val="13"/>
          <w:color w:val="auto"/>
        </w:rPr>
        <w:t>1 Senior Secured Floating Rate Loans due 2031, which bear interest at the three-month LIBOR plus 1.8%, under a credit agreement by and among the Securitization Issuers, as borrowers, various financial institutions, as lenders, and U.S. Bank National Association, as collateral agent and as loan agent. The annualized interest on the 2031 Asset-Backed Debt will be paid, to the extent of funds available. The reinvestment period of the Debt Securitization ends on October 15, 2023 and the 2031 Asset-Backed Debt is scheduled to mature on October 15, 2031.</w:t>
      </w:r>
    </w:p>
    <w:p>
      <w:pPr>
        <w:spacing w:after="0" w:line="182" w:lineRule="exact"/>
        <w:rPr>
          <w:sz w:val="20"/>
          <w:szCs w:val="20"/>
          <w:color w:val="auto"/>
        </w:rPr>
      </w:pPr>
    </w:p>
    <w:p>
      <w:pPr>
        <w:jc w:val="both"/>
        <w:ind w:firstLine="449"/>
        <w:spacing w:after="0" w:line="252" w:lineRule="auto"/>
        <w:rPr>
          <w:sz w:val="20"/>
          <w:szCs w:val="20"/>
          <w:color w:val="auto"/>
        </w:rPr>
      </w:pPr>
      <w:r>
        <w:rPr>
          <w:rFonts w:ascii="Arial" w:cs="Arial" w:eastAsia="Arial" w:hAnsi="Arial"/>
          <w:sz w:val="14"/>
          <w:szCs w:val="14"/>
          <w:color w:val="auto"/>
        </w:rPr>
        <w:t>On the closing date of the Debt Securitization, in consideration of our transfer to the Securitization Issuer of the initial closing date loan portfolio, which included loans distributed to us by certain of our wholly-owned subsidiaries, the Securitization Issuer transferred to us 100% of the Preferred Shares of the Securitization Issuer, 100% of the Class D Secured Deferrable Floating Rate Notes issued by the Securitization Issuer, and a portion of the net cash proceeds received from the sale of the 2031 Asset-Backed Debt. The Preferred Shares of the Securitization Issuer do not bear interest and had a stated value of approximately $55.4 million at the closing of the Debt Securitization.</w:t>
      </w:r>
    </w:p>
    <w:p>
      <w:pPr>
        <w:spacing w:after="0" w:line="174" w:lineRule="exact"/>
        <w:rPr>
          <w:sz w:val="20"/>
          <w:szCs w:val="20"/>
          <w:color w:val="auto"/>
        </w:rPr>
      </w:pPr>
    </w:p>
    <w:p>
      <w:pPr>
        <w:jc w:val="both"/>
        <w:ind w:firstLine="449"/>
        <w:spacing w:after="0" w:line="252" w:lineRule="auto"/>
        <w:rPr>
          <w:sz w:val="20"/>
          <w:szCs w:val="20"/>
          <w:color w:val="auto"/>
        </w:rPr>
      </w:pPr>
      <w:r>
        <w:rPr>
          <w:rFonts w:ascii="Arial" w:cs="Arial" w:eastAsia="Arial" w:hAnsi="Arial"/>
          <w:sz w:val="14"/>
          <w:szCs w:val="14"/>
          <w:color w:val="auto"/>
        </w:rPr>
        <w:t>The 2031 Asset-Backed Debt is included in the Consolidated Statement of Assets and Liabilities as debt of the Company and the Class D Secured Deferrable Floating Rate Notes and the Preferred Shares of the Securitization Issuer were eliminated in consolidation. As of both June 30, 2022 and September 30, 2021, the Company had $228.0 million of 2031 Asset-Backed Debt outstanding with a weighted average interest rate of 2.7% and 2.6%, respectively. As of June 30, 2022 and September 30, 2021, the unamortized fees on the 2031 Asset-Backed Debt were $2.0 million and $2.5 million, respectively.</w:t>
      </w:r>
    </w:p>
    <w:p>
      <w:pPr>
        <w:spacing w:after="0" w:line="174" w:lineRule="exact"/>
        <w:rPr>
          <w:sz w:val="20"/>
          <w:szCs w:val="20"/>
          <w:color w:val="auto"/>
        </w:rPr>
      </w:pPr>
    </w:p>
    <w:p>
      <w:pPr>
        <w:jc w:val="both"/>
        <w:ind w:firstLine="449"/>
        <w:spacing w:after="0" w:line="273" w:lineRule="auto"/>
        <w:rPr>
          <w:sz w:val="20"/>
          <w:szCs w:val="20"/>
          <w:color w:val="auto"/>
        </w:rPr>
      </w:pPr>
      <w:r>
        <w:rPr>
          <w:rFonts w:ascii="Arial" w:cs="Arial" w:eastAsia="Arial" w:hAnsi="Arial"/>
          <w:sz w:val="14"/>
          <w:szCs w:val="14"/>
          <w:color w:val="auto"/>
        </w:rPr>
        <w:t>Our Investment Adviser serves as collateral manager to the Securitization Issuer pursuant to the Collateral Management Agreement. For so long as our Investment Adviser serves as collateral manager, it will elect to irrevocably waive any collateral management fee to which it may be entitled under the Collateral Management Agreement.</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11. COMMITMENTS AND CONTINGENCIES</w:t>
      </w:r>
    </w:p>
    <w:p>
      <w:pPr>
        <w:spacing w:after="0" w:line="208" w:lineRule="exact"/>
        <w:rPr>
          <w:sz w:val="20"/>
          <w:szCs w:val="20"/>
          <w:color w:val="auto"/>
        </w:rPr>
      </w:pPr>
    </w:p>
    <w:p>
      <w:pPr>
        <w:jc w:val="both"/>
        <w:ind w:firstLine="449"/>
        <w:spacing w:after="0" w:line="247" w:lineRule="auto"/>
        <w:rPr>
          <w:sz w:val="20"/>
          <w:szCs w:val="20"/>
          <w:color w:val="auto"/>
        </w:rPr>
      </w:pPr>
      <w:r>
        <w:rPr>
          <w:rFonts w:ascii="Arial" w:cs="Arial" w:eastAsia="Arial" w:hAnsi="Arial"/>
          <w:sz w:val="14"/>
          <w:szCs w:val="14"/>
          <w:color w:val="auto"/>
        </w:rPr>
        <w:t>From time to time, we, the Investment Adviser or the Administrator may be a party to legal proceedings,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and equity investments, if any, are disclosed in the Consolidated Schedules of Investments. As of June 30, 2022 and September 30, 2021, we had $164.5 million and $166.9 million, respectively, in commitments to fund investments. Additionally, as described in Note 4, the Company had unfunded commitments of $28.4 and $42.0 million to PSSL as of June 30, 2022 and September 30, 2021, respectively, that may be contributed primarily for the purpose of funding new investments approved by the PSSL board of directors or investment committee.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6" w:name="page37"/>
    <w:bookmarkEnd w:id="36"/>
    <w:p>
      <w:pPr>
        <w:ind w:left="3820"/>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208" w:lineRule="exact"/>
        <w:rPr>
          <w:sz w:val="20"/>
          <w:szCs w:val="20"/>
          <w:color w:val="auto"/>
        </w:rPr>
      </w:pPr>
    </w:p>
    <w:p>
      <w:pPr>
        <w:spacing w:after="0"/>
        <w:rPr>
          <w:sz w:val="20"/>
          <w:szCs w:val="20"/>
          <w:color w:val="auto"/>
        </w:rPr>
      </w:pPr>
      <w:r>
        <w:rPr>
          <w:rFonts w:ascii="Arial" w:cs="Arial" w:eastAsia="Arial" w:hAnsi="Arial"/>
          <w:sz w:val="14"/>
          <w:szCs w:val="14"/>
          <w:color w:val="auto"/>
        </w:rPr>
        <w:t>To the Stockholders and Board of Directors of PennantPark Floating Rate Capital Ltd. and its Subsidiaries</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Review of Interim Financial Statements</w:t>
      </w:r>
    </w:p>
    <w:p>
      <w:pPr>
        <w:spacing w:after="0" w:line="208" w:lineRule="exact"/>
        <w:rPr>
          <w:sz w:val="20"/>
          <w:szCs w:val="20"/>
          <w:color w:val="auto"/>
        </w:rPr>
      </w:pPr>
    </w:p>
    <w:p>
      <w:pPr>
        <w:jc w:val="both"/>
        <w:ind w:firstLine="449"/>
        <w:spacing w:after="0" w:line="249" w:lineRule="auto"/>
        <w:rPr>
          <w:sz w:val="20"/>
          <w:szCs w:val="20"/>
          <w:color w:val="auto"/>
        </w:rPr>
      </w:pPr>
      <w:r>
        <w:rPr>
          <w:rFonts w:ascii="Arial" w:cs="Arial" w:eastAsia="Arial" w:hAnsi="Arial"/>
          <w:sz w:val="14"/>
          <w:szCs w:val="14"/>
          <w:color w:val="auto"/>
        </w:rPr>
        <w:t>We have reviewed the accompanying consolidated statement of assets and liabilities of PennantPark Floating Rate Capital Ltd. and its Subsidiaries (collectively referred to as the Company), including the consolidated schedule of investments, as of June 30, 2022, and the related consolidated statements of operations and changes in net assets for the three and nine months ended June 30, 2022 and 2021, and cash flows for the nine-month periods ended June 30, 2022 and 2021, and the related notes to the consolidated financial statements (collectively, the interim financial information or financial statements). Based on our reviews, we are not aware of any material modifications that should be made to the accompanying interim financial information for them to be in conformity with accounting principles generally accepted in the United States of America.</w:t>
      </w:r>
    </w:p>
    <w:p>
      <w:pPr>
        <w:spacing w:after="0" w:line="177" w:lineRule="exact"/>
        <w:rPr>
          <w:sz w:val="20"/>
          <w:szCs w:val="20"/>
          <w:color w:val="auto"/>
        </w:rPr>
      </w:pPr>
    </w:p>
    <w:p>
      <w:pPr>
        <w:jc w:val="both"/>
        <w:ind w:firstLine="449"/>
        <w:spacing w:after="0" w:line="249" w:lineRule="auto"/>
        <w:rPr>
          <w:sz w:val="20"/>
          <w:szCs w:val="20"/>
          <w:color w:val="auto"/>
        </w:rPr>
      </w:pPr>
      <w:r>
        <w:rPr>
          <w:rFonts w:ascii="Arial" w:cs="Arial" w:eastAsia="Arial" w:hAnsi="Arial"/>
          <w:sz w:val="14"/>
          <w:szCs w:val="14"/>
          <w:color w:val="auto"/>
        </w:rPr>
        <w:t>We have previously audited, in accordance with the standards of the Public Company Accounting Oversight Board (United States) (PCAOB), the consolidated statement of assets and liabilities of the Company, including the consolidated schedule of investments, as of September 30, 2021, and the related consolidated statements of operations, changes in net assets, and cash flows for the year then ended (not presented herein); and in our report dated November 17, 2021, we expressed an unqualified opinion on those consolidated financial statements. In our opinion, the information set forth in the accompanying consolidated statement of assets and liabilities as of September 30, 2021, is fairly stated, in all material respects, in relation to the consolidated statement of assets and liabilities from which it has been derived.</w:t>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Basis for Review Results</w:t>
      </w:r>
    </w:p>
    <w:p>
      <w:pPr>
        <w:spacing w:after="0" w:line="208" w:lineRule="exact"/>
        <w:rPr>
          <w:sz w:val="20"/>
          <w:szCs w:val="20"/>
          <w:color w:val="auto"/>
        </w:rPr>
      </w:pPr>
    </w:p>
    <w:p>
      <w:pPr>
        <w:jc w:val="both"/>
        <w:ind w:firstLine="449"/>
        <w:spacing w:after="0" w:line="249" w:lineRule="auto"/>
        <w:rPr>
          <w:sz w:val="20"/>
          <w:szCs w:val="20"/>
          <w:color w:val="auto"/>
        </w:rPr>
      </w:pPr>
      <w:r>
        <w:rPr>
          <w:rFonts w:ascii="Arial" w:cs="Arial" w:eastAsia="Arial" w:hAnsi="Arial"/>
          <w:sz w:val="14"/>
          <w:szCs w:val="14"/>
          <w:color w:val="auto"/>
        </w:rPr>
        <w:t>These interim financial statements are the responsibility of the Company’s management. We conducted our reviews in accordance with the standards of the PCAOB. A review of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4"/>
          <w:szCs w:val="14"/>
          <w:color w:val="auto"/>
        </w:rPr>
        <w:t>/s/ RSM US LLP</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New York, New York</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August 3,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421005</wp:posOffset>
            </wp:positionV>
            <wp:extent cx="7157720" cy="4254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37" w:name="page38"/>
    <w:bookmarkEnd w:id="37"/>
    <w:p>
      <w:pPr>
        <w:ind w:left="3500"/>
        <w:spacing w:after="0"/>
        <w:rPr>
          <w:sz w:val="20"/>
          <w:szCs w:val="20"/>
          <w:color w:val="auto"/>
        </w:rPr>
      </w:pPr>
      <w:r>
        <w:rPr>
          <w:rFonts w:ascii="Arial" w:cs="Arial" w:eastAsia="Arial" w:hAnsi="Arial"/>
          <w:sz w:val="14"/>
          <w:szCs w:val="14"/>
          <w:b w:val="1"/>
          <w:bCs w:val="1"/>
          <w:color w:val="auto"/>
        </w:rPr>
        <w:t>Awareness Letter of Independent Registered Public Accounting Firm</w:t>
      </w:r>
    </w:p>
    <w:p>
      <w:pPr>
        <w:spacing w:after="0" w:line="208" w:lineRule="exact"/>
        <w:rPr>
          <w:sz w:val="20"/>
          <w:szCs w:val="20"/>
          <w:color w:val="auto"/>
        </w:rPr>
      </w:pPr>
    </w:p>
    <w:p>
      <w:pPr>
        <w:spacing w:after="0"/>
        <w:rPr>
          <w:sz w:val="20"/>
          <w:szCs w:val="20"/>
          <w:color w:val="auto"/>
        </w:rPr>
      </w:pPr>
      <w:r>
        <w:rPr>
          <w:rFonts w:ascii="Arial" w:cs="Arial" w:eastAsia="Arial" w:hAnsi="Arial"/>
          <w:sz w:val="14"/>
          <w:szCs w:val="14"/>
          <w:color w:val="auto"/>
        </w:rPr>
        <w:t>To the Stockholders and Board of Directors of PennantPark Floating Rate Capital Ltd. and its Subsidiaries</w:t>
      </w:r>
    </w:p>
    <w:p>
      <w:pPr>
        <w:spacing w:after="0" w:line="204" w:lineRule="exact"/>
        <w:rPr>
          <w:sz w:val="20"/>
          <w:szCs w:val="20"/>
          <w:color w:val="auto"/>
        </w:rPr>
      </w:pPr>
    </w:p>
    <w:p>
      <w:pPr>
        <w:jc w:val="both"/>
        <w:ind w:firstLine="449"/>
        <w:spacing w:after="0" w:line="257" w:lineRule="auto"/>
        <w:rPr>
          <w:sz w:val="20"/>
          <w:szCs w:val="20"/>
          <w:color w:val="auto"/>
        </w:rPr>
      </w:pPr>
      <w:r>
        <w:rPr>
          <w:rFonts w:ascii="Arial" w:cs="Arial" w:eastAsia="Arial" w:hAnsi="Arial"/>
          <w:sz w:val="14"/>
          <w:szCs w:val="14"/>
          <w:color w:val="auto"/>
        </w:rPr>
        <w:t>We have reviewed, in accordance with the standards of the Public Company Accounting Oversight Board (United States), the unaudited interim financial information of PennantPark Floating Rate Capital Ltd. and its Subsidiaries for the periods ended ended June 30, 2022 and 2021, as indicated in our report dated August 3, 2022; because we did not perform an audit, we expressed no opinion on that information.</w:t>
      </w:r>
    </w:p>
    <w:p>
      <w:pPr>
        <w:spacing w:after="0" w:line="171" w:lineRule="exact"/>
        <w:rPr>
          <w:sz w:val="20"/>
          <w:szCs w:val="20"/>
          <w:color w:val="auto"/>
        </w:rPr>
      </w:pPr>
    </w:p>
    <w:p>
      <w:pPr>
        <w:jc w:val="both"/>
        <w:ind w:firstLine="449"/>
        <w:spacing w:after="0" w:line="273" w:lineRule="auto"/>
        <w:rPr>
          <w:sz w:val="20"/>
          <w:szCs w:val="20"/>
          <w:color w:val="auto"/>
        </w:rPr>
      </w:pPr>
      <w:r>
        <w:rPr>
          <w:rFonts w:ascii="Arial" w:cs="Arial" w:eastAsia="Arial" w:hAnsi="Arial"/>
          <w:sz w:val="14"/>
          <w:szCs w:val="14"/>
          <w:color w:val="auto"/>
        </w:rPr>
        <w:t>We are aware that our report referred to above, which is included in your Quarterly Report on Form 10-Q for the quarter ended June 30, 2022, is incorporated by reference in Registration Statement No. 333-235532 on Form N-2.</w:t>
      </w:r>
    </w:p>
    <w:p>
      <w:pPr>
        <w:spacing w:after="0" w:line="160" w:lineRule="exact"/>
        <w:rPr>
          <w:sz w:val="20"/>
          <w:szCs w:val="20"/>
          <w:color w:val="auto"/>
        </w:rPr>
      </w:pPr>
    </w:p>
    <w:p>
      <w:pPr>
        <w:jc w:val="both"/>
        <w:ind w:right="20" w:firstLine="449"/>
        <w:spacing w:after="0" w:line="273" w:lineRule="auto"/>
        <w:rPr>
          <w:sz w:val="20"/>
          <w:szCs w:val="20"/>
          <w:color w:val="auto"/>
        </w:rPr>
      </w:pPr>
      <w:r>
        <w:rPr>
          <w:rFonts w:ascii="Arial" w:cs="Arial" w:eastAsia="Arial" w:hAnsi="Arial"/>
          <w:sz w:val="14"/>
          <w:szCs w:val="14"/>
          <w:color w:val="auto"/>
        </w:rPr>
        <w:t>We are also aware that the aforementioned report, pursuant to Rule 436(c) under the Securities Act of 1933, is not considered a part of the Registration Statement prepared or certified by an accountant or a report prepared or certified by an accountant within the meaning of Sections 7 and 11 of that Act.</w:t>
      </w:r>
    </w:p>
    <w:p>
      <w:pPr>
        <w:spacing w:after="0" w:line="36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/s/ RSM US LLP</w:t>
      </w:r>
    </w:p>
    <w:p>
      <w:pPr>
        <w:spacing w:after="0" w:line="204" w:lineRule="exact"/>
        <w:rPr>
          <w:sz w:val="20"/>
          <w:szCs w:val="20"/>
          <w:color w:val="auto"/>
        </w:rPr>
      </w:pPr>
    </w:p>
    <w:p>
      <w:pPr>
        <w:ind w:left="460"/>
        <w:spacing w:after="0"/>
        <w:rPr>
          <w:sz w:val="20"/>
          <w:szCs w:val="20"/>
          <w:color w:val="auto"/>
        </w:rPr>
      </w:pPr>
      <w:r>
        <w:rPr>
          <w:rFonts w:ascii="Arial" w:cs="Arial" w:eastAsia="Arial" w:hAnsi="Arial"/>
          <w:sz w:val="14"/>
          <w:szCs w:val="14"/>
          <w:color w:val="auto"/>
        </w:rPr>
        <w:t>New York, New York</w:t>
      </w:r>
    </w:p>
    <w:p>
      <w:pPr>
        <w:spacing w:after="0" w:line="1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August 3, 2022</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38" w:name="page39"/>
    <w:bookmarkEnd w:id="38"/>
    <w:p>
      <w:pPr>
        <w:spacing w:after="0"/>
        <w:rPr>
          <w:sz w:val="20"/>
          <w:szCs w:val="20"/>
          <w:color w:val="auto"/>
        </w:rPr>
      </w:pPr>
      <w:r>
        <w:rPr>
          <w:rFonts w:ascii="Arial" w:cs="Arial" w:eastAsia="Arial" w:hAnsi="Arial"/>
          <w:sz w:val="14"/>
          <w:szCs w:val="14"/>
          <w:b w:val="1"/>
          <w:bCs w:val="1"/>
          <w:color w:val="auto"/>
        </w:rPr>
        <w:t>Item 2. MANAGEMENT’S DISCUSSION AND ANALYSIS OF FINANCIAL CONDITION AND RESULTS OF OPERATIONS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FORWARD-LOOKING STATEMENTS</w:t>
      </w:r>
    </w:p>
    <w:p>
      <w:pPr>
        <w:spacing w:after="0" w:line="208" w:lineRule="exact"/>
        <w:rPr>
          <w:sz w:val="20"/>
          <w:szCs w:val="20"/>
          <w:color w:val="auto"/>
        </w:rPr>
      </w:pPr>
    </w:p>
    <w:p>
      <w:pPr>
        <w:jc w:val="both"/>
        <w:ind w:firstLine="449"/>
        <w:spacing w:after="0" w:line="252" w:lineRule="auto"/>
        <w:rPr>
          <w:sz w:val="20"/>
          <w:szCs w:val="20"/>
          <w:color w:val="auto"/>
        </w:rPr>
      </w:pPr>
      <w:r>
        <w:rPr>
          <w:rFonts w:ascii="Arial" w:cs="Arial" w:eastAsia="Arial" w:hAnsi="Arial"/>
          <w:sz w:val="14"/>
          <w:szCs w:val="14"/>
          <w:color w:val="auto"/>
        </w:rPr>
        <w:t>This Report, including Management’s Discussion and Analysis of Financial Condition and Results of Operations, contains statements that constitute forward-looking statements, which relate to us and our consolidated subsidiaries regarding future events or our future performance or future financial condition. These forward-looking statements are not historical facts, but rather are based on current expectations, estimates and projections about our Company, our industry, our beliefs and our assumptions. The forward-looking statements contained in this Report involve risks and uncertainties, including statements as to:</w:t>
      </w:r>
    </w:p>
    <w:p>
      <w:pPr>
        <w:spacing w:after="0" w:line="174" w:lineRule="exact"/>
        <w:rPr>
          <w:sz w:val="20"/>
          <w:szCs w:val="20"/>
          <w:color w:val="auto"/>
        </w:rPr>
      </w:pPr>
    </w:p>
    <w:p>
      <w:pPr>
        <w:ind w:left="840" w:hanging="383"/>
        <w:spacing w:after="0"/>
        <w:tabs>
          <w:tab w:leader="none" w:pos="8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our future operating results;</w:t>
      </w:r>
    </w:p>
    <w:p>
      <w:pPr>
        <w:spacing w:after="0" w:line="203" w:lineRule="exact"/>
        <w:rPr>
          <w:rFonts w:ascii="Arial" w:cs="Arial" w:eastAsia="Arial" w:hAnsi="Arial"/>
          <w:sz w:val="14"/>
          <w:szCs w:val="14"/>
          <w:color w:val="auto"/>
        </w:rPr>
      </w:pPr>
    </w:p>
    <w:p>
      <w:pPr>
        <w:ind w:left="840" w:hanging="383"/>
        <w:spacing w:after="0"/>
        <w:tabs>
          <w:tab w:leader="none" w:pos="8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our business prospects and the prospects of our prospective portfolio companies, including as a result of the current pandemic caused by COVID-19;</w:t>
      </w:r>
    </w:p>
    <w:p>
      <w:pPr>
        <w:spacing w:after="0" w:line="203" w:lineRule="exact"/>
        <w:rPr>
          <w:rFonts w:ascii="Arial" w:cs="Arial" w:eastAsia="Arial" w:hAnsi="Arial"/>
          <w:sz w:val="14"/>
          <w:szCs w:val="14"/>
          <w:color w:val="auto"/>
        </w:rPr>
      </w:pPr>
    </w:p>
    <w:p>
      <w:pPr>
        <w:ind w:left="840" w:right="80" w:hanging="383"/>
        <w:spacing w:after="0" w:line="273" w:lineRule="auto"/>
        <w:tabs>
          <w:tab w:leader="none" w:pos="8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changes in political, economic or industry conditions, the interest rate environment or conditions affecting the financial and capital markets that could result in changes to the value of our assets, including changes from the impact of the current COVID-19 pandemic;</w:t>
      </w:r>
    </w:p>
    <w:p>
      <w:pPr>
        <w:spacing w:after="0" w:line="160" w:lineRule="exact"/>
        <w:rPr>
          <w:rFonts w:ascii="Arial" w:cs="Arial" w:eastAsia="Arial" w:hAnsi="Arial"/>
          <w:sz w:val="14"/>
          <w:szCs w:val="14"/>
          <w:color w:val="auto"/>
        </w:rPr>
      </w:pPr>
    </w:p>
    <w:p>
      <w:pPr>
        <w:ind w:left="840" w:hanging="383"/>
        <w:spacing w:after="0"/>
        <w:tabs>
          <w:tab w:leader="none" w:pos="8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our ability to continue to effectively manage our business due to the significant disruptions caused by the current COVID-19 pandemic;</w:t>
      </w:r>
    </w:p>
    <w:p>
      <w:pPr>
        <w:spacing w:after="0" w:line="203" w:lineRule="exact"/>
        <w:rPr>
          <w:rFonts w:ascii="Arial" w:cs="Arial" w:eastAsia="Arial" w:hAnsi="Arial"/>
          <w:sz w:val="14"/>
          <w:szCs w:val="14"/>
          <w:color w:val="auto"/>
        </w:rPr>
      </w:pPr>
    </w:p>
    <w:p>
      <w:pPr>
        <w:ind w:left="840" w:hanging="383"/>
        <w:spacing w:after="0"/>
        <w:tabs>
          <w:tab w:leader="none" w:pos="8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dependence of our future success on the general economy and its impact on the industries in which we invest;</w:t>
      </w:r>
    </w:p>
    <w:p>
      <w:pPr>
        <w:spacing w:after="0" w:line="203" w:lineRule="exact"/>
        <w:rPr>
          <w:rFonts w:ascii="Arial" w:cs="Arial" w:eastAsia="Arial" w:hAnsi="Arial"/>
          <w:sz w:val="14"/>
          <w:szCs w:val="14"/>
          <w:color w:val="auto"/>
        </w:rPr>
      </w:pPr>
    </w:p>
    <w:p>
      <w:pPr>
        <w:ind w:left="840" w:hanging="383"/>
        <w:spacing w:after="0"/>
        <w:tabs>
          <w:tab w:leader="none" w:pos="8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impact of a protracted decline in the liquidity of credit markets on our business;</w:t>
      </w:r>
    </w:p>
    <w:p>
      <w:pPr>
        <w:spacing w:after="0" w:line="203" w:lineRule="exact"/>
        <w:rPr>
          <w:rFonts w:ascii="Arial" w:cs="Arial" w:eastAsia="Arial" w:hAnsi="Arial"/>
          <w:sz w:val="14"/>
          <w:szCs w:val="14"/>
          <w:color w:val="auto"/>
        </w:rPr>
      </w:pPr>
    </w:p>
    <w:p>
      <w:pPr>
        <w:ind w:left="840" w:hanging="383"/>
        <w:spacing w:after="0"/>
        <w:tabs>
          <w:tab w:leader="none" w:pos="8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impact of investments that we expect to make;</w:t>
      </w:r>
    </w:p>
    <w:p>
      <w:pPr>
        <w:spacing w:after="0" w:line="203" w:lineRule="exact"/>
        <w:rPr>
          <w:rFonts w:ascii="Arial" w:cs="Arial" w:eastAsia="Arial" w:hAnsi="Arial"/>
          <w:sz w:val="14"/>
          <w:szCs w:val="14"/>
          <w:color w:val="auto"/>
        </w:rPr>
      </w:pPr>
    </w:p>
    <w:p>
      <w:pPr>
        <w:ind w:left="840" w:hanging="383"/>
        <w:spacing w:after="0"/>
        <w:tabs>
          <w:tab w:leader="none" w:pos="8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impact of fluctuations in interest rates and foreign exchange rates on our business and our portfolio companies;</w:t>
      </w:r>
    </w:p>
    <w:p>
      <w:pPr>
        <w:spacing w:after="0" w:line="203" w:lineRule="exact"/>
        <w:rPr>
          <w:rFonts w:ascii="Arial" w:cs="Arial" w:eastAsia="Arial" w:hAnsi="Arial"/>
          <w:sz w:val="14"/>
          <w:szCs w:val="14"/>
          <w:color w:val="auto"/>
        </w:rPr>
      </w:pPr>
    </w:p>
    <w:p>
      <w:pPr>
        <w:ind w:left="840" w:hanging="383"/>
        <w:spacing w:after="0"/>
        <w:tabs>
          <w:tab w:leader="none" w:pos="8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our contractual arrangements and relationships with third parties;</w:t>
      </w:r>
    </w:p>
    <w:p>
      <w:pPr>
        <w:spacing w:after="0" w:line="203" w:lineRule="exact"/>
        <w:rPr>
          <w:rFonts w:ascii="Arial" w:cs="Arial" w:eastAsia="Arial" w:hAnsi="Arial"/>
          <w:sz w:val="14"/>
          <w:szCs w:val="14"/>
          <w:color w:val="auto"/>
        </w:rPr>
      </w:pPr>
    </w:p>
    <w:p>
      <w:pPr>
        <w:ind w:left="840" w:hanging="383"/>
        <w:spacing w:after="0"/>
        <w:tabs>
          <w:tab w:leader="none" w:pos="8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valuation of our investments in portfolio companies, particularly those having no liquid trading market;</w:t>
      </w:r>
    </w:p>
    <w:p>
      <w:pPr>
        <w:spacing w:after="0" w:line="203" w:lineRule="exact"/>
        <w:rPr>
          <w:rFonts w:ascii="Arial" w:cs="Arial" w:eastAsia="Arial" w:hAnsi="Arial"/>
          <w:sz w:val="14"/>
          <w:szCs w:val="14"/>
          <w:color w:val="auto"/>
        </w:rPr>
      </w:pPr>
    </w:p>
    <w:p>
      <w:pPr>
        <w:ind w:left="840" w:hanging="383"/>
        <w:spacing w:after="0"/>
        <w:tabs>
          <w:tab w:leader="none" w:pos="8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ability of our prospective portfolio companies to achieve their objectives;</w:t>
      </w:r>
    </w:p>
    <w:p>
      <w:pPr>
        <w:spacing w:after="0" w:line="203" w:lineRule="exact"/>
        <w:rPr>
          <w:rFonts w:ascii="Arial" w:cs="Arial" w:eastAsia="Arial" w:hAnsi="Arial"/>
          <w:sz w:val="14"/>
          <w:szCs w:val="14"/>
          <w:color w:val="auto"/>
        </w:rPr>
      </w:pPr>
    </w:p>
    <w:p>
      <w:pPr>
        <w:ind w:left="840" w:hanging="383"/>
        <w:spacing w:after="0"/>
        <w:tabs>
          <w:tab w:leader="none" w:pos="8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our expected financings and investments and ability to fund capital commitments to PSSL;</w:t>
      </w:r>
    </w:p>
    <w:p>
      <w:pPr>
        <w:spacing w:after="0" w:line="203" w:lineRule="exact"/>
        <w:rPr>
          <w:rFonts w:ascii="Arial" w:cs="Arial" w:eastAsia="Arial" w:hAnsi="Arial"/>
          <w:sz w:val="14"/>
          <w:szCs w:val="14"/>
          <w:color w:val="auto"/>
        </w:rPr>
      </w:pPr>
    </w:p>
    <w:p>
      <w:pPr>
        <w:ind w:left="840" w:hanging="383"/>
        <w:spacing w:after="0"/>
        <w:tabs>
          <w:tab w:leader="none" w:pos="8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adequacy of our cash resources and working capital;</w:t>
      </w:r>
    </w:p>
    <w:p>
      <w:pPr>
        <w:spacing w:after="0" w:line="203" w:lineRule="exact"/>
        <w:rPr>
          <w:rFonts w:ascii="Arial" w:cs="Arial" w:eastAsia="Arial" w:hAnsi="Arial"/>
          <w:sz w:val="14"/>
          <w:szCs w:val="14"/>
          <w:color w:val="auto"/>
        </w:rPr>
      </w:pPr>
    </w:p>
    <w:p>
      <w:pPr>
        <w:ind w:left="840" w:hanging="383"/>
        <w:spacing w:after="0"/>
        <w:tabs>
          <w:tab w:leader="none" w:pos="8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timing of cash flows, if any, from the operations of our prospective portfolio companies;</w:t>
      </w:r>
    </w:p>
    <w:p>
      <w:pPr>
        <w:spacing w:after="0" w:line="203" w:lineRule="exact"/>
        <w:rPr>
          <w:rFonts w:ascii="Arial" w:cs="Arial" w:eastAsia="Arial" w:hAnsi="Arial"/>
          <w:sz w:val="14"/>
          <w:szCs w:val="14"/>
          <w:color w:val="auto"/>
        </w:rPr>
      </w:pPr>
    </w:p>
    <w:p>
      <w:pPr>
        <w:ind w:left="840" w:hanging="383"/>
        <w:spacing w:after="0"/>
        <w:tabs>
          <w:tab w:leader="none" w:pos="8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impact of price and volume fluctuations in the stock market;</w:t>
      </w:r>
    </w:p>
    <w:p>
      <w:pPr>
        <w:spacing w:after="0" w:line="203" w:lineRule="exact"/>
        <w:rPr>
          <w:rFonts w:ascii="Arial" w:cs="Arial" w:eastAsia="Arial" w:hAnsi="Arial"/>
          <w:sz w:val="14"/>
          <w:szCs w:val="14"/>
          <w:color w:val="auto"/>
        </w:rPr>
      </w:pPr>
    </w:p>
    <w:p>
      <w:pPr>
        <w:ind w:left="840" w:hanging="383"/>
        <w:spacing w:after="0"/>
        <w:tabs>
          <w:tab w:leader="none" w:pos="8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ability of our Investment Adviser to locate suitable investments for us and to monitor and administer our investments;</w:t>
      </w:r>
    </w:p>
    <w:p>
      <w:pPr>
        <w:spacing w:after="0" w:line="203" w:lineRule="exact"/>
        <w:rPr>
          <w:rFonts w:ascii="Arial" w:cs="Arial" w:eastAsia="Arial" w:hAnsi="Arial"/>
          <w:sz w:val="14"/>
          <w:szCs w:val="14"/>
          <w:color w:val="auto"/>
        </w:rPr>
      </w:pPr>
    </w:p>
    <w:p>
      <w:pPr>
        <w:ind w:left="840" w:hanging="383"/>
        <w:spacing w:after="0"/>
        <w:tabs>
          <w:tab w:leader="none" w:pos="8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impact of future legislation and regulation on our business and our portfolio companies; and</w:t>
      </w:r>
    </w:p>
    <w:p>
      <w:pPr>
        <w:spacing w:after="0" w:line="203" w:lineRule="exact"/>
        <w:rPr>
          <w:rFonts w:ascii="Arial" w:cs="Arial" w:eastAsia="Arial" w:hAnsi="Arial"/>
          <w:sz w:val="14"/>
          <w:szCs w:val="14"/>
          <w:color w:val="auto"/>
        </w:rPr>
      </w:pPr>
    </w:p>
    <w:p>
      <w:pPr>
        <w:ind w:left="840" w:hanging="383"/>
        <w:spacing w:after="0"/>
        <w:tabs>
          <w:tab w:leader="none" w:pos="8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impact of the United Kingdom’s withdrawal from the European Union (commonly known as “Brexit”) and other world economic and political issues.</w:t>
      </w:r>
    </w:p>
    <w:p>
      <w:pPr>
        <w:spacing w:after="0" w:line="204" w:lineRule="exact"/>
        <w:rPr>
          <w:sz w:val="20"/>
          <w:szCs w:val="20"/>
          <w:color w:val="auto"/>
        </w:rPr>
      </w:pPr>
    </w:p>
    <w:p>
      <w:pPr>
        <w:jc w:val="both"/>
        <w:ind w:firstLine="449"/>
        <w:spacing w:after="0" w:line="257" w:lineRule="auto"/>
        <w:rPr>
          <w:sz w:val="20"/>
          <w:szCs w:val="20"/>
          <w:color w:val="auto"/>
        </w:rPr>
      </w:pPr>
      <w:r>
        <w:rPr>
          <w:rFonts w:ascii="Arial" w:cs="Arial" w:eastAsia="Arial" w:hAnsi="Arial"/>
          <w:sz w:val="14"/>
          <w:szCs w:val="14"/>
          <w:color w:val="auto"/>
        </w:rPr>
        <w:t>We use words such as “anticipates,” “believes,” “expects,” “intends,” “seeks,” “plans,” “estimates” and similar expressions to identify forward-looking statements. You should not place undue influence on the forward-looking statements as our actual results could differ materially from those projected in the forward-looking statements for any reason, including the factors in “Risk Factors” and elsewhere in this Report.</w:t>
      </w:r>
    </w:p>
    <w:p>
      <w:pPr>
        <w:spacing w:after="0" w:line="171" w:lineRule="exact"/>
        <w:rPr>
          <w:sz w:val="20"/>
          <w:szCs w:val="20"/>
          <w:color w:val="auto"/>
        </w:rPr>
      </w:pPr>
    </w:p>
    <w:p>
      <w:pPr>
        <w:jc w:val="both"/>
        <w:ind w:firstLine="449"/>
        <w:spacing w:after="0" w:line="252" w:lineRule="auto"/>
        <w:rPr>
          <w:sz w:val="20"/>
          <w:szCs w:val="20"/>
          <w:color w:val="auto"/>
        </w:rPr>
      </w:pPr>
      <w:r>
        <w:rPr>
          <w:rFonts w:ascii="Arial" w:cs="Arial" w:eastAsia="Arial" w:hAnsi="Arial"/>
          <w:sz w:val="14"/>
          <w:szCs w:val="14"/>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Report should not be regarded as a representation by us that our plans and objectives will be achieved.</w:t>
      </w:r>
    </w:p>
    <w:p>
      <w:pPr>
        <w:spacing w:after="0" w:line="174" w:lineRule="exact"/>
        <w:rPr>
          <w:sz w:val="20"/>
          <w:szCs w:val="20"/>
          <w:color w:val="auto"/>
        </w:rPr>
      </w:pPr>
    </w:p>
    <w:p>
      <w:pPr>
        <w:jc w:val="both"/>
        <w:ind w:firstLine="449"/>
        <w:spacing w:after="0" w:line="252" w:lineRule="auto"/>
        <w:rPr>
          <w:sz w:val="20"/>
          <w:szCs w:val="20"/>
          <w:color w:val="auto"/>
        </w:rPr>
      </w:pPr>
      <w:r>
        <w:rPr>
          <w:rFonts w:ascii="Arial" w:cs="Arial" w:eastAsia="Arial" w:hAnsi="Arial"/>
          <w:sz w:val="14"/>
          <w:szCs w:val="14"/>
          <w:color w:val="auto"/>
        </w:rPr>
        <w:t>We have based the forward-looking statements included in this Report on information available to us on the date of this Report, and we assume no obligation to update any such forward-looking statements. Although we undertake no obligation to revise or update any forward-looking statements in this Report, whether as a result of new information, future events or otherwise, you are advised to consult any additional disclosures that we may make directly to you or through reports that we in the future may file with the SEC, including reports on Form 10-Q/K and current reports on Form 8-K.</w:t>
      </w:r>
    </w:p>
    <w:p>
      <w:pPr>
        <w:spacing w:after="0" w:line="174" w:lineRule="exact"/>
        <w:rPr>
          <w:sz w:val="20"/>
          <w:szCs w:val="20"/>
          <w:color w:val="auto"/>
        </w:rPr>
      </w:pPr>
    </w:p>
    <w:p>
      <w:pPr>
        <w:jc w:val="both"/>
        <w:ind w:firstLine="449"/>
        <w:spacing w:after="0" w:line="273" w:lineRule="auto"/>
        <w:rPr>
          <w:sz w:val="20"/>
          <w:szCs w:val="20"/>
          <w:color w:val="auto"/>
        </w:rPr>
      </w:pPr>
      <w:r>
        <w:rPr>
          <w:rFonts w:ascii="Arial" w:cs="Arial" w:eastAsia="Arial" w:hAnsi="Arial"/>
          <w:sz w:val="14"/>
          <w:szCs w:val="14"/>
          <w:color w:val="auto"/>
        </w:rPr>
        <w:t>You should understand that under Section 27A(b)(2)(B) of the Securities Act and Section 21E(b)(2)(B) of the Exchange Act, the “safe harbor” provisions of the Private Securities Litigation Reform Act of 1995 do not apply to forward-looking statements made in periodic reports we file under the Exchange Act.</w:t>
      </w:r>
    </w:p>
    <w:p>
      <w:pPr>
        <w:spacing w:after="0" w:line="160" w:lineRule="exact"/>
        <w:rPr>
          <w:sz w:val="20"/>
          <w:szCs w:val="20"/>
          <w:color w:val="auto"/>
        </w:rPr>
      </w:pPr>
    </w:p>
    <w:p>
      <w:pPr>
        <w:jc w:val="both"/>
        <w:ind w:firstLine="449"/>
        <w:spacing w:after="0" w:line="273" w:lineRule="auto"/>
        <w:rPr>
          <w:sz w:val="20"/>
          <w:szCs w:val="20"/>
          <w:color w:val="auto"/>
        </w:rPr>
      </w:pPr>
      <w:r>
        <w:rPr>
          <w:rFonts w:ascii="Arial" w:cs="Arial" w:eastAsia="Arial" w:hAnsi="Arial"/>
          <w:sz w:val="14"/>
          <w:szCs w:val="14"/>
          <w:color w:val="auto"/>
        </w:rPr>
        <w:t>The following analysis of our financial condition and results of operations should be read in conjunction with our Consolidated Financial Statements and the related notes thereto contained elsewhere in this Report.</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Overview</w:t>
      </w:r>
    </w:p>
    <w:p>
      <w:pPr>
        <w:spacing w:after="0" w:line="204" w:lineRule="exact"/>
        <w:rPr>
          <w:sz w:val="20"/>
          <w:szCs w:val="20"/>
          <w:color w:val="auto"/>
        </w:rPr>
      </w:pPr>
    </w:p>
    <w:p>
      <w:pPr>
        <w:jc w:val="both"/>
        <w:ind w:firstLine="449"/>
        <w:spacing w:after="0" w:line="253" w:lineRule="auto"/>
        <w:rPr>
          <w:sz w:val="20"/>
          <w:szCs w:val="20"/>
          <w:color w:val="auto"/>
        </w:rPr>
      </w:pPr>
      <w:r>
        <w:rPr>
          <w:rFonts w:ascii="Arial" w:cs="Arial" w:eastAsia="Arial" w:hAnsi="Arial"/>
          <w:sz w:val="14"/>
          <w:szCs w:val="14"/>
          <w:color w:val="auto"/>
        </w:rPr>
        <w:t>PennantPark Floating Rate Capital Ltd. is a BDC whose objectives are to generate both current income and capital appreciation while seeking to preserve capital by investing primarily in Floating Rate Loans and other investments made to U.S. middle-market companies.</w:t>
      </w:r>
    </w:p>
    <w:p>
      <w:pPr>
        <w:spacing w:after="0" w:line="147" w:lineRule="exact"/>
        <w:rPr>
          <w:sz w:val="20"/>
          <w:szCs w:val="20"/>
          <w:color w:val="auto"/>
        </w:rPr>
      </w:pPr>
    </w:p>
    <w:p>
      <w:pPr>
        <w:jc w:val="both"/>
        <w:ind w:firstLine="449"/>
        <w:spacing w:after="0" w:line="225" w:lineRule="auto"/>
        <w:rPr>
          <w:sz w:val="20"/>
          <w:szCs w:val="20"/>
          <w:color w:val="auto"/>
        </w:rPr>
      </w:pPr>
      <w:r>
        <w:rPr>
          <w:rFonts w:ascii="Arial" w:cs="Arial" w:eastAsia="Arial" w:hAnsi="Arial"/>
          <w:sz w:val="14"/>
          <w:szCs w:val="14"/>
          <w:color w:val="auto"/>
        </w:rPr>
        <w:t>We believe that Floating Rate Loans to U.S. middle-market companies offer attractive risk-reward to investors due to a limited amount of capital available for such companies. We use the term “middle-market” to refer to companies with annual revenues between $50 million and $1 billion. Our investments are typically rated below investment grade. Securities rated below investment grade are often referred to as “leveraged loans,” “high yield” securities or “junk bonds” and are often higher risk compared to debt instruments that are rated above investment grade and have speculative characteristics. However, when compared to junk bonds and other non-investment grade debt,</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39" w:name="page40"/>
    <w:bookmarkEnd w:id="39"/>
    <w:p>
      <w:pPr>
        <w:jc w:val="both"/>
        <w:ind w:right="20"/>
        <w:spacing w:after="0" w:line="238" w:lineRule="auto"/>
        <w:rPr>
          <w:sz w:val="20"/>
          <w:szCs w:val="20"/>
          <w:color w:val="auto"/>
        </w:rPr>
      </w:pPr>
      <w:r>
        <w:rPr>
          <w:rFonts w:ascii="Arial" w:cs="Arial" w:eastAsia="Arial" w:hAnsi="Arial"/>
          <w:sz w:val="14"/>
          <w:szCs w:val="14"/>
          <w:color w:val="auto"/>
        </w:rPr>
        <w:t>senior secured Floating Rate Loans typically have more robust capital-preserving qualities, such as historically lower default rates than junk bonds, represent the senior source of capital in a borrower’s capital structure and often have certain of the borrower’s assets pledged as collateral.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169" w:lineRule="exact"/>
        <w:rPr>
          <w:sz w:val="20"/>
          <w:szCs w:val="20"/>
          <w:color w:val="auto"/>
        </w:rPr>
      </w:pPr>
    </w:p>
    <w:p>
      <w:pPr>
        <w:jc w:val="both"/>
        <w:ind w:firstLine="449"/>
        <w:spacing w:after="0" w:line="277" w:lineRule="auto"/>
        <w:rPr>
          <w:sz w:val="20"/>
          <w:szCs w:val="20"/>
          <w:color w:val="auto"/>
        </w:rPr>
      </w:pPr>
      <w:r>
        <w:rPr>
          <w:rFonts w:ascii="Arial" w:cs="Arial" w:eastAsia="Arial" w:hAnsi="Arial"/>
          <w:sz w:val="13"/>
          <w:szCs w:val="13"/>
          <w:color w:val="auto"/>
        </w:rPr>
        <w:t>Under normal market conditions, we generally expect that at least 80% of the value of our managed assets will be invested in Floating Rate Loans and other investments bearing a variable-rate of interest. We generally expect that first lien secured debt will represent at least 65% of our overall portfolio. We also generally expect to invest up to 35% of our overall portfolio opportunistically in other types of investments, including second lien secured debt and subordinated debt and, to a lesser extent, equity investments. We seek to create a diversified portfolio by generally targeting an investment size between $5 million and $30 million, on average, although we expect that this investment size will vary proportionately with the size of our capital base.</w:t>
      </w:r>
    </w:p>
    <w:p>
      <w:pPr>
        <w:spacing w:after="0" w:line="160" w:lineRule="exact"/>
        <w:rPr>
          <w:sz w:val="20"/>
          <w:szCs w:val="20"/>
          <w:color w:val="auto"/>
        </w:rPr>
      </w:pPr>
    </w:p>
    <w:p>
      <w:pPr>
        <w:jc w:val="both"/>
        <w:ind w:firstLine="449"/>
        <w:spacing w:after="0" w:line="257" w:lineRule="auto"/>
        <w:rPr>
          <w:sz w:val="20"/>
          <w:szCs w:val="20"/>
          <w:color w:val="auto"/>
        </w:rPr>
      </w:pPr>
      <w:r>
        <w:rPr>
          <w:rFonts w:ascii="Arial" w:cs="Arial" w:eastAsia="Arial" w:hAnsi="Arial"/>
          <w:sz w:val="14"/>
          <w:szCs w:val="14"/>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debt capital, proceeds from the rotation of our portfolio and proceeds from public and private offerings of securities to finance our investment objectives.</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Organization and Structure of PennantPark Floating Rate Capital Ltd.</w:t>
      </w:r>
    </w:p>
    <w:p>
      <w:pPr>
        <w:spacing w:after="0" w:line="204" w:lineRule="exact"/>
        <w:rPr>
          <w:sz w:val="20"/>
          <w:szCs w:val="20"/>
          <w:color w:val="auto"/>
        </w:rPr>
      </w:pPr>
    </w:p>
    <w:p>
      <w:pPr>
        <w:jc w:val="both"/>
        <w:ind w:firstLine="449"/>
        <w:spacing w:after="0" w:line="312" w:lineRule="auto"/>
        <w:rPr>
          <w:sz w:val="20"/>
          <w:szCs w:val="20"/>
          <w:color w:val="auto"/>
        </w:rPr>
      </w:pPr>
      <w:r>
        <w:rPr>
          <w:rFonts w:ascii="Arial" w:cs="Arial" w:eastAsia="Arial" w:hAnsi="Arial"/>
          <w:sz w:val="13"/>
          <w:szCs w:val="13"/>
          <w:color w:val="auto"/>
        </w:rPr>
        <w:t>PennantPark Floating Rate Capital Ltd., a Maryland corporation organized in October 2010, is a closed-end, externally managed, non-diversified investment company that has elected to be treated as a BDC under the 1940 Act. In addition, for federal income tax purposes we elected to be treated, and intend to qualify annually, as a RIC under the Code.</w:t>
      </w:r>
    </w:p>
    <w:p>
      <w:pPr>
        <w:spacing w:after="0" w:line="138" w:lineRule="exact"/>
        <w:rPr>
          <w:sz w:val="20"/>
          <w:szCs w:val="20"/>
          <w:color w:val="auto"/>
        </w:rPr>
      </w:pPr>
    </w:p>
    <w:p>
      <w:pPr>
        <w:jc w:val="both"/>
        <w:ind w:firstLine="449"/>
        <w:spacing w:after="0" w:line="247" w:lineRule="auto"/>
        <w:rPr>
          <w:sz w:val="20"/>
          <w:szCs w:val="20"/>
          <w:color w:val="auto"/>
        </w:rPr>
      </w:pPr>
      <w:r>
        <w:rPr>
          <w:rFonts w:ascii="Arial" w:cs="Arial" w:eastAsia="Arial" w:hAnsi="Arial"/>
          <w:sz w:val="14"/>
          <w:szCs w:val="14"/>
          <w:color w:val="auto"/>
        </w:rPr>
        <w:t>Our investment activities are managed by the Investment Adviser. Under our Investment Management Agreement, we have agreed to pay our Investment Adviser an annual base management fee based on our average adjusted gross assets as well as an incentive fee based on our investment performance. We have also entered into an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Corporate Counsel and their respective staffs. Our board of directors, a majority of whom are independent of us, provides overall supervision of our activities, and the Investment Adviser supervises our day-to-day activities.</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COVID-19 Developments</w:t>
      </w:r>
    </w:p>
    <w:p>
      <w:pPr>
        <w:spacing w:after="0" w:line="204" w:lineRule="exact"/>
        <w:rPr>
          <w:sz w:val="20"/>
          <w:szCs w:val="20"/>
          <w:color w:val="auto"/>
        </w:rPr>
      </w:pPr>
    </w:p>
    <w:p>
      <w:pPr>
        <w:jc w:val="both"/>
        <w:ind w:firstLine="449"/>
        <w:spacing w:after="0" w:line="281" w:lineRule="auto"/>
        <w:rPr>
          <w:sz w:val="20"/>
          <w:szCs w:val="20"/>
          <w:color w:val="auto"/>
        </w:rPr>
      </w:pPr>
      <w:r>
        <w:rPr>
          <w:rFonts w:ascii="Arial" w:cs="Arial" w:eastAsia="Arial" w:hAnsi="Arial"/>
          <w:sz w:val="13"/>
          <w:szCs w:val="13"/>
          <w:color w:val="auto"/>
        </w:rPr>
        <w:t>COVID-19 was first detected in December 2019 and has since been identified as a global pandemic by the World Health Organization. The effect of the ongoing COVID-19 pandemic or any worsening thereof, uncertainty relating to more contagious strains of the virus, the length of recovery of certain economic sectors in the U.S. and globally and the speed and efficiency of the vaccination process, including the extent to which the available vaccines are ineffective against any new COVID_19 variants, may create stress on the market and may affect some of our portfolio</w:t>
      </w:r>
    </w:p>
    <w:p>
      <w:pPr>
        <w:spacing w:after="0" w:line="1" w:lineRule="exact"/>
        <w:rPr>
          <w:sz w:val="20"/>
          <w:szCs w:val="20"/>
          <w:color w:val="auto"/>
        </w:rPr>
      </w:pPr>
    </w:p>
    <w:p>
      <w:pPr>
        <w:jc w:val="both"/>
        <w:spacing w:after="0" w:line="333" w:lineRule="auto"/>
        <w:rPr>
          <w:sz w:val="20"/>
          <w:szCs w:val="20"/>
          <w:color w:val="auto"/>
        </w:rPr>
      </w:pPr>
      <w:r>
        <w:rPr>
          <w:rFonts w:ascii="Arial" w:cs="Arial" w:eastAsia="Arial" w:hAnsi="Arial"/>
          <w:sz w:val="14"/>
          <w:szCs w:val="14"/>
          <w:color w:val="auto"/>
        </w:rPr>
        <w:t>companies. We cannot predict the full impact of the COVID-19 pandemic, including any worsening thereof or its duration in the United States and globally and any impact to our business operations or the business operations of our portfolio companies</w:t>
      </w:r>
    </w:p>
    <w:p>
      <w:pPr>
        <w:spacing w:after="0" w:line="107" w:lineRule="exact"/>
        <w:rPr>
          <w:sz w:val="20"/>
          <w:szCs w:val="20"/>
          <w:color w:val="auto"/>
        </w:rPr>
      </w:pPr>
    </w:p>
    <w:p>
      <w:pPr>
        <w:jc w:val="both"/>
        <w:ind w:firstLine="449"/>
        <w:spacing w:after="0" w:line="229" w:lineRule="auto"/>
        <w:rPr>
          <w:sz w:val="20"/>
          <w:szCs w:val="20"/>
          <w:color w:val="auto"/>
        </w:rPr>
      </w:pPr>
      <w:r>
        <w:rPr>
          <w:rFonts w:ascii="Arial" w:cs="Arial" w:eastAsia="Arial" w:hAnsi="Arial"/>
          <w:sz w:val="14"/>
          <w:szCs w:val="14"/>
          <w:color w:val="auto"/>
        </w:rPr>
        <w:t>Due to the nature of these governmental restrictions and their potentially long-lasting duration, some portfolio companies, especially those in vulnerable industries such as retail, food and beverage and travel, have experienced significant financial distress and may default on their financial obligations to us and their other capital providers. Moreover, certain of our portfolio companies that remain subject to prolonged and severe financial distress, have substantially curtailed their operations, deferred capital expenditures, furloughed or laid off workers and/or terminated relationships with their service providers. Depending on the length and magnitude of the disruption to the operations of our portfolio companies, certain portfolio companies may experience financial distress and possibly default on their financial obligations to us and their other capital providers in the future. These developments could impact the value of our investments in such portfolio companies.</w:t>
      </w:r>
    </w:p>
    <w:p>
      <w:pPr>
        <w:spacing w:after="0" w:line="158" w:lineRule="exact"/>
        <w:rPr>
          <w:sz w:val="20"/>
          <w:szCs w:val="20"/>
          <w:color w:val="auto"/>
        </w:rPr>
      </w:pPr>
    </w:p>
    <w:p>
      <w:pPr>
        <w:jc w:val="both"/>
        <w:ind w:firstLine="449"/>
        <w:spacing w:after="0" w:line="249" w:lineRule="auto"/>
        <w:rPr>
          <w:sz w:val="20"/>
          <w:szCs w:val="20"/>
          <w:color w:val="auto"/>
        </w:rPr>
      </w:pPr>
      <w:r>
        <w:rPr>
          <w:rFonts w:ascii="Arial" w:cs="Arial" w:eastAsia="Arial" w:hAnsi="Arial"/>
          <w:sz w:val="14"/>
          <w:szCs w:val="14"/>
          <w:color w:val="auto"/>
        </w:rPr>
        <w:t>The COVID-19 pandemic, including any worsening thereof, may have an adverse impact on certain sectors of the global economy. Particularly, COVID-19 presents material uncertainty and risk with respect to our future performance and financial results as well as the future performance and financial results of our portfolio companies due to the risk of any sever adverse reactions to the vaccine, politicization of the vaccination process or general public skepticism of the safety and efficacy of the vaccine. While we are unable to predict the ultimate adverse effect of COVID-19, or any worsening thereof, on our results of operation, we have identified certain factors that are likely to affect market, economic and geopolitical conditions, and thereby may adversely affect our business, including:</w:t>
      </w:r>
    </w:p>
    <w:p>
      <w:pPr>
        <w:spacing w:after="0" w:line="177" w:lineRule="exact"/>
        <w:rPr>
          <w:sz w:val="20"/>
          <w:szCs w:val="20"/>
          <w:color w:val="auto"/>
        </w:rPr>
      </w:pPr>
    </w:p>
    <w:p>
      <w:pPr>
        <w:ind w:left="840" w:hanging="383"/>
        <w:spacing w:after="0"/>
        <w:tabs>
          <w:tab w:leader="none" w:pos="8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U.S. and global economic recovery;</w:t>
      </w:r>
    </w:p>
    <w:p>
      <w:pPr>
        <w:spacing w:after="0" w:line="149" w:lineRule="exact"/>
        <w:rPr>
          <w:rFonts w:ascii="Arial" w:cs="Arial" w:eastAsia="Arial" w:hAnsi="Arial"/>
          <w:sz w:val="14"/>
          <w:szCs w:val="14"/>
          <w:color w:val="auto"/>
        </w:rPr>
      </w:pPr>
    </w:p>
    <w:p>
      <w:pPr>
        <w:ind w:left="840" w:hanging="383"/>
        <w:spacing w:after="0"/>
        <w:tabs>
          <w:tab w:leader="none" w:pos="8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changes in interest rates, including LIBOR;</w:t>
      </w:r>
    </w:p>
    <w:p>
      <w:pPr>
        <w:spacing w:after="0" w:line="136" w:lineRule="exact"/>
        <w:rPr>
          <w:rFonts w:ascii="Arial" w:cs="Arial" w:eastAsia="Arial" w:hAnsi="Arial"/>
          <w:sz w:val="14"/>
          <w:szCs w:val="14"/>
          <w:color w:val="auto"/>
        </w:rPr>
      </w:pPr>
    </w:p>
    <w:p>
      <w:pPr>
        <w:ind w:left="840" w:hanging="383"/>
        <w:spacing w:after="0"/>
        <w:tabs>
          <w:tab w:leader="none" w:pos="8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limited availability of credit, both in the United States and internationally;</w:t>
      </w:r>
    </w:p>
    <w:p>
      <w:pPr>
        <w:spacing w:after="0" w:line="149" w:lineRule="exact"/>
        <w:rPr>
          <w:rFonts w:ascii="Arial" w:cs="Arial" w:eastAsia="Arial" w:hAnsi="Arial"/>
          <w:sz w:val="14"/>
          <w:szCs w:val="14"/>
          <w:color w:val="auto"/>
        </w:rPr>
      </w:pPr>
    </w:p>
    <w:p>
      <w:pPr>
        <w:ind w:left="840" w:hanging="383"/>
        <w:spacing w:after="0"/>
        <w:tabs>
          <w:tab w:leader="none" w:pos="8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disruptions to supply-chains and price volatility;</w:t>
      </w:r>
    </w:p>
    <w:p>
      <w:pPr>
        <w:spacing w:after="0" w:line="149" w:lineRule="exact"/>
        <w:rPr>
          <w:rFonts w:ascii="Arial" w:cs="Arial" w:eastAsia="Arial" w:hAnsi="Arial"/>
          <w:sz w:val="14"/>
          <w:szCs w:val="14"/>
          <w:color w:val="auto"/>
        </w:rPr>
      </w:pPr>
    </w:p>
    <w:p>
      <w:pPr>
        <w:ind w:left="840" w:hanging="383"/>
        <w:spacing w:after="0"/>
        <w:tabs>
          <w:tab w:leader="none" w:pos="8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changes to existing laws and regulations, or the imposition of new laws and regulations; and</w:t>
      </w:r>
    </w:p>
    <w:p>
      <w:pPr>
        <w:spacing w:after="0" w:line="136" w:lineRule="exact"/>
        <w:rPr>
          <w:rFonts w:ascii="Arial" w:cs="Arial" w:eastAsia="Arial" w:hAnsi="Arial"/>
          <w:sz w:val="14"/>
          <w:szCs w:val="14"/>
          <w:color w:val="auto"/>
        </w:rPr>
      </w:pPr>
    </w:p>
    <w:p>
      <w:pPr>
        <w:ind w:left="840" w:hanging="383"/>
        <w:spacing w:after="0"/>
        <w:tabs>
          <w:tab w:leader="none" w:pos="8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uncertainty regarding future governmental and regulatory policies.</w:t>
      </w:r>
    </w:p>
    <w:p>
      <w:pPr>
        <w:spacing w:after="0" w:line="204" w:lineRule="exact"/>
        <w:rPr>
          <w:sz w:val="20"/>
          <w:szCs w:val="20"/>
          <w:color w:val="auto"/>
        </w:rPr>
      </w:pPr>
    </w:p>
    <w:p>
      <w:pPr>
        <w:jc w:val="both"/>
        <w:ind w:firstLine="449"/>
        <w:spacing w:after="0" w:line="246" w:lineRule="auto"/>
        <w:rPr>
          <w:sz w:val="20"/>
          <w:szCs w:val="20"/>
          <w:color w:val="auto"/>
        </w:rPr>
      </w:pPr>
      <w:r>
        <w:rPr>
          <w:rFonts w:ascii="Arial" w:cs="Arial" w:eastAsia="Arial" w:hAnsi="Arial"/>
          <w:sz w:val="14"/>
          <w:szCs w:val="14"/>
          <w:color w:val="auto"/>
        </w:rPr>
        <w:t>The business disruption and financial harm resulting from the COVID-19 pandemic experienced by some of our portfolio companies may reduce, over time, the amount of interest and dividend income that we receive from such investments and may require us to provide an increase of capital to such companies in the form of follow on investments. In connection with the adverse effects of the COVID-19 pandemic, we may also need to restructure the capitalization of some of our portfolio companies, which could result in reduced interest payments, an increase in the amount of PIK interest we receive or a permanent reduction in the value of our investments. If our net investment income decreases, the percentage of our cash flows dedicated to debt servicing and distribution payments to stockholders would subsequently increase. If such cash flows cannot be sustained, we may be required to reduce the amount of our future distributions to stockholders. As of June 30, 2022, we had two portfolio companies on non-accrual status, and the continuing impact of the COVID-19 pandemic, or any worsening thereof, may result in additional portfolio investments being placed on non-accrual status in the future.</w:t>
      </w:r>
    </w:p>
    <w:p>
      <w:pPr>
        <w:spacing w:after="0" w:line="181" w:lineRule="exact"/>
        <w:rPr>
          <w:sz w:val="20"/>
          <w:szCs w:val="20"/>
          <w:color w:val="auto"/>
        </w:rPr>
      </w:pPr>
    </w:p>
    <w:p>
      <w:pPr>
        <w:jc w:val="both"/>
        <w:ind w:firstLine="449"/>
        <w:spacing w:after="0" w:line="249" w:lineRule="auto"/>
        <w:rPr>
          <w:sz w:val="20"/>
          <w:szCs w:val="20"/>
          <w:color w:val="auto"/>
        </w:rPr>
      </w:pPr>
      <w:r>
        <w:rPr>
          <w:rFonts w:ascii="Arial" w:cs="Arial" w:eastAsia="Arial" w:hAnsi="Arial"/>
          <w:sz w:val="14"/>
          <w:szCs w:val="14"/>
          <w:color w:val="auto"/>
        </w:rPr>
        <w:t>Additionally, as of June 30, 2022 and September 30, 2021, our asset coverage ratio, as computed in accordance with the 1940 Act, was 166% and 175%, respectively. Our Credit Facility includes standard covenants and events of default provisions. If we fail to make the required payments or breach the covenants therein, it could result in a default under the Credit Facility. Failure to cure such default or obtain a waiver from the appropriate party would result in an event of default, and the lenders may accelerate the repayment of our indebtedness under the Credit Facility, such that all amounts owed are due immediately at the time of default. Such an action would negatively affect our liquidity, business, financial condition, results of operations, cash flows and ability to pay distributions to our stockholders.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40" w:name="page41"/>
    <w:bookmarkEnd w:id="40"/>
    <w:p>
      <w:pPr>
        <w:jc w:val="both"/>
        <w:ind w:firstLine="449"/>
        <w:spacing w:after="0" w:line="228" w:lineRule="auto"/>
        <w:rPr>
          <w:sz w:val="20"/>
          <w:szCs w:val="20"/>
          <w:color w:val="auto"/>
        </w:rPr>
      </w:pPr>
      <w:r>
        <w:rPr>
          <w:rFonts w:ascii="Arial" w:cs="Arial" w:eastAsia="Arial" w:hAnsi="Arial"/>
          <w:sz w:val="14"/>
          <w:szCs w:val="14"/>
          <w:color w:val="auto"/>
        </w:rPr>
        <w:t>We are also subject to financial risks, including changes in market interest rates. As of June 30, 2022, our debt portfolio consisted of 99.9% variable-rate investments. The variable-rate loans are usually based on a floating interest rate index such as LIBOR and typically have durations of three months after which they reset to current market interest rates. Variable-rate investments subject to a floor generally reset by reference to the current market index after one to nine months only if the index exceeds the floor. In addition, the Credit Facility currently bears interest at LIBOR (or an alternative risk-free floating interest rate index) plus 225 basis points and, after the revolving period ends in August 2024, the rate will reset to Base Rate (or an alternative risk-free floating interest rate index) plus 250 basis points. Due to such rates, our gross investment income has decreased, which could result in a decrease in our net investment income if such decreases in LIBOR are not offset by, among other things, a corresponding increase in the spread over LIBOR that we earn on such loans or a decrease in the interest rate of our floating interest rate liabilities tied to LIBOR. See “Item 3. Quantitative and Qualitative Disclosures About Market Risk” below.</w:t>
      </w:r>
    </w:p>
    <w:p>
      <w:pPr>
        <w:spacing w:after="0" w:line="171"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4"/>
          <w:szCs w:val="14"/>
          <w:color w:val="auto"/>
        </w:rPr>
        <w:t>In addition, we have continued to implement our business continuity planning strategy. Our priority has been to safeguard the health of our employees and to ensure continuity of business operations on behalf of our investors. We implemented a heightened level of communication across senior management, our investment team and our board of directors, and we have proactively engaged with our vendors on a regular basis to ensure they continue to meet our criteria for business continuity.</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LIBOR Developments</w:t>
      </w:r>
    </w:p>
    <w:p>
      <w:pPr>
        <w:spacing w:after="0" w:line="204"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3"/>
          <w:szCs w:val="13"/>
          <w:color w:val="auto"/>
        </w:rPr>
        <w:t>In July 2017, the head of the United Kingdom Financial Conduct Authority announced the desire to phase out the use of LIBOR by the end of 2021. As of December 31, 2021, all non-U.S. dollar LIBOR publications have been phased out. The phase out of a majority of the U.S. dollar publications is currently delayed until June 30, 2023. The Alternative Reference Rates Committee, a steering committee comprised of large U.S. financial institutions, has identified the Secured Overnight Financing Rate (“SOFR”) as its preferred alternative rate for LIBOR. SOFR is a measure of the cost of borrowing cash overnight, collateralized by the U.S. Treasury securities, and is based on directly observable U.S. Treasury-backed repurchase transactions. Although SOFR appears to be the preferred replacement rate for U.S. dollar LIBOR, it is not possible at this time to predict the effect of any such changes, any establishment of alternative reference rates, whether the COVID-19 pandemic will have further effect on LIBOR transition timelines, or other reforms to LIBOR that may be enacted.</w:t>
      </w:r>
    </w:p>
    <w:p>
      <w:pPr>
        <w:spacing w:after="0" w:line="153" w:lineRule="exact"/>
        <w:rPr>
          <w:sz w:val="20"/>
          <w:szCs w:val="20"/>
          <w:color w:val="auto"/>
        </w:rPr>
      </w:pPr>
    </w:p>
    <w:p>
      <w:pPr>
        <w:jc w:val="both"/>
        <w:ind w:firstLine="509"/>
        <w:spacing w:after="0" w:line="231" w:lineRule="auto"/>
        <w:rPr>
          <w:sz w:val="20"/>
          <w:szCs w:val="20"/>
          <w:color w:val="auto"/>
        </w:rPr>
      </w:pPr>
      <w:r>
        <w:rPr>
          <w:rFonts w:ascii="Arial" w:cs="Arial" w:eastAsia="Arial" w:hAnsi="Arial"/>
          <w:sz w:val="14"/>
          <w:szCs w:val="14"/>
          <w:color w:val="auto"/>
        </w:rPr>
        <w:t>The effect of the establishment of alternative reference rates or other reforms to LIBOR or other reference rates is complex and could have a material adverse effect on our business, financial condition and results of operations. Given the inherent differences between LIBOR and SOFR, or any other alternative benchmark rate that may be established, there are continuing uncertainties regarding the transition from LIBOR, including, but not limited to, the need to amend all contracts with LIBOR as the referenced rate and how this will impact the cost of variable rate debt and certain derivative financial instruments. In addition, SOFR or other replacement rates may fail to gain market acceptance. Any failure of SOFR or alternative reference rates to gain market acceptance could adversely affect the return on, value of and market for securities linked to such rates.</w:t>
      </w:r>
    </w:p>
    <w:p>
      <w:pPr>
        <w:spacing w:after="0" w:line="170"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4"/>
          <w:szCs w:val="14"/>
          <w:color w:val="auto"/>
        </w:rPr>
        <w:t>Factors such as the pace of the transition to replacement or reformed rates, the specific terms and parameters for and market acceptance of any alternative reference rate, prices of and the liquidity of trading markets for products based on alternative reference rates, and our ability to transition and develop appropriate systems and analytics for one or more alternative reference rates could also have a material adverse effect on our business, financial condition and results of operations.</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At-the-Market Offering</w:t>
      </w:r>
    </w:p>
    <w:p>
      <w:pPr>
        <w:spacing w:after="0" w:line="163" w:lineRule="exact"/>
        <w:rPr>
          <w:sz w:val="20"/>
          <w:szCs w:val="20"/>
          <w:color w:val="auto"/>
        </w:rPr>
      </w:pPr>
    </w:p>
    <w:p>
      <w:pPr>
        <w:jc w:val="both"/>
        <w:ind w:firstLine="524"/>
        <w:spacing w:after="0" w:line="251" w:lineRule="auto"/>
        <w:rPr>
          <w:sz w:val="20"/>
          <w:szCs w:val="20"/>
          <w:color w:val="auto"/>
        </w:rPr>
      </w:pPr>
      <w:r>
        <w:rPr>
          <w:rFonts w:ascii="Arial" w:cs="Arial" w:eastAsia="Arial" w:hAnsi="Arial"/>
          <w:sz w:val="13"/>
          <w:szCs w:val="13"/>
          <w:color w:val="auto"/>
        </w:rPr>
        <w:t>On August 20, 2021, the Company entered into Equity Distribution Agreements with each of JMP Securities LLC and Raymond James &amp; Associates, Inc., as the sales agents (each, a “Sales Agent,” and together, the “Sales Agents”), in connection with the sale of shares of the Company’s Common Stock, par value $0.001 per share, with an aggregate offering price of up to $75 million. On May 5, 2022, we amended the Equity Distribution Agreements to update references from NASDAQ to NYSE and reflect that the agents are now represented by Kirkland &amp; Ellis LLP. The Equity Distribution Agreements provide that the Company may offer and sell shares of the Common Stock from time to time through a Sales Agent in amounts and at times to be determined by the Company. Actual sales will depend on a variety of factors to be determined by the Company from time to time, including, market conditions and the trading price of the Common Stock.</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Revenues</w:t>
      </w:r>
    </w:p>
    <w:p>
      <w:pPr>
        <w:spacing w:after="0" w:line="204" w:lineRule="exact"/>
        <w:rPr>
          <w:sz w:val="20"/>
          <w:szCs w:val="20"/>
          <w:color w:val="auto"/>
        </w:rPr>
      </w:pPr>
    </w:p>
    <w:p>
      <w:pPr>
        <w:jc w:val="both"/>
        <w:ind w:firstLine="449"/>
        <w:spacing w:after="0" w:line="266" w:lineRule="auto"/>
        <w:rPr>
          <w:sz w:val="20"/>
          <w:szCs w:val="20"/>
          <w:color w:val="auto"/>
        </w:rPr>
      </w:pPr>
      <w:r>
        <w:rPr>
          <w:rFonts w:ascii="Arial" w:cs="Arial" w:eastAsia="Arial" w:hAnsi="Arial"/>
          <w:sz w:val="13"/>
          <w:szCs w:val="13"/>
          <w:color w:val="auto"/>
        </w:rPr>
        <w:t>We generate revenue in the form of interest income on the debt securities we hold and capital gains and dividends, if any, on investment securities that we may acquire in portfolio companies. Our debt investments, whether in the form of first lien secured debt, second lien secured debt or subordinated debt, typically have a term of three to ten years and bear interest at a floating or fixed rate. Interest on debt securities is generally payable quarterly or semiannually. In some cases, our investments provide for deferred interest payments or PIK interest. The principal amount of the debt securities and any accrued but unpaid interest generally becomes due at the maturity date. In addition, we may generate revenue in the form of amendment, commitment, origination, structuring or diligence fees, fees for providing significant managerial assistance and possibly consulting fees. Loan origination fees, OID and market discount or premium are capitalized and accreted or amortized using the effective interest method as interest income or, in the case of deferred financing costs, as interest expense.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 Litigation settlements are accounted for in accordance with the gain contingency provisions of ASC Subtopic 450-30, Gain Contingencies, or ASC 450-30.</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Expenses</w:t>
      </w:r>
    </w:p>
    <w:p>
      <w:pPr>
        <w:spacing w:after="0" w:line="204" w:lineRule="exact"/>
        <w:rPr>
          <w:sz w:val="20"/>
          <w:szCs w:val="20"/>
          <w:color w:val="auto"/>
        </w:rPr>
      </w:pPr>
    </w:p>
    <w:p>
      <w:pPr>
        <w:jc w:val="both"/>
        <w:ind w:firstLine="449"/>
        <w:spacing w:after="0" w:line="252" w:lineRule="auto"/>
        <w:rPr>
          <w:sz w:val="20"/>
          <w:szCs w:val="20"/>
          <w:color w:val="auto"/>
        </w:rPr>
      </w:pPr>
      <w:r>
        <w:rPr>
          <w:rFonts w:ascii="Arial" w:cs="Arial" w:eastAsia="Arial" w:hAnsi="Arial"/>
          <w:sz w:val="14"/>
          <w:szCs w:val="14"/>
          <w:color w:val="auto"/>
        </w:rPr>
        <w:t>Our primary operating expenses include the payment of a management fee and the payment of an incentive fee to our Investment Adviser, if any, our allocable portion of overhead under our Administration Agreement and other operating costs as detailed below. Our management fee compensates our Investment Adviser for its work in identifying, evaluating, negotiating, consummating and monitoring our investments. Additionally, we pay interest expense on the outstanding debt and unused commitment fees on undrawn amounts under our various debt facilities. We bear all other direct or indirect costs and expenses of our operations and transactions, including:</w:t>
      </w:r>
    </w:p>
    <w:p>
      <w:pPr>
        <w:spacing w:after="0" w:line="174" w:lineRule="exact"/>
        <w:rPr>
          <w:sz w:val="20"/>
          <w:szCs w:val="20"/>
          <w:color w:val="auto"/>
        </w:rPr>
      </w:pPr>
    </w:p>
    <w:p>
      <w:pPr>
        <w:ind w:left="840" w:hanging="383"/>
        <w:spacing w:after="0"/>
        <w:tabs>
          <w:tab w:leader="none" w:pos="8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cost of calculating our NAV, including the cost of any third-party valuation services;</w:t>
      </w:r>
    </w:p>
    <w:p>
      <w:pPr>
        <w:spacing w:after="0" w:line="203" w:lineRule="exact"/>
        <w:rPr>
          <w:rFonts w:ascii="Arial" w:cs="Arial" w:eastAsia="Arial" w:hAnsi="Arial"/>
          <w:sz w:val="14"/>
          <w:szCs w:val="14"/>
          <w:color w:val="auto"/>
        </w:rPr>
      </w:pPr>
    </w:p>
    <w:p>
      <w:pPr>
        <w:ind w:left="840" w:hanging="383"/>
        <w:spacing w:after="0"/>
        <w:tabs>
          <w:tab w:leader="none" w:pos="8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cost of effecting sales and repurchases of shares of our common stock and other securities;</w:t>
      </w:r>
    </w:p>
    <w:p>
      <w:pPr>
        <w:spacing w:after="0" w:line="203" w:lineRule="exact"/>
        <w:rPr>
          <w:rFonts w:ascii="Arial" w:cs="Arial" w:eastAsia="Arial" w:hAnsi="Arial"/>
          <w:sz w:val="14"/>
          <w:szCs w:val="14"/>
          <w:color w:val="auto"/>
        </w:rPr>
      </w:pPr>
    </w:p>
    <w:p>
      <w:pPr>
        <w:ind w:left="840" w:right="180" w:hanging="383"/>
        <w:spacing w:after="0" w:line="273" w:lineRule="auto"/>
        <w:tabs>
          <w:tab w:leader="none" w:pos="8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fees payable to third parties relating to, or associated with, making investments, including fees and expenses associated with performing due diligence and reviews of prospective investments or complementary businesses;</w:t>
      </w:r>
    </w:p>
    <w:p>
      <w:pPr>
        <w:spacing w:after="0" w:line="160" w:lineRule="exact"/>
        <w:rPr>
          <w:rFonts w:ascii="Arial" w:cs="Arial" w:eastAsia="Arial" w:hAnsi="Arial"/>
          <w:sz w:val="14"/>
          <w:szCs w:val="14"/>
          <w:color w:val="auto"/>
        </w:rPr>
      </w:pPr>
    </w:p>
    <w:p>
      <w:pPr>
        <w:ind w:left="840" w:hanging="383"/>
        <w:spacing w:after="0"/>
        <w:tabs>
          <w:tab w:leader="none" w:pos="8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expenses incurred by the Investment Adviser in performing due diligence and reviews of investments;</w:t>
      </w:r>
    </w:p>
    <w:p>
      <w:pPr>
        <w:spacing w:after="0" w:line="203" w:lineRule="exact"/>
        <w:rPr>
          <w:rFonts w:ascii="Arial" w:cs="Arial" w:eastAsia="Arial" w:hAnsi="Arial"/>
          <w:sz w:val="14"/>
          <w:szCs w:val="14"/>
          <w:color w:val="auto"/>
        </w:rPr>
      </w:pPr>
    </w:p>
    <w:p>
      <w:pPr>
        <w:ind w:left="840" w:hanging="383"/>
        <w:spacing w:after="0"/>
        <w:tabs>
          <w:tab w:leader="none" w:pos="8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transfer agent and custodial fees;</w:t>
      </w:r>
    </w:p>
    <w:p>
      <w:pPr>
        <w:spacing w:after="0" w:line="203" w:lineRule="exact"/>
        <w:rPr>
          <w:rFonts w:ascii="Arial" w:cs="Arial" w:eastAsia="Arial" w:hAnsi="Arial"/>
          <w:sz w:val="14"/>
          <w:szCs w:val="14"/>
          <w:color w:val="auto"/>
        </w:rPr>
      </w:pPr>
    </w:p>
    <w:p>
      <w:pPr>
        <w:ind w:left="840" w:hanging="383"/>
        <w:spacing w:after="0"/>
        <w:tabs>
          <w:tab w:leader="none" w:pos="8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fees and expenses associated with marketing efforts;</w:t>
      </w:r>
    </w:p>
    <w:p>
      <w:pPr>
        <w:spacing w:after="0" w:line="203" w:lineRule="exact"/>
        <w:rPr>
          <w:rFonts w:ascii="Arial" w:cs="Arial" w:eastAsia="Arial" w:hAnsi="Arial"/>
          <w:sz w:val="14"/>
          <w:szCs w:val="14"/>
          <w:color w:val="auto"/>
        </w:rPr>
      </w:pPr>
    </w:p>
    <w:p>
      <w:pPr>
        <w:ind w:left="840" w:hanging="383"/>
        <w:spacing w:after="0"/>
        <w:tabs>
          <w:tab w:leader="none" w:pos="8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federal and state registration fees and any exchange listing fees;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41" w:name="page42"/>
    <w:bookmarkEnd w:id="41"/>
    <w:p>
      <w:pPr>
        <w:ind w:left="840" w:hanging="383"/>
        <w:spacing w:after="0"/>
        <w:tabs>
          <w:tab w:leader="none" w:pos="8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federal, state, local and foreign taxes;</w:t>
      </w:r>
    </w:p>
    <w:p>
      <w:pPr>
        <w:spacing w:after="0" w:line="203" w:lineRule="exact"/>
        <w:rPr>
          <w:rFonts w:ascii="Arial" w:cs="Arial" w:eastAsia="Arial" w:hAnsi="Arial"/>
          <w:sz w:val="14"/>
          <w:szCs w:val="14"/>
          <w:color w:val="auto"/>
        </w:rPr>
      </w:pPr>
    </w:p>
    <w:p>
      <w:pPr>
        <w:ind w:left="840" w:hanging="383"/>
        <w:spacing w:after="0"/>
        <w:tabs>
          <w:tab w:leader="none" w:pos="8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independent directors’ fees and expenses;</w:t>
      </w:r>
    </w:p>
    <w:p>
      <w:pPr>
        <w:spacing w:after="0" w:line="203" w:lineRule="exact"/>
        <w:rPr>
          <w:rFonts w:ascii="Arial" w:cs="Arial" w:eastAsia="Arial" w:hAnsi="Arial"/>
          <w:sz w:val="14"/>
          <w:szCs w:val="14"/>
          <w:color w:val="auto"/>
        </w:rPr>
      </w:pPr>
    </w:p>
    <w:p>
      <w:pPr>
        <w:ind w:left="840" w:hanging="383"/>
        <w:spacing w:after="0"/>
        <w:tabs>
          <w:tab w:leader="none" w:pos="8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brokerage commissions;</w:t>
      </w:r>
    </w:p>
    <w:p>
      <w:pPr>
        <w:spacing w:after="0" w:line="203" w:lineRule="exact"/>
        <w:rPr>
          <w:rFonts w:ascii="Arial" w:cs="Arial" w:eastAsia="Arial" w:hAnsi="Arial"/>
          <w:sz w:val="14"/>
          <w:szCs w:val="14"/>
          <w:color w:val="auto"/>
        </w:rPr>
      </w:pPr>
    </w:p>
    <w:p>
      <w:pPr>
        <w:ind w:left="840" w:hanging="383"/>
        <w:spacing w:after="0"/>
        <w:tabs>
          <w:tab w:leader="none" w:pos="8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fidelity bond, directors and officers, errors and omissions liability insurance and other insurance premiums;</w:t>
      </w:r>
    </w:p>
    <w:p>
      <w:pPr>
        <w:spacing w:after="0" w:line="203" w:lineRule="exact"/>
        <w:rPr>
          <w:rFonts w:ascii="Arial" w:cs="Arial" w:eastAsia="Arial" w:hAnsi="Arial"/>
          <w:sz w:val="14"/>
          <w:szCs w:val="14"/>
          <w:color w:val="auto"/>
        </w:rPr>
      </w:pPr>
    </w:p>
    <w:p>
      <w:pPr>
        <w:ind w:left="840" w:hanging="383"/>
        <w:spacing w:after="0"/>
        <w:tabs>
          <w:tab w:leader="none" w:pos="8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direct costs such as printing, mailing, long distance telephone and staff;</w:t>
      </w:r>
    </w:p>
    <w:p>
      <w:pPr>
        <w:spacing w:after="0" w:line="203" w:lineRule="exact"/>
        <w:rPr>
          <w:rFonts w:ascii="Arial" w:cs="Arial" w:eastAsia="Arial" w:hAnsi="Arial"/>
          <w:sz w:val="14"/>
          <w:szCs w:val="14"/>
          <w:color w:val="auto"/>
        </w:rPr>
      </w:pPr>
    </w:p>
    <w:p>
      <w:pPr>
        <w:ind w:left="840" w:hanging="383"/>
        <w:spacing w:after="0"/>
        <w:tabs>
          <w:tab w:leader="none" w:pos="8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fees and expenses associated with independent audits and outside legal costs;</w:t>
      </w:r>
    </w:p>
    <w:p>
      <w:pPr>
        <w:spacing w:after="0" w:line="203" w:lineRule="exact"/>
        <w:rPr>
          <w:rFonts w:ascii="Arial" w:cs="Arial" w:eastAsia="Arial" w:hAnsi="Arial"/>
          <w:sz w:val="14"/>
          <w:szCs w:val="14"/>
          <w:color w:val="auto"/>
        </w:rPr>
      </w:pPr>
    </w:p>
    <w:p>
      <w:pPr>
        <w:ind w:left="840" w:hanging="383"/>
        <w:spacing w:after="0"/>
        <w:tabs>
          <w:tab w:leader="none" w:pos="8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costs associated with our reporting and compliance obligations under the 1940 Act and applicable federal and state securities laws; and</w:t>
      </w:r>
    </w:p>
    <w:p>
      <w:pPr>
        <w:spacing w:after="0" w:line="203" w:lineRule="exact"/>
        <w:rPr>
          <w:rFonts w:ascii="Arial" w:cs="Arial" w:eastAsia="Arial" w:hAnsi="Arial"/>
          <w:sz w:val="14"/>
          <w:szCs w:val="14"/>
          <w:color w:val="auto"/>
        </w:rPr>
      </w:pPr>
    </w:p>
    <w:p>
      <w:pPr>
        <w:ind w:left="840" w:right="40" w:hanging="383"/>
        <w:spacing w:after="0" w:line="286" w:lineRule="auto"/>
        <w:tabs>
          <w:tab w:leader="none" w:pos="840" w:val="left"/>
        </w:tabs>
        <w:numPr>
          <w:ilvl w:val="0"/>
          <w:numId w:val="21"/>
        </w:numPr>
        <w:rPr>
          <w:rFonts w:ascii="Arial" w:cs="Arial" w:eastAsia="Arial" w:hAnsi="Arial"/>
          <w:sz w:val="13"/>
          <w:szCs w:val="13"/>
          <w:color w:val="auto"/>
        </w:rPr>
      </w:pPr>
      <w:r>
        <w:rPr>
          <w:rFonts w:ascii="Arial" w:cs="Arial" w:eastAsia="Arial" w:hAnsi="Arial"/>
          <w:sz w:val="13"/>
          <w:szCs w:val="13"/>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Corporate Counsel and their respective staffs.</w:t>
      </w:r>
    </w:p>
    <w:p>
      <w:pPr>
        <w:spacing w:after="0" w:line="154" w:lineRule="exact"/>
        <w:rPr>
          <w:sz w:val="20"/>
          <w:szCs w:val="20"/>
          <w:color w:val="auto"/>
        </w:rPr>
      </w:pPr>
    </w:p>
    <w:p>
      <w:pPr>
        <w:jc w:val="both"/>
        <w:ind w:right="20" w:firstLine="449"/>
        <w:spacing w:after="0" w:line="273" w:lineRule="auto"/>
        <w:rPr>
          <w:sz w:val="20"/>
          <w:szCs w:val="20"/>
          <w:color w:val="auto"/>
        </w:rPr>
      </w:pPr>
      <w:r>
        <w:rPr>
          <w:rFonts w:ascii="Arial" w:cs="Arial" w:eastAsia="Arial" w:hAnsi="Arial"/>
          <w:sz w:val="14"/>
          <w:szCs w:val="14"/>
          <w:color w:val="auto"/>
        </w:rPr>
        <w:t>Generally, during periods of asset growth, we expect our general and administrative expenses to be relatively stable or to decline as a percentage of total assets and increase during periods of asset declines. Incentive fees, interest expense and costs relating to future offerings of securities would be additive to the expenses described above.</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PORTFOLIO AND INVESTMENT ACTIVITY</w:t>
      </w:r>
    </w:p>
    <w:p>
      <w:pPr>
        <w:spacing w:after="0" w:line="154" w:lineRule="exact"/>
        <w:rPr>
          <w:sz w:val="20"/>
          <w:szCs w:val="20"/>
          <w:color w:val="auto"/>
        </w:rPr>
      </w:pPr>
    </w:p>
    <w:p>
      <w:pPr>
        <w:jc w:val="both"/>
        <w:ind w:firstLine="449"/>
        <w:spacing w:after="0" w:line="247" w:lineRule="auto"/>
        <w:rPr>
          <w:sz w:val="20"/>
          <w:szCs w:val="20"/>
          <w:color w:val="auto"/>
        </w:rPr>
      </w:pPr>
      <w:r>
        <w:rPr>
          <w:rFonts w:ascii="Arial" w:cs="Arial" w:eastAsia="Arial" w:hAnsi="Arial"/>
          <w:sz w:val="14"/>
          <w:szCs w:val="14"/>
          <w:color w:val="auto"/>
        </w:rPr>
        <w:t>As of June 30, 2022, our portfolio totaled $1,226.4 million, and consisted of $1,062.4 million of first lien secured debt (including $190.2 million in PSSL), $0.7 million of second lien secured debt and $163.4 million of preferred and common equity (including $58.8 million in PSSL). Our debt portfolio consisted of 100.0% variable-rate investments. As of June 30, 2022, we had two portfolio companies on non-accrual, representing 0.9% and 0.1% of our overall portfolio on a cost and fair value basis, respectively. Overall, the portfolio had net unrealized appreciation of $7.7 million. Our overall portfolio consisted of 123 companies with an average investment size of $10.0 million, had a weighted average yield on debt investments of 8.5%, and was invested 87% in first lien secured debt (including 16% in PSSL), less than 1% in second lien secured debt and 13% in preferred and common equity (including 5% in PSSL). As of June 30, 2022, 100.0% of the investments held by PSSL were first lien secured debt.</w:t>
      </w:r>
    </w:p>
    <w:p>
      <w:pPr>
        <w:spacing w:after="0" w:line="113" w:lineRule="exact"/>
        <w:rPr>
          <w:sz w:val="20"/>
          <w:szCs w:val="20"/>
          <w:color w:val="auto"/>
        </w:rPr>
      </w:pPr>
    </w:p>
    <w:p>
      <w:pPr>
        <w:jc w:val="both"/>
        <w:ind w:firstLine="449"/>
        <w:spacing w:after="0" w:line="247" w:lineRule="auto"/>
        <w:rPr>
          <w:sz w:val="20"/>
          <w:szCs w:val="20"/>
          <w:color w:val="auto"/>
        </w:rPr>
      </w:pPr>
      <w:r>
        <w:rPr>
          <w:rFonts w:ascii="Arial" w:cs="Arial" w:eastAsia="Arial" w:hAnsi="Arial"/>
          <w:sz w:val="14"/>
          <w:szCs w:val="14"/>
          <w:color w:val="auto"/>
        </w:rPr>
        <w:t>As of September 30, 2021, our portfolio totaled $1,081.6 million, and consisted of $934.4 million of first lien secured debt (including $140.9 million in PSSL), $8.9 million of second lien secured debt and $138.3 million of preferred and common equity (including $44.9 million in PSSL). Our debt portfolio consisted of 99% variable-rate investments. As of September 30, 2021, we had two portfolio companies on non-accrual, representing 2.7% and 2.6% of our overall portfolio on a cost and fair value basis, respectively. Overall, the portfolio had net unrealized appreciation of $11.0 million. Our overall portfolio consisted of 110 companies with an average investment size of $9.8 million, had a weighted average yield on debt investments of 7.4%, and was invested 86% in first lien secured debt (including 13% in PSSL), 1% in second lien secured debt and 13% in preferred and common equity (including 4% in PSSL). As of September 30, 2021, 99% of the investments held by PSSL were first lien secured debt.</w:t>
      </w:r>
    </w:p>
    <w:p>
      <w:pPr>
        <w:spacing w:after="0" w:line="180" w:lineRule="exact"/>
        <w:rPr>
          <w:sz w:val="20"/>
          <w:szCs w:val="20"/>
          <w:color w:val="auto"/>
        </w:rPr>
      </w:pPr>
    </w:p>
    <w:p>
      <w:pPr>
        <w:jc w:val="both"/>
        <w:ind w:firstLine="449"/>
        <w:spacing w:after="0" w:line="286" w:lineRule="auto"/>
        <w:rPr>
          <w:sz w:val="20"/>
          <w:szCs w:val="20"/>
          <w:color w:val="auto"/>
        </w:rPr>
      </w:pPr>
      <w:r>
        <w:rPr>
          <w:rFonts w:ascii="Arial" w:cs="Arial" w:eastAsia="Arial" w:hAnsi="Arial"/>
          <w:sz w:val="13"/>
          <w:szCs w:val="13"/>
          <w:color w:val="auto"/>
        </w:rPr>
        <w:t>For the three months ended June 30, 2022, we invested $104.8 million in six new and 39 existing portfolio companies with a weighted average yield on debt investments of 8.1 %. Sales and repayments of investments for the three months ended June 30, 2022 totaled $55.0 million. For the nine months ended June 30, 2022, we invested $553.1 million in 29 new and 104 existing portfolio companies with a weighted average yield on debt investments of 7.7%. Sales and repayments of investments for the nine months ended June 30, 2022 totaled $397.2 million.</w:t>
      </w:r>
    </w:p>
    <w:p>
      <w:pPr>
        <w:spacing w:after="0" w:line="154" w:lineRule="exact"/>
        <w:rPr>
          <w:sz w:val="20"/>
          <w:szCs w:val="20"/>
          <w:color w:val="auto"/>
        </w:rPr>
      </w:pPr>
    </w:p>
    <w:p>
      <w:pPr>
        <w:jc w:val="both"/>
        <w:ind w:firstLine="449"/>
        <w:spacing w:after="0" w:line="286" w:lineRule="auto"/>
        <w:rPr>
          <w:sz w:val="20"/>
          <w:szCs w:val="20"/>
          <w:color w:val="auto"/>
        </w:rPr>
      </w:pPr>
      <w:r>
        <w:rPr>
          <w:rFonts w:ascii="Arial" w:cs="Arial" w:eastAsia="Arial" w:hAnsi="Arial"/>
          <w:sz w:val="13"/>
          <w:szCs w:val="13"/>
          <w:color w:val="auto"/>
        </w:rPr>
        <w:t>For the three months ended June 30, 2021, we invested $248.3 million in 10 new and 16 existing portfolio companies with a weighted average yield on debt investments of 7.5%. Sales and repayments of investments for the three months ended June 30, 2021 totaled $283.3 million. For the nine months ended June 30, 2021, we invested $475.5 million in 19 new and 50 existing portfolio companies with a weighted average yield on debt investments of 7.5%. Sales and repayments of investments for the nine months ended June 30, 2021 totaled $565 million.</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PennantPark Senior Secured Loan Fund I LLC</w:t>
      </w:r>
    </w:p>
    <w:p>
      <w:pPr>
        <w:spacing w:after="0" w:line="208" w:lineRule="exact"/>
        <w:rPr>
          <w:sz w:val="20"/>
          <w:szCs w:val="20"/>
          <w:color w:val="auto"/>
        </w:rPr>
      </w:pPr>
    </w:p>
    <w:p>
      <w:pPr>
        <w:jc w:val="both"/>
        <w:ind w:firstLine="449"/>
        <w:spacing w:after="0" w:line="257" w:lineRule="auto"/>
        <w:rPr>
          <w:sz w:val="20"/>
          <w:szCs w:val="20"/>
          <w:color w:val="auto"/>
        </w:rPr>
      </w:pPr>
      <w:r>
        <w:rPr>
          <w:rFonts w:ascii="Arial" w:cs="Arial" w:eastAsia="Arial" w:hAnsi="Arial"/>
          <w:sz w:val="14"/>
          <w:szCs w:val="14"/>
          <w:color w:val="auto"/>
        </w:rPr>
        <w:t>As of June 30, 2022, PSSL’s portfolio totaled $746.8 million and consisted of 89 companies with an average investment size of $8.4 million and had a weighted average yield on debt investments of 8.2%. As of September 30, 2021, PSSL’s portfolio totaled $564.8 million and consisted of 74 companies with an average investment size of $7.6 million and had a weighted average yield on debt investments of 7.1%.</w:t>
      </w:r>
    </w:p>
    <w:p>
      <w:pPr>
        <w:spacing w:after="0" w:line="171" w:lineRule="exact"/>
        <w:rPr>
          <w:sz w:val="20"/>
          <w:szCs w:val="20"/>
          <w:color w:val="auto"/>
        </w:rPr>
      </w:pPr>
    </w:p>
    <w:p>
      <w:pPr>
        <w:jc w:val="both"/>
        <w:ind w:firstLine="449"/>
        <w:spacing w:after="0" w:line="252" w:lineRule="auto"/>
        <w:rPr>
          <w:sz w:val="20"/>
          <w:szCs w:val="20"/>
          <w:color w:val="auto"/>
        </w:rPr>
      </w:pPr>
      <w:r>
        <w:rPr>
          <w:rFonts w:ascii="Arial" w:cs="Arial" w:eastAsia="Arial" w:hAnsi="Arial"/>
          <w:sz w:val="14"/>
          <w:szCs w:val="14"/>
          <w:color w:val="auto"/>
        </w:rPr>
        <w:t>For the three months ended June 30, 2022, PSSL invested $31.5 million (including $16.8 million purchased from the Company) in four new and seven existing portfolio companies with a weighted average yield on debt investments of 8.8%. Sales and repayments of investments for the three months ended June 30, 2022 totaled $13.5 million. For the nine months ended June 30, 2022, PSSL invested $228.6 million (including $225.2 million purchased from the Company) in 25 new and 15 existing portfolio companies with a weighted average yield on debt investments of 7.9%. Sales and repayments of investments for the nine months ended June 30, 2022 totaled $69.2 million.</w:t>
      </w:r>
    </w:p>
    <w:p>
      <w:pPr>
        <w:spacing w:after="0" w:line="174" w:lineRule="exact"/>
        <w:rPr>
          <w:sz w:val="20"/>
          <w:szCs w:val="20"/>
          <w:color w:val="auto"/>
        </w:rPr>
      </w:pPr>
    </w:p>
    <w:p>
      <w:pPr>
        <w:jc w:val="both"/>
        <w:ind w:firstLine="449"/>
        <w:spacing w:after="0" w:line="252" w:lineRule="auto"/>
        <w:rPr>
          <w:sz w:val="20"/>
          <w:szCs w:val="20"/>
          <w:color w:val="auto"/>
        </w:rPr>
      </w:pPr>
      <w:r>
        <w:rPr>
          <w:rFonts w:ascii="Arial" w:cs="Arial" w:eastAsia="Arial" w:hAnsi="Arial"/>
          <w:sz w:val="14"/>
          <w:szCs w:val="14"/>
          <w:color w:val="auto"/>
        </w:rPr>
        <w:t>For the three months ended June 30, 2021, PSSL invested $133.7 million (including $98.9 million purchased from the Company) in six new and 15 existing portfolio companies with a weighted average yield on debt investments of 7.0%. Sales and repayments of investments for the three months ended June 30, 2021 totaled $88.8 million. For the nine months ended June 30, 2021, PSSL invested $277.8 million (including $224.1 million purchased from the Company) in 30 new and 26 existing portfolio companies with a weighted average yield on debt investments of 7.2%. Sales and repayments of investments for the nine months ended June 30, 2021 totaled $163.1 million.</w:t>
      </w:r>
    </w:p>
    <w:p>
      <w:pPr>
        <w:spacing w:after="0" w:line="3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POLICIES AND ESTIMATES</w:t>
      </w:r>
    </w:p>
    <w:p>
      <w:pPr>
        <w:spacing w:after="0" w:line="208" w:lineRule="exact"/>
        <w:rPr>
          <w:sz w:val="20"/>
          <w:szCs w:val="20"/>
          <w:color w:val="auto"/>
        </w:rPr>
      </w:pPr>
    </w:p>
    <w:p>
      <w:pPr>
        <w:jc w:val="both"/>
        <w:ind w:firstLine="449"/>
        <w:spacing w:after="0" w:line="243" w:lineRule="auto"/>
        <w:rPr>
          <w:sz w:val="20"/>
          <w:szCs w:val="20"/>
          <w:color w:val="auto"/>
        </w:rPr>
      </w:pPr>
      <w:r>
        <w:rPr>
          <w:rFonts w:ascii="Arial" w:cs="Arial" w:eastAsia="Arial" w:hAnsi="Arial"/>
          <w:sz w:val="14"/>
          <w:szCs w:val="14"/>
          <w:color w:val="auto"/>
        </w:rPr>
        <w:t>The preparation of our Consolidated Financial Statements in conformity with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Actual results could differ from these estimates due to changes in the economic and regulatory environment, financial markets and any other parameters used in determining such estimates and assumptions. We may reclassify certain prior period amounts to conform to the current period presentation. We have eliminated all intercompany balances and transactions. References to ASC serve as a single source of accounting literature. Subsequent events are evaluated and disclosed as appropriate for events occurring through the date the Consolidated Financial Statements are issued. In addition to the discussion below, we describe our critical accounting policies in the notes to our Consolidated Financial Statements. We discuss our critical accounting estimates in Management’s Discussion and Analysis of Financial Condition and Results of Operations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42" w:name="page43"/>
    <w:bookmarkEnd w:id="42"/>
    <w:p>
      <w:pPr>
        <w:jc w:val="both"/>
        <w:spacing w:after="0" w:line="273" w:lineRule="auto"/>
        <w:rPr>
          <w:sz w:val="20"/>
          <w:szCs w:val="20"/>
          <w:color w:val="auto"/>
        </w:rPr>
      </w:pPr>
      <w:r>
        <w:rPr>
          <w:rFonts w:ascii="Arial" w:cs="Arial" w:eastAsia="Arial" w:hAnsi="Arial"/>
          <w:sz w:val="14"/>
          <w:szCs w:val="14"/>
          <w:color w:val="auto"/>
        </w:rPr>
        <w:t>in our 2021 Annual Report on Form 10-K. There have been no significant changes in our critical accounting estimates during the three months from those disclosed in our 2021 Annual Report on Form 10-K.</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 Valuations</w:t>
      </w:r>
    </w:p>
    <w:p>
      <w:pPr>
        <w:spacing w:after="0" w:line="204" w:lineRule="exact"/>
        <w:rPr>
          <w:sz w:val="20"/>
          <w:szCs w:val="20"/>
          <w:color w:val="auto"/>
        </w:rPr>
      </w:pPr>
    </w:p>
    <w:p>
      <w:pPr>
        <w:jc w:val="both"/>
        <w:ind w:firstLine="449"/>
        <w:spacing w:after="0" w:line="268" w:lineRule="auto"/>
        <w:rPr>
          <w:sz w:val="20"/>
          <w:szCs w:val="20"/>
          <w:color w:val="auto"/>
        </w:rPr>
      </w:pPr>
      <w:r>
        <w:rPr>
          <w:rFonts w:ascii="Arial" w:cs="Arial" w:eastAsia="Arial" w:hAnsi="Arial"/>
          <w:sz w:val="13"/>
          <w:szCs w:val="13"/>
          <w:color w:val="auto"/>
        </w:rPr>
        <w:t>We expect that there may not be readily available market values for many of our investments which are or will be in our portfolio, and we value such investments at fair value as determined in good faith by or under the direction of our board of directors using a documented valuation policy and a consistently applied valuation process, as described in this Report.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w:t>
      </w:r>
    </w:p>
    <w:p>
      <w:pPr>
        <w:spacing w:after="0" w:line="168" w:lineRule="exact"/>
        <w:rPr>
          <w:sz w:val="20"/>
          <w:szCs w:val="20"/>
          <w:color w:val="auto"/>
        </w:rPr>
      </w:pPr>
    </w:p>
    <w:p>
      <w:pPr>
        <w:jc w:val="both"/>
        <w:ind w:right="20" w:firstLine="449"/>
        <w:spacing w:after="0" w:line="273" w:lineRule="auto"/>
        <w:rPr>
          <w:sz w:val="20"/>
          <w:szCs w:val="20"/>
          <w:color w:val="auto"/>
        </w:rPr>
      </w:pPr>
      <w:r>
        <w:rPr>
          <w:rFonts w:ascii="Arial" w:cs="Arial" w:eastAsia="Arial" w:hAnsi="Arial"/>
          <w:sz w:val="14"/>
          <w:szCs w:val="14"/>
          <w:color w:val="auto"/>
        </w:rPr>
        <w:t>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160" w:lineRule="exact"/>
        <w:rPr>
          <w:sz w:val="20"/>
          <w:szCs w:val="20"/>
          <w:color w:val="auto"/>
        </w:rPr>
      </w:pPr>
    </w:p>
    <w:p>
      <w:pPr>
        <w:ind w:left="840" w:right="20" w:hanging="383"/>
        <w:spacing w:after="0" w:line="273" w:lineRule="auto"/>
        <w:tabs>
          <w:tab w:leader="none" w:pos="8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Our quarterly valuation process begins with each portfolio company or investment being initially valued by the investment professionals of our Investment Adviser responsible for the portfolio investment;</w:t>
      </w:r>
    </w:p>
    <w:p>
      <w:pPr>
        <w:spacing w:after="0" w:line="160" w:lineRule="exact"/>
        <w:rPr>
          <w:rFonts w:ascii="Arial" w:cs="Arial" w:eastAsia="Arial" w:hAnsi="Arial"/>
          <w:sz w:val="14"/>
          <w:szCs w:val="14"/>
          <w:color w:val="auto"/>
        </w:rPr>
      </w:pPr>
    </w:p>
    <w:p>
      <w:pPr>
        <w:ind w:left="840" w:hanging="383"/>
        <w:spacing w:after="0"/>
        <w:tabs>
          <w:tab w:leader="none" w:pos="8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Preliminary valuation conclusions are then documented and discussed with the management of our Investment Adviser;</w:t>
      </w:r>
    </w:p>
    <w:p>
      <w:pPr>
        <w:spacing w:after="0" w:line="203" w:lineRule="exact"/>
        <w:rPr>
          <w:rFonts w:ascii="Arial" w:cs="Arial" w:eastAsia="Arial" w:hAnsi="Arial"/>
          <w:sz w:val="14"/>
          <w:szCs w:val="14"/>
          <w:color w:val="auto"/>
        </w:rPr>
      </w:pPr>
    </w:p>
    <w:p>
      <w:pPr>
        <w:jc w:val="both"/>
        <w:ind w:left="840" w:hanging="383"/>
        <w:spacing w:after="0" w:line="286" w:lineRule="auto"/>
        <w:tabs>
          <w:tab w:leader="none" w:pos="840" w:val="left"/>
        </w:tabs>
        <w:numPr>
          <w:ilvl w:val="0"/>
          <w:numId w:val="22"/>
        </w:numPr>
        <w:rPr>
          <w:rFonts w:ascii="Arial" w:cs="Arial" w:eastAsia="Arial" w:hAnsi="Arial"/>
          <w:sz w:val="13"/>
          <w:szCs w:val="13"/>
          <w:color w:val="auto"/>
        </w:rPr>
      </w:pPr>
      <w:r>
        <w:rPr>
          <w:rFonts w:ascii="Arial" w:cs="Arial" w:eastAsia="Arial" w:hAnsi="Arial"/>
          <w:sz w:val="13"/>
          <w:szCs w:val="13"/>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154" w:lineRule="exact"/>
        <w:rPr>
          <w:rFonts w:ascii="Arial" w:cs="Arial" w:eastAsia="Arial" w:hAnsi="Arial"/>
          <w:sz w:val="13"/>
          <w:szCs w:val="13"/>
          <w:color w:val="auto"/>
        </w:rPr>
      </w:pPr>
    </w:p>
    <w:p>
      <w:pPr>
        <w:jc w:val="both"/>
        <w:ind w:left="840" w:hanging="383"/>
        <w:spacing w:after="0" w:line="257" w:lineRule="auto"/>
        <w:tabs>
          <w:tab w:leader="none" w:pos="8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audit committee of our board of directors reviews the preliminary valuations of our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171" w:lineRule="exact"/>
        <w:rPr>
          <w:rFonts w:ascii="Arial" w:cs="Arial" w:eastAsia="Arial" w:hAnsi="Arial"/>
          <w:sz w:val="14"/>
          <w:szCs w:val="14"/>
          <w:color w:val="auto"/>
        </w:rPr>
      </w:pPr>
    </w:p>
    <w:p>
      <w:pPr>
        <w:ind w:left="840" w:hanging="383"/>
        <w:spacing w:after="0" w:line="273" w:lineRule="auto"/>
        <w:tabs>
          <w:tab w:leader="none" w:pos="8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60" w:lineRule="exact"/>
        <w:rPr>
          <w:sz w:val="20"/>
          <w:szCs w:val="20"/>
          <w:color w:val="auto"/>
        </w:rPr>
      </w:pPr>
    </w:p>
    <w:p>
      <w:pPr>
        <w:jc w:val="both"/>
        <w:ind w:firstLine="449"/>
        <w:spacing w:after="0" w:line="277" w:lineRule="auto"/>
        <w:rPr>
          <w:sz w:val="20"/>
          <w:szCs w:val="20"/>
          <w:color w:val="auto"/>
        </w:rPr>
      </w:pPr>
      <w:r>
        <w:rPr>
          <w:rFonts w:ascii="Arial" w:cs="Arial" w:eastAsia="Arial" w:hAnsi="Arial"/>
          <w:sz w:val="13"/>
          <w:szCs w:val="13"/>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brokers or dealers, if available, or otherwise from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60" w:lineRule="exact"/>
        <w:rPr>
          <w:sz w:val="20"/>
          <w:szCs w:val="20"/>
          <w:color w:val="auto"/>
        </w:rPr>
      </w:pPr>
    </w:p>
    <w:p>
      <w:pPr>
        <w:jc w:val="both"/>
        <w:ind w:firstLine="449"/>
        <w:spacing w:after="0" w:line="273" w:lineRule="auto"/>
        <w:rPr>
          <w:sz w:val="20"/>
          <w:szCs w:val="20"/>
          <w:color w:val="auto"/>
        </w:rPr>
      </w:pPr>
      <w:r>
        <w:rPr>
          <w:rFonts w:ascii="Arial" w:cs="Arial" w:eastAsia="Arial" w:hAnsi="Arial"/>
          <w:sz w:val="13"/>
          <w:szCs w:val="13"/>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ASC 820 classifies the inputs used to measure these fair values into the following hierarchies:</w:t>
      </w:r>
    </w:p>
    <w:p>
      <w:pPr>
        <w:spacing w:after="0" w:line="204" w:lineRule="exact"/>
        <w:rPr>
          <w:sz w:val="20"/>
          <w:szCs w:val="20"/>
          <w:color w:val="auto"/>
        </w:rPr>
      </w:pPr>
    </w:p>
    <w:p>
      <w:pPr>
        <w:ind w:left="460"/>
        <w:spacing w:after="0"/>
        <w:rPr>
          <w:sz w:val="20"/>
          <w:szCs w:val="20"/>
          <w:color w:val="auto"/>
        </w:rPr>
      </w:pPr>
      <w:r>
        <w:rPr>
          <w:rFonts w:ascii="Arial" w:cs="Arial" w:eastAsia="Arial" w:hAnsi="Arial"/>
          <w:sz w:val="14"/>
          <w:szCs w:val="14"/>
          <w:color w:val="auto"/>
        </w:rPr>
        <w:t>Level 1: Inputs that are quoted prices (unadjusted) in active markets for identical assets or liabilities, accessible by us at the measurement date.</w:t>
      </w:r>
    </w:p>
    <w:p>
      <w:pPr>
        <w:spacing w:after="0" w:line="204" w:lineRule="exact"/>
        <w:rPr>
          <w:sz w:val="20"/>
          <w:szCs w:val="20"/>
          <w:color w:val="auto"/>
        </w:rPr>
      </w:pPr>
    </w:p>
    <w:p>
      <w:pPr>
        <w:ind w:left="800" w:right="20" w:hanging="344"/>
        <w:spacing w:after="0" w:line="273" w:lineRule="auto"/>
        <w:rPr>
          <w:sz w:val="20"/>
          <w:szCs w:val="20"/>
          <w:color w:val="auto"/>
        </w:rPr>
      </w:pPr>
      <w:r>
        <w:rPr>
          <w:rFonts w:ascii="Arial" w:cs="Arial" w:eastAsia="Arial" w:hAnsi="Arial"/>
          <w:sz w:val="14"/>
          <w:szCs w:val="14"/>
          <w:color w:val="auto"/>
        </w:rPr>
        <w:t>Level 2: 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Level 3: Inputs that are unobservable for an asset or liability because they are based on our own assumptions about how market participants would price the asset or liability.</w:t>
      </w:r>
    </w:p>
    <w:p>
      <w:pPr>
        <w:spacing w:after="0" w:line="204" w:lineRule="exact"/>
        <w:rPr>
          <w:sz w:val="20"/>
          <w:szCs w:val="20"/>
          <w:color w:val="auto"/>
        </w:rPr>
      </w:pPr>
    </w:p>
    <w:p>
      <w:pPr>
        <w:jc w:val="both"/>
        <w:ind w:firstLine="449"/>
        <w:spacing w:after="0" w:line="277" w:lineRule="auto"/>
        <w:rPr>
          <w:sz w:val="20"/>
          <w:szCs w:val="20"/>
          <w:color w:val="auto"/>
        </w:rPr>
      </w:pPr>
      <w:r>
        <w:rPr>
          <w:rFonts w:ascii="Arial" w:cs="Arial" w:eastAsia="Arial" w:hAnsi="Arial"/>
          <w:sz w:val="13"/>
          <w:szCs w:val="13"/>
          <w:color w:val="auto"/>
        </w:rPr>
        <w:t>A financial instrument’s categorization within the valuation hierarchy is based upon the lowest level of input that is significant to the fair value measurement. Generally, most of our investments, our 2031 Asset-Backed Debt and our Credit Facility are classified as Level 3. Our 2026 Notes are classified as Level 2 as they are financial instruments with readily observable market inputs. Our 2023 Notes are classified as Level 1, as they were valued using the closing price from the primary exchange.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60" w:lineRule="exact"/>
        <w:rPr>
          <w:sz w:val="20"/>
          <w:szCs w:val="20"/>
          <w:color w:val="auto"/>
        </w:rPr>
      </w:pPr>
    </w:p>
    <w:p>
      <w:pPr>
        <w:jc w:val="both"/>
        <w:ind w:right="20" w:firstLine="449"/>
        <w:spacing w:after="0" w:line="273" w:lineRule="auto"/>
        <w:rPr>
          <w:sz w:val="20"/>
          <w:szCs w:val="20"/>
          <w:color w:val="auto"/>
        </w:rPr>
      </w:pPr>
      <w:r>
        <w:rPr>
          <w:rFonts w:ascii="Arial" w:cs="Arial" w:eastAsia="Arial" w:hAnsi="Arial"/>
          <w:sz w:val="14"/>
          <w:szCs w:val="14"/>
          <w:color w:val="auto"/>
        </w:rPr>
        <w:t>The SEC recently adopted Rule 2a-5 under the 1940 Act which establishes requirements for determining fair value in good faith for purposes of the 1940 Act. We will comply with the requirements of the rule before the requirement date in 2022.</w:t>
      </w:r>
    </w:p>
    <w:p>
      <w:pPr>
        <w:spacing w:after="0" w:line="160" w:lineRule="exact"/>
        <w:rPr>
          <w:sz w:val="20"/>
          <w:szCs w:val="20"/>
          <w:color w:val="auto"/>
        </w:rPr>
      </w:pPr>
    </w:p>
    <w:p>
      <w:pPr>
        <w:jc w:val="both"/>
        <w:ind w:firstLine="449"/>
        <w:spacing w:after="0" w:line="257" w:lineRule="auto"/>
        <w:rPr>
          <w:sz w:val="20"/>
          <w:szCs w:val="20"/>
          <w:color w:val="auto"/>
        </w:rPr>
      </w:pPr>
      <w:r>
        <w:rPr>
          <w:rFonts w:ascii="Arial" w:cs="Arial" w:eastAsia="Arial" w:hAnsi="Arial"/>
          <w:sz w:val="14"/>
          <w:szCs w:val="14"/>
          <w:color w:val="auto"/>
        </w:rPr>
        <w:t>In addition to using the above inputs to value cash equivalents, investments, our 2023 Notes, our 2026 Notes, our 2031 Asset-Backed Debt and our Credit Facility, we employ the valuation policy approved by our board of directors that is consistent with ASC 820. Consistent with our valuation policy, we evaluate the source of inputs, including any markets in which our investments are trading, in determining fair value.</w:t>
      </w:r>
    </w:p>
    <w:p>
      <w:pPr>
        <w:spacing w:after="0" w:line="171" w:lineRule="exact"/>
        <w:rPr>
          <w:sz w:val="20"/>
          <w:szCs w:val="20"/>
          <w:color w:val="auto"/>
        </w:rPr>
      </w:pPr>
    </w:p>
    <w:p>
      <w:pPr>
        <w:jc w:val="both"/>
        <w:ind w:firstLine="449"/>
        <w:spacing w:after="0" w:line="245" w:lineRule="auto"/>
        <w:rPr>
          <w:sz w:val="20"/>
          <w:szCs w:val="20"/>
          <w:color w:val="auto"/>
        </w:rPr>
      </w:pPr>
      <w:r>
        <w:rPr>
          <w:rFonts w:ascii="Arial" w:cs="Arial" w:eastAsia="Arial" w:hAnsi="Arial"/>
          <w:sz w:val="14"/>
          <w:szCs w:val="14"/>
          <w:color w:val="auto"/>
        </w:rPr>
        <w:t>Generally, the carrying value of our consolidated financial liabilities approximates fair value. We have adopted the principles under ASC Subtopic 825-10, Financial Instruments, or ASC 825-10, which provides companies with an option to report selected financial assets and liabilities at fair value, and made an irrevocable election to apply ASC 825-10 to our Credit Facility and the 2023 Notes. We elected to use the fair value option for our Credit Facility and the 2023 Notes to align the measurement attributes of both our assets and liabilities while mitigating volatility in earnings from using different measurement attributes. Due to that election and in accordance with GAAP, we</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43" w:name="page44"/>
    <w:bookmarkEnd w:id="43"/>
    <w:p>
      <w:pPr>
        <w:jc w:val="both"/>
        <w:spacing w:after="0" w:line="273" w:lineRule="auto"/>
        <w:rPr>
          <w:sz w:val="20"/>
          <w:szCs w:val="20"/>
          <w:color w:val="auto"/>
        </w:rPr>
      </w:pPr>
      <w:r>
        <w:rPr>
          <w:rFonts w:ascii="Arial" w:cs="Arial" w:eastAsia="Arial" w:hAnsi="Arial"/>
          <w:sz w:val="13"/>
          <w:szCs w:val="13"/>
          <w:color w:val="auto"/>
        </w:rPr>
        <w:t>did not incur any expenses relating to amendment costs on the Credit Facility and debt issuance costs on the 2023 Notes during the three and nine months ended June 30, 2022 and 2021, respectively.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Statements of Assets and Liabilities and changes in fair value of the Credit Facility and the 2023 Notes are reported in our Consolidated Statements of Operations. We elected not to apply ASC 825-10 to any other financial assets or liabilities, including the 2026 Notes and the 2031 Asset-Backed Debt.</w:t>
      </w:r>
    </w:p>
    <w:p>
      <w:pPr>
        <w:spacing w:after="0" w:line="162" w:lineRule="exact"/>
        <w:rPr>
          <w:sz w:val="20"/>
          <w:szCs w:val="20"/>
          <w:color w:val="auto"/>
        </w:rPr>
      </w:pPr>
    </w:p>
    <w:p>
      <w:pPr>
        <w:jc w:val="both"/>
        <w:ind w:firstLine="449"/>
        <w:spacing w:after="0" w:line="273" w:lineRule="auto"/>
        <w:rPr>
          <w:sz w:val="20"/>
          <w:szCs w:val="20"/>
          <w:color w:val="auto"/>
        </w:rPr>
      </w:pPr>
      <w:r>
        <w:rPr>
          <w:rFonts w:ascii="Arial" w:cs="Arial" w:eastAsia="Arial" w:hAnsi="Arial"/>
          <w:sz w:val="13"/>
          <w:szCs w:val="13"/>
          <w:color w:val="auto"/>
        </w:rPr>
        <w:t>For the three and nine months ended June 30, 2022, the Credit Facility and the 2023 Notes had a net change in unrealized depreciation of $0.1 million and $1.2 million, respectively. For the three and nine months ended June 30, 2021, the Credit Facility and the 2023 Notes had a net change in unrealized depreciation (appreciation) of $3.2 million and $(11.3) million, respectively. As of June 30, 2022 and September 30, 2021, the net unrealized depreciation on the Credit Facility as applicable, and the 2023 Notes totaled $8.5 million and $7.2 million, respectively. We use a nationally recognized independent valuation service to measure the fair value of the Credit Facility in a manner consistent with the valuation process that our board of directors uses to value our investments. Our 2023 Notes trade on the TASE and we use the closing price on the exchange to determine the fair value.</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 Recognition</w:t>
      </w:r>
    </w:p>
    <w:p>
      <w:pPr>
        <w:spacing w:after="0" w:line="204" w:lineRule="exact"/>
        <w:rPr>
          <w:sz w:val="20"/>
          <w:szCs w:val="20"/>
          <w:color w:val="auto"/>
        </w:rPr>
      </w:pPr>
    </w:p>
    <w:p>
      <w:pPr>
        <w:jc w:val="both"/>
        <w:ind w:firstLine="449"/>
        <w:spacing w:after="0" w:line="268" w:lineRule="auto"/>
        <w:rPr>
          <w:sz w:val="20"/>
          <w:szCs w:val="20"/>
          <w:color w:val="auto"/>
        </w:rPr>
      </w:pPr>
      <w:r>
        <w:rPr>
          <w:rFonts w:ascii="Arial" w:cs="Arial" w:eastAsia="Arial" w:hAnsi="Arial"/>
          <w:sz w:val="13"/>
          <w:szCs w:val="13"/>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OID, market discount or premium and deferred financing costs on liabilities, which we do not fair value, are capitalized and then accreted or amortized using the effective interest method as interest income or, in the case of deferred financing costs, as interest expense. We record prepayment penalties on loans and debt investments as income.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Realized Gains or Losses and Net Change in Unrealized Appreciation or Depreciation</w:t>
      </w:r>
    </w:p>
    <w:p>
      <w:pPr>
        <w:spacing w:after="0" w:line="204" w:lineRule="exact"/>
        <w:rPr>
          <w:sz w:val="20"/>
          <w:szCs w:val="20"/>
          <w:color w:val="auto"/>
        </w:rPr>
      </w:pPr>
    </w:p>
    <w:p>
      <w:pPr>
        <w:jc w:val="both"/>
        <w:ind w:firstLine="449"/>
        <w:spacing w:after="0" w:line="252" w:lineRule="auto"/>
        <w:rPr>
          <w:sz w:val="20"/>
          <w:szCs w:val="20"/>
          <w:color w:val="auto"/>
        </w:rPr>
      </w:pPr>
      <w:r>
        <w:rPr>
          <w:rFonts w:ascii="Arial" w:cs="Arial" w:eastAsia="Arial" w:hAnsi="Arial"/>
          <w:sz w:val="14"/>
          <w:szCs w:val="14"/>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the fair values of our portfolio investments, our Credit Facility, the 2023 Notes during the reporting period, including any reversal of previously recorded unrealized appreciation or depreciation, when gains or losses are realized.</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Foreign Currency Translation</w:t>
      </w:r>
    </w:p>
    <w:p>
      <w:pPr>
        <w:spacing w:after="0" w:line="204" w:lineRule="exact"/>
        <w:rPr>
          <w:sz w:val="20"/>
          <w:szCs w:val="20"/>
          <w:color w:val="auto"/>
        </w:rPr>
      </w:pPr>
    </w:p>
    <w:p>
      <w:pPr>
        <w:ind w:left="460"/>
        <w:spacing w:after="0"/>
        <w:rPr>
          <w:sz w:val="20"/>
          <w:szCs w:val="20"/>
          <w:color w:val="auto"/>
        </w:rPr>
      </w:pPr>
      <w:r>
        <w:rPr>
          <w:rFonts w:ascii="Arial" w:cs="Arial" w:eastAsia="Arial" w:hAnsi="Arial"/>
          <w:sz w:val="14"/>
          <w:szCs w:val="14"/>
          <w:color w:val="auto"/>
        </w:rPr>
        <w:t>Our books and records are maintained in U.S. dollars. Any foreign currency amounts are translated into U.S. dollars on the following basis:</w:t>
      </w:r>
    </w:p>
    <w:p>
      <w:pPr>
        <w:spacing w:after="0" w:line="204" w:lineRule="exact"/>
        <w:rPr>
          <w:sz w:val="20"/>
          <w:szCs w:val="20"/>
          <w:color w:val="auto"/>
        </w:rPr>
      </w:pPr>
    </w:p>
    <w:p>
      <w:pPr>
        <w:ind w:left="840" w:hanging="383"/>
        <w:spacing w:after="0"/>
        <w:tabs>
          <w:tab w:leader="none" w:pos="8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Fair value of investment securities, other assets and liabilities – at the exchange rates prevailing at the end of the applicable period; and</w:t>
      </w:r>
    </w:p>
    <w:p>
      <w:pPr>
        <w:spacing w:after="0" w:line="203" w:lineRule="exact"/>
        <w:rPr>
          <w:rFonts w:ascii="Arial" w:cs="Arial" w:eastAsia="Arial" w:hAnsi="Arial"/>
          <w:sz w:val="14"/>
          <w:szCs w:val="14"/>
          <w:color w:val="auto"/>
        </w:rPr>
      </w:pPr>
    </w:p>
    <w:p>
      <w:pPr>
        <w:ind w:left="840" w:hanging="383"/>
        <w:spacing w:after="0"/>
        <w:tabs>
          <w:tab w:leader="none" w:pos="8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Purchases and sales of investment securities, income and expenses – at the exchange rates prevailing on the respective dates of such transactions.</w:t>
      </w:r>
    </w:p>
    <w:p>
      <w:pPr>
        <w:spacing w:after="0" w:line="204" w:lineRule="exact"/>
        <w:rPr>
          <w:sz w:val="20"/>
          <w:szCs w:val="20"/>
          <w:color w:val="auto"/>
        </w:rPr>
      </w:pPr>
    </w:p>
    <w:p>
      <w:pPr>
        <w:jc w:val="both"/>
        <w:ind w:firstLine="449"/>
        <w:spacing w:after="0" w:line="257" w:lineRule="auto"/>
        <w:rPr>
          <w:sz w:val="20"/>
          <w:szCs w:val="20"/>
          <w:color w:val="auto"/>
        </w:rPr>
      </w:pPr>
      <w:r>
        <w:rPr>
          <w:rFonts w:ascii="Arial" w:cs="Arial" w:eastAsia="Arial" w:hAnsi="Arial"/>
          <w:sz w:val="14"/>
          <w:szCs w:val="14"/>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 of investments and liabilities held. Such fluctuations are included with the net realized and unrealized gain or loss from investments and liabilities.</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Payment -in-kind, or PIK Interest</w:t>
      </w:r>
    </w:p>
    <w:p>
      <w:pPr>
        <w:spacing w:after="0" w:line="204" w:lineRule="exact"/>
        <w:rPr>
          <w:sz w:val="20"/>
          <w:szCs w:val="20"/>
          <w:color w:val="auto"/>
        </w:rPr>
      </w:pPr>
    </w:p>
    <w:p>
      <w:pPr>
        <w:jc w:val="both"/>
        <w:ind w:firstLine="449"/>
        <w:spacing w:after="0" w:line="257" w:lineRule="auto"/>
        <w:rPr>
          <w:sz w:val="20"/>
          <w:szCs w:val="20"/>
          <w:color w:val="auto"/>
        </w:rPr>
      </w:pPr>
      <w:r>
        <w:rPr>
          <w:rFonts w:ascii="Arial" w:cs="Arial" w:eastAsia="Arial" w:hAnsi="Arial"/>
          <w:sz w:val="14"/>
          <w:szCs w:val="14"/>
          <w:color w:val="auto"/>
        </w:rPr>
        <w:t>We have investments in our portfolio which contain a PIK interest provision. PIK interest is added to the principal balance of the investment and is recorded as income. In order for us to maintain our ability to be subject to tax as a RIC, substantially all of this income must be paid out to stockholders in the form of dividends for federal income tax purposes, even though we may not have collected any cash with respect to interest on PIK securities.</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Federal Income Taxes</w:t>
      </w:r>
    </w:p>
    <w:p>
      <w:pPr>
        <w:spacing w:after="0" w:line="204" w:lineRule="exact"/>
        <w:rPr>
          <w:sz w:val="20"/>
          <w:szCs w:val="20"/>
          <w:color w:val="auto"/>
        </w:rPr>
      </w:pPr>
    </w:p>
    <w:p>
      <w:pPr>
        <w:jc w:val="both"/>
        <w:ind w:firstLine="449"/>
        <w:spacing w:after="0" w:line="277" w:lineRule="auto"/>
        <w:rPr>
          <w:sz w:val="20"/>
          <w:szCs w:val="20"/>
          <w:color w:val="auto"/>
        </w:rPr>
      </w:pPr>
      <w:r>
        <w:rPr>
          <w:rFonts w:ascii="Arial" w:cs="Arial" w:eastAsia="Arial" w:hAnsi="Arial"/>
          <w:sz w:val="13"/>
          <w:szCs w:val="13"/>
          <w:color w:val="auto"/>
        </w:rPr>
        <w:t>We have elected to be treated and intend to qualify annually to maintain our election to be treated, as a RIC under Subchapter M of the Code. To maintain our RIC tax election, we must, among other requirements, meet certain annual source-of-income and quarterly asset diversification requirements. We also must annually distribute dividends for federal income tax purposes to our stockholders out of the assets legally available for distribution of an amount generally at least equal to 90% of the sum of our net ordinary income and realized net short-term capital gains in excess of realized net long-term capital losses, or investment company taxable income, determined without regard to any deduction for dividends paid.</w:t>
      </w:r>
    </w:p>
    <w:p>
      <w:pPr>
        <w:spacing w:after="0" w:line="147" w:lineRule="exact"/>
        <w:rPr>
          <w:sz w:val="20"/>
          <w:szCs w:val="20"/>
          <w:color w:val="auto"/>
        </w:rPr>
      </w:pPr>
    </w:p>
    <w:p>
      <w:pPr>
        <w:jc w:val="both"/>
        <w:ind w:firstLine="449"/>
        <w:spacing w:after="0" w:line="247" w:lineRule="auto"/>
        <w:rPr>
          <w:sz w:val="20"/>
          <w:szCs w:val="20"/>
          <w:color w:val="auto"/>
        </w:rPr>
      </w:pPr>
      <w:r>
        <w:rPr>
          <w:rFonts w:ascii="Arial" w:cs="Arial" w:eastAsia="Arial" w:hAnsi="Arial"/>
          <w:sz w:val="13"/>
          <w:szCs w:val="13"/>
          <w:color w:val="auto"/>
        </w:rPr>
        <w:t xml:space="preserve">Although not required for us to maintain our RIC tax status, in order to preclude the imposition of a 4% nondeductible federal excise tax imposed on RICs, we must distribute dividends for U.S. federal income tax purposes to our stockholders in respect of each calendar year of an amount at least equal to the </w:t>
      </w:r>
      <w:r>
        <w:rPr>
          <w:rFonts w:ascii="Arial" w:cs="Arial" w:eastAsia="Arial" w:hAnsi="Arial"/>
          <w:sz w:val="13"/>
          <w:szCs w:val="13"/>
          <w:u w:val="single" w:color="auto"/>
          <w:color w:val="auto"/>
        </w:rPr>
        <w:t>s</w:t>
      </w:r>
      <w:r>
        <w:rPr>
          <w:rFonts w:ascii="Arial" w:cs="Arial" w:eastAsia="Arial" w:hAnsi="Arial"/>
          <w:sz w:val="13"/>
          <w:szCs w:val="13"/>
          <w:color w:val="auto"/>
        </w:rPr>
        <w:t>um of (1) 98% of our net ordinary income (subject to certain deferrals and elections) for the calendar year, (2) 98.2% of our capital gain net income (i.e., the excess, if any, of our capital gains over capital losses), adjusted for certain ordinary losses, generally for the one-year period ending on October 31 of the calendar year plus (3) any net ordinary income or capital gain net income for the preceding years that was not distributed during such years on which we did not incur any corporate income tax, or the Excise Tax Avoidance Requirement. In addition, although we may distribute realized net capital gains (i.e., net long-term capital gains in excess of net short-term capital losses), if any, at least annually, out of the assets legally available for such distributions in the manner described above, we have retained and may continue to retain such net capital gains or investment company taxable income, subject to maintaining our ability to be taxed as a RIC, in order to provide us with additional liquidity.</w:t>
      </w:r>
    </w:p>
    <w:p>
      <w:pPr>
        <w:spacing w:after="0" w:line="152" w:lineRule="exact"/>
        <w:rPr>
          <w:sz w:val="20"/>
          <w:szCs w:val="20"/>
          <w:color w:val="auto"/>
        </w:rPr>
      </w:pPr>
    </w:p>
    <w:p>
      <w:pPr>
        <w:jc w:val="both"/>
        <w:ind w:firstLine="489"/>
        <w:spacing w:after="0" w:line="273" w:lineRule="auto"/>
        <w:rPr>
          <w:sz w:val="20"/>
          <w:szCs w:val="20"/>
          <w:color w:val="auto"/>
        </w:rPr>
      </w:pPr>
      <w:r>
        <w:rPr>
          <w:rFonts w:ascii="Arial" w:cs="Arial" w:eastAsia="Arial" w:hAnsi="Arial"/>
          <w:sz w:val="14"/>
          <w:szCs w:val="14"/>
          <w:color w:val="auto"/>
        </w:rPr>
        <w:t>For both the three and nine months ended June 30, 2022 and 2021, we recorded a provision for taxes on net investment income of $0.1 million and $0.3 million, respectively, pertaining to federal excise tax.</w:t>
      </w:r>
    </w:p>
    <w:p>
      <w:pPr>
        <w:spacing w:after="0" w:line="147" w:lineRule="exact"/>
        <w:rPr>
          <w:sz w:val="20"/>
          <w:szCs w:val="20"/>
          <w:color w:val="auto"/>
        </w:rPr>
      </w:pPr>
    </w:p>
    <w:p>
      <w:pPr>
        <w:jc w:val="both"/>
        <w:ind w:firstLine="449"/>
        <w:spacing w:after="0" w:line="253" w:lineRule="auto"/>
        <w:rPr>
          <w:sz w:val="20"/>
          <w:szCs w:val="20"/>
          <w:color w:val="auto"/>
        </w:rPr>
      </w:pPr>
      <w:r>
        <w:rPr>
          <w:rFonts w:ascii="Arial" w:cs="Arial" w:eastAsia="Arial" w:hAnsi="Arial"/>
          <w:sz w:val="14"/>
          <w:szCs w:val="14"/>
          <w:color w:val="auto"/>
        </w:rPr>
        <w:t>PFLT Investment Holdings, LLC, a wholly-owned subsidiary of the Company (the “Taxable Subsidiary”), is subject to U.S. federal, state and local corporate income taxes. The income tax expense and related tax liabilities of the Taxable Subsidiary are reflected in the Company’s consolidated financial statements.</w:t>
      </w:r>
    </w:p>
    <w:p>
      <w:pPr>
        <w:spacing w:after="0" w:line="147" w:lineRule="exact"/>
        <w:rPr>
          <w:sz w:val="20"/>
          <w:szCs w:val="20"/>
          <w:color w:val="auto"/>
        </w:rPr>
      </w:pPr>
    </w:p>
    <w:p>
      <w:pPr>
        <w:jc w:val="both"/>
        <w:ind w:firstLine="449"/>
        <w:spacing w:after="0" w:line="225" w:lineRule="auto"/>
        <w:rPr>
          <w:sz w:val="20"/>
          <w:szCs w:val="20"/>
          <w:color w:val="auto"/>
        </w:rPr>
      </w:pPr>
      <w:r>
        <w:rPr>
          <w:rFonts w:ascii="Arial" w:cs="Arial" w:eastAsia="Arial" w:hAnsi="Arial"/>
          <w:sz w:val="14"/>
          <w:szCs w:val="14"/>
          <w:color w:val="auto"/>
        </w:rPr>
        <w:t>For the three and nine months ended June 30, 2022, the Company recognized a provision for taxes of zero and $5.3 million, respectively, on unrealized appreciation on investments by the Taxable Subsidiary. For the three and nine months ended June 30, 2021, the Company recognized a provision for taxes of zero on unrealized appreciation on investments by the Taxable Subsidiary. The provision for taxes on unrealized appreciation on investments is the result of netting (i) the expected tax liability on gains from sales of investments and (ii) the expected tax benefit from the use of losses in the current year. As of June 30, 2022 and September 30, 2021, $5.3 million and zero, respectively,</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44" w:name="page45"/>
    <w:bookmarkEnd w:id="44"/>
    <w:p>
      <w:pPr>
        <w:jc w:val="both"/>
        <w:spacing w:after="0" w:line="238" w:lineRule="auto"/>
        <w:rPr>
          <w:sz w:val="20"/>
          <w:szCs w:val="20"/>
          <w:color w:val="auto"/>
        </w:rPr>
      </w:pPr>
      <w:r>
        <w:rPr>
          <w:rFonts w:ascii="Arial" w:cs="Arial" w:eastAsia="Arial" w:hAnsi="Arial"/>
          <w:sz w:val="14"/>
          <w:szCs w:val="14"/>
          <w:color w:val="auto"/>
        </w:rPr>
        <w:t>was accrued as a deferred tax liability on the Consolidated Statements of Assets and Liabilities relating to unrealized gain on investments. During the three and nine months ended June 30, 2022, the Company paid zero and $1.2 million, respectively, in taxes on realized gains on the sale of investments held by the Taxable Subsidiary, resulting in a $1.2 million prepaid tax asset as of June 30, 2022 included under prepaid expenses and other assets in the consolidated statement of assets and liabilities.</w:t>
      </w:r>
    </w:p>
    <w:p>
      <w:pPr>
        <w:spacing w:after="0" w:line="156"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3"/>
          <w:szCs w:val="13"/>
          <w:color w:val="auto"/>
        </w:rPr>
        <w:t>Because federal income tax regulations differ from GAAP, distributions in accordance with tax regulations may differ from net investment income and net realized gain recognized for financial reporting purposes. Differences between tax regulations and GAAP may be permanent or temporary. Permanent differences are reclassified among capital accounts in the Consolidated Financial Statements to reflect their appropriate tax character. Temporary differences arise when certain items of income, expense, gain or loss are recognized at some time in the future.</w:t>
      </w:r>
    </w:p>
    <w:p>
      <w:pPr>
        <w:spacing w:after="0" w:line="141" w:lineRule="exact"/>
        <w:rPr>
          <w:sz w:val="20"/>
          <w:szCs w:val="20"/>
          <w:color w:val="auto"/>
        </w:rPr>
      </w:pPr>
    </w:p>
    <w:p>
      <w:pPr>
        <w:jc w:val="both"/>
        <w:ind w:right="20" w:firstLine="449"/>
        <w:spacing w:after="0" w:line="290" w:lineRule="auto"/>
        <w:rPr>
          <w:sz w:val="20"/>
          <w:szCs w:val="20"/>
          <w:color w:val="auto"/>
        </w:rPr>
      </w:pPr>
      <w:r>
        <w:rPr>
          <w:rFonts w:ascii="Arial" w:cs="Arial" w:eastAsia="Arial" w:hAnsi="Arial"/>
          <w:sz w:val="13"/>
          <w:szCs w:val="13"/>
          <w:color w:val="auto"/>
        </w:rPr>
        <w:t>We have formed and expect to continue to form certain taxable subsidiaries, including the Taxable Subsidiary, which are taxed as corporations. These taxable subsidiaries allow us to hold equity securities of certain portfolio companies treated as pass-through entities for U.S. federal income tax purposes while facilitating our ability to qualify as a RIC under the Code.</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Set forth below are the results of operations for the three and nine months ended June 30, 2022 and 2021.</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 Income</w:t>
      </w:r>
    </w:p>
    <w:p>
      <w:pPr>
        <w:spacing w:after="0" w:line="177" w:lineRule="exact"/>
        <w:rPr>
          <w:sz w:val="20"/>
          <w:szCs w:val="20"/>
          <w:color w:val="auto"/>
        </w:rPr>
      </w:pPr>
    </w:p>
    <w:p>
      <w:pPr>
        <w:jc w:val="both"/>
        <w:ind w:firstLine="449"/>
        <w:spacing w:after="0" w:line="233" w:lineRule="auto"/>
        <w:rPr>
          <w:sz w:val="20"/>
          <w:szCs w:val="20"/>
          <w:color w:val="auto"/>
        </w:rPr>
      </w:pPr>
      <w:r>
        <w:rPr>
          <w:rFonts w:ascii="Arial" w:cs="Arial" w:eastAsia="Arial" w:hAnsi="Arial"/>
          <w:sz w:val="14"/>
          <w:szCs w:val="14"/>
          <w:color w:val="auto"/>
        </w:rPr>
        <w:t>Investment income for the three and nine months ended June 30, 2022 was $25.7 million and $76.7 million, respectively, which was attributable to $21.1 million and $64.0 million from first lien secured debt and $4.6 million and $12.7 million from other investments, respectively. This compares to investment income for the three and nine months ended June 30, 2021 was $20.9 million and $61.1 million, respectively, which was attributable to $18.2 million and $53.5 million from first lien secured debt and $2.7 million and $7.6 million from other investments, respectively. The increase in investment income compared to the same periods in the prior year was primarily due to an increase the size of our portfolio.</w:t>
      </w: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Expenses</w:t>
      </w:r>
    </w:p>
    <w:p>
      <w:pPr>
        <w:spacing w:after="0" w:line="177" w:lineRule="exact"/>
        <w:rPr>
          <w:sz w:val="20"/>
          <w:szCs w:val="20"/>
          <w:color w:val="auto"/>
        </w:rPr>
      </w:pPr>
    </w:p>
    <w:p>
      <w:pPr>
        <w:jc w:val="both"/>
        <w:ind w:firstLine="449"/>
        <w:spacing w:after="0" w:line="248" w:lineRule="auto"/>
        <w:rPr>
          <w:sz w:val="20"/>
          <w:szCs w:val="20"/>
          <w:color w:val="auto"/>
        </w:rPr>
      </w:pPr>
      <w:r>
        <w:rPr>
          <w:rFonts w:ascii="Arial" w:cs="Arial" w:eastAsia="Arial" w:hAnsi="Arial"/>
          <w:sz w:val="13"/>
          <w:szCs w:val="13"/>
          <w:color w:val="auto"/>
        </w:rPr>
        <w:t>Expenses for the three and nine months ended June 30, 2022 totaled $13.9 million and $40.8 million, respectively. Base management fee for the same periods totaled $3.1 million and $8.9 million, performance-based incentive fee totaled $2.6 million and $8.5 million, debt related interest and expenses totaled $7.4 million and $20.7 million and general and administrative expenses totaled $0.8 million and $2.4 million, respectively. This compares to expenses for the three and nine months ended June 30, 2021 totaled $10.6 million and $30.8 million, respectively. Base management fee for the same periods totaled $2.6 million and $8.0 million, incentive fee totaled $1.7 million and $4.7 million, debt related interest and expenses totaled $5.9 million and $16.0 million and general and administrative expenses totaled $0.4 million and $1.8 million, respectively. The increase in expenses for the three and nine months ended June 30, 2022 compared to the same period in the prior year was primarily due to an increase in performance-based incentive fees and debt-related interest and expenses.</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Investment Income</w:t>
      </w:r>
    </w:p>
    <w:p>
      <w:pPr>
        <w:spacing w:after="0" w:line="204" w:lineRule="exact"/>
        <w:rPr>
          <w:sz w:val="20"/>
          <w:szCs w:val="20"/>
          <w:color w:val="auto"/>
        </w:rPr>
      </w:pPr>
    </w:p>
    <w:p>
      <w:pPr>
        <w:jc w:val="both"/>
        <w:ind w:firstLine="449"/>
        <w:spacing w:after="0" w:line="257" w:lineRule="auto"/>
        <w:rPr>
          <w:sz w:val="20"/>
          <w:szCs w:val="20"/>
          <w:color w:val="auto"/>
        </w:rPr>
      </w:pPr>
      <w:r>
        <w:rPr>
          <w:rFonts w:ascii="Arial" w:cs="Arial" w:eastAsia="Arial" w:hAnsi="Arial"/>
          <w:sz w:val="14"/>
          <w:szCs w:val="14"/>
          <w:color w:val="auto"/>
        </w:rPr>
        <w:t>Net investment income totaled $11.8 million and $35.9 million, or $0.29 and $0.90 per share, for the three and nine months ended June 30, 2022, respectively. Net investment income totaled $10.3 million and $30.3 million, or $0.27 and $0.78 per share, for the three and nine months ended June 30, 2021, respectively. The increase in net investment income compared to the same periods in the prior year was primarily due to an increase the size of our portfolio.</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Realized Gains or Losses</w:t>
      </w:r>
    </w:p>
    <w:p>
      <w:pPr>
        <w:spacing w:after="0" w:line="204" w:lineRule="exact"/>
        <w:rPr>
          <w:sz w:val="20"/>
          <w:szCs w:val="20"/>
          <w:color w:val="auto"/>
        </w:rPr>
      </w:pPr>
    </w:p>
    <w:p>
      <w:pPr>
        <w:jc w:val="both"/>
        <w:ind w:firstLine="449"/>
        <w:spacing w:after="0" w:line="252" w:lineRule="auto"/>
        <w:rPr>
          <w:sz w:val="20"/>
          <w:szCs w:val="20"/>
          <w:color w:val="auto"/>
        </w:rPr>
      </w:pPr>
      <w:r>
        <w:rPr>
          <w:rFonts w:ascii="Arial" w:cs="Arial" w:eastAsia="Arial" w:hAnsi="Arial"/>
          <w:sz w:val="14"/>
          <w:szCs w:val="14"/>
          <w:color w:val="auto"/>
        </w:rPr>
        <w:t>Sales and repayments of investments for the three and nine months ended June 30, 2022 totaled $55.0 million and $397.2 million, respectively, and net realized gains (losses) totaled $0.7 million and $(11.6) million, respectively. Sales and repayments of investments for the three and nine months ended June 30, 2021 totaled $283.3 million and $565.5 million, respectively, and net realized losses totaled $13.0 million and $15.3 million, respectively. The change in realized gains/losses was primarily due to changes in the market conditions of our investments and the values at which they were realized.</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Unrealized Appreciation or Depreciation on Investments, the Credit Facility and the 2023 Notes</w:t>
      </w:r>
    </w:p>
    <w:p>
      <w:pPr>
        <w:spacing w:after="0" w:line="204" w:lineRule="exact"/>
        <w:rPr>
          <w:sz w:val="20"/>
          <w:szCs w:val="20"/>
          <w:color w:val="auto"/>
        </w:rPr>
      </w:pPr>
    </w:p>
    <w:p>
      <w:pPr>
        <w:jc w:val="both"/>
        <w:ind w:firstLine="449"/>
        <w:spacing w:after="0" w:line="252" w:lineRule="auto"/>
        <w:rPr>
          <w:sz w:val="20"/>
          <w:szCs w:val="20"/>
          <w:color w:val="auto"/>
        </w:rPr>
      </w:pPr>
      <w:r>
        <w:rPr>
          <w:rFonts w:ascii="Arial" w:cs="Arial" w:eastAsia="Arial" w:hAnsi="Arial"/>
          <w:sz w:val="14"/>
          <w:szCs w:val="14"/>
          <w:color w:val="auto"/>
        </w:rPr>
        <w:t>For the three and nine months ended June 30, 2022, we reported net change in unrealized depreciation on investments of $17.7 million and $3.7 million, respectively. For the three and nine months ended June 30, 2021, we reported net change in unrealized appreciation on investments of $14.2 million and $48.8 million, respectively. As of June 30, 2022 and September 30, 2021, our net unrealized appreciation on investments totaled $7.7 million and $11.0 million, respectively. The net change in unrealized appreciation on our investments compared to the same period in the prior year was primarily due to changes in the market conditions of our investments and the values at which they were held.</w:t>
      </w:r>
    </w:p>
    <w:p>
      <w:pPr>
        <w:spacing w:after="0" w:line="174" w:lineRule="exact"/>
        <w:rPr>
          <w:sz w:val="20"/>
          <w:szCs w:val="20"/>
          <w:color w:val="auto"/>
        </w:rPr>
      </w:pPr>
    </w:p>
    <w:p>
      <w:pPr>
        <w:jc w:val="both"/>
        <w:ind w:firstLine="449"/>
        <w:spacing w:after="0" w:line="252" w:lineRule="auto"/>
        <w:rPr>
          <w:sz w:val="20"/>
          <w:szCs w:val="20"/>
          <w:color w:val="auto"/>
        </w:rPr>
      </w:pPr>
      <w:r>
        <w:rPr>
          <w:rFonts w:ascii="Arial" w:cs="Arial" w:eastAsia="Arial" w:hAnsi="Arial"/>
          <w:sz w:val="14"/>
          <w:szCs w:val="14"/>
          <w:color w:val="auto"/>
        </w:rPr>
        <w:t>For the three and nine months ended June 30, 2022, the Credit Facility and the 2023 Notes had a net change in unrealized depreciation of less than $0.1 million and $1.3 million, respectively. For the three and nine months ended June 30, 2021, the Credit Facility and the 2023 Notes had a net change in unrealized depreciation (appreciation) of $3.2 million and $(11.3) million, respectively. As of June 30, 2022 and September 30, 2021, the net unrealized depreciation on the Credit Facility and the 2023 Notes totaled $8.5 million and $7.2 million, respectively. The net change in net unrealized depreciation compared to the same period in the prior year was primarily due to changes in the capital markets.</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Change in Net Assets Resulting from Operations</w:t>
      </w:r>
    </w:p>
    <w:p>
      <w:pPr>
        <w:spacing w:after="0" w:line="204" w:lineRule="exact"/>
        <w:rPr>
          <w:sz w:val="20"/>
          <w:szCs w:val="20"/>
          <w:color w:val="auto"/>
        </w:rPr>
      </w:pPr>
    </w:p>
    <w:p>
      <w:pPr>
        <w:jc w:val="both"/>
        <w:ind w:firstLine="449"/>
        <w:spacing w:after="0" w:line="252" w:lineRule="auto"/>
        <w:rPr>
          <w:sz w:val="20"/>
          <w:szCs w:val="20"/>
          <w:color w:val="auto"/>
        </w:rPr>
      </w:pPr>
      <w:r>
        <w:rPr>
          <w:rFonts w:ascii="Arial" w:cs="Arial" w:eastAsia="Arial" w:hAnsi="Arial"/>
          <w:sz w:val="14"/>
          <w:szCs w:val="14"/>
          <w:color w:val="auto"/>
        </w:rPr>
        <w:t>Net (decrease) increase in net assets resulting from operations totaled $(5.1) million and $16.6 million, or $(0.12) and $0.42 per share, respectively, for the three and nine months ended June 30, 2022. Net increase in net assets resulting from operations totaled $14.7 million and $52.5 million, or $0.38 and $1.35 per share, respectively, for the three and nine months ended June 30, 2021. The decrease in the net change in net assets from operations for the three and nine months ended June 30, 2022 compared to the same period in the prior year was primarily due to a lower realized and unrealized change in our investment and debt.</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45" w:name="page46"/>
    <w:bookmarkEnd w:id="45"/>
    <w:p>
      <w:pPr>
        <w:jc w:val="both"/>
        <w:ind w:firstLine="449"/>
        <w:spacing w:after="0" w:line="251" w:lineRule="auto"/>
        <w:rPr>
          <w:sz w:val="20"/>
          <w:szCs w:val="20"/>
          <w:color w:val="auto"/>
        </w:rPr>
      </w:pPr>
      <w:r>
        <w:rPr>
          <w:rFonts w:ascii="Arial" w:cs="Arial" w:eastAsia="Arial" w:hAnsi="Arial"/>
          <w:sz w:val="13"/>
          <w:szCs w:val="13"/>
          <w:color w:val="auto"/>
        </w:rPr>
        <w:t>Our liquidity and capital resources are derived primarily from proceeds of securities offerings, debt capital and cash flows from operations, including investment sales and repayments, and income earned. Our primary use of funds from operations includes investments in portfolio companies and payments of fees and other operating expenses we incur. We have used, and expect to continue to use, our debt capital, proceeds from the rotation of our portfolio and proceeds from public and private offerings of securities to finance our investment objectives. As of June 30, 2022, in accordance with the 1940 Act, with certain limited exceptions, we are only allowed to borrow amounts such that we are in compliance with a 150% asset coverage ratio requirement after such borrowing. This “Liquidity and Capital Resources” section should be read in conjunction with the “COVID-19 Developments” section above.</w:t>
      </w:r>
    </w:p>
    <w:p>
      <w:pPr>
        <w:spacing w:after="0" w:line="150" w:lineRule="exact"/>
        <w:rPr>
          <w:sz w:val="20"/>
          <w:szCs w:val="20"/>
          <w:color w:val="auto"/>
        </w:rPr>
      </w:pPr>
    </w:p>
    <w:p>
      <w:pPr>
        <w:jc w:val="both"/>
        <w:ind w:firstLine="449"/>
        <w:spacing w:after="0" w:line="233" w:lineRule="auto"/>
        <w:rPr>
          <w:sz w:val="20"/>
          <w:szCs w:val="20"/>
          <w:color w:val="auto"/>
        </w:rPr>
      </w:pPr>
      <w:r>
        <w:rPr>
          <w:rFonts w:ascii="Arial" w:cs="Arial" w:eastAsia="Arial" w:hAnsi="Arial"/>
          <w:sz w:val="14"/>
          <w:szCs w:val="14"/>
          <w:color w:val="auto"/>
        </w:rPr>
        <w:t>On April 5, 2018, our board of directors approved the application of the modified asset coverage requirements set forth in Section 61(a)(2) of the 1940 Act, as amended by the Consolidated Appropriations Act of 2018 (which includes the SBCAA). As a result, the asset coverage requirement applicable to us for senior securities was reduced from 200% (i.e., $1 of debt outstanding for each $1 of equity) to 150% (i.e., $2 of debt outstanding for each $1 of equity), effective as of April 5, 2019, subject to compliance with certain disclosure requirements. As of June 30, 2022 and September 30, 2021, our asset coverage ratio, as computed in accordance with the 1940 Act, was 166% and 175%, respectively.</w:t>
      </w:r>
    </w:p>
    <w:p>
      <w:pPr>
        <w:spacing w:after="0" w:line="158" w:lineRule="exact"/>
        <w:rPr>
          <w:sz w:val="20"/>
          <w:szCs w:val="20"/>
          <w:color w:val="auto"/>
        </w:rPr>
      </w:pPr>
    </w:p>
    <w:p>
      <w:pPr>
        <w:jc w:val="both"/>
        <w:ind w:firstLine="449"/>
        <w:spacing w:after="0" w:line="257" w:lineRule="auto"/>
        <w:rPr>
          <w:sz w:val="20"/>
          <w:szCs w:val="20"/>
          <w:color w:val="auto"/>
        </w:rPr>
      </w:pPr>
      <w:r>
        <w:rPr>
          <w:rFonts w:ascii="Arial" w:cs="Arial" w:eastAsia="Arial" w:hAnsi="Arial"/>
          <w:sz w:val="14"/>
          <w:szCs w:val="14"/>
          <w:color w:val="auto"/>
        </w:rPr>
        <w:t>The annualized weighted average cost of debt for the nine months ended June 30, 2022 and 2021, inclusive of the fee on the undrawn commitment on the Credit Facility, amendment costs and debt issuance costs, was 3.7% and 3.4%, respectively. As of June 30, 2022 and September 30, 2021, we had $40.7 million and $80.6 million of unused borrowing capacity under the Credit Facility, as applicable, respectively, subject to leverage and borrowing base restrictions.</w:t>
      </w:r>
    </w:p>
    <w:p>
      <w:pPr>
        <w:spacing w:after="0" w:line="158" w:lineRule="exact"/>
        <w:rPr>
          <w:sz w:val="20"/>
          <w:szCs w:val="20"/>
          <w:color w:val="auto"/>
        </w:rPr>
      </w:pPr>
    </w:p>
    <w:p>
      <w:pPr>
        <w:jc w:val="both"/>
        <w:ind w:firstLine="449"/>
        <w:spacing w:after="0" w:line="255" w:lineRule="auto"/>
        <w:rPr>
          <w:sz w:val="20"/>
          <w:szCs w:val="20"/>
          <w:color w:val="auto"/>
        </w:rPr>
      </w:pPr>
      <w:r>
        <w:rPr>
          <w:rFonts w:ascii="Arial" w:cs="Arial" w:eastAsia="Arial" w:hAnsi="Arial"/>
          <w:sz w:val="13"/>
          <w:szCs w:val="13"/>
          <w:color w:val="auto"/>
        </w:rPr>
        <w:t>Funding I’s multi-currency Credit Facility with the Lenders was $300 million as of June 30, 2022 subject to satisfaction of certain conditions and regulatory restrictions that the 1940 Act imposes on us as a BDC, has an interest rate spread above LIBOR (or an alternative risk-free floating interest rate index) of 225 basis points, a maturity date of August 2026 and a revolving period that ends in August 2024. As of June 30, 2022 and September 30, 2021, Funding I borrowed $259.3 million and $219.4 million under the Credit Facility, respectively. The Credit Facility had a weighted average interest rate of 3.3% and 2.3%, exclusive of the fee on undrawn commitments as of June 30, 2022 and September 30, 2021, respectively.</w:t>
      </w:r>
    </w:p>
    <w:p>
      <w:pPr>
        <w:spacing w:after="0" w:line="148" w:lineRule="exact"/>
        <w:rPr>
          <w:sz w:val="20"/>
          <w:szCs w:val="20"/>
          <w:color w:val="auto"/>
        </w:rPr>
      </w:pPr>
    </w:p>
    <w:p>
      <w:pPr>
        <w:jc w:val="both"/>
        <w:ind w:firstLine="449"/>
        <w:spacing w:after="0" w:line="233" w:lineRule="auto"/>
        <w:rPr>
          <w:sz w:val="20"/>
          <w:szCs w:val="20"/>
          <w:color w:val="auto"/>
        </w:rPr>
      </w:pPr>
      <w:r>
        <w:rPr>
          <w:rFonts w:ascii="Arial" w:cs="Arial" w:eastAsia="Arial" w:hAnsi="Arial"/>
          <w:sz w:val="14"/>
          <w:szCs w:val="14"/>
          <w:color w:val="auto"/>
        </w:rPr>
        <w:t>During the revolving period, the Credit Facility bears interest at LIBOR (or an alternative risk-free floating interest rate index) plus 225 basis points and, after the revolving period, the rate will reset to Base Rate (or an alternative risk-free floating interest rate index) plus 250 basis points for the remaining two years, maturing in August 2026. The Credit Facility is secured by all of the assets of Funding I. Both PennantPark Floating Rate Capital Ltd. and Funding I have made customary representations and warranties and are required to comply with various covenants, reporting requirements and other customary requirements for similar credit facilities.</w:t>
      </w:r>
    </w:p>
    <w:p>
      <w:pPr>
        <w:spacing w:after="0" w:line="158" w:lineRule="exact"/>
        <w:rPr>
          <w:sz w:val="20"/>
          <w:szCs w:val="20"/>
          <w:color w:val="auto"/>
        </w:rPr>
      </w:pPr>
    </w:p>
    <w:p>
      <w:pPr>
        <w:jc w:val="both"/>
        <w:ind w:firstLine="449"/>
        <w:spacing w:after="0" w:line="233" w:lineRule="auto"/>
        <w:rPr>
          <w:sz w:val="20"/>
          <w:szCs w:val="20"/>
          <w:color w:val="auto"/>
        </w:rPr>
      </w:pPr>
      <w:r>
        <w:rPr>
          <w:rFonts w:ascii="Arial" w:cs="Arial" w:eastAsia="Arial" w:hAnsi="Arial"/>
          <w:sz w:val="14"/>
          <w:szCs w:val="14"/>
          <w:color w:val="auto"/>
        </w:rPr>
        <w:t>The Credit Facility contains covenants, including but not limited to, restrictions of loan size, currency types and amounts, industry requirements, average life of loans, geographic and individual portfolio concentrations, minimum portfolio yield and loan payment frequency. Additionally, the Credit Facility requires the maintenance of a minimum equity investment in Funding I and income ratio as well as restrictions on certain payments and issuance of debt. The Credit Facility compliance reporting is prepared on a basis of accounting other than GAAP. As of June 30, 2022, we were in compliance with the covenants relating to our Credit Facility.</w:t>
      </w:r>
    </w:p>
    <w:p>
      <w:pPr>
        <w:spacing w:after="0" w:line="158" w:lineRule="exact"/>
        <w:rPr>
          <w:sz w:val="20"/>
          <w:szCs w:val="20"/>
          <w:color w:val="auto"/>
        </w:rPr>
      </w:pPr>
    </w:p>
    <w:p>
      <w:pPr>
        <w:jc w:val="both"/>
        <w:ind w:firstLine="449"/>
        <w:spacing w:after="0" w:line="253" w:lineRule="auto"/>
        <w:rPr>
          <w:sz w:val="20"/>
          <w:szCs w:val="20"/>
          <w:color w:val="auto"/>
        </w:rPr>
      </w:pPr>
      <w:r>
        <w:rPr>
          <w:rFonts w:ascii="Arial" w:cs="Arial" w:eastAsia="Arial" w:hAnsi="Arial"/>
          <w:sz w:val="14"/>
          <w:szCs w:val="14"/>
          <w:color w:val="auto"/>
        </w:rPr>
        <w:t>We own 100% of the equity interest in Funding I and treat the indebtedness of Funding I as our leverage. Our Investment Adviser serves as collateral manager to Funding I under the Credit Facility.</w:t>
      </w:r>
    </w:p>
    <w:p>
      <w:pPr>
        <w:spacing w:after="0" w:line="147" w:lineRule="exact"/>
        <w:rPr>
          <w:sz w:val="20"/>
          <w:szCs w:val="20"/>
          <w:color w:val="auto"/>
        </w:rPr>
      </w:pPr>
    </w:p>
    <w:p>
      <w:pPr>
        <w:jc w:val="both"/>
        <w:ind w:firstLine="449"/>
        <w:spacing w:after="0" w:line="231" w:lineRule="auto"/>
        <w:rPr>
          <w:sz w:val="20"/>
          <w:szCs w:val="20"/>
          <w:color w:val="auto"/>
        </w:rPr>
      </w:pPr>
      <w:r>
        <w:rPr>
          <w:rFonts w:ascii="Arial" w:cs="Arial" w:eastAsia="Arial" w:hAnsi="Arial"/>
          <w:sz w:val="14"/>
          <w:szCs w:val="14"/>
          <w:color w:val="auto"/>
        </w:rPr>
        <w:t>Our interest in Funding I (other than the management fee) is subordinate in priority of payment to every other obligation of Funding I and is subject to certain payment restrictions set forth in the Credit Facility. We may receive cash distributions on our equity interests in Funding I only after it has made all required payments of (1) cash interest and, if applicable, principal payments to the Lenders, (2) required administrative expenses and (3) claims of other unsecured creditors of Funding I. We cannot assure you that there will be sufficient funds available to make any distributions to us or that such distributions will meet our expectations from Funding I. The Investment Adviser has irrevocably directed that the management fee owed with respect to such services is to be paid to the Company so long as the Investment Adviser remains the collateral manager.</w:t>
      </w:r>
    </w:p>
    <w:p>
      <w:pPr>
        <w:spacing w:after="0" w:line="170" w:lineRule="exact"/>
        <w:rPr>
          <w:sz w:val="20"/>
          <w:szCs w:val="20"/>
          <w:color w:val="auto"/>
        </w:rPr>
      </w:pPr>
    </w:p>
    <w:p>
      <w:pPr>
        <w:jc w:val="both"/>
        <w:ind w:firstLine="449"/>
        <w:spacing w:after="0" w:line="273" w:lineRule="auto"/>
        <w:rPr>
          <w:sz w:val="20"/>
          <w:szCs w:val="20"/>
          <w:color w:val="auto"/>
        </w:rPr>
      </w:pPr>
      <w:r>
        <w:rPr>
          <w:rFonts w:ascii="Arial" w:cs="Arial" w:eastAsia="Arial" w:hAnsi="Arial"/>
          <w:sz w:val="14"/>
          <w:szCs w:val="14"/>
          <w:color w:val="auto"/>
        </w:rPr>
        <w:t>In November 2017, we issued $138.6 million of our 2023 Notes. The 2023 Notes were issued pursuant to a deed of trust between the Company and Mishmeret Trust Company, Ltd., as trustee, of which $97.0 million and $117.8 million was outstanding as of June 30, 2022 and September 30, 2021, respectively.</w:t>
      </w:r>
    </w:p>
    <w:p>
      <w:pPr>
        <w:spacing w:after="0" w:line="160" w:lineRule="exact"/>
        <w:rPr>
          <w:sz w:val="20"/>
          <w:szCs w:val="20"/>
          <w:color w:val="auto"/>
        </w:rPr>
      </w:pPr>
    </w:p>
    <w:p>
      <w:pPr>
        <w:jc w:val="both"/>
        <w:ind w:firstLine="449"/>
        <w:spacing w:after="0" w:line="252" w:lineRule="auto"/>
        <w:rPr>
          <w:sz w:val="20"/>
          <w:szCs w:val="20"/>
          <w:color w:val="auto"/>
        </w:rPr>
      </w:pPr>
      <w:r>
        <w:rPr>
          <w:rFonts w:ascii="Arial" w:cs="Arial" w:eastAsia="Arial" w:hAnsi="Arial"/>
          <w:sz w:val="14"/>
          <w:szCs w:val="14"/>
          <w:color w:val="auto"/>
        </w:rPr>
        <w:t>The 2023 Notes pay interest at a rate of 4.3% per year. As a result of the downgrade of the 2023 Notes from “ilA+” to “ilA-” in March 2020, the interest rate of the 2023 Notes was increased to 4.3% from 3.8%. Interest on the 2023 Notes is payable semi-annually in arrears on June 15 and December 15 of each year, commencing June 15, 2018. The principal on the 2023 Notes will be payable in four annual installments as follows: 15% of the original principal amount on December 15, 2020, 15% of the original principal amount on December 15, 2021, 15% of the original principal amount on December 15, 2022 and 55% of the original principal amount on December 15, 2023.</w:t>
      </w:r>
    </w:p>
    <w:p>
      <w:pPr>
        <w:spacing w:after="0" w:line="174" w:lineRule="exact"/>
        <w:rPr>
          <w:sz w:val="20"/>
          <w:szCs w:val="20"/>
          <w:color w:val="auto"/>
        </w:rPr>
      </w:pPr>
    </w:p>
    <w:p>
      <w:pPr>
        <w:jc w:val="both"/>
        <w:ind w:firstLine="449"/>
        <w:spacing w:after="0" w:line="252" w:lineRule="auto"/>
        <w:rPr>
          <w:sz w:val="20"/>
          <w:szCs w:val="20"/>
          <w:color w:val="auto"/>
        </w:rPr>
      </w:pPr>
      <w:r>
        <w:rPr>
          <w:rFonts w:ascii="Arial" w:cs="Arial" w:eastAsia="Arial" w:hAnsi="Arial"/>
          <w:sz w:val="14"/>
          <w:szCs w:val="14"/>
          <w:color w:val="auto"/>
        </w:rPr>
        <w:t>The 2023 Notes are general, unsecured obligations, rank equal in right of payment with all of our existing and future senior unsecured indebtedness and are generally redeemable at our option. The deed of trust governing the 2023 Notes includes certain customary covenants, including minimum equity requirements, and events of default. Please refer to the deed of trust filed as Exhibit (d)(8) to our post-effective amendment filed on December 13, 2017 for more information. The 2023 Notes are rated ilA- by S&amp;P Global Ratings Maalot Ltd. and are listed on the TASE. In connection with this offering, we have dual listed our common stock on the TASE.</w:t>
      </w:r>
    </w:p>
    <w:p>
      <w:pPr>
        <w:spacing w:after="0" w:line="174" w:lineRule="exact"/>
        <w:rPr>
          <w:sz w:val="20"/>
          <w:szCs w:val="20"/>
          <w:color w:val="auto"/>
        </w:rPr>
      </w:pPr>
    </w:p>
    <w:p>
      <w:pPr>
        <w:jc w:val="both"/>
        <w:ind w:right="20" w:firstLine="449"/>
        <w:spacing w:after="0" w:line="273" w:lineRule="auto"/>
        <w:rPr>
          <w:sz w:val="20"/>
          <w:szCs w:val="20"/>
          <w:color w:val="auto"/>
        </w:rPr>
      </w:pPr>
      <w:r>
        <w:rPr>
          <w:rFonts w:ascii="Arial" w:cs="Arial" w:eastAsia="Arial" w:hAnsi="Arial"/>
          <w:sz w:val="14"/>
          <w:szCs w:val="14"/>
          <w:color w:val="auto"/>
        </w:rPr>
        <w:t>The 2023 Notes have not been and will not be registered under the Securities Act and may not be offered or sold in the United States absent registration under the Securities Act or in transactions exempt from, or not subject to, such registration requirements.</w:t>
      </w:r>
    </w:p>
    <w:p>
      <w:pPr>
        <w:spacing w:after="0" w:line="160" w:lineRule="exact"/>
        <w:rPr>
          <w:sz w:val="20"/>
          <w:szCs w:val="20"/>
          <w:color w:val="auto"/>
        </w:rPr>
      </w:pPr>
    </w:p>
    <w:p>
      <w:pPr>
        <w:jc w:val="both"/>
        <w:ind w:firstLine="449"/>
        <w:spacing w:after="0" w:line="270" w:lineRule="auto"/>
        <w:rPr>
          <w:sz w:val="20"/>
          <w:szCs w:val="20"/>
          <w:color w:val="auto"/>
        </w:rPr>
      </w:pPr>
      <w:r>
        <w:rPr>
          <w:rFonts w:ascii="Arial" w:cs="Arial" w:eastAsia="Arial" w:hAnsi="Arial"/>
          <w:sz w:val="13"/>
          <w:szCs w:val="13"/>
          <w:color w:val="auto"/>
        </w:rPr>
        <w:t>In March 2021 and in October 2021, we issued $100.0 million and $85.0 million, respectively, in aggregate principal amount of $185 million of our 2026 Notes at a public offering price per note of 99.4% and 101.5%, respectively. Interest on the 2026 Notes is paid semi-annually on April 1 and October 1 of each year, at a rate of 4.25% per year, commencing October 1, 2021. The 2026 Notes mature on April 1, 2026 and may be redeemed in whole or in part at our option subject to a make-whole premium if redeemed more than three months prior to maturity. The 2026 Notes are our general, unsecured obligations and rank equal in right of payment with all of our existing and future senior unsecured indebtedness. The 2026 Notes are effectively subordinated to all of our existing and future secured indebtedness to the extent of the value of the assets securing such indebtedness and structurally subordinated to all existing and future indebtedness and other obligations of any of our subsidiaries, financing vehicles, or similar facilities. We do not intend to list the 2026 Notes on any securities exchange or automated dealer quotation system.</w:t>
      </w:r>
    </w:p>
    <w:p>
      <w:pPr>
        <w:spacing w:after="0" w:line="165" w:lineRule="exact"/>
        <w:rPr>
          <w:sz w:val="20"/>
          <w:szCs w:val="20"/>
          <w:color w:val="auto"/>
        </w:rPr>
      </w:pPr>
    </w:p>
    <w:p>
      <w:pPr>
        <w:jc w:val="both"/>
        <w:ind w:firstLine="449"/>
        <w:spacing w:after="0" w:line="150" w:lineRule="exact"/>
        <w:rPr>
          <w:sz w:val="20"/>
          <w:szCs w:val="20"/>
          <w:color w:val="auto"/>
        </w:rPr>
      </w:pPr>
      <w:r>
        <w:rPr>
          <w:rFonts w:ascii="Arial" w:cs="Arial" w:eastAsia="Arial" w:hAnsi="Arial"/>
          <w:sz w:val="14"/>
          <w:szCs w:val="14"/>
          <w:color w:val="auto"/>
        </w:rPr>
        <w:t>In September 2019, the Securitization Issuers completed the Debt Securitization. The 2031 Asset-Backed Debt is secured by the middle market loans, participation interests in middle market loans and other assets of the Securitization Issuer. The Debt Securitization was executed through (A) a private placement of: (i) $78.5 million Class A-1 Senior Secured Floating Rate Notes maturing 2031, which bear interest at the three-month LIBOR plus 1.8%, (ii) $15.0 million Class A-2 Senior Secured Fixed Rate Notes due 2031, which bear interest at 3.7%, (iii) $14.0 million Class B-1 Senior Secured Floating Rate Notes due 2031, which bear interest at the three-month LIBOR plus 2.9%, (iv) $16.0 million Class B-2 Senior Secured Fixed Rate Notes due 2031, which bear interest at 4.3%, (v) $19.0 million Class C</w:t>
      </w:r>
      <w:r>
        <w:rPr>
          <w:rFonts w:ascii="MS PGothic" w:cs="MS PGothic" w:eastAsia="MS PGothic" w:hAnsi="MS PGothic"/>
          <w:sz w:val="14"/>
          <w:szCs w:val="14"/>
          <w:color w:val="auto"/>
        </w:rPr>
        <w:t>‑</w:t>
      </w:r>
      <w:r>
        <w:rPr>
          <w:rFonts w:ascii="Arial" w:cs="Arial" w:eastAsia="Arial" w:hAnsi="Arial"/>
          <w:sz w:val="14"/>
          <w:szCs w:val="14"/>
          <w:color w:val="auto"/>
        </w:rPr>
        <w:t>1 Secured Deferrable Floating Rate Notes due 2031, which bear interest at the three-month LIBOR plus 4.0%, (vi) $8.0 million Class C-2 Secured Deferrable Fixed Rate Notes due 2031, which bear interest at 5.4%, and (vii) $18.0 million Class D Secured Deferrable Floating Rate Notes due 2031, which bear interest at the three-month LIBOR plus 4.8% and (B) the borrowing of $77.5 million Class A</w:t>
      </w:r>
      <w:r>
        <w:rPr>
          <w:rFonts w:ascii="MS PGothic" w:cs="MS PGothic" w:eastAsia="MS PGothic" w:hAnsi="MS PGothic"/>
          <w:sz w:val="14"/>
          <w:szCs w:val="14"/>
          <w:color w:val="auto"/>
        </w:rPr>
        <w:t>‑</w:t>
      </w:r>
      <w:r>
        <w:rPr>
          <w:rFonts w:ascii="Arial" w:cs="Arial" w:eastAsia="Arial" w:hAnsi="Arial"/>
          <w:sz w:val="14"/>
          <w:szCs w:val="14"/>
          <w:color w:val="auto"/>
        </w:rPr>
        <w:t>1 Senior Secured Floating Rate Loans due 2031, which bear interest at the three-month LIBOR plus 1.8%, under a credit agreement by and among the Securitization Issuers, as borrowers, various financial institutions, as lenders, and U.S. Bank National Association, as collateral agent and as loan agent. The 2031</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46" w:name="page47"/>
    <w:bookmarkEnd w:id="46"/>
    <w:p>
      <w:pPr>
        <w:jc w:val="both"/>
        <w:spacing w:after="0" w:line="253" w:lineRule="auto"/>
        <w:rPr>
          <w:sz w:val="20"/>
          <w:szCs w:val="20"/>
          <w:color w:val="auto"/>
        </w:rPr>
      </w:pPr>
      <w:r>
        <w:rPr>
          <w:rFonts w:ascii="Arial" w:cs="Arial" w:eastAsia="Arial" w:hAnsi="Arial"/>
          <w:sz w:val="14"/>
          <w:szCs w:val="14"/>
          <w:color w:val="auto"/>
        </w:rPr>
        <w:t>Asset-Backed Debt is scheduled to mature on October 15, 2031. As of both June 30, 2022 and September 30, 2021, the Company had $228.0 million of 2031 Asset-Backed Debt outstanding with a weighted average interest rate of 2.7%.</w:t>
      </w:r>
    </w:p>
    <w:p>
      <w:pPr>
        <w:spacing w:after="0" w:line="147" w:lineRule="exact"/>
        <w:rPr>
          <w:sz w:val="20"/>
          <w:szCs w:val="20"/>
          <w:color w:val="auto"/>
        </w:rPr>
      </w:pPr>
    </w:p>
    <w:p>
      <w:pPr>
        <w:jc w:val="both"/>
        <w:ind w:firstLine="449"/>
        <w:spacing w:after="0" w:line="233" w:lineRule="auto"/>
        <w:rPr>
          <w:sz w:val="20"/>
          <w:szCs w:val="20"/>
          <w:color w:val="auto"/>
        </w:rPr>
      </w:pPr>
      <w:r>
        <w:rPr>
          <w:rFonts w:ascii="Arial" w:cs="Arial" w:eastAsia="Arial" w:hAnsi="Arial"/>
          <w:sz w:val="14"/>
          <w:szCs w:val="14"/>
          <w:color w:val="auto"/>
        </w:rPr>
        <w:t>On the closing date of the Debt Securitization, in consideration of our transfer to the Securitization Issuer of the initial closing date loan portfolio, which included loans distributed to us by our wholly-owned subsidiary, the Securitization Issuer transferred to us 100% of the Preferred Shares of the Securitization Issuer, 100% of the Class D Secured Deferrable Floating Rate Notes issued by the Securitization Issuer, and a portion of the net cash proceeds received from the sale of the 2031 Asset-Backed Debt. The Preferred Shares of the Securitization Issuer do not bear interest and had a stated value of $55.4 million at the closing of the Debt Securitization.</w:t>
      </w:r>
    </w:p>
    <w:p>
      <w:pPr>
        <w:spacing w:after="0" w:line="158" w:lineRule="exact"/>
        <w:rPr>
          <w:sz w:val="20"/>
          <w:szCs w:val="20"/>
          <w:color w:val="auto"/>
        </w:rPr>
      </w:pPr>
    </w:p>
    <w:p>
      <w:pPr>
        <w:jc w:val="both"/>
        <w:ind w:firstLine="449"/>
        <w:spacing w:after="0" w:line="238" w:lineRule="auto"/>
        <w:rPr>
          <w:sz w:val="20"/>
          <w:szCs w:val="20"/>
          <w:color w:val="auto"/>
        </w:rPr>
      </w:pPr>
      <w:r>
        <w:rPr>
          <w:rFonts w:ascii="Arial" w:cs="Arial" w:eastAsia="Arial" w:hAnsi="Arial"/>
          <w:sz w:val="14"/>
          <w:szCs w:val="14"/>
          <w:color w:val="auto"/>
        </w:rPr>
        <w:t>The 2031 Asset-Backed Debt constitutes secured obligations of the Securitization Issuers, and the indenture governing the 2031 Asset-Backed Debt includes customary covenants and events of default. The 2031 Asset-Backed Debt has not been, and will not be, registered under the Securities Act or any state securities or “blue sky” laws and may not be offered or sold in the United States absent registration with the SEC or an applicable exemption from registration.</w:t>
      </w:r>
    </w:p>
    <w:p>
      <w:pPr>
        <w:spacing w:after="0" w:line="156" w:lineRule="exact"/>
        <w:rPr>
          <w:sz w:val="20"/>
          <w:szCs w:val="20"/>
          <w:color w:val="auto"/>
        </w:rPr>
      </w:pPr>
    </w:p>
    <w:p>
      <w:pPr>
        <w:jc w:val="both"/>
        <w:ind w:firstLine="449"/>
        <w:spacing w:after="0" w:line="238" w:lineRule="auto"/>
        <w:rPr>
          <w:sz w:val="20"/>
          <w:szCs w:val="20"/>
          <w:color w:val="auto"/>
        </w:rPr>
      </w:pPr>
      <w:r>
        <w:rPr>
          <w:rFonts w:ascii="Arial" w:cs="Arial" w:eastAsia="Arial" w:hAnsi="Arial"/>
          <w:sz w:val="14"/>
          <w:szCs w:val="14"/>
          <w:color w:val="auto"/>
        </w:rPr>
        <w:t>Our Investment Adviser serves as collateral manager to the Securitization Issuer pursuant to a collateral management agreement between our Investment Adviser and the Securitization Issuer, or the Collateral Management Agreement. For so long as our Investment Adviser serves as collateral manager, it will elect to irrevocably waive any collateral management fee to which it may be entitled under the Collateral Management Agreement.</w:t>
      </w:r>
    </w:p>
    <w:p>
      <w:pPr>
        <w:spacing w:after="0" w:line="156" w:lineRule="exact"/>
        <w:rPr>
          <w:sz w:val="20"/>
          <w:szCs w:val="20"/>
          <w:color w:val="auto"/>
        </w:rPr>
      </w:pPr>
    </w:p>
    <w:p>
      <w:pPr>
        <w:jc w:val="both"/>
        <w:ind w:firstLine="449"/>
        <w:spacing w:after="0" w:line="233" w:lineRule="auto"/>
        <w:rPr>
          <w:sz w:val="20"/>
          <w:szCs w:val="20"/>
          <w:color w:val="auto"/>
        </w:rPr>
      </w:pPr>
      <w:r>
        <w:rPr>
          <w:rFonts w:ascii="Arial" w:cs="Arial" w:eastAsia="Arial" w:hAnsi="Arial"/>
          <w:sz w:val="14"/>
          <w:szCs w:val="14"/>
          <w:color w:val="auto"/>
        </w:rPr>
        <w:t>On August 20, 2021, we entered into Equity Distribution Agreements with each of JMP Securities LLC and Raymond James &amp; Associates, Inc., as the Sales Agents, in connection with the sale of shares of our Common Stock, par value $0.001 per share , with an aggregate offering price of up to $75 million under the ATM Program. The Equity Distribution Agreements provide that we may offer and sell shares of our Common Stock from time to time through a Sales Agent in amounts and at times to be determined by us. Actual sales will depend on a variety of factors to be determined by us from time to time, including, market conditions and the trading price of our Common Stock.</w:t>
      </w:r>
    </w:p>
    <w:p>
      <w:pPr>
        <w:spacing w:after="0" w:line="171" w:lineRule="exact"/>
        <w:rPr>
          <w:sz w:val="20"/>
          <w:szCs w:val="20"/>
          <w:color w:val="auto"/>
        </w:rPr>
      </w:pPr>
    </w:p>
    <w:p>
      <w:pPr>
        <w:jc w:val="both"/>
        <w:ind w:firstLine="296"/>
        <w:spacing w:after="0" w:line="252" w:lineRule="auto"/>
        <w:rPr>
          <w:sz w:val="20"/>
          <w:szCs w:val="20"/>
          <w:color w:val="auto"/>
        </w:rPr>
      </w:pPr>
      <w:r>
        <w:rPr>
          <w:rFonts w:ascii="Arial" w:cs="Arial" w:eastAsia="Arial" w:hAnsi="Arial"/>
          <w:sz w:val="14"/>
          <w:szCs w:val="14"/>
          <w:color w:val="auto"/>
        </w:rPr>
        <w:t>During the three months ended June 30, 2022, we issued 136,072 shares of our Common Stock under the ATM Program at a weighted-average price of $13.38 per share, raising $1.8 million of gross proceeds. Net proceeds were $1.8 million after commissions to the Sales Agents on shares sold. During the nine months ended June 30, 2022, we issued 2,464,910 shares of our Common Stock under the ATM Program at a weighted-average price of $13.12 per share, raising $32.3 million of gross proceeds. Net proceeds were $31.9 million after commissions to the Sales Agents on shares sold. As of June 30, 2022, we had $41.3 million available under the ATM Program.</w:t>
      </w:r>
    </w:p>
    <w:p>
      <w:pPr>
        <w:spacing w:after="0" w:line="174" w:lineRule="exact"/>
        <w:rPr>
          <w:sz w:val="20"/>
          <w:szCs w:val="20"/>
          <w:color w:val="auto"/>
        </w:rPr>
      </w:pPr>
    </w:p>
    <w:p>
      <w:pPr>
        <w:jc w:val="both"/>
        <w:ind w:firstLine="449"/>
        <w:spacing w:after="0" w:line="257" w:lineRule="auto"/>
        <w:rPr>
          <w:sz w:val="20"/>
          <w:szCs w:val="20"/>
          <w:color w:val="auto"/>
        </w:rPr>
      </w:pPr>
      <w:r>
        <w:rPr>
          <w:rFonts w:ascii="Arial" w:cs="Arial" w:eastAsia="Arial" w:hAnsi="Arial"/>
          <w:sz w:val="14"/>
          <w:szCs w:val="14"/>
          <w:color w:val="auto"/>
        </w:rPr>
        <w:t>Since inception of the ATM Program through June 30, 2022, we have issued 2,573,564 shares of our Common Stock at a weighted-average price of $13.11, raising $33.7 million of gross proceeds. Net proceeds were $33.2 million after commissions to the Sales Agents on shares sold. We incurred $0.5 million of legal and other offering costs associated with establishing the ATM Program.</w:t>
      </w:r>
    </w:p>
    <w:p>
      <w:pPr>
        <w:spacing w:after="0" w:line="171" w:lineRule="exact"/>
        <w:rPr>
          <w:sz w:val="20"/>
          <w:szCs w:val="20"/>
          <w:color w:val="auto"/>
        </w:rPr>
      </w:pPr>
    </w:p>
    <w:p>
      <w:pPr>
        <w:jc w:val="both"/>
        <w:ind w:firstLine="449"/>
        <w:spacing w:after="0" w:line="252" w:lineRule="auto"/>
        <w:rPr>
          <w:sz w:val="20"/>
          <w:szCs w:val="20"/>
          <w:color w:val="auto"/>
        </w:rPr>
      </w:pPr>
      <w:r>
        <w:rPr>
          <w:rFonts w:ascii="Arial" w:cs="Arial" w:eastAsia="Arial" w:hAnsi="Arial"/>
          <w:sz w:val="14"/>
          <w:szCs w:val="14"/>
          <w:color w:val="auto"/>
        </w:rPr>
        <w:t>We may raise equity or debt capital through both registered offerings off our shelf registration statement and private offerings of securities, securitizing a portion of our investments among other considerations or mergers and acquisitions. Furthermore, the Credit Facility availability depends on various covenants and restrictions as discussed in the preceding paragraphs. The primary use of existing funds and any funds raised in the future is expected to be for repayment of indebtedness, investments in portfolio companies, cash distributions to our stockholders or for other general corporate purposes.</w:t>
      </w:r>
    </w:p>
    <w:p>
      <w:pPr>
        <w:spacing w:after="0" w:line="161" w:lineRule="exact"/>
        <w:rPr>
          <w:sz w:val="20"/>
          <w:szCs w:val="20"/>
          <w:color w:val="auto"/>
        </w:rPr>
      </w:pPr>
    </w:p>
    <w:p>
      <w:pPr>
        <w:jc w:val="both"/>
        <w:ind w:firstLine="449"/>
        <w:spacing w:after="0" w:line="253" w:lineRule="auto"/>
        <w:rPr>
          <w:sz w:val="20"/>
          <w:szCs w:val="20"/>
          <w:color w:val="auto"/>
        </w:rPr>
      </w:pPr>
      <w:r>
        <w:rPr>
          <w:rFonts w:ascii="Arial" w:cs="Arial" w:eastAsia="Arial" w:hAnsi="Arial"/>
          <w:sz w:val="14"/>
          <w:szCs w:val="14"/>
          <w:color w:val="auto"/>
        </w:rPr>
        <w:t>As of June 30, 2022 and September 30, 2021, we had cash equivalents of $40.6 million and $49.8 million, respectively, available for investing and general corporate purposes. We believe our liquidity and capital resources are sufficient to take advantage of market opportunities.</w:t>
      </w:r>
    </w:p>
    <w:p>
      <w:pPr>
        <w:spacing w:after="0" w:line="147" w:lineRule="exact"/>
        <w:rPr>
          <w:sz w:val="20"/>
          <w:szCs w:val="20"/>
          <w:color w:val="auto"/>
        </w:rPr>
      </w:pPr>
    </w:p>
    <w:p>
      <w:pPr>
        <w:jc w:val="both"/>
        <w:ind w:firstLine="449"/>
        <w:spacing w:after="0" w:line="238" w:lineRule="auto"/>
        <w:rPr>
          <w:sz w:val="20"/>
          <w:szCs w:val="20"/>
          <w:color w:val="auto"/>
        </w:rPr>
      </w:pPr>
      <w:r>
        <w:rPr>
          <w:rFonts w:ascii="Arial" w:cs="Arial" w:eastAsia="Arial" w:hAnsi="Arial"/>
          <w:sz w:val="14"/>
          <w:szCs w:val="14"/>
          <w:color w:val="auto"/>
        </w:rPr>
        <w:t>Our operating activities used cash of $111.6 million for the nine months ended June 30, 2022, and our financing activities provided cash of $101.7 million for the same period. Our operating activities used cash primarily for our investment activities and our financing activities provided cash primarily due to the issuance of $85 million of our 2026 Add-on Notes borrowings under our Credit Facility.</w:t>
      </w:r>
    </w:p>
    <w:p>
      <w:pPr>
        <w:spacing w:after="0" w:line="156" w:lineRule="exact"/>
        <w:rPr>
          <w:sz w:val="20"/>
          <w:szCs w:val="20"/>
          <w:color w:val="auto"/>
        </w:rPr>
      </w:pPr>
    </w:p>
    <w:p>
      <w:pPr>
        <w:jc w:val="both"/>
        <w:ind w:firstLine="449"/>
        <w:spacing w:after="0" w:line="257" w:lineRule="auto"/>
        <w:rPr>
          <w:sz w:val="20"/>
          <w:szCs w:val="20"/>
          <w:color w:val="auto"/>
        </w:rPr>
      </w:pPr>
      <w:r>
        <w:rPr>
          <w:rFonts w:ascii="Arial" w:cs="Arial" w:eastAsia="Arial" w:hAnsi="Arial"/>
          <w:sz w:val="14"/>
          <w:szCs w:val="14"/>
          <w:color w:val="auto"/>
        </w:rPr>
        <w:t>Our operating activities provided cash of $124.4 million for the nine months ended June 30, 2021, and our financing activities used cash of $132.3 million for the same period. Our operating activities provided cash primarily from our investment activities and our financing activities used cash primarily to pay down our Credit Facility, partially offset by the 2026 Notes issuance.</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PennantPark Senior Secured Loan Fund I LLC</w:t>
      </w:r>
    </w:p>
    <w:p>
      <w:pPr>
        <w:spacing w:after="0" w:line="181" w:lineRule="exact"/>
        <w:rPr>
          <w:sz w:val="20"/>
          <w:szCs w:val="20"/>
          <w:color w:val="auto"/>
        </w:rPr>
      </w:pPr>
    </w:p>
    <w:p>
      <w:pPr>
        <w:jc w:val="both"/>
        <w:ind w:firstLine="449"/>
        <w:spacing w:after="0" w:line="231" w:lineRule="auto"/>
        <w:rPr>
          <w:sz w:val="20"/>
          <w:szCs w:val="20"/>
          <w:color w:val="auto"/>
        </w:rPr>
      </w:pPr>
      <w:r>
        <w:rPr>
          <w:rFonts w:ascii="Arial" w:cs="Arial" w:eastAsia="Arial" w:hAnsi="Arial"/>
          <w:sz w:val="14"/>
          <w:szCs w:val="14"/>
          <w:color w:val="auto"/>
        </w:rPr>
        <w:t>In May 2017, we and Kemper formed PSSL, an unconsolidated joint venture. PSSL invests primarily in middle-market and other corporate debt securities consistent with our strategy. PSSL was formed as a Delaware limited liability company. As of June 30, 2022 and September 30, 2021, PSSL had total assets of $790.3 million and $603.6 million, respectively. As of June 30, 2022, at fair value, the largest investment in a single portfolio company in PSSL was $19.1 million and the five largest investments totaled $86.6 million. As of September 30, 2021, at fair value, the largest investment in a single portfolio company in PSSL was $18.9 million and the five largest investments totaled $84.3 million. PSSL invests in portfolio companies in the same industries in which we may directly invest.</w:t>
      </w:r>
    </w:p>
    <w:p>
      <w:pPr>
        <w:spacing w:after="0" w:line="157" w:lineRule="exact"/>
        <w:rPr>
          <w:sz w:val="20"/>
          <w:szCs w:val="20"/>
          <w:color w:val="auto"/>
        </w:rPr>
      </w:pPr>
    </w:p>
    <w:p>
      <w:pPr>
        <w:jc w:val="both"/>
        <w:ind w:firstLine="449"/>
        <w:spacing w:after="0" w:line="233" w:lineRule="auto"/>
        <w:rPr>
          <w:sz w:val="20"/>
          <w:szCs w:val="20"/>
          <w:color w:val="auto"/>
        </w:rPr>
      </w:pPr>
      <w:r>
        <w:rPr>
          <w:rFonts w:ascii="Arial" w:cs="Arial" w:eastAsia="Arial" w:hAnsi="Arial"/>
          <w:sz w:val="14"/>
          <w:szCs w:val="14"/>
          <w:color w:val="auto"/>
        </w:rPr>
        <w:t>We provide capital to PSSL in the form of first lien secured debt and equity interests. As of June 30, 2022 and September 30, 2021, we and Kemper owned 87.5% and 12.5%, respectively, of each of the outstanding first lien secured debt and equity interests. As of the same dates, our investment in PSSL consisted of first lien secured debt of $190.2 million (additional $19.9 million unfunded) and $140.9 million (additional $29.4 million unfunded), respectively, and equity interests of $81.5 million (additional $8.5 million unfunded) and $60.4 million (additional $12.6 million unfunded), respectively.</w:t>
      </w:r>
    </w:p>
    <w:p>
      <w:pPr>
        <w:spacing w:after="0" w:line="158" w:lineRule="exact"/>
        <w:rPr>
          <w:sz w:val="20"/>
          <w:szCs w:val="20"/>
          <w:color w:val="auto"/>
        </w:rPr>
      </w:pPr>
    </w:p>
    <w:p>
      <w:pPr>
        <w:jc w:val="both"/>
        <w:ind w:firstLine="449"/>
        <w:spacing w:after="0" w:line="229" w:lineRule="auto"/>
        <w:rPr>
          <w:sz w:val="20"/>
          <w:szCs w:val="20"/>
          <w:color w:val="auto"/>
        </w:rPr>
      </w:pPr>
      <w:r>
        <w:rPr>
          <w:rFonts w:ascii="Arial" w:cs="Arial" w:eastAsia="Arial" w:hAnsi="Arial"/>
          <w:sz w:val="14"/>
          <w:szCs w:val="14"/>
          <w:color w:val="auto"/>
        </w:rPr>
        <w:t>We and Kemper each appointed two members to PSSL’s four-person board of directors and investment committee. All material decisions with respect to PSSL, including those involving its investment portfolio, require unanimous approval of a quorum of the board of directors or investment committee. Quorum is defined as (i) the presence of two members of the board of directors or investment committee, provided that at least one individual is present that was elected, designated or appointed by each member; (ii) the presence of three members of the board of directors or investment committee, provided that the individual that was elected, designated or appointed by the member with only one individual present shall be entitled to cast two votes on each matter; and (iii) the presence of four members of the board of directors or investment committee shall constitute a quorum, provided that two individuals are present that were elected, designated or appointed by each member.</w:t>
      </w:r>
    </w:p>
    <w:p>
      <w:pPr>
        <w:spacing w:after="0" w:line="158" w:lineRule="exact"/>
        <w:rPr>
          <w:sz w:val="20"/>
          <w:szCs w:val="20"/>
          <w:color w:val="auto"/>
        </w:rPr>
      </w:pPr>
    </w:p>
    <w:p>
      <w:pPr>
        <w:jc w:val="both"/>
        <w:ind w:firstLine="449"/>
        <w:spacing w:after="0" w:line="238" w:lineRule="auto"/>
        <w:rPr>
          <w:sz w:val="20"/>
          <w:szCs w:val="20"/>
          <w:color w:val="auto"/>
        </w:rPr>
      </w:pPr>
      <w:r>
        <w:rPr>
          <w:rFonts w:ascii="Arial" w:cs="Arial" w:eastAsia="Arial" w:hAnsi="Arial"/>
          <w:sz w:val="14"/>
          <w:szCs w:val="14"/>
          <w:color w:val="auto"/>
        </w:rPr>
        <w:t>In May 2022 PSSL has entered into a $325.0 million (increased from $225.0 million in May 2022) senior secured revolving credit facility which bears interest at daily simple SOFR plus 260 basis points (including a spread adjustment) with Ally Bank through its wholly-owned subsidiary, PennantPark Senior Secured Loan Facility LLC II, or PSSL Subsidiary II, subject to leverage and borrowing base restrictions.</w:t>
      </w:r>
    </w:p>
    <w:p>
      <w:pPr>
        <w:spacing w:after="0" w:line="156" w:lineRule="exact"/>
        <w:rPr>
          <w:sz w:val="20"/>
          <w:szCs w:val="20"/>
          <w:color w:val="auto"/>
        </w:rPr>
      </w:pPr>
    </w:p>
    <w:p>
      <w:pPr>
        <w:jc w:val="both"/>
        <w:ind w:firstLine="449"/>
        <w:spacing w:after="0" w:line="231" w:lineRule="auto"/>
        <w:rPr>
          <w:sz w:val="20"/>
          <w:szCs w:val="20"/>
          <w:color w:val="auto"/>
        </w:rPr>
      </w:pPr>
      <w:r>
        <w:rPr>
          <w:rFonts w:ascii="Arial" w:cs="Arial" w:eastAsia="Arial" w:hAnsi="Arial"/>
          <w:sz w:val="14"/>
          <w:szCs w:val="14"/>
          <w:color w:val="auto"/>
        </w:rPr>
        <w:t>In January 2021, PSSL completed a $300.7 million debt securitization in the form of a collateralized loan obligation, or the “2032 Asset-Backed Debt”. The 2032 Asset-Backed Debt is secured by a diversified portfolio of PennantPark CLO II, Ltd., a wholly-owned and consolidated subsidiary of PSSL, consisting primarily of middle market loans and participation interests in middle market loans. The 2032 Asset-Backed Debt is scheduled to mature in January 2032. On the closing date of the transaction, in consideration of PSSL’s transfer to PennantPark CLO II, Ltd. of the initial closing date loan portfolio, which included loans distributed to PSSL by certain of its wholly owned subsidiaries and us, PennantPark CLO II, Ltd. transferred to PSSL 100% of the Preferred Shares of PennantPark CLO II, Ltd. and 100% of the Class E Notes issued by PennantPark CLO II, Ltd.</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182"/>
        </w:trPr>
        <w:tc>
          <w:tcPr>
            <w:tcW w:w="4580" w:type="dxa"/>
            <w:vAlign w:val="bottom"/>
          </w:tcPr>
          <w:p>
            <w:pPr>
              <w:ind w:left="460"/>
              <w:spacing w:after="0"/>
              <w:rPr>
                <w:sz w:val="20"/>
                <w:szCs w:val="20"/>
                <w:color w:val="auto"/>
              </w:rPr>
            </w:pPr>
            <w:r>
              <w:rPr>
                <w:rFonts w:ascii="Arial" w:cs="Arial" w:eastAsia="Arial" w:hAnsi="Arial"/>
                <w:sz w:val="14"/>
                <w:szCs w:val="14"/>
                <w:color w:val="auto"/>
              </w:rPr>
              <w:t>Below is a summary of PSSL’s portfolio at fair value:</w:t>
            </w:r>
          </w:p>
        </w:tc>
        <w:tc>
          <w:tcPr>
            <w:tcW w:w="3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63"/>
        </w:trPr>
        <w:tc>
          <w:tcPr>
            <w:tcW w:w="4580" w:type="dxa"/>
            <w:vAlign w:val="bottom"/>
          </w:tcPr>
          <w:p>
            <w:pPr>
              <w:ind w:left="20"/>
              <w:spacing w:after="0"/>
              <w:rPr>
                <w:sz w:val="20"/>
                <w:szCs w:val="20"/>
                <w:color w:val="auto"/>
              </w:rPr>
            </w:pPr>
            <w:r>
              <w:rPr>
                <w:rFonts w:ascii="Arial" w:cs="Arial" w:eastAsia="Arial" w:hAnsi="Arial"/>
                <w:sz w:val="14"/>
                <w:szCs w:val="14"/>
                <w:color w:val="auto"/>
              </w:rPr>
              <w:t>($ in thousands)</w:t>
            </w:r>
          </w:p>
        </w:tc>
        <w:tc>
          <w:tcPr>
            <w:tcW w:w="3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June 30, 2022</w:t>
            </w:r>
          </w:p>
        </w:tc>
        <w:tc>
          <w:tcPr>
            <w:tcW w:w="140" w:type="dxa"/>
            <w:vAlign w:val="bottom"/>
          </w:tcPr>
          <w:p>
            <w:pPr>
              <w:spacing w:after="0"/>
              <w:rPr>
                <w:sz w:val="24"/>
                <w:szCs w:val="24"/>
                <w:color w:val="auto"/>
              </w:rPr>
            </w:pPr>
          </w:p>
        </w:tc>
        <w:tc>
          <w:tcPr>
            <w:tcW w:w="1580" w:type="dxa"/>
            <w:vAlign w:val="bottom"/>
            <w:gridSpan w:val="3"/>
          </w:tcPr>
          <w:p>
            <w:pPr>
              <w:ind w:left="60"/>
              <w:spacing w:after="0"/>
              <w:rPr>
                <w:sz w:val="20"/>
                <w:szCs w:val="20"/>
                <w:color w:val="auto"/>
              </w:rPr>
            </w:pPr>
            <w:r>
              <w:rPr>
                <w:rFonts w:ascii="Arial" w:cs="Arial" w:eastAsia="Arial" w:hAnsi="Arial"/>
                <w:sz w:val="14"/>
                <w:szCs w:val="14"/>
                <w:b w:val="1"/>
                <w:bCs w:val="1"/>
                <w:color w:val="auto"/>
              </w:rPr>
              <w:t>September 30, 2021</w:t>
            </w:r>
          </w:p>
        </w:tc>
      </w:tr>
      <w:tr>
        <w:trPr>
          <w:trHeight w:val="169"/>
        </w:trPr>
        <w:tc>
          <w:tcPr>
            <w:tcW w:w="4580" w:type="dxa"/>
            <w:vAlign w:val="bottom"/>
            <w:shd w:val="clear" w:color="auto" w:fill="CCECFF"/>
          </w:tcPr>
          <w:p>
            <w:pPr>
              <w:ind w:left="20"/>
              <w:spacing w:after="0"/>
              <w:rPr>
                <w:sz w:val="20"/>
                <w:szCs w:val="20"/>
                <w:color w:val="auto"/>
              </w:rPr>
            </w:pPr>
            <w:r>
              <w:rPr>
                <w:rFonts w:ascii="Arial" w:cs="Arial" w:eastAsia="Arial" w:hAnsi="Arial"/>
                <w:sz w:val="14"/>
                <w:szCs w:val="14"/>
                <w:color w:val="auto"/>
              </w:rPr>
              <w:t>Total investments</w:t>
            </w:r>
          </w:p>
        </w:tc>
        <w:tc>
          <w:tcPr>
            <w:tcW w:w="3100" w:type="dxa"/>
            <w:vAlign w:val="bottom"/>
            <w:shd w:val="clear" w:color="auto" w:fill="CCECFF"/>
          </w:tcPr>
          <w:p>
            <w:pPr>
              <w:spacing w:after="0"/>
              <w:rPr>
                <w:sz w:val="14"/>
                <w:szCs w:val="14"/>
                <w:color w:val="auto"/>
              </w:rPr>
            </w:pPr>
          </w:p>
        </w:tc>
        <w:tc>
          <w:tcPr>
            <w:tcW w:w="240" w:type="dxa"/>
            <w:vAlign w:val="bottom"/>
            <w:tcBorders>
              <w:top w:val="single" w:sz="8" w:color="auto"/>
            </w:tcBorders>
            <w:shd w:val="clear" w:color="auto" w:fill="CCECFF"/>
          </w:tcPr>
          <w:p>
            <w:pPr>
              <w:jc w:val="right"/>
              <w:ind w:right="68"/>
              <w:spacing w:after="0"/>
              <w:rPr>
                <w:sz w:val="20"/>
                <w:szCs w:val="20"/>
                <w:color w:val="auto"/>
              </w:rPr>
            </w:pPr>
            <w:r>
              <w:rPr>
                <w:rFonts w:ascii="Arial" w:cs="Arial" w:eastAsia="Arial" w:hAnsi="Arial"/>
                <w:sz w:val="14"/>
                <w:szCs w:val="14"/>
                <w:color w:val="auto"/>
              </w:rPr>
              <w:t>$</w:t>
            </w:r>
          </w:p>
        </w:tc>
        <w:tc>
          <w:tcPr>
            <w:tcW w:w="134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746,819</w:t>
            </w:r>
          </w:p>
        </w:tc>
        <w:tc>
          <w:tcPr>
            <w:tcW w:w="280" w:type="dxa"/>
            <w:vAlign w:val="bottom"/>
            <w:shd w:val="clear" w:color="auto" w:fill="CCECFF"/>
          </w:tcPr>
          <w:p>
            <w:pPr>
              <w:spacing w:after="0"/>
              <w:rPr>
                <w:sz w:val="14"/>
                <w:szCs w:val="14"/>
                <w:color w:val="auto"/>
              </w:rPr>
            </w:pPr>
          </w:p>
        </w:tc>
        <w:tc>
          <w:tcPr>
            <w:tcW w:w="14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w w:val="76"/>
              </w:rPr>
              <w:t>$</w:t>
            </w:r>
          </w:p>
        </w:tc>
        <w:tc>
          <w:tcPr>
            <w:tcW w:w="146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564,783</w:t>
            </w:r>
          </w:p>
        </w:tc>
        <w:tc>
          <w:tcPr>
            <w:tcW w:w="10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r>
      <w:tr>
        <w:trPr>
          <w:trHeight w:val="176"/>
        </w:trPr>
        <w:tc>
          <w:tcPr>
            <w:tcW w:w="4580" w:type="dxa"/>
            <w:vAlign w:val="bottom"/>
          </w:tcPr>
          <w:p>
            <w:pPr>
              <w:ind w:left="20"/>
              <w:spacing w:after="0"/>
              <w:rPr>
                <w:sz w:val="20"/>
                <w:szCs w:val="20"/>
                <w:color w:val="auto"/>
              </w:rPr>
            </w:pPr>
            <w:r>
              <w:rPr>
                <w:rFonts w:ascii="Arial" w:cs="Arial" w:eastAsia="Arial" w:hAnsi="Arial"/>
                <w:sz w:val="14"/>
                <w:szCs w:val="14"/>
                <w:color w:val="auto"/>
              </w:rPr>
              <w:t>Weighted average cost yield on income producing investments</w:t>
            </w:r>
          </w:p>
        </w:tc>
        <w:tc>
          <w:tcPr>
            <w:tcW w:w="3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4"/>
                <w:szCs w:val="14"/>
                <w:color w:val="auto"/>
              </w:rPr>
              <w:t>8.2 %</w:t>
            </w:r>
          </w:p>
        </w:tc>
        <w:tc>
          <w:tcPr>
            <w:tcW w:w="140" w:type="dxa"/>
            <w:vAlign w:val="bottom"/>
          </w:tcPr>
          <w:p>
            <w:pPr>
              <w:spacing w:after="0"/>
              <w:rPr>
                <w:sz w:val="15"/>
                <w:szCs w:val="15"/>
                <w:color w:val="auto"/>
              </w:rPr>
            </w:pPr>
          </w:p>
        </w:tc>
        <w:tc>
          <w:tcPr>
            <w:tcW w:w="1560" w:type="dxa"/>
            <w:vAlign w:val="bottom"/>
            <w:gridSpan w:val="2"/>
          </w:tcPr>
          <w:p>
            <w:pPr>
              <w:jc w:val="right"/>
              <w:spacing w:after="0"/>
              <w:rPr>
                <w:sz w:val="20"/>
                <w:szCs w:val="20"/>
                <w:color w:val="auto"/>
              </w:rPr>
            </w:pPr>
            <w:r>
              <w:rPr>
                <w:rFonts w:ascii="Arial" w:cs="Arial" w:eastAsia="Arial" w:hAnsi="Arial"/>
                <w:sz w:val="14"/>
                <w:szCs w:val="14"/>
                <w:color w:val="auto"/>
              </w:rPr>
              <w:t>7.1 %</w:t>
            </w:r>
          </w:p>
        </w:tc>
        <w:tc>
          <w:tcPr>
            <w:tcW w:w="20" w:type="dxa"/>
            <w:vAlign w:val="bottom"/>
          </w:tcPr>
          <w:p>
            <w:pPr>
              <w:spacing w:after="0"/>
              <w:rPr>
                <w:sz w:val="15"/>
                <w:szCs w:val="15"/>
                <w:color w:val="auto"/>
              </w:rPr>
            </w:pPr>
          </w:p>
        </w:tc>
      </w:tr>
      <w:tr>
        <w:trPr>
          <w:trHeight w:val="175"/>
        </w:trPr>
        <w:tc>
          <w:tcPr>
            <w:tcW w:w="4580" w:type="dxa"/>
            <w:vAlign w:val="bottom"/>
            <w:shd w:val="clear" w:color="auto" w:fill="CCECFF"/>
          </w:tcPr>
          <w:p>
            <w:pPr>
              <w:ind w:left="20"/>
              <w:spacing w:after="0"/>
              <w:rPr>
                <w:sz w:val="20"/>
                <w:szCs w:val="20"/>
                <w:color w:val="auto"/>
              </w:rPr>
            </w:pPr>
            <w:r>
              <w:rPr>
                <w:rFonts w:ascii="Arial" w:cs="Arial" w:eastAsia="Arial" w:hAnsi="Arial"/>
                <w:sz w:val="14"/>
                <w:szCs w:val="14"/>
                <w:color w:val="auto"/>
              </w:rPr>
              <w:t>Number of portfolio companies in PSSL</w:t>
            </w:r>
          </w:p>
        </w:tc>
        <w:tc>
          <w:tcPr>
            <w:tcW w:w="310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13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89</w:t>
            </w:r>
          </w:p>
        </w:tc>
        <w:tc>
          <w:tcPr>
            <w:tcW w:w="28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14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74</w:t>
            </w:r>
          </w:p>
        </w:tc>
        <w:tc>
          <w:tcPr>
            <w:tcW w:w="100" w:type="dxa"/>
            <w:vAlign w:val="bottom"/>
            <w:shd w:val="clear" w:color="auto" w:fill="CCECFF"/>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4580" w:type="dxa"/>
            <w:vAlign w:val="bottom"/>
          </w:tcPr>
          <w:p>
            <w:pPr>
              <w:ind w:left="20"/>
              <w:spacing w:after="0"/>
              <w:rPr>
                <w:sz w:val="20"/>
                <w:szCs w:val="20"/>
                <w:color w:val="auto"/>
              </w:rPr>
            </w:pPr>
            <w:r>
              <w:rPr>
                <w:rFonts w:ascii="Arial" w:cs="Arial" w:eastAsia="Arial" w:hAnsi="Arial"/>
                <w:sz w:val="14"/>
                <w:szCs w:val="14"/>
                <w:color w:val="auto"/>
              </w:rPr>
              <w:t>Largest portfolio company investment</w:t>
            </w:r>
          </w:p>
        </w:tc>
        <w:tc>
          <w:tcPr>
            <w:tcW w:w="334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19,126</w:t>
            </w:r>
          </w:p>
        </w:tc>
        <w:tc>
          <w:tcPr>
            <w:tcW w:w="2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18,933</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5"/>
        </w:trPr>
        <w:tc>
          <w:tcPr>
            <w:tcW w:w="4580" w:type="dxa"/>
            <w:vAlign w:val="bottom"/>
            <w:shd w:val="clear" w:color="auto" w:fill="CCECFF"/>
          </w:tcPr>
          <w:p>
            <w:pPr>
              <w:ind w:left="20"/>
              <w:spacing w:after="0"/>
              <w:rPr>
                <w:sz w:val="20"/>
                <w:szCs w:val="20"/>
                <w:color w:val="auto"/>
              </w:rPr>
            </w:pPr>
            <w:r>
              <w:rPr>
                <w:rFonts w:ascii="Arial" w:cs="Arial" w:eastAsia="Arial" w:hAnsi="Arial"/>
                <w:sz w:val="14"/>
                <w:szCs w:val="14"/>
                <w:color w:val="auto"/>
              </w:rPr>
              <w:t>Total of five largest portfolio company investments</w:t>
            </w:r>
          </w:p>
        </w:tc>
        <w:tc>
          <w:tcPr>
            <w:tcW w:w="3340" w:type="dxa"/>
            <w:vAlign w:val="bottom"/>
            <w:gridSpan w:val="2"/>
            <w:shd w:val="clear" w:color="auto" w:fill="CCECFF"/>
          </w:tcPr>
          <w:p>
            <w:pPr>
              <w:jc w:val="right"/>
              <w:ind w:right="68"/>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86,629</w:t>
            </w:r>
          </w:p>
        </w:tc>
        <w:tc>
          <w:tcPr>
            <w:tcW w:w="280" w:type="dxa"/>
            <w:vAlign w:val="bottom"/>
            <w:shd w:val="clear" w:color="auto" w:fill="CCECFF"/>
          </w:tcPr>
          <w:p>
            <w:pPr>
              <w:spacing w:after="0"/>
              <w:rPr>
                <w:sz w:val="15"/>
                <w:szCs w:val="15"/>
                <w:color w:val="auto"/>
              </w:rPr>
            </w:pPr>
          </w:p>
        </w:tc>
        <w:tc>
          <w:tcPr>
            <w:tcW w:w="140" w:type="dxa"/>
            <w:vAlign w:val="bottom"/>
            <w:shd w:val="clear" w:color="auto" w:fill="CCECFF"/>
          </w:tcPr>
          <w:p>
            <w:pPr>
              <w:jc w:val="right"/>
              <w:spacing w:after="0"/>
              <w:rPr>
                <w:sz w:val="20"/>
                <w:szCs w:val="20"/>
                <w:color w:val="auto"/>
              </w:rPr>
            </w:pPr>
            <w:r>
              <w:rPr>
                <w:rFonts w:ascii="Arial" w:cs="Arial" w:eastAsia="Arial" w:hAnsi="Arial"/>
                <w:sz w:val="14"/>
                <w:szCs w:val="14"/>
                <w:color w:val="auto"/>
                <w:w w:val="76"/>
              </w:rPr>
              <w:t>$</w:t>
            </w:r>
          </w:p>
        </w:tc>
        <w:tc>
          <w:tcPr>
            <w:tcW w:w="14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84,287</w:t>
            </w:r>
          </w:p>
        </w:tc>
        <w:tc>
          <w:tcPr>
            <w:tcW w:w="100" w:type="dxa"/>
            <w:vAlign w:val="bottom"/>
            <w:shd w:val="clear" w:color="auto" w:fill="CCECFF"/>
          </w:tcPr>
          <w:p>
            <w:pPr>
              <w:spacing w:after="0"/>
              <w:rPr>
                <w:sz w:val="15"/>
                <w:szCs w:val="15"/>
                <w:color w:val="auto"/>
              </w:rPr>
            </w:pPr>
          </w:p>
        </w:tc>
        <w:tc>
          <w:tcPr>
            <w:tcW w:w="20" w:type="dxa"/>
            <w:vAlign w:val="bottom"/>
          </w:tcPr>
          <w:p>
            <w:pPr>
              <w:spacing w:after="0"/>
              <w:rPr>
                <w:sz w:val="15"/>
                <w:szCs w:val="15"/>
                <w:color w:val="auto"/>
              </w:rPr>
            </w:pPr>
          </w:p>
        </w:tc>
      </w:tr>
      <w:tr>
        <w:trPr>
          <w:trHeight w:val="568"/>
        </w:trPr>
        <w:tc>
          <w:tcPr>
            <w:tcW w:w="4580" w:type="dxa"/>
            <w:vAlign w:val="bottom"/>
          </w:tcPr>
          <w:p>
            <w:pPr>
              <w:spacing w:after="0"/>
              <w:rPr>
                <w:sz w:val="24"/>
                <w:szCs w:val="24"/>
                <w:color w:val="auto"/>
              </w:rPr>
            </w:pPr>
          </w:p>
        </w:tc>
        <w:tc>
          <w:tcPr>
            <w:tcW w:w="3100" w:type="dxa"/>
            <w:vAlign w:val="bottom"/>
          </w:tcPr>
          <w:p>
            <w:pPr>
              <w:jc w:val="right"/>
              <w:ind w:right="1908"/>
              <w:spacing w:after="0"/>
              <w:rPr>
                <w:sz w:val="20"/>
                <w:szCs w:val="20"/>
                <w:color w:val="auto"/>
              </w:rPr>
            </w:pPr>
            <w:r>
              <w:rPr>
                <w:rFonts w:ascii="Arial" w:cs="Arial" w:eastAsia="Arial" w:hAnsi="Arial"/>
                <w:sz w:val="14"/>
                <w:szCs w:val="14"/>
                <w:color w:val="auto"/>
              </w:rPr>
              <w:t>48</w:t>
            </w: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4"/>
        </w:trPr>
        <w:tc>
          <w:tcPr>
            <w:tcW w:w="4580" w:type="dxa"/>
            <w:vAlign w:val="bottom"/>
            <w:tcBorders>
              <w:bottom w:val="single" w:sz="8" w:color="9A9A9A"/>
            </w:tcBorders>
          </w:tcPr>
          <w:p>
            <w:pPr>
              <w:spacing w:after="0"/>
              <w:rPr>
                <w:sz w:val="9"/>
                <w:szCs w:val="9"/>
                <w:color w:val="auto"/>
              </w:rPr>
            </w:pPr>
          </w:p>
        </w:tc>
        <w:tc>
          <w:tcPr>
            <w:tcW w:w="31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4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23" w:right="319" w:bottom="1440" w:gutter="0" w:footer="0" w:header="0"/>
        </w:sectPr>
      </w:pPr>
    </w:p>
    <w:bookmarkStart w:id="48" w:name="page49"/>
    <w:bookmarkEnd w:id="48"/>
    <w:p>
      <w:pPr>
        <w:ind w:left="460"/>
        <w:spacing w:after="0"/>
        <w:rPr>
          <w:sz w:val="20"/>
          <w:szCs w:val="20"/>
          <w:color w:val="auto"/>
        </w:rPr>
      </w:pPr>
      <w:r>
        <w:rPr>
          <w:rFonts w:ascii="Arial" w:cs="Arial" w:eastAsia="Arial" w:hAnsi="Arial"/>
          <w:sz w:val="14"/>
          <w:szCs w:val="14"/>
          <w:color w:val="auto"/>
        </w:rPr>
        <w:t>Below is a listing of PSSL’s individual investments as of June 30, 2022 ($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vMerge w:val="restart"/>
          </w:tcPr>
          <w:p>
            <w:pPr>
              <w:jc w:val="center"/>
              <w:ind w:left="166"/>
              <w:spacing w:after="0"/>
              <w:rPr>
                <w:sz w:val="20"/>
                <w:szCs w:val="20"/>
                <w:color w:val="auto"/>
              </w:rPr>
            </w:pPr>
            <w:r>
              <w:rPr>
                <w:rFonts w:ascii="Arial" w:cs="Arial" w:eastAsia="Arial" w:hAnsi="Arial"/>
                <w:sz w:val="11"/>
                <w:szCs w:val="11"/>
                <w:b w:val="1"/>
                <w:bCs w:val="1"/>
                <w:color w:val="auto"/>
                <w:w w:val="95"/>
              </w:rPr>
              <w:t>Current</w:t>
            </w: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60" w:type="dxa"/>
            <w:vAlign w:val="bottom"/>
          </w:tcPr>
          <w:p>
            <w:pPr>
              <w:jc w:val="center"/>
              <w:spacing w:after="0"/>
              <w:rPr>
                <w:sz w:val="20"/>
                <w:szCs w:val="20"/>
                <w:color w:val="auto"/>
              </w:rPr>
            </w:pPr>
            <w:r>
              <w:rPr>
                <w:rFonts w:ascii="Arial" w:cs="Arial" w:eastAsia="Arial" w:hAnsi="Arial"/>
                <w:sz w:val="11"/>
                <w:szCs w:val="11"/>
                <w:b w:val="1"/>
                <w:bCs w:val="1"/>
                <w:color w:val="auto"/>
                <w:w w:val="86"/>
              </w:rPr>
              <w:t>Basis Point</w:t>
            </w: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Issuer Name</w:t>
            </w:r>
          </w:p>
        </w:tc>
        <w:tc>
          <w:tcPr>
            <w:tcW w:w="140" w:type="dxa"/>
            <w:vAlign w:val="bottom"/>
          </w:tcPr>
          <w:p>
            <w:pPr>
              <w:spacing w:after="0"/>
              <w:rPr>
                <w:sz w:val="9"/>
                <w:szCs w:val="9"/>
                <w:color w:val="auto"/>
              </w:rPr>
            </w:pPr>
          </w:p>
        </w:tc>
        <w:tc>
          <w:tcPr>
            <w:tcW w:w="6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Maturity</w:t>
            </w:r>
          </w:p>
        </w:tc>
        <w:tc>
          <w:tcPr>
            <w:tcW w:w="120" w:type="dxa"/>
            <w:vAlign w:val="bottom"/>
          </w:tcPr>
          <w:p>
            <w:pPr>
              <w:spacing w:after="0"/>
              <w:rPr>
                <w:sz w:val="9"/>
                <w:szCs w:val="9"/>
                <w:color w:val="auto"/>
              </w:rPr>
            </w:pPr>
          </w:p>
        </w:tc>
        <w:tc>
          <w:tcPr>
            <w:tcW w:w="234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2"/>
              </w:rPr>
              <w:t>Industry</w:t>
            </w:r>
          </w:p>
        </w:tc>
        <w:tc>
          <w:tcPr>
            <w:tcW w:w="14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96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86"/>
              </w:rPr>
              <w:t>Spread Above</w:t>
            </w:r>
          </w:p>
        </w:tc>
        <w:tc>
          <w:tcPr>
            <w:tcW w:w="240" w:type="dxa"/>
            <w:vAlign w:val="bottom"/>
          </w:tcPr>
          <w:p>
            <w:pPr>
              <w:spacing w:after="0"/>
              <w:rPr>
                <w:sz w:val="9"/>
                <w:szCs w:val="9"/>
                <w:color w:val="auto"/>
              </w:rPr>
            </w:pPr>
          </w:p>
        </w:tc>
        <w:tc>
          <w:tcPr>
            <w:tcW w:w="700" w:type="dxa"/>
            <w:vAlign w:val="bottom"/>
            <w:vMerge w:val="restart"/>
          </w:tcPr>
          <w:p>
            <w:pPr>
              <w:jc w:val="right"/>
              <w:ind w:right="206"/>
              <w:spacing w:after="0"/>
              <w:rPr>
                <w:sz w:val="20"/>
                <w:szCs w:val="20"/>
                <w:color w:val="auto"/>
              </w:rPr>
            </w:pPr>
            <w:r>
              <w:rPr>
                <w:rFonts w:ascii="Arial" w:cs="Arial" w:eastAsia="Arial" w:hAnsi="Arial"/>
                <w:sz w:val="11"/>
                <w:szCs w:val="11"/>
                <w:b w:val="1"/>
                <w:bCs w:val="1"/>
                <w:color w:val="auto"/>
              </w:rPr>
              <w:t>Par</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vMerge w:val="restart"/>
          </w:tcPr>
          <w:p>
            <w:pPr>
              <w:jc w:val="right"/>
              <w:ind w:right="186"/>
              <w:spacing w:after="0"/>
              <w:rPr>
                <w:sz w:val="20"/>
                <w:szCs w:val="20"/>
                <w:color w:val="auto"/>
              </w:rPr>
            </w:pPr>
            <w:r>
              <w:rPr>
                <w:rFonts w:ascii="Arial" w:cs="Arial" w:eastAsia="Arial" w:hAnsi="Arial"/>
                <w:sz w:val="11"/>
                <w:szCs w:val="11"/>
                <w:b w:val="1"/>
                <w:bCs w:val="1"/>
                <w:color w:val="auto"/>
              </w:rPr>
              <w:t>Cost</w:t>
            </w:r>
          </w:p>
        </w:tc>
        <w:tc>
          <w:tcPr>
            <w:tcW w:w="200" w:type="dxa"/>
            <w:vAlign w:val="bottom"/>
          </w:tcPr>
          <w:p>
            <w:pPr>
              <w:spacing w:after="0"/>
              <w:rPr>
                <w:sz w:val="9"/>
                <w:szCs w:val="9"/>
                <w:color w:val="auto"/>
              </w:rPr>
            </w:pPr>
          </w:p>
        </w:tc>
        <w:tc>
          <w:tcPr>
            <w:tcW w:w="720" w:type="dxa"/>
            <w:vAlign w:val="bottom"/>
            <w:gridSpan w:val="2"/>
            <w:vMerge w:val="restart"/>
          </w:tcPr>
          <w:p>
            <w:pPr>
              <w:jc w:val="right"/>
              <w:ind w:right="6"/>
              <w:spacing w:after="0"/>
              <w:rPr>
                <w:sz w:val="20"/>
                <w:szCs w:val="20"/>
                <w:color w:val="auto"/>
              </w:rPr>
            </w:pPr>
            <w:r>
              <w:rPr>
                <w:rFonts w:ascii="Arial" w:cs="Arial" w:eastAsia="Arial" w:hAnsi="Arial"/>
                <w:sz w:val="11"/>
                <w:szCs w:val="11"/>
                <w:b w:val="1"/>
                <w:bCs w:val="1"/>
                <w:color w:val="auto"/>
                <w:w w:val="95"/>
              </w:rPr>
              <w:t xml:space="preserve">Fair Value </w:t>
            </w:r>
            <w:r>
              <w:rPr>
                <w:rFonts w:ascii="Arial" w:cs="Arial" w:eastAsia="Arial" w:hAnsi="Arial"/>
                <w:sz w:val="14"/>
                <w:szCs w:val="14"/>
                <w:b w:val="1"/>
                <w:bCs w:val="1"/>
                <w:color w:val="auto"/>
                <w:w w:val="95"/>
                <w:vertAlign w:val="superscript"/>
              </w:rPr>
              <w:t>(2)</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860" w:type="dxa"/>
            <w:vAlign w:val="bottom"/>
            <w:tcBorders>
              <w:bottom w:val="single" w:sz="8" w:color="auto"/>
            </w:tcBorders>
            <w:vMerge w:val="continue"/>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2340" w:type="dxa"/>
            <w:vAlign w:val="bottom"/>
            <w:tcBorders>
              <w:bottom w:val="single" w:sz="8" w:color="auto"/>
            </w:tcBorders>
            <w:vMerge w:val="continue"/>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Borders>
              <w:bottom w:val="single" w:sz="8" w:color="auto"/>
            </w:tcBorders>
          </w:tcPr>
          <w:p>
            <w:pPr>
              <w:jc w:val="center"/>
              <w:ind w:left="186"/>
              <w:spacing w:after="0"/>
              <w:rPr>
                <w:sz w:val="20"/>
                <w:szCs w:val="20"/>
                <w:color w:val="auto"/>
              </w:rPr>
            </w:pPr>
            <w:r>
              <w:rPr>
                <w:rFonts w:ascii="Arial" w:cs="Arial" w:eastAsia="Arial" w:hAnsi="Arial"/>
                <w:sz w:val="11"/>
                <w:szCs w:val="11"/>
                <w:b w:val="1"/>
                <w:bCs w:val="1"/>
                <w:color w:val="auto"/>
                <w:w w:val="86"/>
              </w:rPr>
              <w:t>Coupon</w:t>
            </w:r>
          </w:p>
        </w:tc>
        <w:tc>
          <w:tcPr>
            <w:tcW w:w="200" w:type="dxa"/>
            <w:vAlign w:val="bottom"/>
            <w:tcBorders>
              <w:bottom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tcBorders>
              <w:bottom w:val="single" w:sz="8" w:color="auto"/>
            </w:tcBorders>
          </w:tcPr>
          <w:p>
            <w:pPr>
              <w:jc w:val="center"/>
              <w:spacing w:after="0" w:line="149" w:lineRule="exact"/>
              <w:rPr>
                <w:sz w:val="20"/>
                <w:szCs w:val="20"/>
                <w:color w:val="auto"/>
              </w:rPr>
            </w:pPr>
            <w:r>
              <w:rPr>
                <w:rFonts w:ascii="Arial" w:cs="Arial" w:eastAsia="Arial" w:hAnsi="Arial"/>
                <w:sz w:val="11"/>
                <w:szCs w:val="11"/>
                <w:b w:val="1"/>
                <w:bCs w:val="1"/>
                <w:color w:val="auto"/>
                <w:w w:val="87"/>
              </w:rPr>
              <w:t xml:space="preserve">Index </w:t>
            </w:r>
            <w:r>
              <w:rPr>
                <w:rFonts w:ascii="Arial" w:cs="Arial" w:eastAsia="Arial" w:hAnsi="Arial"/>
                <w:sz w:val="14"/>
                <w:szCs w:val="14"/>
                <w:b w:val="1"/>
                <w:bCs w:val="1"/>
                <w:color w:val="auto"/>
                <w:w w:val="87"/>
                <w:vertAlign w:val="superscript"/>
              </w:rPr>
              <w:t>(1)</w:t>
            </w:r>
          </w:p>
        </w:tc>
        <w:tc>
          <w:tcPr>
            <w:tcW w:w="240" w:type="dxa"/>
            <w:vAlign w:val="bottom"/>
          </w:tcPr>
          <w:p>
            <w:pPr>
              <w:spacing w:after="0"/>
              <w:rPr>
                <w:sz w:val="12"/>
                <w:szCs w:val="12"/>
                <w:color w:val="auto"/>
              </w:rPr>
            </w:pPr>
          </w:p>
        </w:tc>
        <w:tc>
          <w:tcPr>
            <w:tcW w:w="700" w:type="dxa"/>
            <w:vAlign w:val="bottom"/>
            <w:tcBorders>
              <w:bottom w:val="single" w:sz="8" w:color="auto"/>
            </w:tcBorders>
            <w:vMerge w:val="continue"/>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vMerge w:val="continue"/>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Borders>
              <w:bottom w:val="single" w:sz="8" w:color="auto"/>
            </w:tcBorders>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860" w:type="dxa"/>
            <w:vAlign w:val="bottom"/>
          </w:tcPr>
          <w:p>
            <w:pPr>
              <w:ind w:left="20"/>
              <w:spacing w:after="0"/>
              <w:rPr>
                <w:sz w:val="20"/>
                <w:szCs w:val="20"/>
                <w:color w:val="auto"/>
              </w:rPr>
            </w:pPr>
            <w:r>
              <w:rPr>
                <w:rFonts w:ascii="Arial" w:cs="Arial" w:eastAsia="Arial" w:hAnsi="Arial"/>
                <w:sz w:val="11"/>
                <w:szCs w:val="11"/>
                <w:b w:val="1"/>
                <w:bCs w:val="1"/>
                <w:color w:val="auto"/>
              </w:rPr>
              <w:t>First Lien Secured Debt - 1,107.3%</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shd w:val="clear" w:color="auto" w:fill="CCECFF"/>
          </w:tcPr>
          <w:p>
            <w:pPr>
              <w:ind w:left="20"/>
              <w:spacing w:after="0"/>
              <w:rPr>
                <w:sz w:val="20"/>
                <w:szCs w:val="20"/>
                <w:color w:val="auto"/>
              </w:rPr>
            </w:pPr>
            <w:r>
              <w:rPr>
                <w:rFonts w:ascii="Arial" w:cs="Arial" w:eastAsia="Arial" w:hAnsi="Arial"/>
                <w:sz w:val="11"/>
                <w:szCs w:val="11"/>
                <w:color w:val="auto"/>
              </w:rPr>
              <w:t>Ad.net Acquisition, LLC</w:t>
            </w:r>
          </w:p>
        </w:tc>
        <w:tc>
          <w:tcPr>
            <w:tcW w:w="7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8"/>
              </w:rPr>
              <w:t>5/6/2026</w:t>
            </w:r>
          </w:p>
        </w:tc>
        <w:tc>
          <w:tcPr>
            <w:tcW w:w="120" w:type="dxa"/>
            <w:vAlign w:val="bottom"/>
            <w:shd w:val="clear" w:color="auto" w:fill="CCECFF"/>
          </w:tcPr>
          <w:p>
            <w:pPr>
              <w:spacing w:after="0"/>
              <w:rPr>
                <w:sz w:val="11"/>
                <w:szCs w:val="11"/>
                <w:color w:val="auto"/>
              </w:rPr>
            </w:pPr>
          </w:p>
        </w:tc>
        <w:tc>
          <w:tcPr>
            <w:tcW w:w="23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3"/>
              </w:rPr>
              <w:t>Media</w:t>
            </w:r>
          </w:p>
        </w:tc>
        <w:tc>
          <w:tcPr>
            <w:tcW w:w="14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600" w:type="dxa"/>
            <w:vAlign w:val="bottom"/>
            <w:gridSpan w:val="2"/>
            <w:shd w:val="clear" w:color="auto" w:fill="CCECFF"/>
          </w:tcPr>
          <w:p>
            <w:pPr>
              <w:jc w:val="right"/>
              <w:ind w:right="300"/>
              <w:spacing w:after="0"/>
              <w:rPr>
                <w:sz w:val="20"/>
                <w:szCs w:val="20"/>
                <w:color w:val="auto"/>
              </w:rPr>
            </w:pPr>
            <w:r>
              <w:rPr>
                <w:rFonts w:ascii="Arial" w:cs="Arial" w:eastAsia="Arial" w:hAnsi="Arial"/>
                <w:sz w:val="11"/>
                <w:szCs w:val="11"/>
                <w:color w:val="auto"/>
                <w:w w:val="81"/>
              </w:rPr>
              <w:t>8.25 %</w:t>
            </w:r>
          </w:p>
        </w:tc>
        <w:tc>
          <w:tcPr>
            <w:tcW w:w="9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L+600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8,910</w:t>
            </w:r>
          </w:p>
        </w:tc>
        <w:tc>
          <w:tcPr>
            <w:tcW w:w="38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8,804</w:t>
            </w:r>
          </w:p>
        </w:tc>
        <w:tc>
          <w:tcPr>
            <w:tcW w:w="440" w:type="dxa"/>
            <w:vAlign w:val="bottom"/>
            <w:gridSpan w:val="2"/>
            <w:shd w:val="clear" w:color="auto" w:fill="CCECFF"/>
          </w:tcPr>
          <w:p>
            <w:pPr>
              <w:jc w:val="right"/>
              <w:ind w:right="106"/>
              <w:spacing w:after="0"/>
              <w:rPr>
                <w:sz w:val="20"/>
                <w:szCs w:val="20"/>
                <w:color w:val="auto"/>
              </w:rPr>
            </w:pPr>
            <w:r>
              <w:rPr>
                <w:rFonts w:ascii="Arial" w:cs="Arial" w:eastAsia="Arial" w:hAnsi="Arial"/>
                <w:sz w:val="11"/>
                <w:szCs w:val="11"/>
                <w:color w:val="auto"/>
              </w:rPr>
              <w:t>$</w:t>
            </w:r>
          </w:p>
        </w:tc>
        <w:tc>
          <w:tcPr>
            <w:tcW w:w="4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8,910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tcPr>
          <w:p>
            <w:pPr>
              <w:ind w:left="20"/>
              <w:spacing w:after="0"/>
              <w:rPr>
                <w:sz w:val="20"/>
                <w:szCs w:val="20"/>
                <w:color w:val="auto"/>
              </w:rPr>
            </w:pPr>
            <w:r>
              <w:rPr>
                <w:rFonts w:ascii="Arial" w:cs="Arial" w:eastAsia="Arial" w:hAnsi="Arial"/>
                <w:sz w:val="11"/>
                <w:szCs w:val="11"/>
                <w:color w:val="auto"/>
              </w:rPr>
              <w:t>Alpine Acquisition Corp II</w:t>
            </w:r>
          </w:p>
        </w:tc>
        <w:tc>
          <w:tcPr>
            <w:tcW w:w="74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11/30/2026</w:t>
            </w:r>
          </w:p>
        </w:tc>
        <w:tc>
          <w:tcPr>
            <w:tcW w:w="12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86"/>
              </w:rPr>
              <w:t>Containers and Packaging</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2"/>
          </w:tcPr>
          <w:p>
            <w:pPr>
              <w:jc w:val="right"/>
              <w:ind w:right="300"/>
              <w:spacing w:after="0"/>
              <w:rPr>
                <w:sz w:val="20"/>
                <w:szCs w:val="20"/>
                <w:color w:val="auto"/>
              </w:rPr>
            </w:pPr>
            <w:r>
              <w:rPr>
                <w:rFonts w:ascii="Arial" w:cs="Arial" w:eastAsia="Arial" w:hAnsi="Arial"/>
                <w:sz w:val="11"/>
                <w:szCs w:val="11"/>
                <w:color w:val="auto"/>
                <w:w w:val="81"/>
              </w:rPr>
              <w:t>7.22 %</w:t>
            </w:r>
          </w:p>
        </w:tc>
        <w:tc>
          <w:tcPr>
            <w:tcW w:w="960" w:type="dxa"/>
            <w:vAlign w:val="bottom"/>
          </w:tcPr>
          <w:p>
            <w:pPr>
              <w:jc w:val="right"/>
              <w:spacing w:after="0"/>
              <w:rPr>
                <w:sz w:val="20"/>
                <w:szCs w:val="20"/>
                <w:color w:val="auto"/>
              </w:rPr>
            </w:pPr>
            <w:r>
              <w:rPr>
                <w:rFonts w:ascii="Arial" w:cs="Arial" w:eastAsia="Arial" w:hAnsi="Arial"/>
                <w:sz w:val="11"/>
                <w:szCs w:val="11"/>
                <w:color w:val="auto"/>
              </w:rPr>
              <w:t>3M L+600</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10,000</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9,806</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9,800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shd w:val="clear" w:color="auto" w:fill="CCECFF"/>
          </w:tcPr>
          <w:p>
            <w:pPr>
              <w:ind w:left="20"/>
              <w:spacing w:after="0"/>
              <w:rPr>
                <w:sz w:val="20"/>
                <w:szCs w:val="20"/>
                <w:color w:val="auto"/>
              </w:rPr>
            </w:pPr>
            <w:r>
              <w:rPr>
                <w:rFonts w:ascii="Arial" w:cs="Arial" w:eastAsia="Arial" w:hAnsi="Arial"/>
                <w:sz w:val="11"/>
                <w:szCs w:val="11"/>
                <w:color w:val="auto"/>
              </w:rPr>
              <w:t>Altamira Technologies, LLC</w:t>
            </w:r>
          </w:p>
        </w:tc>
        <w:tc>
          <w:tcPr>
            <w:tcW w:w="74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9"/>
              </w:rPr>
              <w:t>7/24/2025</w:t>
            </w:r>
          </w:p>
        </w:tc>
        <w:tc>
          <w:tcPr>
            <w:tcW w:w="120" w:type="dxa"/>
            <w:vAlign w:val="bottom"/>
            <w:shd w:val="clear" w:color="auto" w:fill="CCECFF"/>
          </w:tcPr>
          <w:p>
            <w:pPr>
              <w:spacing w:after="0"/>
              <w:rPr>
                <w:sz w:val="11"/>
                <w:szCs w:val="11"/>
                <w:color w:val="auto"/>
              </w:rPr>
            </w:pPr>
          </w:p>
        </w:tc>
        <w:tc>
          <w:tcPr>
            <w:tcW w:w="23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Business Services</w:t>
            </w:r>
          </w:p>
        </w:tc>
        <w:tc>
          <w:tcPr>
            <w:tcW w:w="14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600" w:type="dxa"/>
            <w:vAlign w:val="bottom"/>
            <w:gridSpan w:val="2"/>
            <w:shd w:val="clear" w:color="auto" w:fill="CCECFF"/>
          </w:tcPr>
          <w:p>
            <w:pPr>
              <w:jc w:val="right"/>
              <w:ind w:right="300"/>
              <w:spacing w:after="0"/>
              <w:rPr>
                <w:sz w:val="20"/>
                <w:szCs w:val="20"/>
                <w:color w:val="auto"/>
              </w:rPr>
            </w:pPr>
            <w:r>
              <w:rPr>
                <w:rFonts w:ascii="Arial" w:cs="Arial" w:eastAsia="Arial" w:hAnsi="Arial"/>
                <w:sz w:val="11"/>
                <w:szCs w:val="11"/>
                <w:color w:val="auto"/>
                <w:w w:val="81"/>
              </w:rPr>
              <w:t>9.24 %</w:t>
            </w:r>
          </w:p>
        </w:tc>
        <w:tc>
          <w:tcPr>
            <w:tcW w:w="9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L+800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5,300</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5,178</w:t>
            </w:r>
          </w:p>
        </w:tc>
        <w:tc>
          <w:tcPr>
            <w:tcW w:w="2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5,048</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tcPr>
          <w:p>
            <w:pPr>
              <w:ind w:left="20"/>
              <w:spacing w:after="0"/>
              <w:rPr>
                <w:sz w:val="20"/>
                <w:szCs w:val="20"/>
                <w:color w:val="auto"/>
              </w:rPr>
            </w:pPr>
            <w:r>
              <w:rPr>
                <w:rFonts w:ascii="Arial" w:cs="Arial" w:eastAsia="Arial" w:hAnsi="Arial"/>
                <w:sz w:val="11"/>
                <w:szCs w:val="11"/>
                <w:color w:val="auto"/>
              </w:rPr>
              <w:t>American Insulated Glass, LLC</w:t>
            </w:r>
          </w:p>
        </w:tc>
        <w:tc>
          <w:tcPr>
            <w:tcW w:w="74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12/21/2023</w:t>
            </w:r>
          </w:p>
        </w:tc>
        <w:tc>
          <w:tcPr>
            <w:tcW w:w="12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91"/>
              </w:rPr>
              <w:t>Building Products</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2"/>
          </w:tcPr>
          <w:p>
            <w:pPr>
              <w:jc w:val="right"/>
              <w:ind w:right="300"/>
              <w:spacing w:after="0"/>
              <w:rPr>
                <w:sz w:val="20"/>
                <w:szCs w:val="20"/>
                <w:color w:val="auto"/>
              </w:rPr>
            </w:pPr>
            <w:r>
              <w:rPr>
                <w:rFonts w:ascii="Arial" w:cs="Arial" w:eastAsia="Arial" w:hAnsi="Arial"/>
                <w:sz w:val="11"/>
                <w:szCs w:val="11"/>
                <w:color w:val="auto"/>
                <w:w w:val="81"/>
              </w:rPr>
              <w:t>6.50 %</w:t>
            </w:r>
          </w:p>
        </w:tc>
        <w:tc>
          <w:tcPr>
            <w:tcW w:w="960" w:type="dxa"/>
            <w:vAlign w:val="bottom"/>
          </w:tcPr>
          <w:p>
            <w:pPr>
              <w:jc w:val="right"/>
              <w:spacing w:after="0"/>
              <w:rPr>
                <w:sz w:val="20"/>
                <w:szCs w:val="20"/>
                <w:color w:val="auto"/>
              </w:rPr>
            </w:pPr>
            <w:r>
              <w:rPr>
                <w:rFonts w:ascii="Arial" w:cs="Arial" w:eastAsia="Arial" w:hAnsi="Arial"/>
                <w:sz w:val="11"/>
                <w:szCs w:val="11"/>
                <w:color w:val="auto"/>
              </w:rPr>
              <w:t>3M L+525</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4,898</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4,859</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4,898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shd w:val="clear" w:color="auto" w:fill="CCECFF"/>
          </w:tcPr>
          <w:p>
            <w:pPr>
              <w:ind w:left="20"/>
              <w:spacing w:after="0"/>
              <w:rPr>
                <w:sz w:val="20"/>
                <w:szCs w:val="20"/>
                <w:color w:val="auto"/>
              </w:rPr>
            </w:pPr>
            <w:r>
              <w:rPr>
                <w:rFonts w:ascii="Arial" w:cs="Arial" w:eastAsia="Arial" w:hAnsi="Arial"/>
                <w:sz w:val="11"/>
                <w:szCs w:val="11"/>
                <w:color w:val="auto"/>
              </w:rPr>
              <w:t>Apex Service Partners, LLC</w:t>
            </w:r>
          </w:p>
        </w:tc>
        <w:tc>
          <w:tcPr>
            <w:tcW w:w="74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9"/>
              </w:rPr>
              <w:t>7/31/2025</w:t>
            </w:r>
          </w:p>
        </w:tc>
        <w:tc>
          <w:tcPr>
            <w:tcW w:w="120" w:type="dxa"/>
            <w:vAlign w:val="bottom"/>
            <w:shd w:val="clear" w:color="auto" w:fill="CCECFF"/>
          </w:tcPr>
          <w:p>
            <w:pPr>
              <w:spacing w:after="0"/>
              <w:rPr>
                <w:sz w:val="11"/>
                <w:szCs w:val="11"/>
                <w:color w:val="auto"/>
              </w:rPr>
            </w:pPr>
          </w:p>
        </w:tc>
        <w:tc>
          <w:tcPr>
            <w:tcW w:w="23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Diversified Consumer Services</w:t>
            </w:r>
          </w:p>
        </w:tc>
        <w:tc>
          <w:tcPr>
            <w:tcW w:w="14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600" w:type="dxa"/>
            <w:vAlign w:val="bottom"/>
            <w:gridSpan w:val="2"/>
            <w:shd w:val="clear" w:color="auto" w:fill="CCECFF"/>
          </w:tcPr>
          <w:p>
            <w:pPr>
              <w:jc w:val="right"/>
              <w:ind w:right="300"/>
              <w:spacing w:after="0"/>
              <w:rPr>
                <w:sz w:val="20"/>
                <w:szCs w:val="20"/>
                <w:color w:val="auto"/>
              </w:rPr>
            </w:pPr>
            <w:r>
              <w:rPr>
                <w:rFonts w:ascii="Arial" w:cs="Arial" w:eastAsia="Arial" w:hAnsi="Arial"/>
                <w:sz w:val="11"/>
                <w:szCs w:val="11"/>
                <w:color w:val="auto"/>
                <w:w w:val="81"/>
              </w:rPr>
              <w:t>6.72 %</w:t>
            </w:r>
          </w:p>
        </w:tc>
        <w:tc>
          <w:tcPr>
            <w:tcW w:w="9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L+525</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1,013</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1,013</w:t>
            </w:r>
          </w:p>
        </w:tc>
        <w:tc>
          <w:tcPr>
            <w:tcW w:w="2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1,008</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tcPr>
          <w:p>
            <w:pPr>
              <w:ind w:left="20"/>
              <w:spacing w:after="0"/>
              <w:rPr>
                <w:sz w:val="20"/>
                <w:szCs w:val="20"/>
                <w:color w:val="auto"/>
              </w:rPr>
            </w:pPr>
            <w:r>
              <w:rPr>
                <w:rFonts w:ascii="Arial" w:cs="Arial" w:eastAsia="Arial" w:hAnsi="Arial"/>
                <w:sz w:val="11"/>
                <w:szCs w:val="11"/>
                <w:color w:val="auto"/>
              </w:rPr>
              <w:t>Apex Service Partners, LLC Term Loan B</w:t>
            </w:r>
          </w:p>
        </w:tc>
        <w:tc>
          <w:tcPr>
            <w:tcW w:w="740" w:type="dxa"/>
            <w:vAlign w:val="bottom"/>
            <w:gridSpan w:val="2"/>
          </w:tcPr>
          <w:p>
            <w:pPr>
              <w:jc w:val="center"/>
              <w:ind w:left="86"/>
              <w:spacing w:after="0"/>
              <w:rPr>
                <w:sz w:val="20"/>
                <w:szCs w:val="20"/>
                <w:color w:val="auto"/>
              </w:rPr>
            </w:pPr>
            <w:r>
              <w:rPr>
                <w:rFonts w:ascii="Arial" w:cs="Arial" w:eastAsia="Arial" w:hAnsi="Arial"/>
                <w:sz w:val="11"/>
                <w:szCs w:val="11"/>
                <w:color w:val="auto"/>
                <w:w w:val="89"/>
              </w:rPr>
              <w:t>7/31/2025</w:t>
            </w:r>
          </w:p>
        </w:tc>
        <w:tc>
          <w:tcPr>
            <w:tcW w:w="12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90"/>
              </w:rPr>
              <w:t>Diversified Consumer Services</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2"/>
          </w:tcPr>
          <w:p>
            <w:pPr>
              <w:jc w:val="right"/>
              <w:ind w:right="300"/>
              <w:spacing w:after="0"/>
              <w:rPr>
                <w:sz w:val="20"/>
                <w:szCs w:val="20"/>
                <w:color w:val="auto"/>
              </w:rPr>
            </w:pPr>
            <w:r>
              <w:rPr>
                <w:rFonts w:ascii="Arial" w:cs="Arial" w:eastAsia="Arial" w:hAnsi="Arial"/>
                <w:sz w:val="11"/>
                <w:szCs w:val="11"/>
                <w:color w:val="auto"/>
                <w:w w:val="81"/>
              </w:rPr>
              <w:t>7.75 %</w:t>
            </w:r>
          </w:p>
        </w:tc>
        <w:tc>
          <w:tcPr>
            <w:tcW w:w="960" w:type="dxa"/>
            <w:vAlign w:val="bottom"/>
          </w:tcPr>
          <w:p>
            <w:pPr>
              <w:jc w:val="right"/>
              <w:spacing w:after="0"/>
              <w:rPr>
                <w:sz w:val="20"/>
                <w:szCs w:val="20"/>
                <w:color w:val="auto"/>
              </w:rPr>
            </w:pPr>
            <w:r>
              <w:rPr>
                <w:rFonts w:ascii="Arial" w:cs="Arial" w:eastAsia="Arial" w:hAnsi="Arial"/>
                <w:sz w:val="11"/>
                <w:szCs w:val="11"/>
                <w:color w:val="auto"/>
              </w:rPr>
              <w:t>3M L+625</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2,207</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2,207</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2,196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shd w:val="clear" w:color="auto" w:fill="CCECFF"/>
          </w:tcPr>
          <w:p>
            <w:pPr>
              <w:ind w:left="20"/>
              <w:spacing w:after="0"/>
              <w:rPr>
                <w:sz w:val="20"/>
                <w:szCs w:val="20"/>
                <w:color w:val="auto"/>
              </w:rPr>
            </w:pPr>
            <w:r>
              <w:rPr>
                <w:rFonts w:ascii="Arial" w:cs="Arial" w:eastAsia="Arial" w:hAnsi="Arial"/>
                <w:sz w:val="11"/>
                <w:szCs w:val="11"/>
                <w:color w:val="auto"/>
              </w:rPr>
              <w:t>Apex Service Partners, LLC Term Loan C</w:t>
            </w:r>
          </w:p>
        </w:tc>
        <w:tc>
          <w:tcPr>
            <w:tcW w:w="74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9"/>
              </w:rPr>
              <w:t>7/31/2025</w:t>
            </w:r>
          </w:p>
        </w:tc>
        <w:tc>
          <w:tcPr>
            <w:tcW w:w="120" w:type="dxa"/>
            <w:vAlign w:val="bottom"/>
            <w:shd w:val="clear" w:color="auto" w:fill="CCECFF"/>
          </w:tcPr>
          <w:p>
            <w:pPr>
              <w:spacing w:after="0"/>
              <w:rPr>
                <w:sz w:val="11"/>
                <w:szCs w:val="11"/>
                <w:color w:val="auto"/>
              </w:rPr>
            </w:pPr>
          </w:p>
        </w:tc>
        <w:tc>
          <w:tcPr>
            <w:tcW w:w="23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Diversified Consumer Services</w:t>
            </w:r>
          </w:p>
        </w:tc>
        <w:tc>
          <w:tcPr>
            <w:tcW w:w="14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600" w:type="dxa"/>
            <w:vAlign w:val="bottom"/>
            <w:gridSpan w:val="2"/>
            <w:shd w:val="clear" w:color="auto" w:fill="CCECFF"/>
          </w:tcPr>
          <w:p>
            <w:pPr>
              <w:jc w:val="right"/>
              <w:ind w:right="300"/>
              <w:spacing w:after="0"/>
              <w:rPr>
                <w:sz w:val="20"/>
                <w:szCs w:val="20"/>
                <w:color w:val="auto"/>
              </w:rPr>
            </w:pPr>
            <w:r>
              <w:rPr>
                <w:rFonts w:ascii="Arial" w:cs="Arial" w:eastAsia="Arial" w:hAnsi="Arial"/>
                <w:sz w:val="11"/>
                <w:szCs w:val="11"/>
                <w:color w:val="auto"/>
                <w:w w:val="81"/>
              </w:rPr>
              <w:t>6.78 %</w:t>
            </w:r>
          </w:p>
        </w:tc>
        <w:tc>
          <w:tcPr>
            <w:tcW w:w="9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L+525</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11,143</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11,073</w:t>
            </w:r>
          </w:p>
        </w:tc>
        <w:tc>
          <w:tcPr>
            <w:tcW w:w="2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11,087</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tcPr>
          <w:p>
            <w:pPr>
              <w:ind w:left="20"/>
              <w:spacing w:after="0"/>
              <w:rPr>
                <w:sz w:val="20"/>
                <w:szCs w:val="20"/>
                <w:color w:val="auto"/>
              </w:rPr>
            </w:pPr>
            <w:r>
              <w:rPr>
                <w:rFonts w:ascii="Arial" w:cs="Arial" w:eastAsia="Arial" w:hAnsi="Arial"/>
                <w:sz w:val="11"/>
                <w:szCs w:val="11"/>
                <w:color w:val="auto"/>
              </w:rPr>
              <w:t>Applied Technical Services, LLC</w:t>
            </w:r>
          </w:p>
        </w:tc>
        <w:tc>
          <w:tcPr>
            <w:tcW w:w="74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12/29/2026</w:t>
            </w:r>
          </w:p>
        </w:tc>
        <w:tc>
          <w:tcPr>
            <w:tcW w:w="12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90"/>
              </w:rPr>
              <w:t>Commercial Services &amp; Supplies</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2"/>
          </w:tcPr>
          <w:p>
            <w:pPr>
              <w:jc w:val="right"/>
              <w:ind w:right="300"/>
              <w:spacing w:after="0"/>
              <w:rPr>
                <w:sz w:val="20"/>
                <w:szCs w:val="20"/>
                <w:color w:val="auto"/>
              </w:rPr>
            </w:pPr>
            <w:r>
              <w:rPr>
                <w:rFonts w:ascii="Arial" w:cs="Arial" w:eastAsia="Arial" w:hAnsi="Arial"/>
                <w:sz w:val="11"/>
                <w:szCs w:val="11"/>
                <w:color w:val="auto"/>
                <w:w w:val="81"/>
              </w:rPr>
              <w:t>8.00 %</w:t>
            </w:r>
          </w:p>
        </w:tc>
        <w:tc>
          <w:tcPr>
            <w:tcW w:w="960" w:type="dxa"/>
            <w:vAlign w:val="bottom"/>
          </w:tcPr>
          <w:p>
            <w:pPr>
              <w:jc w:val="right"/>
              <w:spacing w:after="0"/>
              <w:rPr>
                <w:sz w:val="20"/>
                <w:szCs w:val="20"/>
                <w:color w:val="auto"/>
              </w:rPr>
            </w:pPr>
            <w:r>
              <w:rPr>
                <w:rFonts w:ascii="Arial" w:cs="Arial" w:eastAsia="Arial" w:hAnsi="Arial"/>
                <w:sz w:val="11"/>
                <w:szCs w:val="11"/>
                <w:color w:val="auto"/>
              </w:rPr>
              <w:t>3M L+575</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8,443</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8,333</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8,337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shd w:val="clear" w:color="auto" w:fill="CCECFF"/>
          </w:tcPr>
          <w:p>
            <w:pPr>
              <w:ind w:left="20"/>
              <w:spacing w:after="0"/>
              <w:rPr>
                <w:sz w:val="20"/>
                <w:szCs w:val="20"/>
                <w:color w:val="auto"/>
              </w:rPr>
            </w:pPr>
            <w:r>
              <w:rPr>
                <w:rFonts w:ascii="Arial" w:cs="Arial" w:eastAsia="Arial" w:hAnsi="Arial"/>
                <w:sz w:val="11"/>
                <w:szCs w:val="11"/>
                <w:color w:val="auto"/>
              </w:rPr>
              <w:t>Arcfield Acquisition Corp.</w:t>
            </w:r>
          </w:p>
        </w:tc>
        <w:tc>
          <w:tcPr>
            <w:tcW w:w="7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8"/>
              </w:rPr>
              <w:t>3/7/2028</w:t>
            </w:r>
          </w:p>
        </w:tc>
        <w:tc>
          <w:tcPr>
            <w:tcW w:w="120" w:type="dxa"/>
            <w:vAlign w:val="bottom"/>
            <w:shd w:val="clear" w:color="auto" w:fill="CCECFF"/>
          </w:tcPr>
          <w:p>
            <w:pPr>
              <w:spacing w:after="0"/>
              <w:rPr>
                <w:sz w:val="11"/>
                <w:szCs w:val="11"/>
                <w:color w:val="auto"/>
              </w:rPr>
            </w:pPr>
          </w:p>
        </w:tc>
        <w:tc>
          <w:tcPr>
            <w:tcW w:w="23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Aerospace and Defense</w:t>
            </w:r>
          </w:p>
        </w:tc>
        <w:tc>
          <w:tcPr>
            <w:tcW w:w="14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600" w:type="dxa"/>
            <w:vAlign w:val="bottom"/>
            <w:gridSpan w:val="2"/>
            <w:shd w:val="clear" w:color="auto" w:fill="CCECFF"/>
          </w:tcPr>
          <w:p>
            <w:pPr>
              <w:jc w:val="right"/>
              <w:ind w:right="300"/>
              <w:spacing w:after="0"/>
              <w:rPr>
                <w:sz w:val="20"/>
                <w:szCs w:val="20"/>
                <w:color w:val="auto"/>
              </w:rPr>
            </w:pPr>
            <w:r>
              <w:rPr>
                <w:rFonts w:ascii="Arial" w:cs="Arial" w:eastAsia="Arial" w:hAnsi="Arial"/>
                <w:sz w:val="11"/>
                <w:szCs w:val="11"/>
                <w:color w:val="auto"/>
                <w:w w:val="81"/>
              </w:rPr>
              <w:t>7.44 %</w:t>
            </w:r>
          </w:p>
        </w:tc>
        <w:tc>
          <w:tcPr>
            <w:tcW w:w="9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SOFR + 575</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4,688</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4,597</w:t>
            </w:r>
          </w:p>
        </w:tc>
        <w:tc>
          <w:tcPr>
            <w:tcW w:w="2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4,571</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tcPr>
          <w:p>
            <w:pPr>
              <w:ind w:left="20"/>
              <w:spacing w:after="0"/>
              <w:rPr>
                <w:sz w:val="20"/>
                <w:szCs w:val="20"/>
                <w:color w:val="auto"/>
              </w:rPr>
            </w:pPr>
            <w:r>
              <w:rPr>
                <w:rFonts w:ascii="Arial" w:cs="Arial" w:eastAsia="Arial" w:hAnsi="Arial"/>
                <w:sz w:val="11"/>
                <w:szCs w:val="11"/>
                <w:color w:val="auto"/>
              </w:rPr>
              <w:t>Blackhawk Industrial Distribution, Inc.</w:t>
            </w:r>
          </w:p>
        </w:tc>
        <w:tc>
          <w:tcPr>
            <w:tcW w:w="740" w:type="dxa"/>
            <w:vAlign w:val="bottom"/>
            <w:gridSpan w:val="2"/>
          </w:tcPr>
          <w:p>
            <w:pPr>
              <w:jc w:val="center"/>
              <w:ind w:left="86"/>
              <w:spacing w:after="0"/>
              <w:rPr>
                <w:sz w:val="20"/>
                <w:szCs w:val="20"/>
                <w:color w:val="auto"/>
              </w:rPr>
            </w:pPr>
            <w:r>
              <w:rPr>
                <w:rFonts w:ascii="Arial" w:cs="Arial" w:eastAsia="Arial" w:hAnsi="Arial"/>
                <w:sz w:val="11"/>
                <w:szCs w:val="11"/>
                <w:color w:val="auto"/>
                <w:w w:val="89"/>
              </w:rPr>
              <w:t>9/17/2024</w:t>
            </w:r>
          </w:p>
        </w:tc>
        <w:tc>
          <w:tcPr>
            <w:tcW w:w="12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93"/>
              </w:rPr>
              <w:t>Distributors</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2"/>
          </w:tcPr>
          <w:p>
            <w:pPr>
              <w:jc w:val="right"/>
              <w:ind w:right="300"/>
              <w:spacing w:after="0"/>
              <w:rPr>
                <w:sz w:val="20"/>
                <w:szCs w:val="20"/>
                <w:color w:val="auto"/>
              </w:rPr>
            </w:pPr>
            <w:r>
              <w:rPr>
                <w:rFonts w:ascii="Arial" w:cs="Arial" w:eastAsia="Arial" w:hAnsi="Arial"/>
                <w:sz w:val="11"/>
                <w:szCs w:val="11"/>
                <w:color w:val="auto"/>
                <w:w w:val="81"/>
              </w:rPr>
              <w:t>7.20 %</w:t>
            </w:r>
          </w:p>
        </w:tc>
        <w:tc>
          <w:tcPr>
            <w:tcW w:w="960" w:type="dxa"/>
            <w:vAlign w:val="bottom"/>
          </w:tcPr>
          <w:p>
            <w:pPr>
              <w:jc w:val="right"/>
              <w:spacing w:after="0"/>
              <w:rPr>
                <w:sz w:val="20"/>
                <w:szCs w:val="20"/>
                <w:color w:val="auto"/>
              </w:rPr>
            </w:pPr>
            <w:r>
              <w:rPr>
                <w:rFonts w:ascii="Arial" w:cs="Arial" w:eastAsia="Arial" w:hAnsi="Arial"/>
                <w:sz w:val="11"/>
                <w:szCs w:val="11"/>
                <w:color w:val="auto"/>
              </w:rPr>
              <w:t>SOFR + 500</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15,330</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15,110</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15,176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shd w:val="clear" w:color="auto" w:fill="CCECFF"/>
          </w:tcPr>
          <w:p>
            <w:pPr>
              <w:ind w:left="20"/>
              <w:spacing w:after="0"/>
              <w:rPr>
                <w:sz w:val="20"/>
                <w:szCs w:val="20"/>
                <w:color w:val="auto"/>
              </w:rPr>
            </w:pPr>
            <w:r>
              <w:rPr>
                <w:rFonts w:ascii="Arial" w:cs="Arial" w:eastAsia="Arial" w:hAnsi="Arial"/>
                <w:sz w:val="11"/>
                <w:szCs w:val="11"/>
                <w:color w:val="auto"/>
              </w:rPr>
              <w:t>Broder Bros., Co.</w:t>
            </w:r>
          </w:p>
        </w:tc>
        <w:tc>
          <w:tcPr>
            <w:tcW w:w="74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9"/>
              </w:rPr>
              <w:t>12/2/2022</w:t>
            </w:r>
          </w:p>
        </w:tc>
        <w:tc>
          <w:tcPr>
            <w:tcW w:w="120" w:type="dxa"/>
            <w:vAlign w:val="bottom"/>
            <w:shd w:val="clear" w:color="auto" w:fill="CCECFF"/>
          </w:tcPr>
          <w:p>
            <w:pPr>
              <w:spacing w:after="0"/>
              <w:rPr>
                <w:sz w:val="11"/>
                <w:szCs w:val="11"/>
                <w:color w:val="auto"/>
              </w:rPr>
            </w:pPr>
          </w:p>
        </w:tc>
        <w:tc>
          <w:tcPr>
            <w:tcW w:w="23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Consumer Products</w:t>
            </w:r>
          </w:p>
        </w:tc>
        <w:tc>
          <w:tcPr>
            <w:tcW w:w="14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600" w:type="dxa"/>
            <w:vAlign w:val="bottom"/>
            <w:gridSpan w:val="2"/>
            <w:shd w:val="clear" w:color="auto" w:fill="CCECFF"/>
          </w:tcPr>
          <w:p>
            <w:pPr>
              <w:jc w:val="right"/>
              <w:ind w:right="300"/>
              <w:spacing w:after="0"/>
              <w:rPr>
                <w:sz w:val="20"/>
                <w:szCs w:val="20"/>
                <w:color w:val="auto"/>
              </w:rPr>
            </w:pPr>
            <w:r>
              <w:rPr>
                <w:rFonts w:ascii="Arial" w:cs="Arial" w:eastAsia="Arial" w:hAnsi="Arial"/>
                <w:sz w:val="11"/>
                <w:szCs w:val="11"/>
                <w:color w:val="auto"/>
                <w:w w:val="81"/>
              </w:rPr>
              <w:t>7.39 %</w:t>
            </w:r>
          </w:p>
        </w:tc>
        <w:tc>
          <w:tcPr>
            <w:tcW w:w="9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L+850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2,432</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2,432</w:t>
            </w:r>
          </w:p>
        </w:tc>
        <w:tc>
          <w:tcPr>
            <w:tcW w:w="2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2,432</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tcPr>
          <w:p>
            <w:pPr>
              <w:ind w:left="20"/>
              <w:spacing w:after="0"/>
              <w:rPr>
                <w:sz w:val="20"/>
                <w:szCs w:val="20"/>
                <w:color w:val="auto"/>
              </w:rPr>
            </w:pPr>
            <w:r>
              <w:rPr>
                <w:rFonts w:ascii="Arial" w:cs="Arial" w:eastAsia="Arial" w:hAnsi="Arial"/>
                <w:sz w:val="11"/>
                <w:szCs w:val="11"/>
                <w:color w:val="auto"/>
              </w:rPr>
              <w:t>By Light Professional IT Services, LLC</w:t>
            </w:r>
          </w:p>
        </w:tc>
        <w:tc>
          <w:tcPr>
            <w:tcW w:w="740" w:type="dxa"/>
            <w:vAlign w:val="bottom"/>
            <w:gridSpan w:val="2"/>
          </w:tcPr>
          <w:p>
            <w:pPr>
              <w:jc w:val="center"/>
              <w:ind w:left="86"/>
              <w:spacing w:after="0"/>
              <w:rPr>
                <w:sz w:val="20"/>
                <w:szCs w:val="20"/>
                <w:color w:val="auto"/>
              </w:rPr>
            </w:pPr>
            <w:r>
              <w:rPr>
                <w:rFonts w:ascii="Arial" w:cs="Arial" w:eastAsia="Arial" w:hAnsi="Arial"/>
                <w:sz w:val="11"/>
                <w:szCs w:val="11"/>
                <w:color w:val="auto"/>
                <w:w w:val="89"/>
              </w:rPr>
              <w:t>5/16/2024</w:t>
            </w:r>
          </w:p>
        </w:tc>
        <w:tc>
          <w:tcPr>
            <w:tcW w:w="12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89"/>
              </w:rPr>
              <w:t>High Tech Industries</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2"/>
          </w:tcPr>
          <w:p>
            <w:pPr>
              <w:jc w:val="right"/>
              <w:ind w:right="300"/>
              <w:spacing w:after="0"/>
              <w:rPr>
                <w:sz w:val="20"/>
                <w:szCs w:val="20"/>
                <w:color w:val="auto"/>
              </w:rPr>
            </w:pPr>
            <w:r>
              <w:rPr>
                <w:rFonts w:ascii="Arial" w:cs="Arial" w:eastAsia="Arial" w:hAnsi="Arial"/>
                <w:sz w:val="11"/>
                <w:szCs w:val="11"/>
                <w:color w:val="auto"/>
                <w:w w:val="81"/>
              </w:rPr>
              <w:t>7.25 %</w:t>
            </w:r>
          </w:p>
        </w:tc>
        <w:tc>
          <w:tcPr>
            <w:tcW w:w="960" w:type="dxa"/>
            <w:vAlign w:val="bottom"/>
          </w:tcPr>
          <w:p>
            <w:pPr>
              <w:jc w:val="right"/>
              <w:spacing w:after="0"/>
              <w:rPr>
                <w:sz w:val="20"/>
                <w:szCs w:val="20"/>
                <w:color w:val="auto"/>
              </w:rPr>
            </w:pPr>
            <w:r>
              <w:rPr>
                <w:rFonts w:ascii="Arial" w:cs="Arial" w:eastAsia="Arial" w:hAnsi="Arial"/>
                <w:sz w:val="11"/>
                <w:szCs w:val="11"/>
                <w:color w:val="auto"/>
              </w:rPr>
              <w:t>3M L+625</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14,974</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14,913</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14,824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shd w:val="clear" w:color="auto" w:fill="CCECFF"/>
          </w:tcPr>
          <w:p>
            <w:pPr>
              <w:ind w:left="20"/>
              <w:spacing w:after="0"/>
              <w:rPr>
                <w:sz w:val="20"/>
                <w:szCs w:val="20"/>
                <w:color w:val="auto"/>
              </w:rPr>
            </w:pPr>
            <w:r>
              <w:rPr>
                <w:rFonts w:ascii="Arial" w:cs="Arial" w:eastAsia="Arial" w:hAnsi="Arial"/>
                <w:sz w:val="11"/>
                <w:szCs w:val="11"/>
                <w:color w:val="auto"/>
              </w:rPr>
              <w:t>Cadence Aerospace, LLC</w:t>
            </w:r>
          </w:p>
        </w:tc>
        <w:tc>
          <w:tcPr>
            <w:tcW w:w="74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7"/>
              </w:rPr>
              <w:t>11/14/2023</w:t>
            </w:r>
          </w:p>
        </w:tc>
        <w:tc>
          <w:tcPr>
            <w:tcW w:w="120" w:type="dxa"/>
            <w:vAlign w:val="bottom"/>
            <w:shd w:val="clear" w:color="auto" w:fill="CCECFF"/>
          </w:tcPr>
          <w:p>
            <w:pPr>
              <w:spacing w:after="0"/>
              <w:rPr>
                <w:sz w:val="11"/>
                <w:szCs w:val="11"/>
                <w:color w:val="auto"/>
              </w:rPr>
            </w:pPr>
          </w:p>
        </w:tc>
        <w:tc>
          <w:tcPr>
            <w:tcW w:w="23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Aerospace and Defense</w:t>
            </w:r>
          </w:p>
        </w:tc>
        <w:tc>
          <w:tcPr>
            <w:tcW w:w="14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600" w:type="dxa"/>
            <w:vAlign w:val="bottom"/>
            <w:gridSpan w:val="2"/>
            <w:shd w:val="clear" w:color="auto" w:fill="CCECFF"/>
          </w:tcPr>
          <w:p>
            <w:pPr>
              <w:jc w:val="right"/>
              <w:ind w:right="300"/>
              <w:spacing w:after="0"/>
              <w:rPr>
                <w:sz w:val="20"/>
                <w:szCs w:val="20"/>
                <w:color w:val="auto"/>
              </w:rPr>
            </w:pPr>
            <w:r>
              <w:rPr>
                <w:rFonts w:ascii="Arial" w:cs="Arial" w:eastAsia="Arial" w:hAnsi="Arial"/>
                <w:sz w:val="11"/>
                <w:szCs w:val="11"/>
                <w:color w:val="auto"/>
                <w:w w:val="81"/>
              </w:rPr>
              <w:t>9.74 %</w:t>
            </w:r>
          </w:p>
        </w:tc>
        <w:tc>
          <w:tcPr>
            <w:tcW w:w="9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L+325</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12,380</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12,346</w:t>
            </w:r>
          </w:p>
        </w:tc>
        <w:tc>
          <w:tcPr>
            <w:tcW w:w="2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12,281</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tcPr>
          <w:p>
            <w:pPr>
              <w:ind w:left="20"/>
              <w:spacing w:after="0"/>
              <w:rPr>
                <w:sz w:val="20"/>
                <w:szCs w:val="20"/>
                <w:color w:val="auto"/>
              </w:rPr>
            </w:pPr>
            <w:r>
              <w:rPr>
                <w:rFonts w:ascii="Arial" w:cs="Arial" w:eastAsia="Arial" w:hAnsi="Arial"/>
                <w:sz w:val="11"/>
                <w:szCs w:val="11"/>
                <w:color w:val="auto"/>
              </w:rPr>
              <w:t>CF512, Inc.</w:t>
            </w:r>
          </w:p>
        </w:tc>
        <w:tc>
          <w:tcPr>
            <w:tcW w:w="740" w:type="dxa"/>
            <w:vAlign w:val="bottom"/>
            <w:gridSpan w:val="2"/>
          </w:tcPr>
          <w:p>
            <w:pPr>
              <w:jc w:val="center"/>
              <w:ind w:left="86"/>
              <w:spacing w:after="0"/>
              <w:rPr>
                <w:sz w:val="20"/>
                <w:szCs w:val="20"/>
                <w:color w:val="auto"/>
              </w:rPr>
            </w:pPr>
            <w:r>
              <w:rPr>
                <w:rFonts w:ascii="Arial" w:cs="Arial" w:eastAsia="Arial" w:hAnsi="Arial"/>
                <w:sz w:val="11"/>
                <w:szCs w:val="11"/>
                <w:color w:val="auto"/>
                <w:w w:val="89"/>
              </w:rPr>
              <w:t>8/20/2026</w:t>
            </w:r>
          </w:p>
        </w:tc>
        <w:tc>
          <w:tcPr>
            <w:tcW w:w="12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2"/>
          </w:tcPr>
          <w:p>
            <w:pPr>
              <w:jc w:val="right"/>
              <w:ind w:right="300"/>
              <w:spacing w:after="0"/>
              <w:rPr>
                <w:sz w:val="20"/>
                <w:szCs w:val="20"/>
                <w:color w:val="auto"/>
              </w:rPr>
            </w:pPr>
            <w:r>
              <w:rPr>
                <w:rFonts w:ascii="Arial" w:cs="Arial" w:eastAsia="Arial" w:hAnsi="Arial"/>
                <w:sz w:val="11"/>
                <w:szCs w:val="11"/>
                <w:color w:val="auto"/>
                <w:w w:val="81"/>
              </w:rPr>
              <w:t>7.58 %</w:t>
            </w:r>
          </w:p>
        </w:tc>
        <w:tc>
          <w:tcPr>
            <w:tcW w:w="960" w:type="dxa"/>
            <w:vAlign w:val="bottom"/>
          </w:tcPr>
          <w:p>
            <w:pPr>
              <w:jc w:val="right"/>
              <w:spacing w:after="0"/>
              <w:rPr>
                <w:sz w:val="20"/>
                <w:szCs w:val="20"/>
                <w:color w:val="auto"/>
              </w:rPr>
            </w:pPr>
            <w:r>
              <w:rPr>
                <w:rFonts w:ascii="Arial" w:cs="Arial" w:eastAsia="Arial" w:hAnsi="Arial"/>
                <w:sz w:val="11"/>
                <w:szCs w:val="11"/>
                <w:color w:val="auto"/>
              </w:rPr>
              <w:t>3M L+600</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4,963</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4,875</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4,888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shd w:val="clear" w:color="auto" w:fill="CCECFF"/>
          </w:tcPr>
          <w:p>
            <w:pPr>
              <w:ind w:left="20"/>
              <w:spacing w:after="0"/>
              <w:rPr>
                <w:sz w:val="20"/>
                <w:szCs w:val="20"/>
                <w:color w:val="auto"/>
              </w:rPr>
            </w:pPr>
            <w:r>
              <w:rPr>
                <w:rFonts w:ascii="Arial" w:cs="Arial" w:eastAsia="Arial" w:hAnsi="Arial"/>
                <w:sz w:val="11"/>
                <w:szCs w:val="11"/>
                <w:color w:val="auto"/>
              </w:rPr>
              <w:t>CHA Holdings, Inc.</w:t>
            </w:r>
          </w:p>
        </w:tc>
        <w:tc>
          <w:tcPr>
            <w:tcW w:w="74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9"/>
              </w:rPr>
              <w:t>4/10/2025</w:t>
            </w:r>
          </w:p>
        </w:tc>
        <w:tc>
          <w:tcPr>
            <w:tcW w:w="120" w:type="dxa"/>
            <w:vAlign w:val="bottom"/>
            <w:shd w:val="clear" w:color="auto" w:fill="CCECFF"/>
          </w:tcPr>
          <w:p>
            <w:pPr>
              <w:spacing w:after="0"/>
              <w:rPr>
                <w:sz w:val="11"/>
                <w:szCs w:val="11"/>
                <w:color w:val="auto"/>
              </w:rPr>
            </w:pPr>
          </w:p>
        </w:tc>
        <w:tc>
          <w:tcPr>
            <w:tcW w:w="23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Construction and Engineering</w:t>
            </w:r>
          </w:p>
        </w:tc>
        <w:tc>
          <w:tcPr>
            <w:tcW w:w="14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600" w:type="dxa"/>
            <w:vAlign w:val="bottom"/>
            <w:gridSpan w:val="2"/>
            <w:shd w:val="clear" w:color="auto" w:fill="CCECFF"/>
          </w:tcPr>
          <w:p>
            <w:pPr>
              <w:jc w:val="right"/>
              <w:ind w:right="300"/>
              <w:spacing w:after="0"/>
              <w:rPr>
                <w:sz w:val="20"/>
                <w:szCs w:val="20"/>
                <w:color w:val="auto"/>
              </w:rPr>
            </w:pPr>
            <w:r>
              <w:rPr>
                <w:rFonts w:ascii="Arial" w:cs="Arial" w:eastAsia="Arial" w:hAnsi="Arial"/>
                <w:sz w:val="11"/>
                <w:szCs w:val="11"/>
                <w:color w:val="auto"/>
                <w:w w:val="81"/>
              </w:rPr>
              <w:t>6.75 %</w:t>
            </w:r>
          </w:p>
        </w:tc>
        <w:tc>
          <w:tcPr>
            <w:tcW w:w="9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L+450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5,571</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5,495</w:t>
            </w:r>
          </w:p>
        </w:tc>
        <w:tc>
          <w:tcPr>
            <w:tcW w:w="2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5,571</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tcPr>
          <w:p>
            <w:pPr>
              <w:ind w:left="20"/>
              <w:spacing w:after="0"/>
              <w:rPr>
                <w:sz w:val="20"/>
                <w:szCs w:val="20"/>
                <w:color w:val="auto"/>
              </w:rPr>
            </w:pPr>
            <w:r>
              <w:rPr>
                <w:rFonts w:ascii="Arial" w:cs="Arial" w:eastAsia="Arial" w:hAnsi="Arial"/>
                <w:sz w:val="11"/>
                <w:szCs w:val="11"/>
                <w:color w:val="auto"/>
              </w:rPr>
              <w:t>Challenger Performance Optimization, Inc.</w:t>
            </w:r>
          </w:p>
        </w:tc>
        <w:tc>
          <w:tcPr>
            <w:tcW w:w="740" w:type="dxa"/>
            <w:vAlign w:val="bottom"/>
            <w:gridSpan w:val="2"/>
          </w:tcPr>
          <w:p>
            <w:pPr>
              <w:jc w:val="center"/>
              <w:ind w:left="86"/>
              <w:spacing w:after="0"/>
              <w:rPr>
                <w:sz w:val="20"/>
                <w:szCs w:val="20"/>
                <w:color w:val="auto"/>
              </w:rPr>
            </w:pPr>
            <w:r>
              <w:rPr>
                <w:rFonts w:ascii="Arial" w:cs="Arial" w:eastAsia="Arial" w:hAnsi="Arial"/>
                <w:sz w:val="11"/>
                <w:szCs w:val="11"/>
                <w:color w:val="auto"/>
                <w:w w:val="89"/>
              </w:rPr>
              <w:t>8/31/2023</w:t>
            </w:r>
          </w:p>
        </w:tc>
        <w:tc>
          <w:tcPr>
            <w:tcW w:w="12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86"/>
              </w:rPr>
              <w:t>Business Services</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2"/>
          </w:tcPr>
          <w:p>
            <w:pPr>
              <w:jc w:val="right"/>
              <w:ind w:right="300"/>
              <w:spacing w:after="0"/>
              <w:rPr>
                <w:sz w:val="20"/>
                <w:szCs w:val="20"/>
                <w:color w:val="auto"/>
              </w:rPr>
            </w:pPr>
            <w:r>
              <w:rPr>
                <w:rFonts w:ascii="Arial" w:cs="Arial" w:eastAsia="Arial" w:hAnsi="Arial"/>
                <w:sz w:val="11"/>
                <w:szCs w:val="11"/>
                <w:color w:val="auto"/>
                <w:w w:val="81"/>
              </w:rPr>
              <w:t>8.00 %</w:t>
            </w:r>
          </w:p>
        </w:tc>
        <w:tc>
          <w:tcPr>
            <w:tcW w:w="960" w:type="dxa"/>
            <w:vAlign w:val="bottom"/>
          </w:tcPr>
          <w:p>
            <w:pPr>
              <w:jc w:val="right"/>
              <w:spacing w:after="0"/>
              <w:rPr>
                <w:sz w:val="20"/>
                <w:szCs w:val="20"/>
                <w:color w:val="auto"/>
              </w:rPr>
            </w:pPr>
            <w:r>
              <w:rPr>
                <w:rFonts w:ascii="Arial" w:cs="Arial" w:eastAsia="Arial" w:hAnsi="Arial"/>
                <w:sz w:val="11"/>
                <w:szCs w:val="11"/>
                <w:color w:val="auto"/>
              </w:rPr>
              <w:t>1M L+575</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9,377</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9,347</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9,049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shd w:val="clear" w:color="auto" w:fill="CCECFF"/>
          </w:tcPr>
          <w:p>
            <w:pPr>
              <w:ind w:left="20"/>
              <w:spacing w:after="0"/>
              <w:rPr>
                <w:sz w:val="20"/>
                <w:szCs w:val="20"/>
                <w:color w:val="auto"/>
              </w:rPr>
            </w:pPr>
            <w:r>
              <w:rPr>
                <w:rFonts w:ascii="Arial" w:cs="Arial" w:eastAsia="Arial" w:hAnsi="Arial"/>
                <w:sz w:val="11"/>
                <w:szCs w:val="11"/>
                <w:color w:val="auto"/>
              </w:rPr>
              <w:t>Connatix Buyer, Inc.</w:t>
            </w:r>
          </w:p>
        </w:tc>
        <w:tc>
          <w:tcPr>
            <w:tcW w:w="74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9"/>
              </w:rPr>
              <w:t>7/13/2027</w:t>
            </w:r>
          </w:p>
        </w:tc>
        <w:tc>
          <w:tcPr>
            <w:tcW w:w="120" w:type="dxa"/>
            <w:vAlign w:val="bottom"/>
            <w:shd w:val="clear" w:color="auto" w:fill="CCECFF"/>
          </w:tcPr>
          <w:p>
            <w:pPr>
              <w:spacing w:after="0"/>
              <w:rPr>
                <w:sz w:val="11"/>
                <w:szCs w:val="11"/>
                <w:color w:val="auto"/>
              </w:rPr>
            </w:pPr>
          </w:p>
        </w:tc>
        <w:tc>
          <w:tcPr>
            <w:tcW w:w="23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3"/>
              </w:rPr>
              <w:t>Media</w:t>
            </w:r>
          </w:p>
        </w:tc>
        <w:tc>
          <w:tcPr>
            <w:tcW w:w="14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600" w:type="dxa"/>
            <w:vAlign w:val="bottom"/>
            <w:gridSpan w:val="2"/>
            <w:shd w:val="clear" w:color="auto" w:fill="CCECFF"/>
          </w:tcPr>
          <w:p>
            <w:pPr>
              <w:jc w:val="right"/>
              <w:ind w:right="300"/>
              <w:spacing w:after="0"/>
              <w:rPr>
                <w:sz w:val="20"/>
                <w:szCs w:val="20"/>
                <w:color w:val="auto"/>
              </w:rPr>
            </w:pPr>
            <w:r>
              <w:rPr>
                <w:rFonts w:ascii="Arial" w:cs="Arial" w:eastAsia="Arial" w:hAnsi="Arial"/>
                <w:sz w:val="11"/>
                <w:szCs w:val="11"/>
                <w:color w:val="auto"/>
                <w:w w:val="81"/>
              </w:rPr>
              <w:t>6.91 %</w:t>
            </w:r>
          </w:p>
        </w:tc>
        <w:tc>
          <w:tcPr>
            <w:tcW w:w="9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L+550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3,970</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3,901</w:t>
            </w:r>
          </w:p>
        </w:tc>
        <w:tc>
          <w:tcPr>
            <w:tcW w:w="2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3,901</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tcPr>
          <w:p>
            <w:pPr>
              <w:ind w:left="20"/>
              <w:spacing w:after="0"/>
              <w:rPr>
                <w:sz w:val="20"/>
                <w:szCs w:val="20"/>
                <w:color w:val="auto"/>
              </w:rPr>
            </w:pPr>
            <w:r>
              <w:rPr>
                <w:rFonts w:ascii="Arial" w:cs="Arial" w:eastAsia="Arial" w:hAnsi="Arial"/>
                <w:sz w:val="11"/>
                <w:szCs w:val="11"/>
                <w:color w:val="auto"/>
              </w:rPr>
              <w:t>Crane 1 Services, Inc.</w:t>
            </w:r>
          </w:p>
        </w:tc>
        <w:tc>
          <w:tcPr>
            <w:tcW w:w="740" w:type="dxa"/>
            <w:vAlign w:val="bottom"/>
            <w:gridSpan w:val="2"/>
          </w:tcPr>
          <w:p>
            <w:pPr>
              <w:jc w:val="center"/>
              <w:ind w:left="86"/>
              <w:spacing w:after="0"/>
              <w:rPr>
                <w:sz w:val="20"/>
                <w:szCs w:val="20"/>
                <w:color w:val="auto"/>
              </w:rPr>
            </w:pPr>
            <w:r>
              <w:rPr>
                <w:rFonts w:ascii="Arial" w:cs="Arial" w:eastAsia="Arial" w:hAnsi="Arial"/>
                <w:sz w:val="11"/>
                <w:szCs w:val="11"/>
                <w:color w:val="auto"/>
                <w:w w:val="89"/>
              </w:rPr>
              <w:t>8/16/2027</w:t>
            </w:r>
          </w:p>
        </w:tc>
        <w:tc>
          <w:tcPr>
            <w:tcW w:w="12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90"/>
              </w:rPr>
              <w:t>Commercial Services &amp; Supplies</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2"/>
          </w:tcPr>
          <w:p>
            <w:pPr>
              <w:jc w:val="right"/>
              <w:ind w:right="300"/>
              <w:spacing w:after="0"/>
              <w:rPr>
                <w:sz w:val="20"/>
                <w:szCs w:val="20"/>
                <w:color w:val="auto"/>
              </w:rPr>
            </w:pPr>
            <w:r>
              <w:rPr>
                <w:rFonts w:ascii="Arial" w:cs="Arial" w:eastAsia="Arial" w:hAnsi="Arial"/>
                <w:sz w:val="11"/>
                <w:szCs w:val="11"/>
                <w:color w:val="auto"/>
                <w:w w:val="81"/>
              </w:rPr>
              <w:t>6.75 %</w:t>
            </w:r>
          </w:p>
        </w:tc>
        <w:tc>
          <w:tcPr>
            <w:tcW w:w="960" w:type="dxa"/>
            <w:vAlign w:val="bottom"/>
          </w:tcPr>
          <w:p>
            <w:pPr>
              <w:jc w:val="right"/>
              <w:spacing w:after="0"/>
              <w:rPr>
                <w:sz w:val="20"/>
                <w:szCs w:val="20"/>
                <w:color w:val="auto"/>
              </w:rPr>
            </w:pPr>
            <w:r>
              <w:rPr>
                <w:rFonts w:ascii="Arial" w:cs="Arial" w:eastAsia="Arial" w:hAnsi="Arial"/>
                <w:sz w:val="11"/>
                <w:szCs w:val="11"/>
                <w:color w:val="auto"/>
              </w:rPr>
              <w:t>1M L+575</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2,116</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2,088</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2,084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shd w:val="clear" w:color="auto" w:fill="CCECFF"/>
          </w:tcPr>
          <w:p>
            <w:pPr>
              <w:ind w:left="20"/>
              <w:spacing w:after="0"/>
              <w:rPr>
                <w:sz w:val="20"/>
                <w:szCs w:val="20"/>
                <w:color w:val="auto"/>
              </w:rPr>
            </w:pPr>
            <w:r>
              <w:rPr>
                <w:rFonts w:ascii="Arial" w:cs="Arial" w:eastAsia="Arial" w:hAnsi="Arial"/>
                <w:sz w:val="11"/>
                <w:szCs w:val="11"/>
                <w:color w:val="auto"/>
              </w:rPr>
              <w:t>Crash Champions, LLC</w:t>
            </w:r>
          </w:p>
        </w:tc>
        <w:tc>
          <w:tcPr>
            <w:tcW w:w="7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8"/>
              </w:rPr>
              <w:t>8/5/2025</w:t>
            </w:r>
          </w:p>
        </w:tc>
        <w:tc>
          <w:tcPr>
            <w:tcW w:w="120" w:type="dxa"/>
            <w:vAlign w:val="bottom"/>
            <w:shd w:val="clear" w:color="auto" w:fill="CCECFF"/>
          </w:tcPr>
          <w:p>
            <w:pPr>
              <w:spacing w:after="0"/>
              <w:rPr>
                <w:sz w:val="11"/>
                <w:szCs w:val="11"/>
                <w:color w:val="auto"/>
              </w:rPr>
            </w:pPr>
          </w:p>
        </w:tc>
        <w:tc>
          <w:tcPr>
            <w:tcW w:w="23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2"/>
              </w:rPr>
              <w:t>Automobiles</w:t>
            </w:r>
          </w:p>
        </w:tc>
        <w:tc>
          <w:tcPr>
            <w:tcW w:w="14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600" w:type="dxa"/>
            <w:vAlign w:val="bottom"/>
            <w:gridSpan w:val="2"/>
            <w:shd w:val="clear" w:color="auto" w:fill="CCECFF"/>
          </w:tcPr>
          <w:p>
            <w:pPr>
              <w:jc w:val="right"/>
              <w:ind w:right="300"/>
              <w:spacing w:after="0"/>
              <w:rPr>
                <w:sz w:val="20"/>
                <w:szCs w:val="20"/>
                <w:color w:val="auto"/>
              </w:rPr>
            </w:pPr>
            <w:r>
              <w:rPr>
                <w:rFonts w:ascii="Arial" w:cs="Arial" w:eastAsia="Arial" w:hAnsi="Arial"/>
                <w:sz w:val="11"/>
                <w:szCs w:val="11"/>
                <w:color w:val="auto"/>
                <w:w w:val="81"/>
              </w:rPr>
              <w:t>7.20 %</w:t>
            </w:r>
          </w:p>
        </w:tc>
        <w:tc>
          <w:tcPr>
            <w:tcW w:w="9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14,880</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14,623</w:t>
            </w:r>
          </w:p>
        </w:tc>
        <w:tc>
          <w:tcPr>
            <w:tcW w:w="2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14,806</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tcPr>
          <w:p>
            <w:pPr>
              <w:ind w:left="20"/>
              <w:spacing w:after="0"/>
              <w:rPr>
                <w:sz w:val="20"/>
                <w:szCs w:val="20"/>
                <w:color w:val="auto"/>
              </w:rPr>
            </w:pPr>
            <w:r>
              <w:rPr>
                <w:rFonts w:ascii="Arial" w:cs="Arial" w:eastAsia="Arial" w:hAnsi="Arial"/>
                <w:sz w:val="11"/>
                <w:szCs w:val="11"/>
                <w:color w:val="auto"/>
              </w:rPr>
              <w:t>Douglas Products and Packaging Company LLC</w:t>
            </w:r>
          </w:p>
        </w:tc>
        <w:tc>
          <w:tcPr>
            <w:tcW w:w="74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10/19/2022</w:t>
            </w:r>
          </w:p>
        </w:tc>
        <w:tc>
          <w:tcPr>
            <w:tcW w:w="12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87"/>
              </w:rPr>
              <w:t>Chemicals, Plastics and Rubber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2"/>
          </w:tcPr>
          <w:p>
            <w:pPr>
              <w:jc w:val="right"/>
              <w:ind w:right="300"/>
              <w:spacing w:after="0"/>
              <w:rPr>
                <w:sz w:val="20"/>
                <w:szCs w:val="20"/>
                <w:color w:val="auto"/>
              </w:rPr>
            </w:pPr>
            <w:r>
              <w:rPr>
                <w:rFonts w:ascii="Arial" w:cs="Arial" w:eastAsia="Arial" w:hAnsi="Arial"/>
                <w:sz w:val="11"/>
                <w:szCs w:val="11"/>
                <w:color w:val="auto"/>
                <w:w w:val="81"/>
              </w:rPr>
              <w:t>8.00 %</w:t>
            </w:r>
          </w:p>
        </w:tc>
        <w:tc>
          <w:tcPr>
            <w:tcW w:w="960" w:type="dxa"/>
            <w:vAlign w:val="bottom"/>
          </w:tcPr>
          <w:p>
            <w:pPr>
              <w:jc w:val="right"/>
              <w:spacing w:after="0"/>
              <w:rPr>
                <w:sz w:val="20"/>
                <w:szCs w:val="20"/>
                <w:color w:val="auto"/>
              </w:rPr>
            </w:pPr>
            <w:r>
              <w:rPr>
                <w:rFonts w:ascii="Arial" w:cs="Arial" w:eastAsia="Arial" w:hAnsi="Arial"/>
                <w:sz w:val="11"/>
                <w:szCs w:val="11"/>
                <w:color w:val="auto"/>
              </w:rPr>
              <w:t>3M L+575</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8,678</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8,664</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8,678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shd w:val="clear" w:color="auto" w:fill="CCECFF"/>
          </w:tcPr>
          <w:p>
            <w:pPr>
              <w:ind w:left="20"/>
              <w:spacing w:after="0"/>
              <w:rPr>
                <w:sz w:val="20"/>
                <w:szCs w:val="20"/>
                <w:color w:val="auto"/>
              </w:rPr>
            </w:pPr>
            <w:r>
              <w:rPr>
                <w:rFonts w:ascii="Arial" w:cs="Arial" w:eastAsia="Arial" w:hAnsi="Arial"/>
                <w:sz w:val="11"/>
                <w:szCs w:val="11"/>
                <w:color w:val="auto"/>
              </w:rPr>
              <w:t>Douglas Sewer Intermediate, LLC</w:t>
            </w:r>
          </w:p>
        </w:tc>
        <w:tc>
          <w:tcPr>
            <w:tcW w:w="7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10/19/2022</w:t>
            </w:r>
          </w:p>
        </w:tc>
        <w:tc>
          <w:tcPr>
            <w:tcW w:w="120" w:type="dxa"/>
            <w:vAlign w:val="bottom"/>
            <w:shd w:val="clear" w:color="auto" w:fill="CCECFF"/>
          </w:tcPr>
          <w:p>
            <w:pPr>
              <w:spacing w:after="0"/>
              <w:rPr>
                <w:sz w:val="11"/>
                <w:szCs w:val="11"/>
                <w:color w:val="auto"/>
              </w:rPr>
            </w:pPr>
          </w:p>
        </w:tc>
        <w:tc>
          <w:tcPr>
            <w:tcW w:w="23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Chemicals, Plastics and Rubber</w:t>
            </w:r>
          </w:p>
        </w:tc>
        <w:tc>
          <w:tcPr>
            <w:tcW w:w="14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600" w:type="dxa"/>
            <w:vAlign w:val="bottom"/>
            <w:gridSpan w:val="2"/>
            <w:shd w:val="clear" w:color="auto" w:fill="CCECFF"/>
          </w:tcPr>
          <w:p>
            <w:pPr>
              <w:jc w:val="right"/>
              <w:ind w:right="300"/>
              <w:spacing w:after="0"/>
              <w:rPr>
                <w:sz w:val="20"/>
                <w:szCs w:val="20"/>
                <w:color w:val="auto"/>
              </w:rPr>
            </w:pPr>
            <w:r>
              <w:rPr>
                <w:rFonts w:ascii="Arial" w:cs="Arial" w:eastAsia="Arial" w:hAnsi="Arial"/>
                <w:sz w:val="11"/>
                <w:szCs w:val="11"/>
                <w:color w:val="auto"/>
                <w:w w:val="81"/>
              </w:rPr>
              <w:t>8.00 %</w:t>
            </w:r>
          </w:p>
        </w:tc>
        <w:tc>
          <w:tcPr>
            <w:tcW w:w="9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L+575</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7,267</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7,255</w:t>
            </w:r>
          </w:p>
        </w:tc>
        <w:tc>
          <w:tcPr>
            <w:tcW w:w="2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7,267</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tcPr>
          <w:p>
            <w:pPr>
              <w:ind w:left="20"/>
              <w:spacing w:after="0"/>
              <w:rPr>
                <w:sz w:val="20"/>
                <w:szCs w:val="20"/>
                <w:color w:val="auto"/>
              </w:rPr>
            </w:pPr>
            <w:r>
              <w:rPr>
                <w:rFonts w:ascii="Arial" w:cs="Arial" w:eastAsia="Arial" w:hAnsi="Arial"/>
                <w:sz w:val="11"/>
                <w:szCs w:val="11"/>
                <w:color w:val="auto"/>
              </w:rPr>
              <w:t>Dr. Squatch, LLC</w:t>
            </w:r>
          </w:p>
        </w:tc>
        <w:tc>
          <w:tcPr>
            <w:tcW w:w="740" w:type="dxa"/>
            <w:vAlign w:val="bottom"/>
            <w:gridSpan w:val="2"/>
          </w:tcPr>
          <w:p>
            <w:pPr>
              <w:jc w:val="center"/>
              <w:ind w:left="86"/>
              <w:spacing w:after="0"/>
              <w:rPr>
                <w:sz w:val="20"/>
                <w:szCs w:val="20"/>
                <w:color w:val="auto"/>
              </w:rPr>
            </w:pPr>
            <w:r>
              <w:rPr>
                <w:rFonts w:ascii="Arial" w:cs="Arial" w:eastAsia="Arial" w:hAnsi="Arial"/>
                <w:sz w:val="11"/>
                <w:szCs w:val="11"/>
                <w:color w:val="auto"/>
                <w:w w:val="89"/>
              </w:rPr>
              <w:t>8/31/2027</w:t>
            </w:r>
          </w:p>
        </w:tc>
        <w:tc>
          <w:tcPr>
            <w:tcW w:w="12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86"/>
              </w:rPr>
              <w:t>Personal Products</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2"/>
          </w:tcPr>
          <w:p>
            <w:pPr>
              <w:jc w:val="right"/>
              <w:ind w:right="300"/>
              <w:spacing w:after="0"/>
              <w:rPr>
                <w:sz w:val="20"/>
                <w:szCs w:val="20"/>
                <w:color w:val="auto"/>
              </w:rPr>
            </w:pPr>
            <w:r>
              <w:rPr>
                <w:rFonts w:ascii="Arial" w:cs="Arial" w:eastAsia="Arial" w:hAnsi="Arial"/>
                <w:sz w:val="11"/>
                <w:szCs w:val="11"/>
                <w:color w:val="auto"/>
                <w:w w:val="81"/>
              </w:rPr>
              <w:t>8.00 %</w:t>
            </w:r>
          </w:p>
        </w:tc>
        <w:tc>
          <w:tcPr>
            <w:tcW w:w="960" w:type="dxa"/>
            <w:vAlign w:val="bottom"/>
          </w:tcPr>
          <w:p>
            <w:pPr>
              <w:jc w:val="right"/>
              <w:spacing w:after="0"/>
              <w:rPr>
                <w:sz w:val="20"/>
                <w:szCs w:val="20"/>
                <w:color w:val="auto"/>
              </w:rPr>
            </w:pPr>
            <w:r>
              <w:rPr>
                <w:rFonts w:ascii="Arial" w:cs="Arial" w:eastAsia="Arial" w:hAnsi="Arial"/>
                <w:sz w:val="11"/>
                <w:szCs w:val="11"/>
                <w:color w:val="auto"/>
              </w:rPr>
              <w:t>3M L+600</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14,900</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14,634</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14,900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shd w:val="clear" w:color="auto" w:fill="CCECFF"/>
          </w:tcPr>
          <w:p>
            <w:pPr>
              <w:ind w:left="20"/>
              <w:spacing w:after="0"/>
              <w:rPr>
                <w:sz w:val="20"/>
                <w:szCs w:val="20"/>
                <w:color w:val="auto"/>
              </w:rPr>
            </w:pPr>
            <w:r>
              <w:rPr>
                <w:rFonts w:ascii="Arial" w:cs="Arial" w:eastAsia="Arial" w:hAnsi="Arial"/>
                <w:sz w:val="11"/>
                <w:szCs w:val="11"/>
                <w:color w:val="auto"/>
              </w:rPr>
              <w:t>DRS Holdings III, Inc.</w:t>
            </w:r>
          </w:p>
        </w:tc>
        <w:tc>
          <w:tcPr>
            <w:tcW w:w="74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9"/>
              </w:rPr>
              <w:t>11/3/2025</w:t>
            </w:r>
          </w:p>
        </w:tc>
        <w:tc>
          <w:tcPr>
            <w:tcW w:w="120" w:type="dxa"/>
            <w:vAlign w:val="bottom"/>
            <w:shd w:val="clear" w:color="auto" w:fill="CCECFF"/>
          </w:tcPr>
          <w:p>
            <w:pPr>
              <w:spacing w:after="0"/>
              <w:rPr>
                <w:sz w:val="11"/>
                <w:szCs w:val="11"/>
                <w:color w:val="auto"/>
              </w:rPr>
            </w:pPr>
          </w:p>
        </w:tc>
        <w:tc>
          <w:tcPr>
            <w:tcW w:w="23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Consumer Goods: Durable</w:t>
            </w:r>
          </w:p>
        </w:tc>
        <w:tc>
          <w:tcPr>
            <w:tcW w:w="14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600" w:type="dxa"/>
            <w:vAlign w:val="bottom"/>
            <w:gridSpan w:val="2"/>
            <w:shd w:val="clear" w:color="auto" w:fill="CCECFF"/>
          </w:tcPr>
          <w:p>
            <w:pPr>
              <w:jc w:val="right"/>
              <w:ind w:right="300"/>
              <w:spacing w:after="0"/>
              <w:rPr>
                <w:sz w:val="20"/>
                <w:szCs w:val="20"/>
                <w:color w:val="auto"/>
              </w:rPr>
            </w:pPr>
            <w:r>
              <w:rPr>
                <w:rFonts w:ascii="Arial" w:cs="Arial" w:eastAsia="Arial" w:hAnsi="Arial"/>
                <w:sz w:val="11"/>
                <w:szCs w:val="11"/>
                <w:color w:val="auto"/>
                <w:w w:val="81"/>
              </w:rPr>
              <w:t>7.42 %</w:t>
            </w:r>
          </w:p>
        </w:tc>
        <w:tc>
          <w:tcPr>
            <w:tcW w:w="9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L+575</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15,218</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15,138</w:t>
            </w:r>
          </w:p>
        </w:tc>
        <w:tc>
          <w:tcPr>
            <w:tcW w:w="2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14,777</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tcPr>
          <w:p>
            <w:pPr>
              <w:ind w:left="20"/>
              <w:spacing w:after="0"/>
              <w:rPr>
                <w:sz w:val="20"/>
                <w:szCs w:val="20"/>
                <w:color w:val="auto"/>
              </w:rPr>
            </w:pPr>
            <w:r>
              <w:rPr>
                <w:rFonts w:ascii="Arial" w:cs="Arial" w:eastAsia="Arial" w:hAnsi="Arial"/>
                <w:sz w:val="11"/>
                <w:szCs w:val="11"/>
                <w:color w:val="auto"/>
              </w:rPr>
              <w:t>Duraco Specialty Tapes LLC</w:t>
            </w:r>
          </w:p>
        </w:tc>
        <w:tc>
          <w:tcPr>
            <w:tcW w:w="740" w:type="dxa"/>
            <w:vAlign w:val="bottom"/>
            <w:gridSpan w:val="2"/>
          </w:tcPr>
          <w:p>
            <w:pPr>
              <w:jc w:val="center"/>
              <w:ind w:left="86"/>
              <w:spacing w:after="0"/>
              <w:rPr>
                <w:sz w:val="20"/>
                <w:szCs w:val="20"/>
                <w:color w:val="auto"/>
              </w:rPr>
            </w:pPr>
            <w:r>
              <w:rPr>
                <w:rFonts w:ascii="Arial" w:cs="Arial" w:eastAsia="Arial" w:hAnsi="Arial"/>
                <w:sz w:val="11"/>
                <w:szCs w:val="11"/>
                <w:color w:val="auto"/>
                <w:w w:val="89"/>
              </w:rPr>
              <w:t>6/30/2024</w:t>
            </w:r>
          </w:p>
        </w:tc>
        <w:tc>
          <w:tcPr>
            <w:tcW w:w="12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86"/>
              </w:rPr>
              <w:t>Containers and Packaging</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2"/>
          </w:tcPr>
          <w:p>
            <w:pPr>
              <w:jc w:val="right"/>
              <w:ind w:right="300"/>
              <w:spacing w:after="0"/>
              <w:rPr>
                <w:sz w:val="20"/>
                <w:szCs w:val="20"/>
                <w:color w:val="auto"/>
              </w:rPr>
            </w:pPr>
            <w:r>
              <w:rPr>
                <w:rFonts w:ascii="Arial" w:cs="Arial" w:eastAsia="Arial" w:hAnsi="Arial"/>
                <w:sz w:val="11"/>
                <w:szCs w:val="11"/>
                <w:color w:val="auto"/>
                <w:w w:val="81"/>
              </w:rPr>
              <w:t>7.15 %</w:t>
            </w:r>
          </w:p>
        </w:tc>
        <w:tc>
          <w:tcPr>
            <w:tcW w:w="960" w:type="dxa"/>
            <w:vAlign w:val="bottom"/>
          </w:tcPr>
          <w:p>
            <w:pPr>
              <w:jc w:val="right"/>
              <w:spacing w:after="0"/>
              <w:rPr>
                <w:sz w:val="20"/>
                <w:szCs w:val="20"/>
                <w:color w:val="auto"/>
              </w:rPr>
            </w:pPr>
            <w:r>
              <w:rPr>
                <w:rFonts w:ascii="Arial" w:cs="Arial" w:eastAsia="Arial" w:hAnsi="Arial"/>
                <w:sz w:val="11"/>
                <w:szCs w:val="11"/>
                <w:color w:val="auto"/>
              </w:rPr>
              <w:t>1M L+550</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10,316</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10,173</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10,099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shd w:val="clear" w:color="auto" w:fill="CCECFF"/>
          </w:tcPr>
          <w:p>
            <w:pPr>
              <w:ind w:left="20"/>
              <w:spacing w:after="0"/>
              <w:rPr>
                <w:sz w:val="20"/>
                <w:szCs w:val="20"/>
                <w:color w:val="auto"/>
              </w:rPr>
            </w:pPr>
            <w:r>
              <w:rPr>
                <w:rFonts w:ascii="Arial" w:cs="Arial" w:eastAsia="Arial" w:hAnsi="Arial"/>
                <w:sz w:val="11"/>
                <w:szCs w:val="11"/>
                <w:color w:val="auto"/>
              </w:rPr>
              <w:t>ECL Entertainment, LLC</w:t>
            </w:r>
          </w:p>
        </w:tc>
        <w:tc>
          <w:tcPr>
            <w:tcW w:w="7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8"/>
              </w:rPr>
              <w:t>5/1/2028</w:t>
            </w:r>
          </w:p>
        </w:tc>
        <w:tc>
          <w:tcPr>
            <w:tcW w:w="120" w:type="dxa"/>
            <w:vAlign w:val="bottom"/>
            <w:shd w:val="clear" w:color="auto" w:fill="CCECFF"/>
          </w:tcPr>
          <w:p>
            <w:pPr>
              <w:spacing w:after="0"/>
              <w:rPr>
                <w:sz w:val="11"/>
                <w:szCs w:val="11"/>
                <w:color w:val="auto"/>
              </w:rPr>
            </w:pPr>
          </w:p>
        </w:tc>
        <w:tc>
          <w:tcPr>
            <w:tcW w:w="23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Hotels, Restaurants and Leisure</w:t>
            </w:r>
          </w:p>
        </w:tc>
        <w:tc>
          <w:tcPr>
            <w:tcW w:w="14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600" w:type="dxa"/>
            <w:vAlign w:val="bottom"/>
            <w:gridSpan w:val="2"/>
            <w:shd w:val="clear" w:color="auto" w:fill="CCECFF"/>
          </w:tcPr>
          <w:p>
            <w:pPr>
              <w:jc w:val="right"/>
              <w:ind w:right="300"/>
              <w:spacing w:after="0"/>
              <w:rPr>
                <w:sz w:val="20"/>
                <w:szCs w:val="20"/>
                <w:color w:val="auto"/>
              </w:rPr>
            </w:pPr>
            <w:r>
              <w:rPr>
                <w:rFonts w:ascii="Arial" w:cs="Arial" w:eastAsia="Arial" w:hAnsi="Arial"/>
                <w:sz w:val="11"/>
                <w:szCs w:val="11"/>
                <w:color w:val="auto"/>
                <w:w w:val="81"/>
              </w:rPr>
              <w:t>9.75 %</w:t>
            </w:r>
          </w:p>
        </w:tc>
        <w:tc>
          <w:tcPr>
            <w:tcW w:w="9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L+750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2,627</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2,603</w:t>
            </w:r>
          </w:p>
        </w:tc>
        <w:tc>
          <w:tcPr>
            <w:tcW w:w="2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2,560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tcPr>
          <w:p>
            <w:pPr>
              <w:ind w:left="20"/>
              <w:spacing w:after="0"/>
              <w:rPr>
                <w:sz w:val="20"/>
                <w:szCs w:val="20"/>
                <w:color w:val="auto"/>
              </w:rPr>
            </w:pPr>
            <w:r>
              <w:rPr>
                <w:rFonts w:ascii="Arial" w:cs="Arial" w:eastAsia="Arial" w:hAnsi="Arial"/>
                <w:sz w:val="11"/>
                <w:szCs w:val="11"/>
                <w:color w:val="auto"/>
              </w:rPr>
              <w:t>ECM Industries, LLC</w:t>
            </w:r>
          </w:p>
        </w:tc>
        <w:tc>
          <w:tcPr>
            <w:tcW w:w="74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12/23/2025</w:t>
            </w:r>
          </w:p>
        </w:tc>
        <w:tc>
          <w:tcPr>
            <w:tcW w:w="12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89"/>
              </w:rPr>
              <w:t>Electronic Equipment, Instruments, and Components</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2"/>
          </w:tcPr>
          <w:p>
            <w:pPr>
              <w:jc w:val="right"/>
              <w:ind w:right="300"/>
              <w:spacing w:after="0"/>
              <w:rPr>
                <w:sz w:val="20"/>
                <w:szCs w:val="20"/>
                <w:color w:val="auto"/>
              </w:rPr>
            </w:pPr>
            <w:r>
              <w:rPr>
                <w:rFonts w:ascii="Arial" w:cs="Arial" w:eastAsia="Arial" w:hAnsi="Arial"/>
                <w:sz w:val="11"/>
                <w:szCs w:val="11"/>
                <w:color w:val="auto"/>
                <w:w w:val="81"/>
              </w:rPr>
              <w:t>6.32 %</w:t>
            </w:r>
          </w:p>
        </w:tc>
        <w:tc>
          <w:tcPr>
            <w:tcW w:w="960" w:type="dxa"/>
            <w:vAlign w:val="bottom"/>
          </w:tcPr>
          <w:p>
            <w:pPr>
              <w:jc w:val="right"/>
              <w:spacing w:after="0"/>
              <w:rPr>
                <w:sz w:val="20"/>
                <w:szCs w:val="20"/>
                <w:color w:val="auto"/>
              </w:rPr>
            </w:pPr>
            <w:r>
              <w:rPr>
                <w:rFonts w:ascii="Arial" w:cs="Arial" w:eastAsia="Arial" w:hAnsi="Arial"/>
                <w:sz w:val="11"/>
                <w:szCs w:val="11"/>
                <w:color w:val="auto"/>
              </w:rPr>
              <w:t>3M L+450</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4,987</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4,987</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4,887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shd w:val="clear" w:color="auto" w:fill="CCECFF"/>
          </w:tcPr>
          <w:p>
            <w:pPr>
              <w:ind w:left="20"/>
              <w:spacing w:after="0"/>
              <w:rPr>
                <w:sz w:val="20"/>
                <w:szCs w:val="20"/>
                <w:color w:val="auto"/>
              </w:rPr>
            </w:pPr>
            <w:r>
              <w:rPr>
                <w:rFonts w:ascii="Arial" w:cs="Arial" w:eastAsia="Arial" w:hAnsi="Arial"/>
                <w:sz w:val="11"/>
                <w:szCs w:val="11"/>
                <w:color w:val="auto"/>
              </w:rPr>
              <w:t>Exigo Intermediate II, LLC</w:t>
            </w:r>
          </w:p>
        </w:tc>
        <w:tc>
          <w:tcPr>
            <w:tcW w:w="74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9"/>
              </w:rPr>
              <w:t>3/15/2027</w:t>
            </w:r>
          </w:p>
        </w:tc>
        <w:tc>
          <w:tcPr>
            <w:tcW w:w="120" w:type="dxa"/>
            <w:vAlign w:val="bottom"/>
            <w:shd w:val="clear" w:color="auto" w:fill="CCECFF"/>
          </w:tcPr>
          <w:p>
            <w:pPr>
              <w:spacing w:after="0"/>
              <w:rPr>
                <w:sz w:val="11"/>
                <w:szCs w:val="11"/>
                <w:color w:val="auto"/>
              </w:rPr>
            </w:pPr>
          </w:p>
        </w:tc>
        <w:tc>
          <w:tcPr>
            <w:tcW w:w="23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2"/>
              </w:rPr>
              <w:t>Software</w:t>
            </w:r>
          </w:p>
        </w:tc>
        <w:tc>
          <w:tcPr>
            <w:tcW w:w="14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600" w:type="dxa"/>
            <w:vAlign w:val="bottom"/>
            <w:gridSpan w:val="2"/>
            <w:shd w:val="clear" w:color="auto" w:fill="CCECFF"/>
          </w:tcPr>
          <w:p>
            <w:pPr>
              <w:jc w:val="right"/>
              <w:ind w:right="300"/>
              <w:spacing w:after="0"/>
              <w:rPr>
                <w:sz w:val="20"/>
                <w:szCs w:val="20"/>
                <w:color w:val="auto"/>
              </w:rPr>
            </w:pPr>
            <w:r>
              <w:rPr>
                <w:rFonts w:ascii="Arial" w:cs="Arial" w:eastAsia="Arial" w:hAnsi="Arial"/>
                <w:sz w:val="11"/>
                <w:szCs w:val="11"/>
                <w:color w:val="auto"/>
                <w:w w:val="81"/>
              </w:rPr>
              <w:t>7.42 %</w:t>
            </w:r>
          </w:p>
        </w:tc>
        <w:tc>
          <w:tcPr>
            <w:tcW w:w="9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L+575</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12,968</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12,783</w:t>
            </w:r>
          </w:p>
        </w:tc>
        <w:tc>
          <w:tcPr>
            <w:tcW w:w="2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12,773</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tcPr>
          <w:p>
            <w:pPr>
              <w:ind w:left="20"/>
              <w:spacing w:after="0"/>
              <w:rPr>
                <w:sz w:val="20"/>
                <w:szCs w:val="20"/>
                <w:color w:val="auto"/>
              </w:rPr>
            </w:pPr>
            <w:r>
              <w:rPr>
                <w:rFonts w:ascii="Arial" w:cs="Arial" w:eastAsia="Arial" w:hAnsi="Arial"/>
                <w:sz w:val="11"/>
                <w:szCs w:val="11"/>
                <w:color w:val="auto"/>
              </w:rPr>
              <w:t>Fairbanks More Defense</w:t>
            </w:r>
          </w:p>
        </w:tc>
        <w:tc>
          <w:tcPr>
            <w:tcW w:w="740" w:type="dxa"/>
            <w:vAlign w:val="bottom"/>
            <w:gridSpan w:val="2"/>
          </w:tcPr>
          <w:p>
            <w:pPr>
              <w:jc w:val="center"/>
              <w:ind w:left="86"/>
              <w:spacing w:after="0"/>
              <w:rPr>
                <w:sz w:val="20"/>
                <w:szCs w:val="20"/>
                <w:color w:val="auto"/>
              </w:rPr>
            </w:pPr>
            <w:r>
              <w:rPr>
                <w:rFonts w:ascii="Arial" w:cs="Arial" w:eastAsia="Arial" w:hAnsi="Arial"/>
                <w:sz w:val="11"/>
                <w:szCs w:val="11"/>
                <w:color w:val="auto"/>
                <w:w w:val="89"/>
              </w:rPr>
              <w:t>6/17/2028</w:t>
            </w:r>
          </w:p>
        </w:tc>
        <w:tc>
          <w:tcPr>
            <w:tcW w:w="12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86"/>
              </w:rPr>
              <w:t>Aerospace and Defense</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2"/>
          </w:tcPr>
          <w:p>
            <w:pPr>
              <w:jc w:val="right"/>
              <w:ind w:right="300"/>
              <w:spacing w:after="0"/>
              <w:rPr>
                <w:sz w:val="20"/>
                <w:szCs w:val="20"/>
                <w:color w:val="auto"/>
              </w:rPr>
            </w:pPr>
            <w:r>
              <w:rPr>
                <w:rFonts w:ascii="Arial" w:cs="Arial" w:eastAsia="Arial" w:hAnsi="Arial"/>
                <w:sz w:val="11"/>
                <w:szCs w:val="11"/>
                <w:color w:val="auto"/>
                <w:w w:val="81"/>
              </w:rPr>
              <w:t>7.63 %</w:t>
            </w:r>
          </w:p>
        </w:tc>
        <w:tc>
          <w:tcPr>
            <w:tcW w:w="960" w:type="dxa"/>
            <w:vAlign w:val="bottom"/>
          </w:tcPr>
          <w:p>
            <w:pPr>
              <w:jc w:val="right"/>
              <w:spacing w:after="0"/>
              <w:rPr>
                <w:sz w:val="20"/>
                <w:szCs w:val="20"/>
                <w:color w:val="auto"/>
              </w:rPr>
            </w:pPr>
            <w:r>
              <w:rPr>
                <w:rFonts w:ascii="Arial" w:cs="Arial" w:eastAsia="Arial" w:hAnsi="Arial"/>
                <w:sz w:val="11"/>
                <w:szCs w:val="11"/>
                <w:color w:val="auto"/>
              </w:rPr>
              <w:t>3M L+475</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9,925</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9,884</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9,528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shd w:val="clear" w:color="auto" w:fill="CCECFF"/>
          </w:tcPr>
          <w:p>
            <w:pPr>
              <w:ind w:left="20"/>
              <w:spacing w:after="0"/>
              <w:rPr>
                <w:sz w:val="20"/>
                <w:szCs w:val="20"/>
                <w:color w:val="auto"/>
              </w:rPr>
            </w:pPr>
            <w:r>
              <w:rPr>
                <w:rFonts w:ascii="Arial" w:cs="Arial" w:eastAsia="Arial" w:hAnsi="Arial"/>
                <w:sz w:val="11"/>
                <w:szCs w:val="11"/>
                <w:color w:val="auto"/>
              </w:rPr>
              <w:t>Gantech Acquisition Corp.</w:t>
            </w:r>
          </w:p>
        </w:tc>
        <w:tc>
          <w:tcPr>
            <w:tcW w:w="74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9"/>
              </w:rPr>
              <w:t>5/14/2026</w:t>
            </w:r>
          </w:p>
        </w:tc>
        <w:tc>
          <w:tcPr>
            <w:tcW w:w="120" w:type="dxa"/>
            <w:vAlign w:val="bottom"/>
            <w:shd w:val="clear" w:color="auto" w:fill="CCECFF"/>
          </w:tcPr>
          <w:p>
            <w:pPr>
              <w:spacing w:after="0"/>
              <w:rPr>
                <w:sz w:val="11"/>
                <w:szCs w:val="11"/>
                <w:color w:val="auto"/>
              </w:rPr>
            </w:pPr>
          </w:p>
        </w:tc>
        <w:tc>
          <w:tcPr>
            <w:tcW w:w="23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IT Services</w:t>
            </w:r>
          </w:p>
        </w:tc>
        <w:tc>
          <w:tcPr>
            <w:tcW w:w="14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600" w:type="dxa"/>
            <w:vAlign w:val="bottom"/>
            <w:gridSpan w:val="2"/>
            <w:shd w:val="clear" w:color="auto" w:fill="CCECFF"/>
          </w:tcPr>
          <w:p>
            <w:pPr>
              <w:jc w:val="right"/>
              <w:ind w:right="300"/>
              <w:spacing w:after="0"/>
              <w:rPr>
                <w:sz w:val="20"/>
                <w:szCs w:val="20"/>
                <w:color w:val="auto"/>
              </w:rPr>
            </w:pPr>
            <w:r>
              <w:rPr>
                <w:rFonts w:ascii="Arial" w:cs="Arial" w:eastAsia="Arial" w:hAnsi="Arial"/>
                <w:sz w:val="11"/>
                <w:szCs w:val="11"/>
                <w:color w:val="auto"/>
                <w:w w:val="81"/>
              </w:rPr>
              <w:t>7.92 %</w:t>
            </w:r>
          </w:p>
        </w:tc>
        <w:tc>
          <w:tcPr>
            <w:tcW w:w="9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L+625</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14,713</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14,489</w:t>
            </w:r>
          </w:p>
        </w:tc>
        <w:tc>
          <w:tcPr>
            <w:tcW w:w="2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14,419</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tcPr>
          <w:p>
            <w:pPr>
              <w:ind w:left="20"/>
              <w:spacing w:after="0"/>
              <w:rPr>
                <w:sz w:val="20"/>
                <w:szCs w:val="20"/>
                <w:color w:val="auto"/>
              </w:rPr>
            </w:pPr>
            <w:r>
              <w:rPr>
                <w:rFonts w:ascii="Arial" w:cs="Arial" w:eastAsia="Arial" w:hAnsi="Arial"/>
                <w:sz w:val="11"/>
                <w:szCs w:val="11"/>
                <w:color w:val="auto"/>
              </w:rPr>
              <w:t>Global Holdings InterCo LLC</w:t>
            </w:r>
          </w:p>
        </w:tc>
        <w:tc>
          <w:tcPr>
            <w:tcW w:w="740" w:type="dxa"/>
            <w:vAlign w:val="bottom"/>
            <w:gridSpan w:val="2"/>
          </w:tcPr>
          <w:p>
            <w:pPr>
              <w:jc w:val="center"/>
              <w:ind w:left="86"/>
              <w:spacing w:after="0"/>
              <w:rPr>
                <w:sz w:val="20"/>
                <w:szCs w:val="20"/>
                <w:color w:val="auto"/>
              </w:rPr>
            </w:pPr>
            <w:r>
              <w:rPr>
                <w:rFonts w:ascii="Arial" w:cs="Arial" w:eastAsia="Arial" w:hAnsi="Arial"/>
                <w:sz w:val="11"/>
                <w:szCs w:val="11"/>
                <w:color w:val="auto"/>
                <w:w w:val="89"/>
              </w:rPr>
              <w:t>3/16/2026</w:t>
            </w:r>
          </w:p>
        </w:tc>
        <w:tc>
          <w:tcPr>
            <w:tcW w:w="12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90"/>
              </w:rPr>
              <w:t>Diversified Financial Services</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2"/>
          </w:tcPr>
          <w:p>
            <w:pPr>
              <w:jc w:val="right"/>
              <w:ind w:right="300"/>
              <w:spacing w:after="0"/>
              <w:rPr>
                <w:sz w:val="20"/>
                <w:szCs w:val="20"/>
                <w:color w:val="auto"/>
              </w:rPr>
            </w:pPr>
            <w:r>
              <w:rPr>
                <w:rFonts w:ascii="Arial" w:cs="Arial" w:eastAsia="Arial" w:hAnsi="Arial"/>
                <w:sz w:val="11"/>
                <w:szCs w:val="11"/>
                <w:color w:val="auto"/>
                <w:w w:val="81"/>
              </w:rPr>
              <w:t>7.00 %</w:t>
            </w:r>
          </w:p>
        </w:tc>
        <w:tc>
          <w:tcPr>
            <w:tcW w:w="960" w:type="dxa"/>
            <w:vAlign w:val="bottom"/>
          </w:tcPr>
          <w:p>
            <w:pPr>
              <w:jc w:val="right"/>
              <w:spacing w:after="0"/>
              <w:rPr>
                <w:sz w:val="20"/>
                <w:szCs w:val="20"/>
                <w:color w:val="auto"/>
              </w:rPr>
            </w:pPr>
            <w:r>
              <w:rPr>
                <w:rFonts w:ascii="Arial" w:cs="Arial" w:eastAsia="Arial" w:hAnsi="Arial"/>
                <w:sz w:val="11"/>
                <w:szCs w:val="11"/>
                <w:color w:val="auto"/>
              </w:rPr>
              <w:t>3M L+600</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3,914</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3,897</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3,797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shd w:val="clear" w:color="auto" w:fill="CCECFF"/>
          </w:tcPr>
          <w:p>
            <w:pPr>
              <w:ind w:left="20"/>
              <w:spacing w:after="0"/>
              <w:rPr>
                <w:sz w:val="20"/>
                <w:szCs w:val="20"/>
                <w:color w:val="auto"/>
              </w:rPr>
            </w:pPr>
            <w:r>
              <w:rPr>
                <w:rFonts w:ascii="Arial" w:cs="Arial" w:eastAsia="Arial" w:hAnsi="Arial"/>
                <w:sz w:val="11"/>
                <w:szCs w:val="11"/>
                <w:color w:val="auto"/>
              </w:rPr>
              <w:t>Graffiti Buyer, Inc.</w:t>
            </w:r>
          </w:p>
        </w:tc>
        <w:tc>
          <w:tcPr>
            <w:tcW w:w="74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9"/>
              </w:rPr>
              <w:t>8/10/2027</w:t>
            </w:r>
          </w:p>
        </w:tc>
        <w:tc>
          <w:tcPr>
            <w:tcW w:w="120" w:type="dxa"/>
            <w:vAlign w:val="bottom"/>
            <w:shd w:val="clear" w:color="auto" w:fill="CCECFF"/>
          </w:tcPr>
          <w:p>
            <w:pPr>
              <w:spacing w:after="0"/>
              <w:rPr>
                <w:sz w:val="11"/>
                <w:szCs w:val="11"/>
                <w:color w:val="auto"/>
              </w:rPr>
            </w:pPr>
          </w:p>
        </w:tc>
        <w:tc>
          <w:tcPr>
            <w:tcW w:w="23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Trading Companies &amp; Distributors</w:t>
            </w:r>
          </w:p>
        </w:tc>
        <w:tc>
          <w:tcPr>
            <w:tcW w:w="14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600" w:type="dxa"/>
            <w:vAlign w:val="bottom"/>
            <w:gridSpan w:val="2"/>
            <w:shd w:val="clear" w:color="auto" w:fill="CCECFF"/>
          </w:tcPr>
          <w:p>
            <w:pPr>
              <w:jc w:val="right"/>
              <w:ind w:right="300"/>
              <w:spacing w:after="0"/>
              <w:rPr>
                <w:sz w:val="20"/>
                <w:szCs w:val="20"/>
                <w:color w:val="auto"/>
              </w:rPr>
            </w:pPr>
            <w:r>
              <w:rPr>
                <w:rFonts w:ascii="Arial" w:cs="Arial" w:eastAsia="Arial" w:hAnsi="Arial"/>
                <w:sz w:val="11"/>
                <w:szCs w:val="11"/>
                <w:color w:val="auto"/>
                <w:w w:val="81"/>
              </w:rPr>
              <w:t>8.00 %</w:t>
            </w:r>
          </w:p>
        </w:tc>
        <w:tc>
          <w:tcPr>
            <w:tcW w:w="9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L+575</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2,375</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2,321</w:t>
            </w:r>
          </w:p>
        </w:tc>
        <w:tc>
          <w:tcPr>
            <w:tcW w:w="2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2,310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tcPr>
          <w:p>
            <w:pPr>
              <w:ind w:left="20"/>
              <w:spacing w:after="0"/>
              <w:rPr>
                <w:sz w:val="20"/>
                <w:szCs w:val="20"/>
                <w:color w:val="auto"/>
              </w:rPr>
            </w:pPr>
            <w:r>
              <w:rPr>
                <w:rFonts w:ascii="Arial" w:cs="Arial" w:eastAsia="Arial" w:hAnsi="Arial"/>
                <w:sz w:val="11"/>
                <w:szCs w:val="11"/>
                <w:color w:val="auto"/>
              </w:rPr>
              <w:t>Hancock Roofing and Construction L.L.C.</w:t>
            </w:r>
          </w:p>
        </w:tc>
        <w:tc>
          <w:tcPr>
            <w:tcW w:w="74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12/31/2026</w:t>
            </w:r>
          </w:p>
        </w:tc>
        <w:tc>
          <w:tcPr>
            <w:tcW w:w="12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86"/>
              </w:rPr>
              <w:t>Insurance</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2"/>
          </w:tcPr>
          <w:p>
            <w:pPr>
              <w:jc w:val="right"/>
              <w:ind w:right="300"/>
              <w:spacing w:after="0"/>
              <w:rPr>
                <w:sz w:val="20"/>
                <w:szCs w:val="20"/>
                <w:color w:val="auto"/>
              </w:rPr>
            </w:pPr>
            <w:r>
              <w:rPr>
                <w:rFonts w:ascii="Arial" w:cs="Arial" w:eastAsia="Arial" w:hAnsi="Arial"/>
                <w:sz w:val="11"/>
                <w:szCs w:val="11"/>
                <w:color w:val="auto"/>
                <w:w w:val="81"/>
              </w:rPr>
              <w:t>7.25 %</w:t>
            </w:r>
          </w:p>
        </w:tc>
        <w:tc>
          <w:tcPr>
            <w:tcW w:w="960" w:type="dxa"/>
            <w:vAlign w:val="bottom"/>
          </w:tcPr>
          <w:p>
            <w:pPr>
              <w:jc w:val="right"/>
              <w:spacing w:after="0"/>
              <w:rPr>
                <w:sz w:val="20"/>
                <w:szCs w:val="20"/>
                <w:color w:val="auto"/>
              </w:rPr>
            </w:pPr>
            <w:r>
              <w:rPr>
                <w:rFonts w:ascii="Arial" w:cs="Arial" w:eastAsia="Arial" w:hAnsi="Arial"/>
                <w:sz w:val="11"/>
                <w:szCs w:val="11"/>
                <w:color w:val="auto"/>
              </w:rPr>
              <w:t>1M L+525</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2,392</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2,345</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2,368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shd w:val="clear" w:color="auto" w:fill="CCECFF"/>
          </w:tcPr>
          <w:p>
            <w:pPr>
              <w:ind w:left="20"/>
              <w:spacing w:after="0"/>
              <w:rPr>
                <w:sz w:val="20"/>
                <w:szCs w:val="20"/>
                <w:color w:val="auto"/>
              </w:rPr>
            </w:pPr>
            <w:r>
              <w:rPr>
                <w:rFonts w:ascii="Arial" w:cs="Arial" w:eastAsia="Arial" w:hAnsi="Arial"/>
                <w:sz w:val="11"/>
                <w:szCs w:val="11"/>
                <w:color w:val="auto"/>
              </w:rPr>
              <w:t>Holdco Sands Intermediate, LLC</w:t>
            </w:r>
          </w:p>
        </w:tc>
        <w:tc>
          <w:tcPr>
            <w:tcW w:w="74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7"/>
              </w:rPr>
              <w:t>11/23/2028</w:t>
            </w:r>
          </w:p>
        </w:tc>
        <w:tc>
          <w:tcPr>
            <w:tcW w:w="120" w:type="dxa"/>
            <w:vAlign w:val="bottom"/>
            <w:shd w:val="clear" w:color="auto" w:fill="CCECFF"/>
          </w:tcPr>
          <w:p>
            <w:pPr>
              <w:spacing w:after="0"/>
              <w:rPr>
                <w:sz w:val="11"/>
                <w:szCs w:val="11"/>
                <w:color w:val="auto"/>
              </w:rPr>
            </w:pPr>
          </w:p>
        </w:tc>
        <w:tc>
          <w:tcPr>
            <w:tcW w:w="23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Aerospace and Defense</w:t>
            </w:r>
          </w:p>
        </w:tc>
        <w:tc>
          <w:tcPr>
            <w:tcW w:w="14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600" w:type="dxa"/>
            <w:vAlign w:val="bottom"/>
            <w:gridSpan w:val="2"/>
            <w:shd w:val="clear" w:color="auto" w:fill="CCECFF"/>
          </w:tcPr>
          <w:p>
            <w:pPr>
              <w:jc w:val="right"/>
              <w:ind w:right="300"/>
              <w:spacing w:after="0"/>
              <w:rPr>
                <w:sz w:val="20"/>
                <w:szCs w:val="20"/>
                <w:color w:val="auto"/>
              </w:rPr>
            </w:pPr>
            <w:r>
              <w:rPr>
                <w:rFonts w:ascii="Arial" w:cs="Arial" w:eastAsia="Arial" w:hAnsi="Arial"/>
                <w:sz w:val="11"/>
                <w:szCs w:val="11"/>
                <w:color w:val="auto"/>
                <w:w w:val="81"/>
              </w:rPr>
              <w:t>8.25 %</w:t>
            </w:r>
          </w:p>
        </w:tc>
        <w:tc>
          <w:tcPr>
            <w:tcW w:w="9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L+600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4,975</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4,883</w:t>
            </w:r>
          </w:p>
        </w:tc>
        <w:tc>
          <w:tcPr>
            <w:tcW w:w="2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4,876</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tcPr>
          <w:p>
            <w:pPr>
              <w:ind w:left="20"/>
              <w:spacing w:after="0"/>
              <w:rPr>
                <w:sz w:val="20"/>
                <w:szCs w:val="20"/>
                <w:color w:val="auto"/>
              </w:rPr>
            </w:pPr>
            <w:r>
              <w:rPr>
                <w:rFonts w:ascii="Arial" w:cs="Arial" w:eastAsia="Arial" w:hAnsi="Arial"/>
                <w:sz w:val="11"/>
                <w:szCs w:val="11"/>
                <w:color w:val="auto"/>
              </w:rPr>
              <w:t>HW Holdco, LLC</w:t>
            </w:r>
          </w:p>
        </w:tc>
        <w:tc>
          <w:tcPr>
            <w:tcW w:w="74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12/10/2024</w:t>
            </w:r>
          </w:p>
        </w:tc>
        <w:tc>
          <w:tcPr>
            <w:tcW w:w="12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2"/>
          </w:tcPr>
          <w:p>
            <w:pPr>
              <w:jc w:val="right"/>
              <w:ind w:right="300"/>
              <w:spacing w:after="0"/>
              <w:rPr>
                <w:sz w:val="20"/>
                <w:szCs w:val="20"/>
                <w:color w:val="auto"/>
              </w:rPr>
            </w:pPr>
            <w:r>
              <w:rPr>
                <w:rFonts w:ascii="Arial" w:cs="Arial" w:eastAsia="Arial" w:hAnsi="Arial"/>
                <w:sz w:val="11"/>
                <w:szCs w:val="11"/>
                <w:color w:val="auto"/>
                <w:w w:val="81"/>
              </w:rPr>
              <w:t>6.00 %</w:t>
            </w:r>
          </w:p>
        </w:tc>
        <w:tc>
          <w:tcPr>
            <w:tcW w:w="960" w:type="dxa"/>
            <w:vAlign w:val="bottom"/>
          </w:tcPr>
          <w:p>
            <w:pPr>
              <w:jc w:val="right"/>
              <w:spacing w:after="0"/>
              <w:rPr>
                <w:sz w:val="20"/>
                <w:szCs w:val="20"/>
                <w:color w:val="auto"/>
              </w:rPr>
            </w:pPr>
            <w:r>
              <w:rPr>
                <w:rFonts w:ascii="Arial" w:cs="Arial" w:eastAsia="Arial" w:hAnsi="Arial"/>
                <w:sz w:val="11"/>
                <w:szCs w:val="11"/>
                <w:color w:val="auto"/>
              </w:rPr>
              <w:t>6M L+575</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3,060</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3,009</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2,998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shd w:val="clear" w:color="auto" w:fill="CCECFF"/>
          </w:tcPr>
          <w:p>
            <w:pPr>
              <w:ind w:left="20"/>
              <w:spacing w:after="0"/>
              <w:rPr>
                <w:sz w:val="20"/>
                <w:szCs w:val="20"/>
                <w:color w:val="auto"/>
              </w:rPr>
            </w:pPr>
            <w:r>
              <w:rPr>
                <w:rFonts w:ascii="Arial" w:cs="Arial" w:eastAsia="Arial" w:hAnsi="Arial"/>
                <w:sz w:val="11"/>
                <w:szCs w:val="11"/>
                <w:color w:val="auto"/>
              </w:rPr>
              <w:t>IDC Infusion Services, Inc.</w:t>
            </w:r>
          </w:p>
        </w:tc>
        <w:tc>
          <w:tcPr>
            <w:tcW w:w="7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12/30/2026</w:t>
            </w:r>
          </w:p>
        </w:tc>
        <w:tc>
          <w:tcPr>
            <w:tcW w:w="120" w:type="dxa"/>
            <w:vAlign w:val="bottom"/>
            <w:shd w:val="clear" w:color="auto" w:fill="CCECFF"/>
          </w:tcPr>
          <w:p>
            <w:pPr>
              <w:spacing w:after="0"/>
              <w:rPr>
                <w:sz w:val="11"/>
                <w:szCs w:val="11"/>
                <w:color w:val="auto"/>
              </w:rPr>
            </w:pPr>
          </w:p>
        </w:tc>
        <w:tc>
          <w:tcPr>
            <w:tcW w:w="23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Healthcare Equipment and Supplies</w:t>
            </w:r>
          </w:p>
        </w:tc>
        <w:tc>
          <w:tcPr>
            <w:tcW w:w="14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600" w:type="dxa"/>
            <w:vAlign w:val="bottom"/>
            <w:gridSpan w:val="2"/>
            <w:shd w:val="clear" w:color="auto" w:fill="CCECFF"/>
          </w:tcPr>
          <w:p>
            <w:pPr>
              <w:jc w:val="right"/>
              <w:ind w:right="300"/>
              <w:spacing w:after="0"/>
              <w:rPr>
                <w:sz w:val="20"/>
                <w:szCs w:val="20"/>
                <w:color w:val="auto"/>
              </w:rPr>
            </w:pPr>
            <w:r>
              <w:rPr>
                <w:rFonts w:ascii="Arial" w:cs="Arial" w:eastAsia="Arial" w:hAnsi="Arial"/>
                <w:sz w:val="11"/>
                <w:szCs w:val="11"/>
                <w:color w:val="auto"/>
                <w:w w:val="81"/>
              </w:rPr>
              <w:t>7.00 %</w:t>
            </w:r>
          </w:p>
        </w:tc>
        <w:tc>
          <w:tcPr>
            <w:tcW w:w="9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L+600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9,975</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9,820</w:t>
            </w:r>
          </w:p>
        </w:tc>
        <w:tc>
          <w:tcPr>
            <w:tcW w:w="2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9,875</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tcPr>
          <w:p>
            <w:pPr>
              <w:ind w:left="20"/>
              <w:spacing w:after="0"/>
              <w:rPr>
                <w:sz w:val="20"/>
                <w:szCs w:val="20"/>
                <w:color w:val="auto"/>
              </w:rPr>
            </w:pPr>
            <w:r>
              <w:rPr>
                <w:rFonts w:ascii="Arial" w:cs="Arial" w:eastAsia="Arial" w:hAnsi="Arial"/>
                <w:sz w:val="11"/>
                <w:szCs w:val="11"/>
                <w:color w:val="auto"/>
              </w:rPr>
              <w:t>Imagine Acquisitionco, LLC</w:t>
            </w:r>
          </w:p>
        </w:tc>
        <w:tc>
          <w:tcPr>
            <w:tcW w:w="74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11/15/2027</w:t>
            </w:r>
          </w:p>
        </w:tc>
        <w:tc>
          <w:tcPr>
            <w:tcW w:w="12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92"/>
              </w:rPr>
              <w:t>Software</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2"/>
          </w:tcPr>
          <w:p>
            <w:pPr>
              <w:jc w:val="right"/>
              <w:ind w:right="300"/>
              <w:spacing w:after="0"/>
              <w:rPr>
                <w:sz w:val="20"/>
                <w:szCs w:val="20"/>
                <w:color w:val="auto"/>
              </w:rPr>
            </w:pPr>
            <w:r>
              <w:rPr>
                <w:rFonts w:ascii="Arial" w:cs="Arial" w:eastAsia="Arial" w:hAnsi="Arial"/>
                <w:sz w:val="11"/>
                <w:szCs w:val="11"/>
                <w:color w:val="auto"/>
                <w:w w:val="81"/>
              </w:rPr>
              <w:t>6.91 %</w:t>
            </w:r>
          </w:p>
        </w:tc>
        <w:tc>
          <w:tcPr>
            <w:tcW w:w="960" w:type="dxa"/>
            <w:vAlign w:val="bottom"/>
          </w:tcPr>
          <w:p>
            <w:pPr>
              <w:jc w:val="right"/>
              <w:spacing w:after="0"/>
              <w:rPr>
                <w:sz w:val="20"/>
                <w:szCs w:val="20"/>
                <w:color w:val="auto"/>
              </w:rPr>
            </w:pPr>
            <w:r>
              <w:rPr>
                <w:rFonts w:ascii="Arial" w:cs="Arial" w:eastAsia="Arial" w:hAnsi="Arial"/>
                <w:sz w:val="11"/>
                <w:szCs w:val="11"/>
                <w:color w:val="auto"/>
              </w:rPr>
              <w:t>1M L+550</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5,377</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5,270</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5,216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shd w:val="clear" w:color="auto" w:fill="CCECFF"/>
          </w:tcPr>
          <w:p>
            <w:pPr>
              <w:ind w:left="20"/>
              <w:spacing w:after="0"/>
              <w:rPr>
                <w:sz w:val="20"/>
                <w:szCs w:val="20"/>
                <w:color w:val="auto"/>
              </w:rPr>
            </w:pPr>
            <w:r>
              <w:rPr>
                <w:rFonts w:ascii="Arial" w:cs="Arial" w:eastAsia="Arial" w:hAnsi="Arial"/>
                <w:sz w:val="11"/>
                <w:szCs w:val="11"/>
                <w:color w:val="auto"/>
              </w:rPr>
              <w:t>Inception Fertility Ventures, LLC</w:t>
            </w:r>
          </w:p>
        </w:tc>
        <w:tc>
          <w:tcPr>
            <w:tcW w:w="74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9"/>
              </w:rPr>
              <w:t>12/7/2023</w:t>
            </w:r>
          </w:p>
        </w:tc>
        <w:tc>
          <w:tcPr>
            <w:tcW w:w="120" w:type="dxa"/>
            <w:vAlign w:val="bottom"/>
            <w:shd w:val="clear" w:color="auto" w:fill="CCECFF"/>
          </w:tcPr>
          <w:p>
            <w:pPr>
              <w:spacing w:after="0"/>
              <w:rPr>
                <w:sz w:val="11"/>
                <w:szCs w:val="11"/>
                <w:color w:val="auto"/>
              </w:rPr>
            </w:pPr>
          </w:p>
        </w:tc>
        <w:tc>
          <w:tcPr>
            <w:tcW w:w="23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Healthcare Providers and Services</w:t>
            </w:r>
          </w:p>
        </w:tc>
        <w:tc>
          <w:tcPr>
            <w:tcW w:w="14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600" w:type="dxa"/>
            <w:vAlign w:val="bottom"/>
            <w:gridSpan w:val="2"/>
            <w:shd w:val="clear" w:color="auto" w:fill="CCECFF"/>
          </w:tcPr>
          <w:p>
            <w:pPr>
              <w:jc w:val="right"/>
              <w:ind w:right="300"/>
              <w:spacing w:after="0"/>
              <w:rPr>
                <w:sz w:val="20"/>
                <w:szCs w:val="20"/>
                <w:color w:val="auto"/>
              </w:rPr>
            </w:pPr>
            <w:r>
              <w:rPr>
                <w:rFonts w:ascii="Arial" w:cs="Arial" w:eastAsia="Arial" w:hAnsi="Arial"/>
                <w:sz w:val="11"/>
                <w:szCs w:val="11"/>
                <w:color w:val="auto"/>
                <w:w w:val="81"/>
              </w:rPr>
              <w:t>8.81 %</w:t>
            </w:r>
          </w:p>
        </w:tc>
        <w:tc>
          <w:tcPr>
            <w:tcW w:w="9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L+700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16,662</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16,289</w:t>
            </w:r>
          </w:p>
        </w:tc>
        <w:tc>
          <w:tcPr>
            <w:tcW w:w="2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16,245</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tcPr>
          <w:p>
            <w:pPr>
              <w:ind w:left="20"/>
              <w:spacing w:after="0"/>
              <w:rPr>
                <w:sz w:val="20"/>
                <w:szCs w:val="20"/>
                <w:color w:val="auto"/>
              </w:rPr>
            </w:pPr>
            <w:r>
              <w:rPr>
                <w:rFonts w:ascii="Arial" w:cs="Arial" w:eastAsia="Arial" w:hAnsi="Arial"/>
                <w:sz w:val="11"/>
                <w:szCs w:val="11"/>
                <w:color w:val="auto"/>
              </w:rPr>
              <w:t>Integrative Nutrition, LLC</w:t>
            </w:r>
          </w:p>
        </w:tc>
        <w:tc>
          <w:tcPr>
            <w:tcW w:w="740" w:type="dxa"/>
            <w:vAlign w:val="bottom"/>
            <w:gridSpan w:val="2"/>
          </w:tcPr>
          <w:p>
            <w:pPr>
              <w:jc w:val="center"/>
              <w:ind w:left="86"/>
              <w:spacing w:after="0"/>
              <w:rPr>
                <w:sz w:val="20"/>
                <w:szCs w:val="20"/>
                <w:color w:val="auto"/>
              </w:rPr>
            </w:pPr>
            <w:r>
              <w:rPr>
                <w:rFonts w:ascii="Arial" w:cs="Arial" w:eastAsia="Arial" w:hAnsi="Arial"/>
                <w:sz w:val="11"/>
                <w:szCs w:val="11"/>
                <w:color w:val="auto"/>
                <w:w w:val="89"/>
              </w:rPr>
              <w:t>9/29/2023</w:t>
            </w:r>
          </w:p>
        </w:tc>
        <w:tc>
          <w:tcPr>
            <w:tcW w:w="12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90"/>
              </w:rPr>
              <w:t>Diversified Consumer Services</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2"/>
          </w:tcPr>
          <w:p>
            <w:pPr>
              <w:jc w:val="right"/>
              <w:ind w:right="300"/>
              <w:spacing w:after="0"/>
              <w:rPr>
                <w:sz w:val="20"/>
                <w:szCs w:val="20"/>
                <w:color w:val="auto"/>
              </w:rPr>
            </w:pPr>
            <w:r>
              <w:rPr>
                <w:rFonts w:ascii="Arial" w:cs="Arial" w:eastAsia="Arial" w:hAnsi="Arial"/>
                <w:sz w:val="11"/>
                <w:szCs w:val="11"/>
                <w:color w:val="auto"/>
                <w:w w:val="81"/>
              </w:rPr>
              <w:t>7.00 %</w:t>
            </w:r>
          </w:p>
        </w:tc>
        <w:tc>
          <w:tcPr>
            <w:tcW w:w="960" w:type="dxa"/>
            <w:vAlign w:val="bottom"/>
          </w:tcPr>
          <w:p>
            <w:pPr>
              <w:jc w:val="right"/>
              <w:spacing w:after="0"/>
              <w:rPr>
                <w:sz w:val="20"/>
                <w:szCs w:val="20"/>
                <w:color w:val="auto"/>
              </w:rPr>
            </w:pPr>
            <w:r>
              <w:rPr>
                <w:rFonts w:ascii="Arial" w:cs="Arial" w:eastAsia="Arial" w:hAnsi="Arial"/>
                <w:sz w:val="11"/>
                <w:szCs w:val="11"/>
                <w:color w:val="auto"/>
              </w:rPr>
              <w:t>3M L+575</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11,225</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11,201</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11,225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shd w:val="clear" w:color="auto" w:fill="CCECFF"/>
          </w:tcPr>
          <w:p>
            <w:pPr>
              <w:ind w:left="20"/>
              <w:spacing w:after="0"/>
              <w:rPr>
                <w:sz w:val="20"/>
                <w:szCs w:val="20"/>
                <w:color w:val="auto"/>
              </w:rPr>
            </w:pPr>
            <w:r>
              <w:rPr>
                <w:rFonts w:ascii="Arial" w:cs="Arial" w:eastAsia="Arial" w:hAnsi="Arial"/>
                <w:sz w:val="11"/>
                <w:szCs w:val="11"/>
                <w:color w:val="auto"/>
              </w:rPr>
              <w:t>Integrity Marketing Acquisition, LLC</w:t>
            </w:r>
          </w:p>
        </w:tc>
        <w:tc>
          <w:tcPr>
            <w:tcW w:w="74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9"/>
              </w:rPr>
              <w:t>8/27/2025</w:t>
            </w:r>
          </w:p>
        </w:tc>
        <w:tc>
          <w:tcPr>
            <w:tcW w:w="120" w:type="dxa"/>
            <w:vAlign w:val="bottom"/>
            <w:shd w:val="clear" w:color="auto" w:fill="CCECFF"/>
          </w:tcPr>
          <w:p>
            <w:pPr>
              <w:spacing w:after="0"/>
              <w:rPr>
                <w:sz w:val="11"/>
                <w:szCs w:val="11"/>
                <w:color w:val="auto"/>
              </w:rPr>
            </w:pPr>
          </w:p>
        </w:tc>
        <w:tc>
          <w:tcPr>
            <w:tcW w:w="23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Insurance</w:t>
            </w:r>
          </w:p>
        </w:tc>
        <w:tc>
          <w:tcPr>
            <w:tcW w:w="14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600" w:type="dxa"/>
            <w:vAlign w:val="bottom"/>
            <w:gridSpan w:val="2"/>
            <w:shd w:val="clear" w:color="auto" w:fill="CCECFF"/>
          </w:tcPr>
          <w:p>
            <w:pPr>
              <w:jc w:val="right"/>
              <w:ind w:right="300"/>
              <w:spacing w:after="0"/>
              <w:rPr>
                <w:sz w:val="20"/>
                <w:szCs w:val="20"/>
                <w:color w:val="auto"/>
              </w:rPr>
            </w:pPr>
            <w:r>
              <w:rPr>
                <w:rFonts w:ascii="Arial" w:cs="Arial" w:eastAsia="Arial" w:hAnsi="Arial"/>
                <w:sz w:val="11"/>
                <w:szCs w:val="11"/>
                <w:color w:val="auto"/>
                <w:w w:val="81"/>
              </w:rPr>
              <w:t>7.58 %</w:t>
            </w:r>
          </w:p>
        </w:tc>
        <w:tc>
          <w:tcPr>
            <w:tcW w:w="9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SOFR + 575</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6,000</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5,913</w:t>
            </w:r>
          </w:p>
        </w:tc>
        <w:tc>
          <w:tcPr>
            <w:tcW w:w="2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5,942</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tcPr>
          <w:p>
            <w:pPr>
              <w:ind w:left="20"/>
              <w:spacing w:after="0"/>
              <w:rPr>
                <w:sz w:val="20"/>
                <w:szCs w:val="20"/>
                <w:color w:val="auto"/>
              </w:rPr>
            </w:pPr>
            <w:r>
              <w:rPr>
                <w:rFonts w:ascii="Arial" w:cs="Arial" w:eastAsia="Arial" w:hAnsi="Arial"/>
                <w:sz w:val="11"/>
                <w:szCs w:val="11"/>
                <w:color w:val="auto"/>
              </w:rPr>
              <w:t>ITI Holdings, Inc.</w:t>
            </w:r>
          </w:p>
        </w:tc>
        <w:tc>
          <w:tcPr>
            <w:tcW w:w="740" w:type="dxa"/>
            <w:vAlign w:val="bottom"/>
            <w:gridSpan w:val="2"/>
          </w:tcPr>
          <w:p>
            <w:pPr>
              <w:jc w:val="center"/>
              <w:ind w:left="66"/>
              <w:spacing w:after="0"/>
              <w:rPr>
                <w:sz w:val="20"/>
                <w:szCs w:val="20"/>
                <w:color w:val="auto"/>
              </w:rPr>
            </w:pPr>
            <w:r>
              <w:rPr>
                <w:rFonts w:ascii="Arial" w:cs="Arial" w:eastAsia="Arial" w:hAnsi="Arial"/>
                <w:sz w:val="11"/>
                <w:szCs w:val="11"/>
                <w:color w:val="auto"/>
                <w:w w:val="88"/>
              </w:rPr>
              <w:t>3/3/2028</w:t>
            </w:r>
          </w:p>
        </w:tc>
        <w:tc>
          <w:tcPr>
            <w:tcW w:w="12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90"/>
              </w:rPr>
              <w:t>IT Services</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2"/>
          </w:tcPr>
          <w:p>
            <w:pPr>
              <w:jc w:val="right"/>
              <w:ind w:right="300"/>
              <w:spacing w:after="0"/>
              <w:rPr>
                <w:sz w:val="20"/>
                <w:szCs w:val="20"/>
                <w:color w:val="auto"/>
              </w:rPr>
            </w:pPr>
            <w:r>
              <w:rPr>
                <w:rFonts w:ascii="Arial" w:cs="Arial" w:eastAsia="Arial" w:hAnsi="Arial"/>
                <w:sz w:val="11"/>
                <w:szCs w:val="11"/>
                <w:color w:val="auto"/>
                <w:w w:val="81"/>
              </w:rPr>
              <w:t>7.08 %</w:t>
            </w:r>
          </w:p>
        </w:tc>
        <w:tc>
          <w:tcPr>
            <w:tcW w:w="960" w:type="dxa"/>
            <w:vAlign w:val="bottom"/>
          </w:tcPr>
          <w:p>
            <w:pPr>
              <w:jc w:val="right"/>
              <w:spacing w:after="0"/>
              <w:rPr>
                <w:sz w:val="20"/>
                <w:szCs w:val="20"/>
                <w:color w:val="auto"/>
              </w:rPr>
            </w:pPr>
            <w:r>
              <w:rPr>
                <w:rFonts w:ascii="Arial" w:cs="Arial" w:eastAsia="Arial" w:hAnsi="Arial"/>
                <w:sz w:val="11"/>
                <w:szCs w:val="11"/>
                <w:color w:val="auto"/>
              </w:rPr>
              <w:t>SOFR + 550</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3,990</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3,924</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3,910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shd w:val="clear" w:color="auto" w:fill="CCECFF"/>
          </w:tcPr>
          <w:p>
            <w:pPr>
              <w:ind w:left="20"/>
              <w:spacing w:after="0"/>
              <w:rPr>
                <w:sz w:val="20"/>
                <w:szCs w:val="20"/>
                <w:color w:val="auto"/>
              </w:rPr>
            </w:pPr>
            <w:r>
              <w:rPr>
                <w:rFonts w:ascii="Arial" w:cs="Arial" w:eastAsia="Arial" w:hAnsi="Arial"/>
                <w:sz w:val="11"/>
                <w:szCs w:val="11"/>
                <w:color w:val="auto"/>
              </w:rPr>
              <w:t>K2 Pure Solutions NoCal, L.P.</w:t>
            </w:r>
          </w:p>
        </w:tc>
        <w:tc>
          <w:tcPr>
            <w:tcW w:w="7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12/20/2023</w:t>
            </w:r>
          </w:p>
        </w:tc>
        <w:tc>
          <w:tcPr>
            <w:tcW w:w="120" w:type="dxa"/>
            <w:vAlign w:val="bottom"/>
            <w:shd w:val="clear" w:color="auto" w:fill="CCECFF"/>
          </w:tcPr>
          <w:p>
            <w:pPr>
              <w:spacing w:after="0"/>
              <w:rPr>
                <w:sz w:val="11"/>
                <w:szCs w:val="11"/>
                <w:color w:val="auto"/>
              </w:rPr>
            </w:pPr>
          </w:p>
        </w:tc>
        <w:tc>
          <w:tcPr>
            <w:tcW w:w="23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Chemicals, Plastics and Rubber</w:t>
            </w:r>
          </w:p>
        </w:tc>
        <w:tc>
          <w:tcPr>
            <w:tcW w:w="14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600" w:type="dxa"/>
            <w:vAlign w:val="bottom"/>
            <w:gridSpan w:val="2"/>
            <w:shd w:val="clear" w:color="auto" w:fill="CCECFF"/>
          </w:tcPr>
          <w:p>
            <w:pPr>
              <w:jc w:val="right"/>
              <w:ind w:right="300"/>
              <w:spacing w:after="0"/>
              <w:rPr>
                <w:sz w:val="20"/>
                <w:szCs w:val="20"/>
                <w:color w:val="auto"/>
              </w:rPr>
            </w:pPr>
            <w:r>
              <w:rPr>
                <w:rFonts w:ascii="Arial" w:cs="Arial" w:eastAsia="Arial" w:hAnsi="Arial"/>
                <w:sz w:val="11"/>
                <w:szCs w:val="11"/>
                <w:color w:val="auto"/>
                <w:w w:val="81"/>
              </w:rPr>
              <w:t>9.67 %</w:t>
            </w:r>
          </w:p>
        </w:tc>
        <w:tc>
          <w:tcPr>
            <w:tcW w:w="9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L+625</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19,300</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19,124</w:t>
            </w:r>
          </w:p>
        </w:tc>
        <w:tc>
          <w:tcPr>
            <w:tcW w:w="2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19,126</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tcPr>
          <w:p>
            <w:pPr>
              <w:ind w:left="20"/>
              <w:spacing w:after="0"/>
              <w:rPr>
                <w:sz w:val="20"/>
                <w:szCs w:val="20"/>
                <w:color w:val="auto"/>
              </w:rPr>
            </w:pPr>
            <w:r>
              <w:rPr>
                <w:rFonts w:ascii="Arial" w:cs="Arial" w:eastAsia="Arial" w:hAnsi="Arial"/>
                <w:sz w:val="11"/>
                <w:szCs w:val="11"/>
                <w:color w:val="auto"/>
              </w:rPr>
              <w:t>Kinetic Purchaser, LLC</w:t>
            </w:r>
          </w:p>
        </w:tc>
        <w:tc>
          <w:tcPr>
            <w:tcW w:w="74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11/10/2027</w:t>
            </w:r>
          </w:p>
        </w:tc>
        <w:tc>
          <w:tcPr>
            <w:tcW w:w="12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86"/>
              </w:rPr>
              <w:t>Personal Products</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2"/>
          </w:tcPr>
          <w:p>
            <w:pPr>
              <w:jc w:val="right"/>
              <w:ind w:right="300"/>
              <w:spacing w:after="0"/>
              <w:rPr>
                <w:sz w:val="20"/>
                <w:szCs w:val="20"/>
                <w:color w:val="auto"/>
              </w:rPr>
            </w:pPr>
            <w:r>
              <w:rPr>
                <w:rFonts w:ascii="Arial" w:cs="Arial" w:eastAsia="Arial" w:hAnsi="Arial"/>
                <w:sz w:val="11"/>
                <w:szCs w:val="11"/>
                <w:color w:val="auto"/>
                <w:w w:val="81"/>
              </w:rPr>
              <w:t>7.75 %</w:t>
            </w:r>
          </w:p>
        </w:tc>
        <w:tc>
          <w:tcPr>
            <w:tcW w:w="960" w:type="dxa"/>
            <w:vAlign w:val="bottom"/>
          </w:tcPr>
          <w:p>
            <w:pPr>
              <w:jc w:val="right"/>
              <w:spacing w:after="0"/>
              <w:rPr>
                <w:sz w:val="20"/>
                <w:szCs w:val="20"/>
                <w:color w:val="auto"/>
              </w:rPr>
            </w:pPr>
            <w:r>
              <w:rPr>
                <w:rFonts w:ascii="Arial" w:cs="Arial" w:eastAsia="Arial" w:hAnsi="Arial"/>
                <w:sz w:val="11"/>
                <w:szCs w:val="11"/>
                <w:color w:val="auto"/>
              </w:rPr>
              <w:t>3M L+600</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11,872</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11,685</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11,635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shd w:val="clear" w:color="auto" w:fill="CCECFF"/>
          </w:tcPr>
          <w:p>
            <w:pPr>
              <w:ind w:left="20"/>
              <w:spacing w:after="0"/>
              <w:rPr>
                <w:sz w:val="20"/>
                <w:szCs w:val="20"/>
                <w:color w:val="auto"/>
              </w:rPr>
            </w:pPr>
            <w:r>
              <w:rPr>
                <w:rFonts w:ascii="Arial" w:cs="Arial" w:eastAsia="Arial" w:hAnsi="Arial"/>
                <w:sz w:val="11"/>
                <w:szCs w:val="11"/>
                <w:color w:val="auto"/>
              </w:rPr>
              <w:t>Lash OpCo, LLC</w:t>
            </w:r>
          </w:p>
        </w:tc>
        <w:tc>
          <w:tcPr>
            <w:tcW w:w="74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9"/>
              </w:rPr>
              <w:t>2/18/2027</w:t>
            </w:r>
          </w:p>
        </w:tc>
        <w:tc>
          <w:tcPr>
            <w:tcW w:w="120" w:type="dxa"/>
            <w:vAlign w:val="bottom"/>
            <w:shd w:val="clear" w:color="auto" w:fill="CCECFF"/>
          </w:tcPr>
          <w:p>
            <w:pPr>
              <w:spacing w:after="0"/>
              <w:rPr>
                <w:sz w:val="11"/>
                <w:szCs w:val="11"/>
                <w:color w:val="auto"/>
              </w:rPr>
            </w:pPr>
          </w:p>
        </w:tc>
        <w:tc>
          <w:tcPr>
            <w:tcW w:w="23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Personal Products</w:t>
            </w:r>
          </w:p>
        </w:tc>
        <w:tc>
          <w:tcPr>
            <w:tcW w:w="14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600" w:type="dxa"/>
            <w:vAlign w:val="bottom"/>
            <w:gridSpan w:val="2"/>
            <w:shd w:val="clear" w:color="auto" w:fill="CCECFF"/>
          </w:tcPr>
          <w:p>
            <w:pPr>
              <w:jc w:val="right"/>
              <w:ind w:right="300"/>
              <w:spacing w:after="0"/>
              <w:rPr>
                <w:sz w:val="20"/>
                <w:szCs w:val="20"/>
                <w:color w:val="auto"/>
              </w:rPr>
            </w:pPr>
            <w:r>
              <w:rPr>
                <w:rFonts w:ascii="Arial" w:cs="Arial" w:eastAsia="Arial" w:hAnsi="Arial"/>
                <w:sz w:val="11"/>
                <w:szCs w:val="11"/>
                <w:color w:val="auto"/>
                <w:w w:val="81"/>
              </w:rPr>
              <w:t>9.25 %</w:t>
            </w:r>
          </w:p>
        </w:tc>
        <w:tc>
          <w:tcPr>
            <w:tcW w:w="9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L+700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14,391</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14,097</w:t>
            </w:r>
          </w:p>
        </w:tc>
        <w:tc>
          <w:tcPr>
            <w:tcW w:w="2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14,247</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tcPr>
          <w:p>
            <w:pPr>
              <w:ind w:left="20"/>
              <w:spacing w:after="0"/>
              <w:rPr>
                <w:sz w:val="20"/>
                <w:szCs w:val="20"/>
                <w:color w:val="auto"/>
              </w:rPr>
            </w:pPr>
            <w:r>
              <w:rPr>
                <w:rFonts w:ascii="Arial" w:cs="Arial" w:eastAsia="Arial" w:hAnsi="Arial"/>
                <w:sz w:val="11"/>
                <w:szCs w:val="11"/>
                <w:color w:val="auto"/>
              </w:rPr>
              <w:t>LAV Gear Holdings, Inc.</w:t>
            </w:r>
          </w:p>
        </w:tc>
        <w:tc>
          <w:tcPr>
            <w:tcW w:w="74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10/31/2024</w:t>
            </w:r>
          </w:p>
        </w:tc>
        <w:tc>
          <w:tcPr>
            <w:tcW w:w="12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91"/>
              </w:rPr>
              <w:t>Capital Equipment</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2"/>
          </w:tcPr>
          <w:p>
            <w:pPr>
              <w:jc w:val="right"/>
              <w:ind w:right="300"/>
              <w:spacing w:after="0"/>
              <w:rPr>
                <w:sz w:val="20"/>
                <w:szCs w:val="20"/>
                <w:color w:val="auto"/>
              </w:rPr>
            </w:pPr>
            <w:r>
              <w:rPr>
                <w:rFonts w:ascii="Arial" w:cs="Arial" w:eastAsia="Arial" w:hAnsi="Arial"/>
                <w:sz w:val="11"/>
                <w:szCs w:val="11"/>
                <w:color w:val="auto"/>
                <w:w w:val="81"/>
              </w:rPr>
              <w:t>9.70 %</w:t>
            </w:r>
          </w:p>
        </w:tc>
        <w:tc>
          <w:tcPr>
            <w:tcW w:w="960" w:type="dxa"/>
            <w:vAlign w:val="bottom"/>
          </w:tcPr>
          <w:p>
            <w:pPr>
              <w:jc w:val="right"/>
              <w:spacing w:after="0"/>
              <w:rPr>
                <w:sz w:val="20"/>
                <w:szCs w:val="20"/>
                <w:color w:val="auto"/>
              </w:rPr>
            </w:pPr>
            <w:r>
              <w:rPr>
                <w:rFonts w:ascii="Arial" w:cs="Arial" w:eastAsia="Arial" w:hAnsi="Arial"/>
                <w:sz w:val="11"/>
                <w:szCs w:val="11"/>
                <w:color w:val="auto"/>
              </w:rPr>
              <w:t>3M L+550</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10,576</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10,535</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10,301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shd w:val="clear" w:color="auto" w:fill="CCECFF"/>
          </w:tcPr>
          <w:p>
            <w:pPr>
              <w:ind w:left="20"/>
              <w:spacing w:after="0"/>
              <w:rPr>
                <w:sz w:val="20"/>
                <w:szCs w:val="20"/>
                <w:color w:val="auto"/>
              </w:rPr>
            </w:pPr>
            <w:r>
              <w:rPr>
                <w:rFonts w:ascii="Arial" w:cs="Arial" w:eastAsia="Arial" w:hAnsi="Arial"/>
                <w:sz w:val="11"/>
                <w:szCs w:val="11"/>
                <w:color w:val="auto"/>
              </w:rPr>
              <w:t>Lightspeed Buyer Inc.</w:t>
            </w:r>
          </w:p>
        </w:tc>
        <w:tc>
          <w:tcPr>
            <w:tcW w:w="7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8"/>
              </w:rPr>
              <w:t>2/3/2026</w:t>
            </w:r>
          </w:p>
        </w:tc>
        <w:tc>
          <w:tcPr>
            <w:tcW w:w="120" w:type="dxa"/>
            <w:vAlign w:val="bottom"/>
            <w:shd w:val="clear" w:color="auto" w:fill="CCECFF"/>
          </w:tcPr>
          <w:p>
            <w:pPr>
              <w:spacing w:after="0"/>
              <w:rPr>
                <w:sz w:val="11"/>
                <w:szCs w:val="11"/>
                <w:color w:val="auto"/>
              </w:rPr>
            </w:pPr>
          </w:p>
        </w:tc>
        <w:tc>
          <w:tcPr>
            <w:tcW w:w="23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Healthcare Providers and Services</w:t>
            </w:r>
          </w:p>
        </w:tc>
        <w:tc>
          <w:tcPr>
            <w:tcW w:w="14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600" w:type="dxa"/>
            <w:vAlign w:val="bottom"/>
            <w:gridSpan w:val="2"/>
            <w:shd w:val="clear" w:color="auto" w:fill="CCECFF"/>
          </w:tcPr>
          <w:p>
            <w:pPr>
              <w:jc w:val="right"/>
              <w:ind w:right="300"/>
              <w:spacing w:after="0"/>
              <w:rPr>
                <w:sz w:val="20"/>
                <w:szCs w:val="20"/>
                <w:color w:val="auto"/>
              </w:rPr>
            </w:pPr>
            <w:r>
              <w:rPr>
                <w:rFonts w:ascii="Arial" w:cs="Arial" w:eastAsia="Arial" w:hAnsi="Arial"/>
                <w:sz w:val="11"/>
                <w:szCs w:val="11"/>
                <w:color w:val="auto"/>
                <w:w w:val="81"/>
              </w:rPr>
              <w:t>7.52 %</w:t>
            </w:r>
          </w:p>
        </w:tc>
        <w:tc>
          <w:tcPr>
            <w:tcW w:w="9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L+575</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10,638</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10,452</w:t>
            </w:r>
          </w:p>
        </w:tc>
        <w:tc>
          <w:tcPr>
            <w:tcW w:w="2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10,425</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tcPr>
          <w:p>
            <w:pPr>
              <w:ind w:left="20"/>
              <w:spacing w:after="0"/>
              <w:rPr>
                <w:sz w:val="20"/>
                <w:szCs w:val="20"/>
                <w:color w:val="auto"/>
              </w:rPr>
            </w:pPr>
            <w:r>
              <w:rPr>
                <w:rFonts w:ascii="Arial" w:cs="Arial" w:eastAsia="Arial" w:hAnsi="Arial"/>
                <w:sz w:val="11"/>
                <w:szCs w:val="11"/>
                <w:color w:val="auto"/>
              </w:rPr>
              <w:t>Lucky Bucks, LLC</w:t>
            </w:r>
          </w:p>
        </w:tc>
        <w:tc>
          <w:tcPr>
            <w:tcW w:w="740" w:type="dxa"/>
            <w:vAlign w:val="bottom"/>
            <w:gridSpan w:val="2"/>
          </w:tcPr>
          <w:p>
            <w:pPr>
              <w:jc w:val="center"/>
              <w:ind w:left="86"/>
              <w:spacing w:after="0"/>
              <w:rPr>
                <w:sz w:val="20"/>
                <w:szCs w:val="20"/>
                <w:color w:val="auto"/>
              </w:rPr>
            </w:pPr>
            <w:r>
              <w:rPr>
                <w:rFonts w:ascii="Arial" w:cs="Arial" w:eastAsia="Arial" w:hAnsi="Arial"/>
                <w:sz w:val="11"/>
                <w:szCs w:val="11"/>
                <w:color w:val="auto"/>
                <w:w w:val="89"/>
              </w:rPr>
              <w:t>7/20/2027</w:t>
            </w:r>
          </w:p>
        </w:tc>
        <w:tc>
          <w:tcPr>
            <w:tcW w:w="12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90"/>
              </w:rPr>
              <w:t>Hotel, Gaming and Leisure</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2"/>
          </w:tcPr>
          <w:p>
            <w:pPr>
              <w:jc w:val="right"/>
              <w:ind w:right="300"/>
              <w:spacing w:after="0"/>
              <w:rPr>
                <w:sz w:val="20"/>
                <w:szCs w:val="20"/>
                <w:color w:val="auto"/>
              </w:rPr>
            </w:pPr>
            <w:r>
              <w:rPr>
                <w:rFonts w:ascii="Arial" w:cs="Arial" w:eastAsia="Arial" w:hAnsi="Arial"/>
                <w:sz w:val="11"/>
                <w:szCs w:val="11"/>
                <w:color w:val="auto"/>
                <w:w w:val="81"/>
              </w:rPr>
              <w:t>6.25 %</w:t>
            </w:r>
          </w:p>
        </w:tc>
        <w:tc>
          <w:tcPr>
            <w:tcW w:w="960" w:type="dxa"/>
            <w:vAlign w:val="bottom"/>
          </w:tcPr>
          <w:p>
            <w:pPr>
              <w:jc w:val="right"/>
              <w:spacing w:after="0"/>
              <w:rPr>
                <w:sz w:val="20"/>
                <w:szCs w:val="20"/>
                <w:color w:val="auto"/>
              </w:rPr>
            </w:pPr>
            <w:r>
              <w:rPr>
                <w:rFonts w:ascii="Arial" w:cs="Arial" w:eastAsia="Arial" w:hAnsi="Arial"/>
                <w:sz w:val="11"/>
                <w:szCs w:val="11"/>
                <w:color w:val="auto"/>
              </w:rPr>
              <w:t>3M L+550</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4,386</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4,309</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3,992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shd w:val="clear" w:color="auto" w:fill="CCECFF"/>
          </w:tcPr>
          <w:p>
            <w:pPr>
              <w:ind w:left="20"/>
              <w:spacing w:after="0"/>
              <w:rPr>
                <w:sz w:val="20"/>
                <w:szCs w:val="20"/>
                <w:color w:val="auto"/>
              </w:rPr>
            </w:pPr>
            <w:r>
              <w:rPr>
                <w:rFonts w:ascii="Arial" w:cs="Arial" w:eastAsia="Arial" w:hAnsi="Arial"/>
                <w:sz w:val="11"/>
                <w:szCs w:val="11"/>
                <w:color w:val="auto"/>
                <w:w w:val="92"/>
              </w:rPr>
              <w:t>Marketplace Events, LLC - Super Priority First Lien Term Loan</w:t>
            </w:r>
          </w:p>
        </w:tc>
        <w:tc>
          <w:tcPr>
            <w:tcW w:w="74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9"/>
              </w:rPr>
              <w:t>9/30/2025</w:t>
            </w:r>
          </w:p>
        </w:tc>
        <w:tc>
          <w:tcPr>
            <w:tcW w:w="120" w:type="dxa"/>
            <w:vAlign w:val="bottom"/>
            <w:shd w:val="clear" w:color="auto" w:fill="CCECFF"/>
          </w:tcPr>
          <w:p>
            <w:pPr>
              <w:spacing w:after="0"/>
              <w:rPr>
                <w:sz w:val="11"/>
                <w:szCs w:val="11"/>
                <w:color w:val="auto"/>
              </w:rPr>
            </w:pPr>
          </w:p>
        </w:tc>
        <w:tc>
          <w:tcPr>
            <w:tcW w:w="23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1"/>
              </w:rPr>
              <w:t>Media: Diversified and Production</w:t>
            </w:r>
          </w:p>
        </w:tc>
        <w:tc>
          <w:tcPr>
            <w:tcW w:w="14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600" w:type="dxa"/>
            <w:vAlign w:val="bottom"/>
            <w:gridSpan w:val="2"/>
            <w:shd w:val="clear" w:color="auto" w:fill="CCECFF"/>
          </w:tcPr>
          <w:p>
            <w:pPr>
              <w:jc w:val="right"/>
              <w:ind w:right="300"/>
              <w:spacing w:after="0"/>
              <w:rPr>
                <w:sz w:val="20"/>
                <w:szCs w:val="20"/>
                <w:color w:val="auto"/>
              </w:rPr>
            </w:pPr>
            <w:r>
              <w:rPr>
                <w:rFonts w:ascii="Arial" w:cs="Arial" w:eastAsia="Arial" w:hAnsi="Arial"/>
                <w:sz w:val="11"/>
                <w:szCs w:val="11"/>
                <w:color w:val="auto"/>
                <w:w w:val="81"/>
              </w:rPr>
              <w:t>6.69 %</w:t>
            </w:r>
          </w:p>
        </w:tc>
        <w:tc>
          <w:tcPr>
            <w:tcW w:w="9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L+525</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647</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647</w:t>
            </w:r>
          </w:p>
        </w:tc>
        <w:tc>
          <w:tcPr>
            <w:tcW w:w="2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647</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860" w:type="dxa"/>
            <w:vAlign w:val="bottom"/>
          </w:tcPr>
          <w:p>
            <w:pPr>
              <w:ind w:left="20"/>
              <w:spacing w:after="0" w:line="99" w:lineRule="exact"/>
              <w:rPr>
                <w:sz w:val="20"/>
                <w:szCs w:val="20"/>
                <w:color w:val="auto"/>
              </w:rPr>
            </w:pPr>
            <w:r>
              <w:rPr>
                <w:rFonts w:ascii="Arial" w:cs="Arial" w:eastAsia="Arial" w:hAnsi="Arial"/>
                <w:sz w:val="11"/>
                <w:szCs w:val="11"/>
                <w:color w:val="auto"/>
                <w:w w:val="94"/>
              </w:rPr>
              <w:t>Marketplace Events, LLC - Super Priority First Lien Unfunded</w:t>
            </w:r>
          </w:p>
        </w:tc>
        <w:tc>
          <w:tcPr>
            <w:tcW w:w="740" w:type="dxa"/>
            <w:vAlign w:val="bottom"/>
            <w:gridSpan w:val="2"/>
            <w:vMerge w:val="restart"/>
          </w:tcPr>
          <w:p>
            <w:pPr>
              <w:jc w:val="center"/>
              <w:ind w:left="86"/>
              <w:spacing w:after="0"/>
              <w:rPr>
                <w:sz w:val="20"/>
                <w:szCs w:val="20"/>
                <w:color w:val="auto"/>
              </w:rPr>
            </w:pPr>
            <w:r>
              <w:rPr>
                <w:rFonts w:ascii="Arial" w:cs="Arial" w:eastAsia="Arial" w:hAnsi="Arial"/>
                <w:sz w:val="11"/>
                <w:szCs w:val="11"/>
                <w:color w:val="auto"/>
                <w:w w:val="89"/>
              </w:rPr>
              <w:t>9/30/2025</w:t>
            </w:r>
          </w:p>
        </w:tc>
        <w:tc>
          <w:tcPr>
            <w:tcW w:w="120" w:type="dxa"/>
            <w:vAlign w:val="bottom"/>
          </w:tcPr>
          <w:p>
            <w:pPr>
              <w:spacing w:after="0"/>
              <w:rPr>
                <w:sz w:val="8"/>
                <w:szCs w:val="8"/>
                <w:color w:val="auto"/>
              </w:rPr>
            </w:pPr>
          </w:p>
        </w:tc>
        <w:tc>
          <w:tcPr>
            <w:tcW w:w="2340" w:type="dxa"/>
            <w:vAlign w:val="bottom"/>
            <w:vMerge w:val="restart"/>
          </w:tcPr>
          <w:p>
            <w:pPr>
              <w:jc w:val="center"/>
              <w:spacing w:after="0"/>
              <w:rPr>
                <w:sz w:val="20"/>
                <w:szCs w:val="20"/>
                <w:color w:val="auto"/>
              </w:rPr>
            </w:pPr>
            <w:r>
              <w:rPr>
                <w:rFonts w:ascii="Arial" w:cs="Arial" w:eastAsia="Arial" w:hAnsi="Arial"/>
                <w:sz w:val="11"/>
                <w:szCs w:val="11"/>
                <w:color w:val="auto"/>
                <w:w w:val="91"/>
              </w:rPr>
              <w:t>Media: Diversified and Production</w:t>
            </w: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9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vMerge w:val="restart"/>
          </w:tcPr>
          <w:p>
            <w:pPr>
              <w:jc w:val="right"/>
              <w:spacing w:after="0"/>
              <w:rPr>
                <w:sz w:val="20"/>
                <w:szCs w:val="20"/>
                <w:color w:val="auto"/>
              </w:rPr>
            </w:pPr>
            <w:r>
              <w:rPr>
                <w:rFonts w:ascii="Arial" w:cs="Arial" w:eastAsia="Arial" w:hAnsi="Arial"/>
                <w:sz w:val="11"/>
                <w:szCs w:val="11"/>
                <w:color w:val="auto"/>
              </w:rPr>
              <w:t>589</w:t>
            </w: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2860" w:type="dxa"/>
            <w:vAlign w:val="bottom"/>
          </w:tcPr>
          <w:p>
            <w:pPr>
              <w:ind w:left="20"/>
              <w:spacing w:after="0"/>
              <w:rPr>
                <w:sz w:val="20"/>
                <w:szCs w:val="20"/>
                <w:color w:val="auto"/>
              </w:rPr>
            </w:pPr>
            <w:r>
              <w:rPr>
                <w:rFonts w:ascii="Arial" w:cs="Arial" w:eastAsia="Arial" w:hAnsi="Arial"/>
                <w:sz w:val="11"/>
                <w:szCs w:val="11"/>
                <w:color w:val="auto"/>
              </w:rPr>
              <w:t>Term Loan</w:t>
            </w:r>
          </w:p>
        </w:tc>
        <w:tc>
          <w:tcPr>
            <w:tcW w:w="7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3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860" w:type="dxa"/>
            <w:vAlign w:val="bottom"/>
            <w:shd w:val="clear" w:color="auto" w:fill="CCECFF"/>
          </w:tcPr>
          <w:p>
            <w:pPr>
              <w:ind w:left="20"/>
              <w:spacing w:after="0"/>
              <w:rPr>
                <w:sz w:val="20"/>
                <w:szCs w:val="20"/>
                <w:color w:val="auto"/>
              </w:rPr>
            </w:pPr>
            <w:r>
              <w:rPr>
                <w:rFonts w:ascii="Arial" w:cs="Arial" w:eastAsia="Arial" w:hAnsi="Arial"/>
                <w:sz w:val="11"/>
                <w:szCs w:val="11"/>
                <w:color w:val="auto"/>
              </w:rPr>
              <w:t>Marketplace Events, LLC</w:t>
            </w:r>
          </w:p>
        </w:tc>
        <w:tc>
          <w:tcPr>
            <w:tcW w:w="74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9"/>
              </w:rPr>
              <w:t>9/30/2026</w:t>
            </w:r>
          </w:p>
        </w:tc>
        <w:tc>
          <w:tcPr>
            <w:tcW w:w="120" w:type="dxa"/>
            <w:vAlign w:val="bottom"/>
            <w:shd w:val="clear" w:color="auto" w:fill="CCECFF"/>
          </w:tcPr>
          <w:p>
            <w:pPr>
              <w:spacing w:after="0"/>
              <w:rPr>
                <w:sz w:val="12"/>
                <w:szCs w:val="12"/>
                <w:color w:val="auto"/>
              </w:rPr>
            </w:pPr>
          </w:p>
        </w:tc>
        <w:tc>
          <w:tcPr>
            <w:tcW w:w="23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1"/>
              </w:rPr>
              <w:t>Media: Diversified and Production</w:t>
            </w:r>
          </w:p>
        </w:tc>
        <w:tc>
          <w:tcPr>
            <w:tcW w:w="140" w:type="dxa"/>
            <w:vAlign w:val="bottom"/>
            <w:shd w:val="clear" w:color="auto" w:fill="CCECFF"/>
          </w:tcPr>
          <w:p>
            <w:pPr>
              <w:spacing w:after="0"/>
              <w:rPr>
                <w:sz w:val="12"/>
                <w:szCs w:val="12"/>
                <w:color w:val="auto"/>
              </w:rPr>
            </w:pPr>
          </w:p>
        </w:tc>
        <w:tc>
          <w:tcPr>
            <w:tcW w:w="600" w:type="dxa"/>
            <w:vAlign w:val="bottom"/>
            <w:shd w:val="clear" w:color="auto" w:fill="CCECFF"/>
          </w:tcPr>
          <w:p>
            <w:pPr>
              <w:spacing w:after="0"/>
              <w:rPr>
                <w:sz w:val="12"/>
                <w:szCs w:val="12"/>
                <w:color w:val="auto"/>
              </w:rPr>
            </w:pPr>
          </w:p>
        </w:tc>
        <w:tc>
          <w:tcPr>
            <w:tcW w:w="600" w:type="dxa"/>
            <w:vAlign w:val="bottom"/>
            <w:gridSpan w:val="2"/>
            <w:shd w:val="clear" w:color="auto" w:fill="CCECFF"/>
          </w:tcPr>
          <w:p>
            <w:pPr>
              <w:jc w:val="right"/>
              <w:ind w:right="300"/>
              <w:spacing w:after="0"/>
              <w:rPr>
                <w:sz w:val="20"/>
                <w:szCs w:val="20"/>
                <w:color w:val="auto"/>
              </w:rPr>
            </w:pPr>
            <w:r>
              <w:rPr>
                <w:rFonts w:ascii="Arial" w:cs="Arial" w:eastAsia="Arial" w:hAnsi="Arial"/>
                <w:sz w:val="11"/>
                <w:szCs w:val="11"/>
                <w:color w:val="auto"/>
                <w:w w:val="81"/>
              </w:rPr>
              <w:t>6.69 %</w:t>
            </w:r>
          </w:p>
        </w:tc>
        <w:tc>
          <w:tcPr>
            <w:tcW w:w="9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L+525</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4,837</w:t>
            </w:r>
          </w:p>
        </w:tc>
        <w:tc>
          <w:tcPr>
            <w:tcW w:w="2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3,469</w:t>
            </w:r>
          </w:p>
        </w:tc>
        <w:tc>
          <w:tcPr>
            <w:tcW w:w="2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4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4,837</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860" w:type="dxa"/>
            <w:vAlign w:val="bottom"/>
          </w:tcPr>
          <w:p>
            <w:pPr>
              <w:ind w:left="20"/>
              <w:spacing w:after="0"/>
              <w:rPr>
                <w:sz w:val="20"/>
                <w:szCs w:val="20"/>
                <w:color w:val="auto"/>
              </w:rPr>
            </w:pPr>
            <w:r>
              <w:rPr>
                <w:rFonts w:ascii="Arial" w:cs="Arial" w:eastAsia="Arial" w:hAnsi="Arial"/>
                <w:sz w:val="11"/>
                <w:szCs w:val="11"/>
                <w:color w:val="auto"/>
              </w:rPr>
              <w:t>Mars Acquisition Holdings Corp.</w:t>
            </w:r>
          </w:p>
        </w:tc>
        <w:tc>
          <w:tcPr>
            <w:tcW w:w="740" w:type="dxa"/>
            <w:vAlign w:val="bottom"/>
            <w:gridSpan w:val="2"/>
          </w:tcPr>
          <w:p>
            <w:pPr>
              <w:jc w:val="center"/>
              <w:ind w:left="86"/>
              <w:spacing w:after="0"/>
              <w:rPr>
                <w:sz w:val="20"/>
                <w:szCs w:val="20"/>
                <w:color w:val="auto"/>
              </w:rPr>
            </w:pPr>
            <w:r>
              <w:rPr>
                <w:rFonts w:ascii="Arial" w:cs="Arial" w:eastAsia="Arial" w:hAnsi="Arial"/>
                <w:sz w:val="11"/>
                <w:szCs w:val="11"/>
                <w:color w:val="auto"/>
                <w:w w:val="89"/>
              </w:rPr>
              <w:t>5/14/2026</w:t>
            </w:r>
          </w:p>
        </w:tc>
        <w:tc>
          <w:tcPr>
            <w:tcW w:w="12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2"/>
          </w:tcPr>
          <w:p>
            <w:pPr>
              <w:jc w:val="right"/>
              <w:ind w:right="300"/>
              <w:spacing w:after="0"/>
              <w:rPr>
                <w:sz w:val="20"/>
                <w:szCs w:val="20"/>
                <w:color w:val="auto"/>
              </w:rPr>
            </w:pPr>
            <w:r>
              <w:rPr>
                <w:rFonts w:ascii="Arial" w:cs="Arial" w:eastAsia="Arial" w:hAnsi="Arial"/>
                <w:sz w:val="11"/>
                <w:szCs w:val="11"/>
                <w:color w:val="auto"/>
                <w:w w:val="81"/>
              </w:rPr>
              <w:t>7.17 %</w:t>
            </w:r>
          </w:p>
        </w:tc>
        <w:tc>
          <w:tcPr>
            <w:tcW w:w="960" w:type="dxa"/>
            <w:vAlign w:val="bottom"/>
          </w:tcPr>
          <w:p>
            <w:pPr>
              <w:jc w:val="right"/>
              <w:spacing w:after="0"/>
              <w:rPr>
                <w:sz w:val="20"/>
                <w:szCs w:val="20"/>
                <w:color w:val="auto"/>
              </w:rPr>
            </w:pPr>
            <w:r>
              <w:rPr>
                <w:rFonts w:ascii="Arial" w:cs="Arial" w:eastAsia="Arial" w:hAnsi="Arial"/>
                <w:sz w:val="11"/>
                <w:szCs w:val="11"/>
                <w:color w:val="auto"/>
              </w:rPr>
              <w:t>1M L+550</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9,925</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9,800</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9,826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shd w:val="clear" w:color="auto" w:fill="CCECFF"/>
          </w:tcPr>
          <w:p>
            <w:pPr>
              <w:ind w:left="20"/>
              <w:spacing w:after="0"/>
              <w:rPr>
                <w:sz w:val="20"/>
                <w:szCs w:val="20"/>
                <w:color w:val="auto"/>
              </w:rPr>
            </w:pPr>
            <w:r>
              <w:rPr>
                <w:rFonts w:ascii="Arial" w:cs="Arial" w:eastAsia="Arial" w:hAnsi="Arial"/>
                <w:sz w:val="11"/>
                <w:szCs w:val="11"/>
                <w:color w:val="auto"/>
              </w:rPr>
              <w:t>MBS Holdings, Inc.</w:t>
            </w:r>
          </w:p>
        </w:tc>
        <w:tc>
          <w:tcPr>
            <w:tcW w:w="74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9"/>
              </w:rPr>
              <w:t>4/16/2027</w:t>
            </w:r>
          </w:p>
        </w:tc>
        <w:tc>
          <w:tcPr>
            <w:tcW w:w="120" w:type="dxa"/>
            <w:vAlign w:val="bottom"/>
            <w:shd w:val="clear" w:color="auto" w:fill="CCECFF"/>
          </w:tcPr>
          <w:p>
            <w:pPr>
              <w:spacing w:after="0"/>
              <w:rPr>
                <w:sz w:val="11"/>
                <w:szCs w:val="11"/>
                <w:color w:val="auto"/>
              </w:rPr>
            </w:pPr>
          </w:p>
        </w:tc>
        <w:tc>
          <w:tcPr>
            <w:tcW w:w="23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Internet Software and Services</w:t>
            </w:r>
          </w:p>
        </w:tc>
        <w:tc>
          <w:tcPr>
            <w:tcW w:w="14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600" w:type="dxa"/>
            <w:vAlign w:val="bottom"/>
            <w:gridSpan w:val="2"/>
            <w:shd w:val="clear" w:color="auto" w:fill="CCECFF"/>
          </w:tcPr>
          <w:p>
            <w:pPr>
              <w:jc w:val="right"/>
              <w:ind w:right="300"/>
              <w:spacing w:after="0"/>
              <w:rPr>
                <w:sz w:val="20"/>
                <w:szCs w:val="20"/>
                <w:color w:val="auto"/>
              </w:rPr>
            </w:pPr>
            <w:r>
              <w:rPr>
                <w:rFonts w:ascii="Arial" w:cs="Arial" w:eastAsia="Arial" w:hAnsi="Arial"/>
                <w:sz w:val="11"/>
                <w:szCs w:val="11"/>
                <w:color w:val="auto"/>
                <w:w w:val="81"/>
              </w:rPr>
              <w:t>6.75 %</w:t>
            </w:r>
          </w:p>
        </w:tc>
        <w:tc>
          <w:tcPr>
            <w:tcW w:w="9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L+575</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7,425</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7,309</w:t>
            </w:r>
          </w:p>
        </w:tc>
        <w:tc>
          <w:tcPr>
            <w:tcW w:w="2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7,351</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tcPr>
          <w:p>
            <w:pPr>
              <w:ind w:left="20"/>
              <w:spacing w:after="0"/>
              <w:rPr>
                <w:sz w:val="20"/>
                <w:szCs w:val="20"/>
                <w:color w:val="auto"/>
              </w:rPr>
            </w:pPr>
            <w:r>
              <w:rPr>
                <w:rFonts w:ascii="Arial" w:cs="Arial" w:eastAsia="Arial" w:hAnsi="Arial"/>
                <w:sz w:val="11"/>
                <w:szCs w:val="11"/>
                <w:color w:val="auto"/>
              </w:rPr>
              <w:t>Meadowlark Acquirer, LLC</w:t>
            </w:r>
          </w:p>
        </w:tc>
        <w:tc>
          <w:tcPr>
            <w:tcW w:w="74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12/10/2027</w:t>
            </w:r>
          </w:p>
        </w:tc>
        <w:tc>
          <w:tcPr>
            <w:tcW w:w="12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86"/>
              </w:rPr>
              <w:t>Professional Services</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2"/>
          </w:tcPr>
          <w:p>
            <w:pPr>
              <w:jc w:val="right"/>
              <w:ind w:right="300"/>
              <w:spacing w:after="0"/>
              <w:rPr>
                <w:sz w:val="20"/>
                <w:szCs w:val="20"/>
                <w:color w:val="auto"/>
              </w:rPr>
            </w:pPr>
            <w:r>
              <w:rPr>
                <w:rFonts w:ascii="Arial" w:cs="Arial" w:eastAsia="Arial" w:hAnsi="Arial"/>
                <w:sz w:val="11"/>
                <w:szCs w:val="11"/>
                <w:color w:val="auto"/>
                <w:w w:val="81"/>
              </w:rPr>
              <w:t>7.75 %</w:t>
            </w:r>
          </w:p>
        </w:tc>
        <w:tc>
          <w:tcPr>
            <w:tcW w:w="960" w:type="dxa"/>
            <w:vAlign w:val="bottom"/>
          </w:tcPr>
          <w:p>
            <w:pPr>
              <w:jc w:val="right"/>
              <w:spacing w:after="0"/>
              <w:rPr>
                <w:sz w:val="20"/>
                <w:szCs w:val="20"/>
                <w:color w:val="auto"/>
              </w:rPr>
            </w:pPr>
            <w:r>
              <w:rPr>
                <w:rFonts w:ascii="Arial" w:cs="Arial" w:eastAsia="Arial" w:hAnsi="Arial"/>
                <w:sz w:val="11"/>
                <w:szCs w:val="11"/>
                <w:color w:val="auto"/>
              </w:rPr>
              <w:t>3M L+650</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2,402</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2,357</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2,342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shd w:val="clear" w:color="auto" w:fill="CCECFF"/>
          </w:tcPr>
          <w:p>
            <w:pPr>
              <w:ind w:left="20"/>
              <w:spacing w:after="0"/>
              <w:rPr>
                <w:sz w:val="20"/>
                <w:szCs w:val="20"/>
                <w:color w:val="auto"/>
              </w:rPr>
            </w:pPr>
            <w:r>
              <w:rPr>
                <w:rFonts w:ascii="Arial" w:cs="Arial" w:eastAsia="Arial" w:hAnsi="Arial"/>
                <w:sz w:val="11"/>
                <w:szCs w:val="11"/>
                <w:color w:val="auto"/>
              </w:rPr>
              <w:t>MeritDirect, LLC</w:t>
            </w:r>
          </w:p>
        </w:tc>
        <w:tc>
          <w:tcPr>
            <w:tcW w:w="74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9"/>
              </w:rPr>
              <w:t>5/23/2024</w:t>
            </w:r>
          </w:p>
        </w:tc>
        <w:tc>
          <w:tcPr>
            <w:tcW w:w="120" w:type="dxa"/>
            <w:vAlign w:val="bottom"/>
            <w:shd w:val="clear" w:color="auto" w:fill="CCECFF"/>
          </w:tcPr>
          <w:p>
            <w:pPr>
              <w:spacing w:after="0"/>
              <w:rPr>
                <w:sz w:val="11"/>
                <w:szCs w:val="11"/>
                <w:color w:val="auto"/>
              </w:rPr>
            </w:pPr>
          </w:p>
        </w:tc>
        <w:tc>
          <w:tcPr>
            <w:tcW w:w="23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2"/>
              </w:rPr>
              <w:t>Media: Advertising, Printing &amp; Publishing</w:t>
            </w:r>
          </w:p>
        </w:tc>
        <w:tc>
          <w:tcPr>
            <w:tcW w:w="14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600" w:type="dxa"/>
            <w:vAlign w:val="bottom"/>
            <w:gridSpan w:val="2"/>
            <w:shd w:val="clear" w:color="auto" w:fill="CCECFF"/>
          </w:tcPr>
          <w:p>
            <w:pPr>
              <w:jc w:val="right"/>
              <w:ind w:right="300"/>
              <w:spacing w:after="0"/>
              <w:rPr>
                <w:sz w:val="20"/>
                <w:szCs w:val="20"/>
                <w:color w:val="auto"/>
              </w:rPr>
            </w:pPr>
            <w:r>
              <w:rPr>
                <w:rFonts w:ascii="Arial" w:cs="Arial" w:eastAsia="Arial" w:hAnsi="Arial"/>
                <w:sz w:val="11"/>
                <w:szCs w:val="11"/>
                <w:color w:val="auto"/>
                <w:w w:val="81"/>
              </w:rPr>
              <w:t>7.75 %</w:t>
            </w:r>
          </w:p>
        </w:tc>
        <w:tc>
          <w:tcPr>
            <w:tcW w:w="9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L+550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5,355</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5,267</w:t>
            </w:r>
          </w:p>
        </w:tc>
        <w:tc>
          <w:tcPr>
            <w:tcW w:w="2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5,328</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tcPr>
          <w:p>
            <w:pPr>
              <w:ind w:left="20"/>
              <w:spacing w:after="0"/>
              <w:rPr>
                <w:sz w:val="20"/>
                <w:szCs w:val="20"/>
                <w:color w:val="auto"/>
              </w:rPr>
            </w:pPr>
            <w:r>
              <w:rPr>
                <w:rFonts w:ascii="Arial" w:cs="Arial" w:eastAsia="Arial" w:hAnsi="Arial"/>
                <w:sz w:val="11"/>
                <w:szCs w:val="11"/>
                <w:color w:val="auto"/>
              </w:rPr>
              <w:t>Mission Critical Electronics, Inc.</w:t>
            </w:r>
          </w:p>
        </w:tc>
        <w:tc>
          <w:tcPr>
            <w:tcW w:w="740" w:type="dxa"/>
            <w:vAlign w:val="bottom"/>
            <w:gridSpan w:val="2"/>
          </w:tcPr>
          <w:p>
            <w:pPr>
              <w:jc w:val="center"/>
              <w:ind w:left="86"/>
              <w:spacing w:after="0"/>
              <w:rPr>
                <w:sz w:val="20"/>
                <w:szCs w:val="20"/>
                <w:color w:val="auto"/>
              </w:rPr>
            </w:pPr>
            <w:r>
              <w:rPr>
                <w:rFonts w:ascii="Arial" w:cs="Arial" w:eastAsia="Arial" w:hAnsi="Arial"/>
                <w:sz w:val="11"/>
                <w:szCs w:val="11"/>
                <w:color w:val="auto"/>
                <w:w w:val="89"/>
              </w:rPr>
              <w:t>3/28/2024</w:t>
            </w:r>
          </w:p>
        </w:tc>
        <w:tc>
          <w:tcPr>
            <w:tcW w:w="12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91"/>
              </w:rPr>
              <w:t>Capital Equipment</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2"/>
          </w:tcPr>
          <w:p>
            <w:pPr>
              <w:jc w:val="right"/>
              <w:ind w:right="300"/>
              <w:spacing w:after="0"/>
              <w:rPr>
                <w:sz w:val="20"/>
                <w:szCs w:val="20"/>
                <w:color w:val="auto"/>
              </w:rPr>
            </w:pPr>
            <w:r>
              <w:rPr>
                <w:rFonts w:ascii="Arial" w:cs="Arial" w:eastAsia="Arial" w:hAnsi="Arial"/>
                <w:sz w:val="11"/>
                <w:szCs w:val="11"/>
                <w:color w:val="auto"/>
                <w:w w:val="81"/>
              </w:rPr>
              <w:t>7.20 %</w:t>
            </w:r>
          </w:p>
        </w:tc>
        <w:tc>
          <w:tcPr>
            <w:tcW w:w="960" w:type="dxa"/>
            <w:vAlign w:val="bottom"/>
          </w:tcPr>
          <w:p>
            <w:pPr>
              <w:jc w:val="right"/>
              <w:spacing w:after="0"/>
              <w:rPr>
                <w:sz w:val="20"/>
                <w:szCs w:val="20"/>
                <w:color w:val="auto"/>
              </w:rPr>
            </w:pPr>
            <w:r>
              <w:rPr>
                <w:rFonts w:ascii="Arial" w:cs="Arial" w:eastAsia="Arial" w:hAnsi="Arial"/>
                <w:sz w:val="11"/>
                <w:szCs w:val="11"/>
                <w:color w:val="auto"/>
              </w:rPr>
              <w:t>SOFR+500</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5,844</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5,842</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5,774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shd w:val="clear" w:color="auto" w:fill="CCECFF"/>
          </w:tcPr>
          <w:p>
            <w:pPr>
              <w:ind w:left="20"/>
              <w:spacing w:after="0"/>
              <w:rPr>
                <w:sz w:val="20"/>
                <w:szCs w:val="20"/>
                <w:color w:val="auto"/>
              </w:rPr>
            </w:pPr>
            <w:r>
              <w:rPr>
                <w:rFonts w:ascii="Arial" w:cs="Arial" w:eastAsia="Arial" w:hAnsi="Arial"/>
                <w:sz w:val="11"/>
                <w:szCs w:val="11"/>
                <w:color w:val="auto"/>
              </w:rPr>
              <w:t>Municipal Emergency Services, Inc.</w:t>
            </w:r>
          </w:p>
        </w:tc>
        <w:tc>
          <w:tcPr>
            <w:tcW w:w="74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9"/>
              </w:rPr>
              <w:t>9/28/2027</w:t>
            </w:r>
          </w:p>
        </w:tc>
        <w:tc>
          <w:tcPr>
            <w:tcW w:w="120" w:type="dxa"/>
            <w:vAlign w:val="bottom"/>
            <w:shd w:val="clear" w:color="auto" w:fill="CCECFF"/>
          </w:tcPr>
          <w:p>
            <w:pPr>
              <w:spacing w:after="0"/>
              <w:rPr>
                <w:sz w:val="11"/>
                <w:szCs w:val="11"/>
                <w:color w:val="auto"/>
              </w:rPr>
            </w:pPr>
          </w:p>
        </w:tc>
        <w:tc>
          <w:tcPr>
            <w:tcW w:w="23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3"/>
              </w:rPr>
              <w:t>Distributors</w:t>
            </w:r>
          </w:p>
        </w:tc>
        <w:tc>
          <w:tcPr>
            <w:tcW w:w="14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600" w:type="dxa"/>
            <w:vAlign w:val="bottom"/>
            <w:gridSpan w:val="2"/>
            <w:shd w:val="clear" w:color="auto" w:fill="CCECFF"/>
          </w:tcPr>
          <w:p>
            <w:pPr>
              <w:jc w:val="right"/>
              <w:ind w:right="300"/>
              <w:spacing w:after="0"/>
              <w:rPr>
                <w:sz w:val="20"/>
                <w:szCs w:val="20"/>
                <w:color w:val="auto"/>
              </w:rPr>
            </w:pPr>
            <w:r>
              <w:rPr>
                <w:rFonts w:ascii="Arial" w:cs="Arial" w:eastAsia="Arial" w:hAnsi="Arial"/>
                <w:sz w:val="11"/>
                <w:szCs w:val="11"/>
                <w:color w:val="auto"/>
                <w:w w:val="81"/>
              </w:rPr>
              <w:t>7.25 %</w:t>
            </w:r>
          </w:p>
        </w:tc>
        <w:tc>
          <w:tcPr>
            <w:tcW w:w="9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3,474</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3,412</w:t>
            </w:r>
          </w:p>
        </w:tc>
        <w:tc>
          <w:tcPr>
            <w:tcW w:w="2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3,342</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tcPr>
          <w:p>
            <w:pPr>
              <w:ind w:left="20"/>
              <w:spacing w:after="0"/>
              <w:rPr>
                <w:sz w:val="20"/>
                <w:szCs w:val="20"/>
                <w:color w:val="auto"/>
              </w:rPr>
            </w:pPr>
            <w:r>
              <w:rPr>
                <w:rFonts w:ascii="Arial" w:cs="Arial" w:eastAsia="Arial" w:hAnsi="Arial"/>
                <w:sz w:val="11"/>
                <w:szCs w:val="11"/>
                <w:color w:val="auto"/>
              </w:rPr>
              <w:t>NBH Group LLC</w:t>
            </w:r>
          </w:p>
        </w:tc>
        <w:tc>
          <w:tcPr>
            <w:tcW w:w="740" w:type="dxa"/>
            <w:vAlign w:val="bottom"/>
            <w:gridSpan w:val="2"/>
          </w:tcPr>
          <w:p>
            <w:pPr>
              <w:jc w:val="center"/>
              <w:ind w:left="86"/>
              <w:spacing w:after="0"/>
              <w:rPr>
                <w:sz w:val="20"/>
                <w:szCs w:val="20"/>
                <w:color w:val="auto"/>
              </w:rPr>
            </w:pPr>
            <w:r>
              <w:rPr>
                <w:rFonts w:ascii="Arial" w:cs="Arial" w:eastAsia="Arial" w:hAnsi="Arial"/>
                <w:sz w:val="11"/>
                <w:szCs w:val="11"/>
                <w:color w:val="auto"/>
                <w:w w:val="89"/>
              </w:rPr>
              <w:t>8/19/2026</w:t>
            </w:r>
          </w:p>
        </w:tc>
        <w:tc>
          <w:tcPr>
            <w:tcW w:w="12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90"/>
              </w:rPr>
              <w:t>Healthcare, Education &amp; Childcare</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2"/>
          </w:tcPr>
          <w:p>
            <w:pPr>
              <w:jc w:val="right"/>
              <w:ind w:right="300"/>
              <w:spacing w:after="0"/>
              <w:rPr>
                <w:sz w:val="20"/>
                <w:szCs w:val="20"/>
                <w:color w:val="auto"/>
              </w:rPr>
            </w:pPr>
            <w:r>
              <w:rPr>
                <w:rFonts w:ascii="Arial" w:cs="Arial" w:eastAsia="Arial" w:hAnsi="Arial"/>
                <w:sz w:val="11"/>
                <w:szCs w:val="11"/>
                <w:color w:val="auto"/>
                <w:w w:val="81"/>
              </w:rPr>
              <w:t>6.25 %</w:t>
            </w:r>
          </w:p>
        </w:tc>
        <w:tc>
          <w:tcPr>
            <w:tcW w:w="960" w:type="dxa"/>
            <w:vAlign w:val="bottom"/>
          </w:tcPr>
          <w:p>
            <w:pPr>
              <w:jc w:val="right"/>
              <w:spacing w:after="0"/>
              <w:rPr>
                <w:sz w:val="20"/>
                <w:szCs w:val="20"/>
                <w:color w:val="auto"/>
              </w:rPr>
            </w:pPr>
            <w:r>
              <w:rPr>
                <w:rFonts w:ascii="Arial" w:cs="Arial" w:eastAsia="Arial" w:hAnsi="Arial"/>
                <w:sz w:val="11"/>
                <w:szCs w:val="11"/>
                <w:color w:val="auto"/>
              </w:rPr>
              <w:t>1M L+550</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10,847</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10,659</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10,793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shd w:val="clear" w:color="auto" w:fill="CCECFF"/>
          </w:tcPr>
          <w:p>
            <w:pPr>
              <w:ind w:left="20"/>
              <w:spacing w:after="0"/>
              <w:rPr>
                <w:sz w:val="20"/>
                <w:szCs w:val="20"/>
                <w:color w:val="auto"/>
              </w:rPr>
            </w:pPr>
            <w:r>
              <w:rPr>
                <w:rFonts w:ascii="Arial" w:cs="Arial" w:eastAsia="Arial" w:hAnsi="Arial"/>
                <w:sz w:val="11"/>
                <w:szCs w:val="11"/>
                <w:color w:val="auto"/>
              </w:rPr>
              <w:t>New Milani Group LLC</w:t>
            </w:r>
          </w:p>
        </w:tc>
        <w:tc>
          <w:tcPr>
            <w:tcW w:w="7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8"/>
              </w:rPr>
              <w:t>6/6/2024</w:t>
            </w:r>
          </w:p>
        </w:tc>
        <w:tc>
          <w:tcPr>
            <w:tcW w:w="120" w:type="dxa"/>
            <w:vAlign w:val="bottom"/>
            <w:shd w:val="clear" w:color="auto" w:fill="CCECFF"/>
          </w:tcPr>
          <w:p>
            <w:pPr>
              <w:spacing w:after="0"/>
              <w:rPr>
                <w:sz w:val="11"/>
                <w:szCs w:val="11"/>
                <w:color w:val="auto"/>
              </w:rPr>
            </w:pPr>
          </w:p>
        </w:tc>
        <w:tc>
          <w:tcPr>
            <w:tcW w:w="23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Consumer Goods: Non-Durable</w:t>
            </w:r>
          </w:p>
        </w:tc>
        <w:tc>
          <w:tcPr>
            <w:tcW w:w="14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600" w:type="dxa"/>
            <w:vAlign w:val="bottom"/>
            <w:gridSpan w:val="2"/>
            <w:shd w:val="clear" w:color="auto" w:fill="CCECFF"/>
          </w:tcPr>
          <w:p>
            <w:pPr>
              <w:jc w:val="right"/>
              <w:ind w:right="300"/>
              <w:spacing w:after="0"/>
              <w:rPr>
                <w:sz w:val="20"/>
                <w:szCs w:val="20"/>
                <w:color w:val="auto"/>
              </w:rPr>
            </w:pPr>
            <w:r>
              <w:rPr>
                <w:rFonts w:ascii="Arial" w:cs="Arial" w:eastAsia="Arial" w:hAnsi="Arial"/>
                <w:sz w:val="11"/>
                <w:szCs w:val="11"/>
                <w:color w:val="auto"/>
                <w:w w:val="81"/>
              </w:rPr>
              <w:t>7.50 %</w:t>
            </w:r>
          </w:p>
        </w:tc>
        <w:tc>
          <w:tcPr>
            <w:tcW w:w="9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14,513</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14,462</w:t>
            </w:r>
          </w:p>
        </w:tc>
        <w:tc>
          <w:tcPr>
            <w:tcW w:w="2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14,259</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tcPr>
          <w:p>
            <w:pPr>
              <w:ind w:left="20"/>
              <w:spacing w:after="0"/>
              <w:rPr>
                <w:sz w:val="20"/>
                <w:szCs w:val="20"/>
                <w:color w:val="auto"/>
              </w:rPr>
            </w:pPr>
            <w:r>
              <w:rPr>
                <w:rFonts w:ascii="Arial" w:cs="Arial" w:eastAsia="Arial" w:hAnsi="Arial"/>
                <w:sz w:val="11"/>
                <w:szCs w:val="11"/>
                <w:color w:val="auto"/>
              </w:rPr>
              <w:t>OIS Management Services, LLC</w:t>
            </w:r>
          </w:p>
        </w:tc>
        <w:tc>
          <w:tcPr>
            <w:tcW w:w="740" w:type="dxa"/>
            <w:vAlign w:val="bottom"/>
            <w:gridSpan w:val="2"/>
          </w:tcPr>
          <w:p>
            <w:pPr>
              <w:jc w:val="center"/>
              <w:ind w:left="66"/>
              <w:spacing w:after="0"/>
              <w:rPr>
                <w:sz w:val="20"/>
                <w:szCs w:val="20"/>
                <w:color w:val="auto"/>
              </w:rPr>
            </w:pPr>
            <w:r>
              <w:rPr>
                <w:rFonts w:ascii="Arial" w:cs="Arial" w:eastAsia="Arial" w:hAnsi="Arial"/>
                <w:sz w:val="11"/>
                <w:szCs w:val="11"/>
                <w:color w:val="auto"/>
                <w:w w:val="88"/>
              </w:rPr>
              <w:t>7/9/2026</w:t>
            </w:r>
          </w:p>
        </w:tc>
        <w:tc>
          <w:tcPr>
            <w:tcW w:w="12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88"/>
              </w:rPr>
              <w:t>Healthcare Equipment and Supplies</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2"/>
          </w:tcPr>
          <w:p>
            <w:pPr>
              <w:jc w:val="right"/>
              <w:ind w:right="300"/>
              <w:spacing w:after="0"/>
              <w:rPr>
                <w:sz w:val="20"/>
                <w:szCs w:val="20"/>
                <w:color w:val="auto"/>
              </w:rPr>
            </w:pPr>
            <w:r>
              <w:rPr>
                <w:rFonts w:ascii="Arial" w:cs="Arial" w:eastAsia="Arial" w:hAnsi="Arial"/>
                <w:sz w:val="11"/>
                <w:szCs w:val="11"/>
                <w:color w:val="auto"/>
                <w:w w:val="81"/>
              </w:rPr>
              <w:t>6.95 %</w:t>
            </w:r>
          </w:p>
        </w:tc>
        <w:tc>
          <w:tcPr>
            <w:tcW w:w="960" w:type="dxa"/>
            <w:vAlign w:val="bottom"/>
          </w:tcPr>
          <w:p>
            <w:pPr>
              <w:jc w:val="right"/>
              <w:spacing w:after="0"/>
              <w:rPr>
                <w:sz w:val="20"/>
                <w:szCs w:val="20"/>
                <w:color w:val="auto"/>
              </w:rPr>
            </w:pPr>
            <w:r>
              <w:rPr>
                <w:rFonts w:ascii="Arial" w:cs="Arial" w:eastAsia="Arial" w:hAnsi="Arial"/>
                <w:sz w:val="11"/>
                <w:szCs w:val="11"/>
                <w:color w:val="auto"/>
              </w:rPr>
              <w:t>SOFR+475</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5,073</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5,017</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4,996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shd w:val="clear" w:color="auto" w:fill="CCECFF"/>
          </w:tcPr>
          <w:p>
            <w:pPr>
              <w:ind w:left="20"/>
              <w:spacing w:after="0"/>
              <w:rPr>
                <w:sz w:val="20"/>
                <w:szCs w:val="20"/>
                <w:color w:val="auto"/>
              </w:rPr>
            </w:pPr>
            <w:r>
              <w:rPr>
                <w:rFonts w:ascii="Arial" w:cs="Arial" w:eastAsia="Arial" w:hAnsi="Arial"/>
                <w:sz w:val="11"/>
                <w:szCs w:val="11"/>
                <w:color w:val="auto"/>
              </w:rPr>
              <w:t>One Stop Mailing, LLC</w:t>
            </w:r>
          </w:p>
        </w:tc>
        <w:tc>
          <w:tcPr>
            <w:tcW w:w="7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8"/>
              </w:rPr>
              <w:t>5/7/2027</w:t>
            </w:r>
          </w:p>
        </w:tc>
        <w:tc>
          <w:tcPr>
            <w:tcW w:w="120" w:type="dxa"/>
            <w:vAlign w:val="bottom"/>
            <w:shd w:val="clear" w:color="auto" w:fill="CCECFF"/>
          </w:tcPr>
          <w:p>
            <w:pPr>
              <w:spacing w:after="0"/>
              <w:rPr>
                <w:sz w:val="11"/>
                <w:szCs w:val="11"/>
                <w:color w:val="auto"/>
              </w:rPr>
            </w:pPr>
          </w:p>
        </w:tc>
        <w:tc>
          <w:tcPr>
            <w:tcW w:w="23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1"/>
              </w:rPr>
              <w:t>Air Freight and Logistics</w:t>
            </w:r>
          </w:p>
        </w:tc>
        <w:tc>
          <w:tcPr>
            <w:tcW w:w="14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600" w:type="dxa"/>
            <w:vAlign w:val="bottom"/>
            <w:gridSpan w:val="2"/>
            <w:shd w:val="clear" w:color="auto" w:fill="CCECFF"/>
          </w:tcPr>
          <w:p>
            <w:pPr>
              <w:jc w:val="right"/>
              <w:ind w:right="300"/>
              <w:spacing w:after="0"/>
              <w:rPr>
                <w:sz w:val="20"/>
                <w:szCs w:val="20"/>
                <w:color w:val="auto"/>
              </w:rPr>
            </w:pPr>
            <w:r>
              <w:rPr>
                <w:rFonts w:ascii="Arial" w:cs="Arial" w:eastAsia="Arial" w:hAnsi="Arial"/>
                <w:sz w:val="11"/>
                <w:szCs w:val="11"/>
                <w:color w:val="auto"/>
                <w:w w:val="81"/>
              </w:rPr>
              <w:t>7.92 %</w:t>
            </w:r>
          </w:p>
        </w:tc>
        <w:tc>
          <w:tcPr>
            <w:tcW w:w="9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L+625</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14,807</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14,548</w:t>
            </w:r>
          </w:p>
        </w:tc>
        <w:tc>
          <w:tcPr>
            <w:tcW w:w="2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14,511</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tcPr>
          <w:p>
            <w:pPr>
              <w:ind w:left="20"/>
              <w:spacing w:after="0"/>
              <w:rPr>
                <w:sz w:val="20"/>
                <w:szCs w:val="20"/>
                <w:color w:val="auto"/>
              </w:rPr>
            </w:pPr>
            <w:r>
              <w:rPr>
                <w:rFonts w:ascii="Arial" w:cs="Arial" w:eastAsia="Arial" w:hAnsi="Arial"/>
                <w:sz w:val="11"/>
                <w:szCs w:val="11"/>
                <w:color w:val="auto"/>
              </w:rPr>
              <w:t>Output Services Group, Inc.</w:t>
            </w:r>
          </w:p>
        </w:tc>
        <w:tc>
          <w:tcPr>
            <w:tcW w:w="740" w:type="dxa"/>
            <w:vAlign w:val="bottom"/>
            <w:gridSpan w:val="2"/>
          </w:tcPr>
          <w:p>
            <w:pPr>
              <w:jc w:val="center"/>
              <w:ind w:left="86"/>
              <w:spacing w:after="0"/>
              <w:rPr>
                <w:sz w:val="20"/>
                <w:szCs w:val="20"/>
                <w:color w:val="auto"/>
              </w:rPr>
            </w:pPr>
            <w:r>
              <w:rPr>
                <w:rFonts w:ascii="Arial" w:cs="Arial" w:eastAsia="Arial" w:hAnsi="Arial"/>
                <w:sz w:val="11"/>
                <w:szCs w:val="11"/>
                <w:color w:val="auto"/>
                <w:w w:val="89"/>
              </w:rPr>
              <w:t>3/27/2024</w:t>
            </w:r>
          </w:p>
        </w:tc>
        <w:tc>
          <w:tcPr>
            <w:tcW w:w="12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86"/>
              </w:rPr>
              <w:t>Business Services</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2"/>
          </w:tcPr>
          <w:p>
            <w:pPr>
              <w:jc w:val="right"/>
              <w:ind w:right="300"/>
              <w:spacing w:after="0"/>
              <w:rPr>
                <w:sz w:val="20"/>
                <w:szCs w:val="20"/>
                <w:color w:val="auto"/>
              </w:rPr>
            </w:pPr>
            <w:r>
              <w:rPr>
                <w:rFonts w:ascii="Arial" w:cs="Arial" w:eastAsia="Arial" w:hAnsi="Arial"/>
                <w:sz w:val="11"/>
                <w:szCs w:val="11"/>
                <w:color w:val="auto"/>
                <w:w w:val="81"/>
              </w:rPr>
              <w:t>6.01 %</w:t>
            </w:r>
          </w:p>
        </w:tc>
        <w:tc>
          <w:tcPr>
            <w:tcW w:w="960" w:type="dxa"/>
            <w:vAlign w:val="bottom"/>
          </w:tcPr>
          <w:p>
            <w:pPr>
              <w:jc w:val="right"/>
              <w:spacing w:after="0"/>
              <w:rPr>
                <w:sz w:val="20"/>
                <w:szCs w:val="20"/>
                <w:color w:val="auto"/>
              </w:rPr>
            </w:pPr>
            <w:r>
              <w:rPr>
                <w:rFonts w:ascii="Arial" w:cs="Arial" w:eastAsia="Arial" w:hAnsi="Arial"/>
                <w:sz w:val="11"/>
                <w:szCs w:val="11"/>
                <w:color w:val="auto"/>
              </w:rPr>
              <w:t>3M L+425</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7,663</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7,784</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6,284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shd w:val="clear" w:color="auto" w:fill="CCECFF"/>
          </w:tcPr>
          <w:p>
            <w:pPr>
              <w:ind w:left="20"/>
              <w:spacing w:after="0"/>
              <w:rPr>
                <w:sz w:val="20"/>
                <w:szCs w:val="20"/>
                <w:color w:val="auto"/>
              </w:rPr>
            </w:pPr>
            <w:r>
              <w:rPr>
                <w:rFonts w:ascii="Arial" w:cs="Arial" w:eastAsia="Arial" w:hAnsi="Arial"/>
                <w:sz w:val="11"/>
                <w:szCs w:val="11"/>
                <w:color w:val="auto"/>
              </w:rPr>
              <w:t>Owl Acquisition, LLC</w:t>
            </w:r>
          </w:p>
        </w:tc>
        <w:tc>
          <w:tcPr>
            <w:tcW w:w="7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8"/>
              </w:rPr>
              <w:t>2/4/2028</w:t>
            </w:r>
          </w:p>
        </w:tc>
        <w:tc>
          <w:tcPr>
            <w:tcW w:w="120" w:type="dxa"/>
            <w:vAlign w:val="bottom"/>
            <w:shd w:val="clear" w:color="auto" w:fill="CCECFF"/>
          </w:tcPr>
          <w:p>
            <w:pPr>
              <w:spacing w:after="0"/>
              <w:rPr>
                <w:sz w:val="11"/>
                <w:szCs w:val="11"/>
                <w:color w:val="auto"/>
              </w:rPr>
            </w:pPr>
          </w:p>
        </w:tc>
        <w:tc>
          <w:tcPr>
            <w:tcW w:w="23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Professional Services</w:t>
            </w:r>
          </w:p>
        </w:tc>
        <w:tc>
          <w:tcPr>
            <w:tcW w:w="14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600" w:type="dxa"/>
            <w:vAlign w:val="bottom"/>
            <w:gridSpan w:val="2"/>
            <w:shd w:val="clear" w:color="auto" w:fill="CCECFF"/>
          </w:tcPr>
          <w:p>
            <w:pPr>
              <w:jc w:val="right"/>
              <w:ind w:right="300"/>
              <w:spacing w:after="0"/>
              <w:rPr>
                <w:sz w:val="20"/>
                <w:szCs w:val="20"/>
                <w:color w:val="auto"/>
              </w:rPr>
            </w:pPr>
            <w:r>
              <w:rPr>
                <w:rFonts w:ascii="Arial" w:cs="Arial" w:eastAsia="Arial" w:hAnsi="Arial"/>
                <w:sz w:val="11"/>
                <w:szCs w:val="11"/>
                <w:color w:val="auto"/>
                <w:w w:val="81"/>
              </w:rPr>
              <w:t>6.75 %</w:t>
            </w:r>
          </w:p>
        </w:tc>
        <w:tc>
          <w:tcPr>
            <w:tcW w:w="9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L+575</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4,000</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3,925</w:t>
            </w:r>
          </w:p>
        </w:tc>
        <w:tc>
          <w:tcPr>
            <w:tcW w:w="2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3,880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tcPr>
          <w:p>
            <w:pPr>
              <w:ind w:left="20"/>
              <w:spacing w:after="0"/>
              <w:rPr>
                <w:sz w:val="20"/>
                <w:szCs w:val="20"/>
                <w:color w:val="auto"/>
              </w:rPr>
            </w:pPr>
            <w:r>
              <w:rPr>
                <w:rFonts w:ascii="Arial" w:cs="Arial" w:eastAsia="Arial" w:hAnsi="Arial"/>
                <w:sz w:val="11"/>
                <w:szCs w:val="11"/>
                <w:color w:val="auto"/>
              </w:rPr>
              <w:t>Ox Two, LLC</w:t>
            </w:r>
          </w:p>
        </w:tc>
        <w:tc>
          <w:tcPr>
            <w:tcW w:w="740" w:type="dxa"/>
            <w:vAlign w:val="bottom"/>
            <w:gridSpan w:val="2"/>
          </w:tcPr>
          <w:p>
            <w:pPr>
              <w:jc w:val="center"/>
              <w:ind w:left="86"/>
              <w:spacing w:after="0"/>
              <w:rPr>
                <w:sz w:val="20"/>
                <w:szCs w:val="20"/>
                <w:color w:val="auto"/>
              </w:rPr>
            </w:pPr>
            <w:r>
              <w:rPr>
                <w:rFonts w:ascii="Arial" w:cs="Arial" w:eastAsia="Arial" w:hAnsi="Arial"/>
                <w:sz w:val="11"/>
                <w:szCs w:val="11"/>
                <w:color w:val="auto"/>
                <w:w w:val="89"/>
              </w:rPr>
              <w:t>5/18/2026</w:t>
            </w:r>
          </w:p>
        </w:tc>
        <w:tc>
          <w:tcPr>
            <w:tcW w:w="12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90"/>
              </w:rPr>
              <w:t>Construction and Building</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2"/>
          </w:tcPr>
          <w:p>
            <w:pPr>
              <w:jc w:val="right"/>
              <w:ind w:right="300"/>
              <w:spacing w:after="0"/>
              <w:rPr>
                <w:sz w:val="20"/>
                <w:szCs w:val="20"/>
                <w:color w:val="auto"/>
              </w:rPr>
            </w:pPr>
            <w:r>
              <w:rPr>
                <w:rFonts w:ascii="Arial" w:cs="Arial" w:eastAsia="Arial" w:hAnsi="Arial"/>
                <w:sz w:val="11"/>
                <w:szCs w:val="11"/>
                <w:color w:val="auto"/>
                <w:w w:val="81"/>
              </w:rPr>
              <w:t>9.32 %</w:t>
            </w:r>
          </w:p>
        </w:tc>
        <w:tc>
          <w:tcPr>
            <w:tcW w:w="960" w:type="dxa"/>
            <w:vAlign w:val="bottom"/>
          </w:tcPr>
          <w:p>
            <w:pPr>
              <w:jc w:val="right"/>
              <w:spacing w:after="0"/>
              <w:rPr>
                <w:sz w:val="20"/>
                <w:szCs w:val="20"/>
                <w:color w:val="auto"/>
              </w:rPr>
            </w:pPr>
            <w:r>
              <w:rPr>
                <w:rFonts w:ascii="Arial" w:cs="Arial" w:eastAsia="Arial" w:hAnsi="Arial"/>
                <w:sz w:val="11"/>
                <w:szCs w:val="11"/>
                <w:color w:val="auto"/>
              </w:rPr>
              <w:t>3M L+600</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4,938</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4,875</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4,839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shd w:val="clear" w:color="auto" w:fill="CCECFF"/>
          </w:tcPr>
          <w:p>
            <w:pPr>
              <w:ind w:left="20"/>
              <w:spacing w:after="0"/>
              <w:rPr>
                <w:sz w:val="20"/>
                <w:szCs w:val="20"/>
                <w:color w:val="auto"/>
              </w:rPr>
            </w:pPr>
            <w:r>
              <w:rPr>
                <w:rFonts w:ascii="Arial" w:cs="Arial" w:eastAsia="Arial" w:hAnsi="Arial"/>
                <w:sz w:val="11"/>
                <w:szCs w:val="11"/>
                <w:color w:val="auto"/>
              </w:rPr>
              <w:t>PH Beauty Holdings III, Inc.</w:t>
            </w:r>
          </w:p>
        </w:tc>
        <w:tc>
          <w:tcPr>
            <w:tcW w:w="74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9"/>
              </w:rPr>
              <w:t>9/29/2025</w:t>
            </w:r>
          </w:p>
        </w:tc>
        <w:tc>
          <w:tcPr>
            <w:tcW w:w="120" w:type="dxa"/>
            <w:vAlign w:val="bottom"/>
            <w:shd w:val="clear" w:color="auto" w:fill="CCECFF"/>
          </w:tcPr>
          <w:p>
            <w:pPr>
              <w:spacing w:after="0"/>
              <w:rPr>
                <w:sz w:val="11"/>
                <w:szCs w:val="11"/>
                <w:color w:val="auto"/>
              </w:rPr>
            </w:pPr>
          </w:p>
        </w:tc>
        <w:tc>
          <w:tcPr>
            <w:tcW w:w="23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Wholesale</w:t>
            </w:r>
          </w:p>
        </w:tc>
        <w:tc>
          <w:tcPr>
            <w:tcW w:w="14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600" w:type="dxa"/>
            <w:vAlign w:val="bottom"/>
            <w:gridSpan w:val="2"/>
            <w:shd w:val="clear" w:color="auto" w:fill="CCECFF"/>
          </w:tcPr>
          <w:p>
            <w:pPr>
              <w:jc w:val="right"/>
              <w:ind w:right="300"/>
              <w:spacing w:after="0"/>
              <w:rPr>
                <w:sz w:val="20"/>
                <w:szCs w:val="20"/>
                <w:color w:val="auto"/>
              </w:rPr>
            </w:pPr>
            <w:r>
              <w:rPr>
                <w:rFonts w:ascii="Arial" w:cs="Arial" w:eastAsia="Arial" w:hAnsi="Arial"/>
                <w:sz w:val="11"/>
                <w:szCs w:val="11"/>
                <w:color w:val="auto"/>
                <w:w w:val="81"/>
              </w:rPr>
              <w:t>6.57 %</w:t>
            </w:r>
          </w:p>
        </w:tc>
        <w:tc>
          <w:tcPr>
            <w:tcW w:w="9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L+500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9,618</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9,340</w:t>
            </w:r>
          </w:p>
        </w:tc>
        <w:tc>
          <w:tcPr>
            <w:tcW w:w="2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8,656</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tcPr>
          <w:p>
            <w:pPr>
              <w:ind w:left="20"/>
              <w:spacing w:after="0"/>
              <w:rPr>
                <w:sz w:val="20"/>
                <w:szCs w:val="20"/>
                <w:color w:val="auto"/>
              </w:rPr>
            </w:pPr>
            <w:r>
              <w:rPr>
                <w:rFonts w:ascii="Arial" w:cs="Arial" w:eastAsia="Arial" w:hAnsi="Arial"/>
                <w:sz w:val="11"/>
                <w:szCs w:val="11"/>
                <w:color w:val="auto"/>
              </w:rPr>
              <w:t>PL Acquisitionco, LLC</w:t>
            </w:r>
          </w:p>
        </w:tc>
        <w:tc>
          <w:tcPr>
            <w:tcW w:w="740" w:type="dxa"/>
            <w:vAlign w:val="bottom"/>
            <w:gridSpan w:val="2"/>
          </w:tcPr>
          <w:p>
            <w:pPr>
              <w:jc w:val="center"/>
              <w:ind w:left="86"/>
              <w:spacing w:after="0"/>
              <w:rPr>
                <w:sz w:val="20"/>
                <w:szCs w:val="20"/>
                <w:color w:val="auto"/>
              </w:rPr>
            </w:pPr>
            <w:r>
              <w:rPr>
                <w:rFonts w:ascii="Arial" w:cs="Arial" w:eastAsia="Arial" w:hAnsi="Arial"/>
                <w:sz w:val="11"/>
                <w:szCs w:val="11"/>
                <w:color w:val="auto"/>
                <w:w w:val="89"/>
              </w:rPr>
              <w:t>11/9/2027</w:t>
            </w:r>
          </w:p>
        </w:tc>
        <w:tc>
          <w:tcPr>
            <w:tcW w:w="12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90"/>
              </w:rPr>
              <w:t>Textiles, Apparel and Luxury Goods</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2"/>
          </w:tcPr>
          <w:p>
            <w:pPr>
              <w:jc w:val="right"/>
              <w:ind w:right="300"/>
              <w:spacing w:after="0"/>
              <w:rPr>
                <w:sz w:val="20"/>
                <w:szCs w:val="20"/>
                <w:color w:val="auto"/>
              </w:rPr>
            </w:pPr>
            <w:r>
              <w:rPr>
                <w:rFonts w:ascii="Arial" w:cs="Arial" w:eastAsia="Arial" w:hAnsi="Arial"/>
                <w:sz w:val="11"/>
                <w:szCs w:val="11"/>
                <w:color w:val="auto"/>
                <w:w w:val="81"/>
              </w:rPr>
              <w:t>8.17 %</w:t>
            </w:r>
          </w:p>
        </w:tc>
        <w:tc>
          <w:tcPr>
            <w:tcW w:w="960" w:type="dxa"/>
            <w:vAlign w:val="bottom"/>
          </w:tcPr>
          <w:p>
            <w:pPr>
              <w:jc w:val="right"/>
              <w:spacing w:after="0"/>
              <w:rPr>
                <w:sz w:val="20"/>
                <w:szCs w:val="20"/>
                <w:color w:val="auto"/>
              </w:rPr>
            </w:pPr>
            <w:r>
              <w:rPr>
                <w:rFonts w:ascii="Arial" w:cs="Arial" w:eastAsia="Arial" w:hAnsi="Arial"/>
                <w:sz w:val="11"/>
                <w:szCs w:val="11"/>
                <w:color w:val="auto"/>
              </w:rPr>
              <w:t>1M L+650</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8,259</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8,130</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8,114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shd w:val="clear" w:color="auto" w:fill="CCECFF"/>
          </w:tcPr>
          <w:p>
            <w:pPr>
              <w:ind w:left="20"/>
              <w:spacing w:after="0"/>
              <w:rPr>
                <w:sz w:val="20"/>
                <w:szCs w:val="20"/>
                <w:color w:val="auto"/>
              </w:rPr>
            </w:pPr>
            <w:r>
              <w:rPr>
                <w:rFonts w:ascii="Arial" w:cs="Arial" w:eastAsia="Arial" w:hAnsi="Arial"/>
                <w:sz w:val="11"/>
                <w:szCs w:val="11"/>
                <w:color w:val="auto"/>
              </w:rPr>
              <w:t>Plant Health Intermediate, Inc.</w:t>
            </w:r>
          </w:p>
        </w:tc>
        <w:tc>
          <w:tcPr>
            <w:tcW w:w="7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10/19/2022</w:t>
            </w:r>
          </w:p>
        </w:tc>
        <w:tc>
          <w:tcPr>
            <w:tcW w:w="120" w:type="dxa"/>
            <w:vAlign w:val="bottom"/>
            <w:shd w:val="clear" w:color="auto" w:fill="CCECFF"/>
          </w:tcPr>
          <w:p>
            <w:pPr>
              <w:spacing w:after="0"/>
              <w:rPr>
                <w:sz w:val="11"/>
                <w:szCs w:val="11"/>
                <w:color w:val="auto"/>
              </w:rPr>
            </w:pPr>
          </w:p>
        </w:tc>
        <w:tc>
          <w:tcPr>
            <w:tcW w:w="23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Chemicals, Plastics and Rubber</w:t>
            </w:r>
          </w:p>
        </w:tc>
        <w:tc>
          <w:tcPr>
            <w:tcW w:w="14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600" w:type="dxa"/>
            <w:vAlign w:val="bottom"/>
            <w:gridSpan w:val="2"/>
            <w:shd w:val="clear" w:color="auto" w:fill="CCECFF"/>
          </w:tcPr>
          <w:p>
            <w:pPr>
              <w:jc w:val="right"/>
              <w:ind w:right="300"/>
              <w:spacing w:after="0"/>
              <w:rPr>
                <w:sz w:val="20"/>
                <w:szCs w:val="20"/>
                <w:color w:val="auto"/>
              </w:rPr>
            </w:pPr>
            <w:r>
              <w:rPr>
                <w:rFonts w:ascii="Arial" w:cs="Arial" w:eastAsia="Arial" w:hAnsi="Arial"/>
                <w:sz w:val="11"/>
                <w:szCs w:val="11"/>
                <w:color w:val="auto"/>
                <w:w w:val="81"/>
              </w:rPr>
              <w:t>8.00 %</w:t>
            </w:r>
          </w:p>
        </w:tc>
        <w:tc>
          <w:tcPr>
            <w:tcW w:w="9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L+575</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1,566</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1,563</w:t>
            </w:r>
          </w:p>
        </w:tc>
        <w:tc>
          <w:tcPr>
            <w:tcW w:w="2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1,566</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tcPr>
          <w:p>
            <w:pPr>
              <w:ind w:left="20"/>
              <w:spacing w:after="0"/>
              <w:rPr>
                <w:sz w:val="20"/>
                <w:szCs w:val="20"/>
                <w:color w:val="auto"/>
              </w:rPr>
            </w:pPr>
            <w:r>
              <w:rPr>
                <w:rFonts w:ascii="Arial" w:cs="Arial" w:eastAsia="Arial" w:hAnsi="Arial"/>
                <w:sz w:val="11"/>
                <w:szCs w:val="11"/>
                <w:color w:val="auto"/>
              </w:rPr>
              <w:t>PlayPower, Inc.</w:t>
            </w:r>
          </w:p>
        </w:tc>
        <w:tc>
          <w:tcPr>
            <w:tcW w:w="740" w:type="dxa"/>
            <w:vAlign w:val="bottom"/>
            <w:gridSpan w:val="2"/>
          </w:tcPr>
          <w:p>
            <w:pPr>
              <w:jc w:val="center"/>
              <w:ind w:left="66"/>
              <w:spacing w:after="0"/>
              <w:rPr>
                <w:sz w:val="20"/>
                <w:szCs w:val="20"/>
                <w:color w:val="auto"/>
              </w:rPr>
            </w:pPr>
            <w:r>
              <w:rPr>
                <w:rFonts w:ascii="Arial" w:cs="Arial" w:eastAsia="Arial" w:hAnsi="Arial"/>
                <w:sz w:val="11"/>
                <w:szCs w:val="11"/>
                <w:color w:val="auto"/>
                <w:w w:val="88"/>
              </w:rPr>
              <w:t>5/8/2026</w:t>
            </w:r>
          </w:p>
        </w:tc>
        <w:tc>
          <w:tcPr>
            <w:tcW w:w="12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88"/>
              </w:rPr>
              <w:t>Consumer Goods: Durable</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2"/>
          </w:tcPr>
          <w:p>
            <w:pPr>
              <w:jc w:val="right"/>
              <w:ind w:right="300"/>
              <w:spacing w:after="0"/>
              <w:rPr>
                <w:sz w:val="20"/>
                <w:szCs w:val="20"/>
                <w:color w:val="auto"/>
              </w:rPr>
            </w:pPr>
            <w:r>
              <w:rPr>
                <w:rFonts w:ascii="Arial" w:cs="Arial" w:eastAsia="Arial" w:hAnsi="Arial"/>
                <w:sz w:val="11"/>
                <w:szCs w:val="11"/>
                <w:color w:val="auto"/>
                <w:w w:val="81"/>
              </w:rPr>
              <w:t>7.75 %</w:t>
            </w:r>
          </w:p>
        </w:tc>
        <w:tc>
          <w:tcPr>
            <w:tcW w:w="960" w:type="dxa"/>
            <w:vAlign w:val="bottom"/>
          </w:tcPr>
          <w:p>
            <w:pPr>
              <w:jc w:val="right"/>
              <w:spacing w:after="0"/>
              <w:rPr>
                <w:sz w:val="20"/>
                <w:szCs w:val="20"/>
                <w:color w:val="auto"/>
              </w:rPr>
            </w:pPr>
            <w:r>
              <w:rPr>
                <w:rFonts w:ascii="Arial" w:cs="Arial" w:eastAsia="Arial" w:hAnsi="Arial"/>
                <w:sz w:val="11"/>
                <w:szCs w:val="11"/>
                <w:color w:val="auto"/>
              </w:rPr>
              <w:t>3M L+550</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2,587</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2,502</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2,244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shd w:val="clear" w:color="auto" w:fill="CCECFF"/>
          </w:tcPr>
          <w:p>
            <w:pPr>
              <w:ind w:left="20"/>
              <w:spacing w:after="0"/>
              <w:rPr>
                <w:sz w:val="20"/>
                <w:szCs w:val="20"/>
                <w:color w:val="auto"/>
              </w:rPr>
            </w:pPr>
            <w:r>
              <w:rPr>
                <w:rFonts w:ascii="Arial" w:cs="Arial" w:eastAsia="Arial" w:hAnsi="Arial"/>
                <w:sz w:val="11"/>
                <w:szCs w:val="11"/>
                <w:color w:val="auto"/>
              </w:rPr>
              <w:t>Quantic Electronics, LLC</w:t>
            </w:r>
          </w:p>
        </w:tc>
        <w:tc>
          <w:tcPr>
            <w:tcW w:w="74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7"/>
              </w:rPr>
              <w:t>11/19/2026</w:t>
            </w:r>
          </w:p>
        </w:tc>
        <w:tc>
          <w:tcPr>
            <w:tcW w:w="120" w:type="dxa"/>
            <w:vAlign w:val="bottom"/>
            <w:shd w:val="clear" w:color="auto" w:fill="CCECFF"/>
          </w:tcPr>
          <w:p>
            <w:pPr>
              <w:spacing w:after="0"/>
              <w:rPr>
                <w:sz w:val="11"/>
                <w:szCs w:val="11"/>
                <w:color w:val="auto"/>
              </w:rPr>
            </w:pPr>
          </w:p>
        </w:tc>
        <w:tc>
          <w:tcPr>
            <w:tcW w:w="23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Aerospace and Defense</w:t>
            </w:r>
          </w:p>
        </w:tc>
        <w:tc>
          <w:tcPr>
            <w:tcW w:w="14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600" w:type="dxa"/>
            <w:vAlign w:val="bottom"/>
            <w:gridSpan w:val="2"/>
            <w:shd w:val="clear" w:color="auto" w:fill="CCECFF"/>
          </w:tcPr>
          <w:p>
            <w:pPr>
              <w:jc w:val="right"/>
              <w:ind w:right="300"/>
              <w:spacing w:after="0"/>
              <w:rPr>
                <w:sz w:val="20"/>
                <w:szCs w:val="20"/>
                <w:color w:val="auto"/>
              </w:rPr>
            </w:pPr>
            <w:r>
              <w:rPr>
                <w:rFonts w:ascii="Arial" w:cs="Arial" w:eastAsia="Arial" w:hAnsi="Arial"/>
                <w:sz w:val="11"/>
                <w:szCs w:val="11"/>
                <w:color w:val="auto"/>
                <w:w w:val="81"/>
              </w:rPr>
              <w:t>8.50 %</w:t>
            </w:r>
          </w:p>
        </w:tc>
        <w:tc>
          <w:tcPr>
            <w:tcW w:w="9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L+625</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3,932</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3,854</w:t>
            </w:r>
          </w:p>
        </w:tc>
        <w:tc>
          <w:tcPr>
            <w:tcW w:w="2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3,854</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tcPr>
          <w:p>
            <w:pPr>
              <w:ind w:left="20"/>
              <w:spacing w:after="0"/>
              <w:rPr>
                <w:sz w:val="20"/>
                <w:szCs w:val="20"/>
                <w:color w:val="auto"/>
              </w:rPr>
            </w:pPr>
            <w:r>
              <w:rPr>
                <w:rFonts w:ascii="Arial" w:cs="Arial" w:eastAsia="Arial" w:hAnsi="Arial"/>
                <w:sz w:val="11"/>
                <w:szCs w:val="11"/>
                <w:color w:val="auto"/>
              </w:rPr>
              <w:t>Reception Purchaser, LLC</w:t>
            </w:r>
          </w:p>
        </w:tc>
        <w:tc>
          <w:tcPr>
            <w:tcW w:w="740" w:type="dxa"/>
            <w:vAlign w:val="bottom"/>
            <w:gridSpan w:val="2"/>
          </w:tcPr>
          <w:p>
            <w:pPr>
              <w:jc w:val="center"/>
              <w:ind w:left="86"/>
              <w:spacing w:after="0"/>
              <w:rPr>
                <w:sz w:val="20"/>
                <w:szCs w:val="20"/>
                <w:color w:val="auto"/>
              </w:rPr>
            </w:pPr>
            <w:r>
              <w:rPr>
                <w:rFonts w:ascii="Arial" w:cs="Arial" w:eastAsia="Arial" w:hAnsi="Arial"/>
                <w:sz w:val="11"/>
                <w:szCs w:val="11"/>
                <w:color w:val="auto"/>
                <w:w w:val="89"/>
              </w:rPr>
              <w:t>2/28/2028</w:t>
            </w:r>
          </w:p>
        </w:tc>
        <w:tc>
          <w:tcPr>
            <w:tcW w:w="12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91"/>
              </w:rPr>
              <w:t>Air Freight and Logistics</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2"/>
          </w:tcPr>
          <w:p>
            <w:pPr>
              <w:jc w:val="right"/>
              <w:ind w:right="300"/>
              <w:spacing w:after="0"/>
              <w:rPr>
                <w:sz w:val="20"/>
                <w:szCs w:val="20"/>
                <w:color w:val="auto"/>
              </w:rPr>
            </w:pPr>
            <w:r>
              <w:rPr>
                <w:rFonts w:ascii="Arial" w:cs="Arial" w:eastAsia="Arial" w:hAnsi="Arial"/>
                <w:sz w:val="11"/>
                <w:szCs w:val="11"/>
                <w:color w:val="auto"/>
                <w:w w:val="81"/>
              </w:rPr>
              <w:t>8.20 %</w:t>
            </w:r>
          </w:p>
        </w:tc>
        <w:tc>
          <w:tcPr>
            <w:tcW w:w="960" w:type="dxa"/>
            <w:vAlign w:val="bottom"/>
          </w:tcPr>
          <w:p>
            <w:pPr>
              <w:jc w:val="right"/>
              <w:spacing w:after="0"/>
              <w:rPr>
                <w:sz w:val="20"/>
                <w:szCs w:val="20"/>
                <w:color w:val="auto"/>
              </w:rPr>
            </w:pPr>
            <w:r>
              <w:rPr>
                <w:rFonts w:ascii="Arial" w:cs="Arial" w:eastAsia="Arial" w:hAnsi="Arial"/>
                <w:sz w:val="11"/>
                <w:szCs w:val="11"/>
                <w:color w:val="auto"/>
              </w:rPr>
              <w:t>SOFR+600</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4,988</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4,914</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4,788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shd w:val="clear" w:color="auto" w:fill="CCECFF"/>
          </w:tcPr>
          <w:p>
            <w:pPr>
              <w:ind w:left="20"/>
              <w:spacing w:after="0"/>
              <w:rPr>
                <w:sz w:val="20"/>
                <w:szCs w:val="20"/>
                <w:color w:val="auto"/>
              </w:rPr>
            </w:pPr>
            <w:r>
              <w:rPr>
                <w:rFonts w:ascii="Arial" w:cs="Arial" w:eastAsia="Arial" w:hAnsi="Arial"/>
                <w:sz w:val="11"/>
                <w:szCs w:val="11"/>
                <w:color w:val="auto"/>
              </w:rPr>
              <w:t>Recteq, LLC</w:t>
            </w:r>
          </w:p>
        </w:tc>
        <w:tc>
          <w:tcPr>
            <w:tcW w:w="74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9"/>
              </w:rPr>
              <w:t>1/29/2026</w:t>
            </w:r>
          </w:p>
        </w:tc>
        <w:tc>
          <w:tcPr>
            <w:tcW w:w="120" w:type="dxa"/>
            <w:vAlign w:val="bottom"/>
            <w:shd w:val="clear" w:color="auto" w:fill="CCECFF"/>
          </w:tcPr>
          <w:p>
            <w:pPr>
              <w:spacing w:after="0"/>
              <w:rPr>
                <w:sz w:val="11"/>
                <w:szCs w:val="11"/>
                <w:color w:val="auto"/>
              </w:rPr>
            </w:pPr>
          </w:p>
        </w:tc>
        <w:tc>
          <w:tcPr>
            <w:tcW w:w="23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Leisure Products</w:t>
            </w:r>
          </w:p>
        </w:tc>
        <w:tc>
          <w:tcPr>
            <w:tcW w:w="14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600" w:type="dxa"/>
            <w:vAlign w:val="bottom"/>
            <w:gridSpan w:val="2"/>
            <w:shd w:val="clear" w:color="auto" w:fill="CCECFF"/>
          </w:tcPr>
          <w:p>
            <w:pPr>
              <w:jc w:val="right"/>
              <w:ind w:right="300"/>
              <w:spacing w:after="0"/>
              <w:rPr>
                <w:sz w:val="20"/>
                <w:szCs w:val="20"/>
                <w:color w:val="auto"/>
              </w:rPr>
            </w:pPr>
            <w:r>
              <w:rPr>
                <w:rFonts w:ascii="Arial" w:cs="Arial" w:eastAsia="Arial" w:hAnsi="Arial"/>
                <w:sz w:val="11"/>
                <w:szCs w:val="11"/>
                <w:color w:val="auto"/>
                <w:w w:val="81"/>
              </w:rPr>
              <w:t>8.25 %</w:t>
            </w:r>
          </w:p>
        </w:tc>
        <w:tc>
          <w:tcPr>
            <w:tcW w:w="9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L+600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4,938</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4,863</w:t>
            </w:r>
          </w:p>
        </w:tc>
        <w:tc>
          <w:tcPr>
            <w:tcW w:w="2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4,814</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tcPr>
          <w:p>
            <w:pPr>
              <w:ind w:left="20"/>
              <w:spacing w:after="0"/>
              <w:rPr>
                <w:sz w:val="20"/>
                <w:szCs w:val="20"/>
                <w:color w:val="auto"/>
              </w:rPr>
            </w:pPr>
            <w:r>
              <w:rPr>
                <w:rFonts w:ascii="Arial" w:cs="Arial" w:eastAsia="Arial" w:hAnsi="Arial"/>
                <w:sz w:val="11"/>
                <w:szCs w:val="11"/>
                <w:color w:val="auto"/>
              </w:rPr>
              <w:t>Research Now Group, LLC and Dynata, LLC</w:t>
            </w:r>
          </w:p>
        </w:tc>
        <w:tc>
          <w:tcPr>
            <w:tcW w:w="74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12/20/2024</w:t>
            </w:r>
          </w:p>
        </w:tc>
        <w:tc>
          <w:tcPr>
            <w:tcW w:w="12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90"/>
              </w:rPr>
              <w:t>Diversified Consumer Services</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2"/>
          </w:tcPr>
          <w:p>
            <w:pPr>
              <w:jc w:val="right"/>
              <w:ind w:right="300"/>
              <w:spacing w:after="0"/>
              <w:rPr>
                <w:sz w:val="20"/>
                <w:szCs w:val="20"/>
                <w:color w:val="auto"/>
              </w:rPr>
            </w:pPr>
            <w:r>
              <w:rPr>
                <w:rFonts w:ascii="Arial" w:cs="Arial" w:eastAsia="Arial" w:hAnsi="Arial"/>
                <w:sz w:val="11"/>
                <w:szCs w:val="11"/>
                <w:color w:val="auto"/>
                <w:w w:val="81"/>
              </w:rPr>
              <w:t>6.50 %</w:t>
            </w:r>
          </w:p>
        </w:tc>
        <w:tc>
          <w:tcPr>
            <w:tcW w:w="960" w:type="dxa"/>
            <w:vAlign w:val="bottom"/>
          </w:tcPr>
          <w:p>
            <w:pPr>
              <w:jc w:val="right"/>
              <w:spacing w:after="0"/>
              <w:rPr>
                <w:sz w:val="20"/>
                <w:szCs w:val="20"/>
                <w:color w:val="auto"/>
              </w:rPr>
            </w:pPr>
            <w:r>
              <w:rPr>
                <w:rFonts w:ascii="Arial" w:cs="Arial" w:eastAsia="Arial" w:hAnsi="Arial"/>
                <w:sz w:val="11"/>
                <w:szCs w:val="11"/>
                <w:color w:val="auto"/>
              </w:rPr>
              <w:t>3M L+550</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10,596</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10,528</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9,961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shd w:val="clear" w:color="auto" w:fill="CCECFF"/>
          </w:tcPr>
          <w:p>
            <w:pPr>
              <w:ind w:left="20"/>
              <w:spacing w:after="0"/>
              <w:rPr>
                <w:sz w:val="20"/>
                <w:szCs w:val="20"/>
                <w:color w:val="auto"/>
              </w:rPr>
            </w:pPr>
            <w:r>
              <w:rPr>
                <w:rFonts w:ascii="Arial" w:cs="Arial" w:eastAsia="Arial" w:hAnsi="Arial"/>
                <w:sz w:val="11"/>
                <w:szCs w:val="11"/>
                <w:color w:val="auto"/>
              </w:rPr>
              <w:t>Sales Benchmark Index LLC</w:t>
            </w:r>
          </w:p>
        </w:tc>
        <w:tc>
          <w:tcPr>
            <w:tcW w:w="7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8"/>
              </w:rPr>
              <w:t>1/3/2025</w:t>
            </w:r>
          </w:p>
        </w:tc>
        <w:tc>
          <w:tcPr>
            <w:tcW w:w="120" w:type="dxa"/>
            <w:vAlign w:val="bottom"/>
            <w:shd w:val="clear" w:color="auto" w:fill="CCECFF"/>
          </w:tcPr>
          <w:p>
            <w:pPr>
              <w:spacing w:after="0"/>
              <w:rPr>
                <w:sz w:val="11"/>
                <w:szCs w:val="11"/>
                <w:color w:val="auto"/>
              </w:rPr>
            </w:pPr>
          </w:p>
        </w:tc>
        <w:tc>
          <w:tcPr>
            <w:tcW w:w="23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Professional Services</w:t>
            </w:r>
          </w:p>
        </w:tc>
        <w:tc>
          <w:tcPr>
            <w:tcW w:w="14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600" w:type="dxa"/>
            <w:vAlign w:val="bottom"/>
            <w:gridSpan w:val="2"/>
            <w:shd w:val="clear" w:color="auto" w:fill="CCECFF"/>
          </w:tcPr>
          <w:p>
            <w:pPr>
              <w:jc w:val="right"/>
              <w:ind w:right="300"/>
              <w:spacing w:after="0"/>
              <w:rPr>
                <w:sz w:val="20"/>
                <w:szCs w:val="20"/>
                <w:color w:val="auto"/>
              </w:rPr>
            </w:pPr>
            <w:r>
              <w:rPr>
                <w:rFonts w:ascii="Arial" w:cs="Arial" w:eastAsia="Arial" w:hAnsi="Arial"/>
                <w:sz w:val="11"/>
                <w:szCs w:val="11"/>
                <w:color w:val="auto"/>
                <w:w w:val="81"/>
              </w:rPr>
              <w:t>8.25 %</w:t>
            </w:r>
          </w:p>
        </w:tc>
        <w:tc>
          <w:tcPr>
            <w:tcW w:w="9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L+600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5,281</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5,218</w:t>
            </w:r>
          </w:p>
        </w:tc>
        <w:tc>
          <w:tcPr>
            <w:tcW w:w="2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5,281</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126"/>
        </w:trPr>
        <w:tc>
          <w:tcPr>
            <w:tcW w:w="2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00" w:type="dxa"/>
            <w:vAlign w:val="bottom"/>
          </w:tcPr>
          <w:p>
            <w:pPr>
              <w:jc w:val="center"/>
              <w:spacing w:after="0"/>
              <w:rPr>
                <w:sz w:val="20"/>
                <w:szCs w:val="20"/>
                <w:color w:val="auto"/>
              </w:rPr>
            </w:pPr>
            <w:r>
              <w:rPr>
                <w:rFonts w:ascii="Arial" w:cs="Arial" w:eastAsia="Arial" w:hAnsi="Arial"/>
                <w:sz w:val="11"/>
                <w:szCs w:val="11"/>
                <w:b w:val="1"/>
                <w:bCs w:val="1"/>
                <w:color w:val="auto"/>
                <w:w w:val="86"/>
              </w:rPr>
              <w:t>Basis Point</w:t>
            </w: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gridSpan w:val="2"/>
            <w:vMerge w:val="restart"/>
          </w:tcPr>
          <w:p>
            <w:pPr>
              <w:jc w:val="right"/>
              <w:ind w:right="546"/>
              <w:spacing w:after="0"/>
              <w:rPr>
                <w:sz w:val="20"/>
                <w:szCs w:val="20"/>
                <w:color w:val="auto"/>
              </w:rPr>
            </w:pPr>
            <w:r>
              <w:rPr>
                <w:rFonts w:ascii="Arial" w:cs="Arial" w:eastAsia="Arial" w:hAnsi="Arial"/>
                <w:sz w:val="11"/>
                <w:szCs w:val="11"/>
                <w:b w:val="1"/>
                <w:bCs w:val="1"/>
                <w:color w:val="auto"/>
              </w:rPr>
              <w:t>Current</w:t>
            </w:r>
          </w:p>
        </w:tc>
        <w:tc>
          <w:tcPr>
            <w:tcW w:w="90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85"/>
              </w:rPr>
              <w:t>Spread</w:t>
            </w:r>
          </w:p>
        </w:tc>
        <w:tc>
          <w:tcPr>
            <w:tcW w:w="220" w:type="dxa"/>
            <w:vAlign w:val="bottom"/>
          </w:tcPr>
          <w:p>
            <w:pPr>
              <w:spacing w:after="0"/>
              <w:rPr>
                <w:sz w:val="9"/>
                <w:szCs w:val="9"/>
                <w:color w:val="auto"/>
              </w:rPr>
            </w:pPr>
          </w:p>
        </w:tc>
        <w:tc>
          <w:tcPr>
            <w:tcW w:w="740" w:type="dxa"/>
            <w:vAlign w:val="bottom"/>
            <w:vMerge w:val="restart"/>
          </w:tcPr>
          <w:p>
            <w:pPr>
              <w:jc w:val="right"/>
              <w:ind w:right="206"/>
              <w:spacing w:after="0"/>
              <w:rPr>
                <w:sz w:val="20"/>
                <w:szCs w:val="20"/>
                <w:color w:val="auto"/>
              </w:rPr>
            </w:pPr>
            <w:r>
              <w:rPr>
                <w:rFonts w:ascii="Arial" w:cs="Arial" w:eastAsia="Arial" w:hAnsi="Arial"/>
                <w:sz w:val="11"/>
                <w:szCs w:val="11"/>
                <w:b w:val="1"/>
                <w:bCs w:val="1"/>
                <w:color w:val="auto"/>
              </w:rPr>
              <w:t>Par /</w:t>
            </w: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82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Issuer Name</w:t>
            </w:r>
          </w:p>
        </w:tc>
        <w:tc>
          <w:tcPr>
            <w:tcW w:w="140" w:type="dxa"/>
            <w:vAlign w:val="bottom"/>
          </w:tcPr>
          <w:p>
            <w:pPr>
              <w:spacing w:after="0"/>
              <w:rPr>
                <w:sz w:val="9"/>
                <w:szCs w:val="9"/>
                <w:color w:val="auto"/>
              </w:rPr>
            </w:pPr>
          </w:p>
        </w:tc>
        <w:tc>
          <w:tcPr>
            <w:tcW w:w="68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Maturity</w:t>
            </w:r>
          </w:p>
        </w:tc>
        <w:tc>
          <w:tcPr>
            <w:tcW w:w="240" w:type="dxa"/>
            <w:vAlign w:val="bottom"/>
          </w:tcPr>
          <w:p>
            <w:pPr>
              <w:spacing w:after="0"/>
              <w:rPr>
                <w:sz w:val="9"/>
                <w:szCs w:val="9"/>
                <w:color w:val="auto"/>
              </w:rPr>
            </w:pPr>
          </w:p>
        </w:tc>
        <w:tc>
          <w:tcPr>
            <w:tcW w:w="234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6"/>
              </w:rPr>
              <w:t>Industry</w:t>
            </w:r>
          </w:p>
        </w:tc>
        <w:tc>
          <w:tcPr>
            <w:tcW w:w="10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90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89"/>
              </w:rPr>
              <w:t>Above</w:t>
            </w:r>
          </w:p>
        </w:tc>
        <w:tc>
          <w:tcPr>
            <w:tcW w:w="22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vMerge w:val="restart"/>
          </w:tcPr>
          <w:p>
            <w:pPr>
              <w:jc w:val="right"/>
              <w:ind w:right="186"/>
              <w:spacing w:after="0"/>
              <w:rPr>
                <w:sz w:val="20"/>
                <w:szCs w:val="20"/>
                <w:color w:val="auto"/>
              </w:rPr>
            </w:pPr>
            <w:r>
              <w:rPr>
                <w:rFonts w:ascii="Arial" w:cs="Arial" w:eastAsia="Arial" w:hAnsi="Arial"/>
                <w:sz w:val="11"/>
                <w:szCs w:val="11"/>
                <w:b w:val="1"/>
                <w:bCs w:val="1"/>
                <w:color w:val="auto"/>
              </w:rPr>
              <w:t>Cost</w:t>
            </w:r>
          </w:p>
        </w:tc>
        <w:tc>
          <w:tcPr>
            <w:tcW w:w="220" w:type="dxa"/>
            <w:vAlign w:val="bottom"/>
          </w:tcPr>
          <w:p>
            <w:pPr>
              <w:spacing w:after="0"/>
              <w:rPr>
                <w:sz w:val="9"/>
                <w:szCs w:val="9"/>
                <w:color w:val="auto"/>
              </w:rPr>
            </w:pPr>
          </w:p>
        </w:tc>
        <w:tc>
          <w:tcPr>
            <w:tcW w:w="780" w:type="dxa"/>
            <w:vAlign w:val="bottom"/>
            <w:gridSpan w:val="3"/>
            <w:vMerge w:val="restart"/>
          </w:tcPr>
          <w:p>
            <w:pPr>
              <w:jc w:val="right"/>
              <w:ind w:right="102"/>
              <w:spacing w:after="0"/>
              <w:rPr>
                <w:sz w:val="20"/>
                <w:szCs w:val="20"/>
                <w:color w:val="auto"/>
              </w:rPr>
            </w:pPr>
            <w:r>
              <w:rPr>
                <w:rFonts w:ascii="Arial" w:cs="Arial" w:eastAsia="Arial" w:hAnsi="Arial"/>
                <w:sz w:val="11"/>
                <w:szCs w:val="11"/>
                <w:b w:val="1"/>
                <w:bCs w:val="1"/>
                <w:color w:val="auto"/>
                <w:w w:val="92"/>
              </w:rPr>
              <w:t xml:space="preserve">Fair Value </w:t>
            </w:r>
            <w:r>
              <w:rPr>
                <w:rFonts w:ascii="Arial" w:cs="Arial" w:eastAsia="Arial" w:hAnsi="Arial"/>
                <w:sz w:val="14"/>
                <w:szCs w:val="14"/>
                <w:b w:val="1"/>
                <w:bCs w:val="1"/>
                <w:color w:val="auto"/>
                <w:w w:val="92"/>
                <w:vertAlign w:val="superscript"/>
              </w:rPr>
              <w:t>(2)</w:t>
            </w:r>
          </w:p>
        </w:tc>
        <w:tc>
          <w:tcPr>
            <w:tcW w:w="0" w:type="dxa"/>
            <w:vAlign w:val="bottom"/>
          </w:tcPr>
          <w:p>
            <w:pPr>
              <w:spacing w:after="0"/>
              <w:rPr>
                <w:sz w:val="1"/>
                <w:szCs w:val="1"/>
                <w:color w:val="auto"/>
              </w:rPr>
            </w:pPr>
          </w:p>
        </w:tc>
      </w:tr>
      <w:tr>
        <w:trPr>
          <w:trHeight w:val="148"/>
        </w:trPr>
        <w:tc>
          <w:tcPr>
            <w:tcW w:w="28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23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546"/>
              <w:spacing w:after="0"/>
              <w:rPr>
                <w:sz w:val="20"/>
                <w:szCs w:val="20"/>
                <w:color w:val="auto"/>
              </w:rPr>
            </w:pPr>
            <w:r>
              <w:rPr>
                <w:rFonts w:ascii="Arial" w:cs="Arial" w:eastAsia="Arial" w:hAnsi="Arial"/>
                <w:sz w:val="11"/>
                <w:szCs w:val="11"/>
                <w:b w:val="1"/>
                <w:bCs w:val="1"/>
                <w:color w:val="auto"/>
              </w:rPr>
              <w:t>Coupon</w:t>
            </w:r>
          </w:p>
        </w:tc>
        <w:tc>
          <w:tcPr>
            <w:tcW w:w="900" w:type="dxa"/>
            <w:vAlign w:val="bottom"/>
          </w:tcPr>
          <w:p>
            <w:pPr>
              <w:jc w:val="center"/>
              <w:spacing w:after="0" w:line="149" w:lineRule="exact"/>
              <w:rPr>
                <w:sz w:val="20"/>
                <w:szCs w:val="20"/>
                <w:color w:val="auto"/>
              </w:rPr>
            </w:pPr>
            <w:r>
              <w:rPr>
                <w:rFonts w:ascii="Arial" w:cs="Arial" w:eastAsia="Arial" w:hAnsi="Arial"/>
                <w:sz w:val="11"/>
                <w:szCs w:val="11"/>
                <w:b w:val="1"/>
                <w:bCs w:val="1"/>
                <w:color w:val="auto"/>
                <w:w w:val="83"/>
              </w:rPr>
              <w:t xml:space="preserve">Index </w:t>
            </w:r>
            <w:r>
              <w:rPr>
                <w:rFonts w:ascii="Arial" w:cs="Arial" w:eastAsia="Arial" w:hAnsi="Arial"/>
                <w:sz w:val="14"/>
                <w:szCs w:val="14"/>
                <w:b w:val="1"/>
                <w:bCs w:val="1"/>
                <w:color w:val="auto"/>
                <w:w w:val="83"/>
                <w:vertAlign w:val="superscript"/>
              </w:rPr>
              <w:t>(1)</w:t>
            </w:r>
          </w:p>
        </w:tc>
        <w:tc>
          <w:tcPr>
            <w:tcW w:w="220" w:type="dxa"/>
            <w:vAlign w:val="bottom"/>
          </w:tcPr>
          <w:p>
            <w:pPr>
              <w:spacing w:after="0"/>
              <w:rPr>
                <w:sz w:val="12"/>
                <w:szCs w:val="12"/>
                <w:color w:val="auto"/>
              </w:rPr>
            </w:pPr>
          </w:p>
        </w:tc>
        <w:tc>
          <w:tcPr>
            <w:tcW w:w="740" w:type="dxa"/>
            <w:vAlign w:val="bottom"/>
          </w:tcPr>
          <w:p>
            <w:pPr>
              <w:jc w:val="right"/>
              <w:ind w:right="146"/>
              <w:spacing w:after="0"/>
              <w:rPr>
                <w:sz w:val="20"/>
                <w:szCs w:val="20"/>
                <w:color w:val="auto"/>
              </w:rPr>
            </w:pPr>
            <w:r>
              <w:rPr>
                <w:rFonts w:ascii="Arial" w:cs="Arial" w:eastAsia="Arial" w:hAnsi="Arial"/>
                <w:sz w:val="11"/>
                <w:szCs w:val="11"/>
                <w:b w:val="1"/>
                <w:bCs w:val="1"/>
                <w:color w:val="auto"/>
              </w:rPr>
              <w:t>Shares</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820" w:type="dxa"/>
            <w:vAlign w:val="bottom"/>
            <w:tcBorders>
              <w:top w:val="single" w:sz="8" w:color="auto"/>
            </w:tcBorders>
            <w:shd w:val="clear" w:color="auto" w:fill="CCECFF"/>
          </w:tcPr>
          <w:p>
            <w:pPr>
              <w:ind w:left="20"/>
              <w:spacing w:after="0"/>
              <w:rPr>
                <w:sz w:val="20"/>
                <w:szCs w:val="20"/>
                <w:color w:val="auto"/>
              </w:rPr>
            </w:pPr>
            <w:r>
              <w:rPr>
                <w:rFonts w:ascii="Arial" w:cs="Arial" w:eastAsia="Arial" w:hAnsi="Arial"/>
                <w:sz w:val="11"/>
                <w:szCs w:val="11"/>
                <w:color w:val="auto"/>
              </w:rPr>
              <w:t>Sargent &amp; Greenleaf Inc.</w:t>
            </w:r>
          </w:p>
        </w:tc>
        <w:tc>
          <w:tcPr>
            <w:tcW w:w="140" w:type="dxa"/>
            <w:vAlign w:val="bottom"/>
            <w:shd w:val="clear" w:color="auto" w:fill="CCECFF"/>
          </w:tcPr>
          <w:p>
            <w:pPr>
              <w:spacing w:after="0"/>
              <w:rPr>
                <w:sz w:val="11"/>
                <w:szCs w:val="11"/>
                <w:color w:val="auto"/>
              </w:rPr>
            </w:pPr>
          </w:p>
        </w:tc>
        <w:tc>
          <w:tcPr>
            <w:tcW w:w="680" w:type="dxa"/>
            <w:vAlign w:val="bottom"/>
            <w:tcBorders>
              <w:top w:val="single" w:sz="8" w:color="auto"/>
            </w:tcBorders>
            <w:shd w:val="clear" w:color="auto" w:fill="CCECFF"/>
          </w:tcPr>
          <w:p>
            <w:pPr>
              <w:jc w:val="center"/>
              <w:spacing w:after="0"/>
              <w:rPr>
                <w:sz w:val="20"/>
                <w:szCs w:val="20"/>
                <w:color w:val="auto"/>
              </w:rPr>
            </w:pPr>
            <w:r>
              <w:rPr>
                <w:rFonts w:ascii="Arial" w:cs="Arial" w:eastAsia="Arial" w:hAnsi="Arial"/>
                <w:sz w:val="11"/>
                <w:szCs w:val="11"/>
                <w:color w:val="auto"/>
                <w:w w:val="89"/>
              </w:rPr>
              <w:t>1/27/2021</w:t>
            </w:r>
          </w:p>
        </w:tc>
        <w:tc>
          <w:tcPr>
            <w:tcW w:w="240" w:type="dxa"/>
            <w:vAlign w:val="bottom"/>
            <w:shd w:val="clear" w:color="auto" w:fill="CCECFF"/>
          </w:tcPr>
          <w:p>
            <w:pPr>
              <w:spacing w:after="0"/>
              <w:rPr>
                <w:sz w:val="11"/>
                <w:szCs w:val="11"/>
                <w:color w:val="auto"/>
              </w:rPr>
            </w:pPr>
          </w:p>
        </w:tc>
        <w:tc>
          <w:tcPr>
            <w:tcW w:w="2340" w:type="dxa"/>
            <w:vAlign w:val="bottom"/>
            <w:tcBorders>
              <w:top w:val="single" w:sz="8" w:color="auto"/>
            </w:tcBorders>
            <w:shd w:val="clear" w:color="auto" w:fill="CCECFF"/>
          </w:tcPr>
          <w:p>
            <w:pPr>
              <w:jc w:val="center"/>
              <w:spacing w:after="0"/>
              <w:rPr>
                <w:sz w:val="20"/>
                <w:szCs w:val="20"/>
                <w:color w:val="auto"/>
              </w:rPr>
            </w:pPr>
            <w:r>
              <w:rPr>
                <w:rFonts w:ascii="Arial" w:cs="Arial" w:eastAsia="Arial" w:hAnsi="Arial"/>
                <w:sz w:val="11"/>
                <w:szCs w:val="11"/>
                <w:color w:val="auto"/>
                <w:w w:val="89"/>
              </w:rPr>
              <w:t>Wholesale</w:t>
            </w:r>
          </w:p>
        </w:tc>
        <w:tc>
          <w:tcPr>
            <w:tcW w:w="100" w:type="dxa"/>
            <w:vAlign w:val="bottom"/>
            <w:shd w:val="clear" w:color="auto" w:fill="CCECFF"/>
          </w:tcPr>
          <w:p>
            <w:pPr>
              <w:spacing w:after="0"/>
              <w:rPr>
                <w:sz w:val="11"/>
                <w:szCs w:val="11"/>
                <w:color w:val="auto"/>
              </w:rPr>
            </w:pPr>
          </w:p>
        </w:tc>
        <w:tc>
          <w:tcPr>
            <w:tcW w:w="74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7.15</w:t>
            </w:r>
          </w:p>
        </w:tc>
        <w:tc>
          <w:tcPr>
            <w:tcW w:w="420" w:type="dxa"/>
            <w:vAlign w:val="bottom"/>
            <w:shd w:val="clear" w:color="auto" w:fill="CCECFF"/>
          </w:tcPr>
          <w:p>
            <w:pPr>
              <w:jc w:val="right"/>
              <w:ind w:right="266"/>
              <w:spacing w:after="0"/>
              <w:rPr>
                <w:sz w:val="20"/>
                <w:szCs w:val="20"/>
                <w:color w:val="auto"/>
              </w:rPr>
            </w:pPr>
            <w:r>
              <w:rPr>
                <w:rFonts w:ascii="Arial" w:cs="Arial" w:eastAsia="Arial" w:hAnsi="Arial"/>
                <w:sz w:val="11"/>
                <w:szCs w:val="11"/>
                <w:color w:val="auto"/>
                <w:w w:val="81"/>
              </w:rPr>
              <w:t>%</w:t>
            </w:r>
          </w:p>
        </w:tc>
        <w:tc>
          <w:tcPr>
            <w:tcW w:w="90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3M L+550</w:t>
            </w:r>
          </w:p>
        </w:tc>
        <w:tc>
          <w:tcPr>
            <w:tcW w:w="220" w:type="dxa"/>
            <w:vAlign w:val="bottom"/>
            <w:shd w:val="clear" w:color="auto" w:fill="CCECFF"/>
          </w:tcPr>
          <w:p>
            <w:pPr>
              <w:spacing w:after="0"/>
              <w:rPr>
                <w:sz w:val="11"/>
                <w:szCs w:val="11"/>
                <w:color w:val="auto"/>
              </w:rPr>
            </w:pPr>
          </w:p>
        </w:tc>
        <w:tc>
          <w:tcPr>
            <w:tcW w:w="74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5,390</w:t>
            </w:r>
          </w:p>
        </w:tc>
        <w:tc>
          <w:tcPr>
            <w:tcW w:w="220" w:type="dxa"/>
            <w:vAlign w:val="bottom"/>
            <w:shd w:val="clear" w:color="auto" w:fill="CCECFF"/>
          </w:tcPr>
          <w:p>
            <w:pPr>
              <w:spacing w:after="0"/>
              <w:rPr>
                <w:sz w:val="11"/>
                <w:szCs w:val="11"/>
                <w:color w:val="auto"/>
              </w:rPr>
            </w:pPr>
          </w:p>
        </w:tc>
        <w:tc>
          <w:tcPr>
            <w:tcW w:w="140" w:type="dxa"/>
            <w:vAlign w:val="bottom"/>
            <w:tcBorders>
              <w:top w:val="single" w:sz="8" w:color="auto"/>
            </w:tcBorders>
            <w:shd w:val="clear" w:color="auto" w:fill="CCECFF"/>
          </w:tcPr>
          <w:p>
            <w:pPr>
              <w:jc w:val="right"/>
              <w:ind w:right="31"/>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5,348</w:t>
            </w:r>
          </w:p>
        </w:tc>
        <w:tc>
          <w:tcPr>
            <w:tcW w:w="220" w:type="dxa"/>
            <w:vAlign w:val="bottom"/>
            <w:shd w:val="clear" w:color="auto" w:fill="CCECFF"/>
          </w:tcPr>
          <w:p>
            <w:pPr>
              <w:spacing w:after="0"/>
              <w:rPr>
                <w:sz w:val="11"/>
                <w:szCs w:val="11"/>
                <w:color w:val="auto"/>
              </w:rPr>
            </w:pPr>
          </w:p>
        </w:tc>
        <w:tc>
          <w:tcPr>
            <w:tcW w:w="160" w:type="dxa"/>
            <w:vAlign w:val="bottom"/>
            <w:tcBorders>
              <w:top w:val="single" w:sz="8" w:color="auto"/>
            </w:tcBorders>
            <w:shd w:val="clear" w:color="auto" w:fill="CCECFF"/>
          </w:tcPr>
          <w:p>
            <w:pPr>
              <w:jc w:val="right"/>
              <w:ind w:right="50"/>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5,337</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tcPr>
          <w:p>
            <w:pPr>
              <w:ind w:left="20"/>
              <w:spacing w:after="0"/>
              <w:rPr>
                <w:sz w:val="20"/>
                <w:szCs w:val="20"/>
                <w:color w:val="auto"/>
              </w:rPr>
            </w:pPr>
            <w:r>
              <w:rPr>
                <w:rFonts w:ascii="Arial" w:cs="Arial" w:eastAsia="Arial" w:hAnsi="Arial"/>
                <w:sz w:val="11"/>
                <w:szCs w:val="11"/>
                <w:color w:val="auto"/>
              </w:rPr>
              <w:t>Schlesinger Global, Inc.</w:t>
            </w:r>
          </w:p>
        </w:tc>
        <w:tc>
          <w:tcPr>
            <w:tcW w:w="820" w:type="dxa"/>
            <w:vAlign w:val="bottom"/>
            <w:gridSpan w:val="2"/>
          </w:tcPr>
          <w:p>
            <w:pPr>
              <w:jc w:val="center"/>
              <w:ind w:left="86"/>
              <w:spacing w:after="0"/>
              <w:rPr>
                <w:sz w:val="20"/>
                <w:szCs w:val="20"/>
                <w:color w:val="auto"/>
              </w:rPr>
            </w:pPr>
            <w:r>
              <w:rPr>
                <w:rFonts w:ascii="Arial" w:cs="Arial" w:eastAsia="Arial" w:hAnsi="Arial"/>
                <w:sz w:val="11"/>
                <w:szCs w:val="11"/>
                <w:color w:val="auto"/>
                <w:w w:val="89"/>
              </w:rPr>
              <w:t>2/13/2020</w:t>
            </w:r>
          </w:p>
        </w:tc>
        <w:tc>
          <w:tcPr>
            <w:tcW w:w="2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86"/>
              </w:rPr>
              <w:t>Business Services</w:t>
            </w:r>
          </w:p>
        </w:tc>
        <w:tc>
          <w:tcPr>
            <w:tcW w:w="1260" w:type="dxa"/>
            <w:vAlign w:val="bottom"/>
            <w:gridSpan w:val="3"/>
          </w:tcPr>
          <w:p>
            <w:pPr>
              <w:jc w:val="right"/>
              <w:ind w:right="266"/>
              <w:spacing w:after="0"/>
              <w:rPr>
                <w:sz w:val="20"/>
                <w:szCs w:val="20"/>
                <w:color w:val="auto"/>
              </w:rPr>
            </w:pPr>
            <w:r>
              <w:rPr>
                <w:rFonts w:ascii="Arial" w:cs="Arial" w:eastAsia="Arial" w:hAnsi="Arial"/>
                <w:sz w:val="11"/>
                <w:szCs w:val="11"/>
                <w:color w:val="auto"/>
              </w:rPr>
              <w:t>8.70 %</w:t>
            </w:r>
          </w:p>
        </w:tc>
        <w:tc>
          <w:tcPr>
            <w:tcW w:w="900" w:type="dxa"/>
            <w:vAlign w:val="bottom"/>
          </w:tcPr>
          <w:p>
            <w:pPr>
              <w:jc w:val="right"/>
              <w:spacing w:after="0"/>
              <w:rPr>
                <w:sz w:val="20"/>
                <w:szCs w:val="20"/>
                <w:color w:val="auto"/>
              </w:rPr>
            </w:pPr>
            <w:r>
              <w:rPr>
                <w:rFonts w:ascii="Arial" w:cs="Arial" w:eastAsia="Arial" w:hAnsi="Arial"/>
                <w:sz w:val="11"/>
                <w:szCs w:val="11"/>
                <w:color w:val="auto"/>
              </w:rPr>
              <w:t>SOFR+500</w:t>
            </w: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11,832</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11,976</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11,654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shd w:val="clear" w:color="auto" w:fill="CCECFF"/>
          </w:tcPr>
          <w:p>
            <w:pPr>
              <w:ind w:left="20"/>
              <w:spacing w:after="0"/>
              <w:rPr>
                <w:sz w:val="20"/>
                <w:szCs w:val="20"/>
                <w:color w:val="auto"/>
              </w:rPr>
            </w:pPr>
            <w:r>
              <w:rPr>
                <w:rFonts w:ascii="Arial" w:cs="Arial" w:eastAsia="Arial" w:hAnsi="Arial"/>
                <w:sz w:val="11"/>
                <w:szCs w:val="11"/>
                <w:color w:val="auto"/>
              </w:rPr>
              <w:t>Sigma Defense Systems, LLC</w:t>
            </w:r>
          </w:p>
        </w:tc>
        <w:tc>
          <w:tcPr>
            <w:tcW w:w="82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12/29/2021</w:t>
            </w:r>
          </w:p>
        </w:tc>
        <w:tc>
          <w:tcPr>
            <w:tcW w:w="240" w:type="dxa"/>
            <w:vAlign w:val="bottom"/>
            <w:shd w:val="clear" w:color="auto" w:fill="CCECFF"/>
          </w:tcPr>
          <w:p>
            <w:pPr>
              <w:spacing w:after="0"/>
              <w:rPr>
                <w:sz w:val="11"/>
                <w:szCs w:val="11"/>
                <w:color w:val="auto"/>
              </w:rPr>
            </w:pPr>
          </w:p>
        </w:tc>
        <w:tc>
          <w:tcPr>
            <w:tcW w:w="23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Aerospace and Defense</w:t>
            </w:r>
          </w:p>
        </w:tc>
        <w:tc>
          <w:tcPr>
            <w:tcW w:w="1260" w:type="dxa"/>
            <w:vAlign w:val="bottom"/>
            <w:gridSpan w:val="3"/>
            <w:shd w:val="clear" w:color="auto" w:fill="CCECFF"/>
          </w:tcPr>
          <w:p>
            <w:pPr>
              <w:jc w:val="right"/>
              <w:ind w:right="266"/>
              <w:spacing w:after="0"/>
              <w:rPr>
                <w:sz w:val="20"/>
                <w:szCs w:val="20"/>
                <w:color w:val="auto"/>
              </w:rPr>
            </w:pPr>
            <w:r>
              <w:rPr>
                <w:rFonts w:ascii="Arial" w:cs="Arial" w:eastAsia="Arial" w:hAnsi="Arial"/>
                <w:sz w:val="11"/>
                <w:szCs w:val="11"/>
                <w:color w:val="auto"/>
              </w:rPr>
              <w:t>10.75 %</w:t>
            </w:r>
          </w:p>
        </w:tc>
        <w:tc>
          <w:tcPr>
            <w:tcW w:w="9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L+850</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14,810</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14,486</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14,588</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tcPr>
          <w:p>
            <w:pPr>
              <w:ind w:left="20"/>
              <w:spacing w:after="0"/>
              <w:rPr>
                <w:sz w:val="20"/>
                <w:szCs w:val="20"/>
                <w:color w:val="auto"/>
              </w:rPr>
            </w:pPr>
            <w:r>
              <w:rPr>
                <w:rFonts w:ascii="Arial" w:cs="Arial" w:eastAsia="Arial" w:hAnsi="Arial"/>
                <w:sz w:val="11"/>
                <w:szCs w:val="11"/>
                <w:color w:val="auto"/>
              </w:rPr>
              <w:t>Smile Brands Inc.</w:t>
            </w:r>
          </w:p>
        </w:tc>
        <w:tc>
          <w:tcPr>
            <w:tcW w:w="820" w:type="dxa"/>
            <w:vAlign w:val="bottom"/>
            <w:gridSpan w:val="2"/>
          </w:tcPr>
          <w:p>
            <w:pPr>
              <w:jc w:val="center"/>
              <w:ind w:left="86"/>
              <w:spacing w:after="0"/>
              <w:rPr>
                <w:sz w:val="20"/>
                <w:szCs w:val="20"/>
                <w:color w:val="auto"/>
              </w:rPr>
            </w:pPr>
            <w:r>
              <w:rPr>
                <w:rFonts w:ascii="Arial" w:cs="Arial" w:eastAsia="Arial" w:hAnsi="Arial"/>
                <w:sz w:val="11"/>
                <w:szCs w:val="11"/>
                <w:color w:val="auto"/>
                <w:w w:val="89"/>
              </w:rPr>
              <w:t>7/31/2022</w:t>
            </w:r>
          </w:p>
        </w:tc>
        <w:tc>
          <w:tcPr>
            <w:tcW w:w="2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86"/>
              </w:rPr>
              <w:t>Healthcare and Pharmaceuticals</w:t>
            </w:r>
          </w:p>
        </w:tc>
        <w:tc>
          <w:tcPr>
            <w:tcW w:w="1260" w:type="dxa"/>
            <w:vAlign w:val="bottom"/>
            <w:gridSpan w:val="3"/>
          </w:tcPr>
          <w:p>
            <w:pPr>
              <w:jc w:val="right"/>
              <w:ind w:right="266"/>
              <w:spacing w:after="0"/>
              <w:rPr>
                <w:sz w:val="20"/>
                <w:szCs w:val="20"/>
                <w:color w:val="auto"/>
              </w:rPr>
            </w:pPr>
            <w:r>
              <w:rPr>
                <w:rFonts w:ascii="Arial" w:cs="Arial" w:eastAsia="Arial" w:hAnsi="Arial"/>
                <w:sz w:val="11"/>
                <w:szCs w:val="11"/>
                <w:color w:val="auto"/>
              </w:rPr>
              <w:t>5.62 %</w:t>
            </w:r>
          </w:p>
        </w:tc>
        <w:tc>
          <w:tcPr>
            <w:tcW w:w="900" w:type="dxa"/>
            <w:vAlign w:val="bottom"/>
          </w:tcPr>
          <w:p>
            <w:pPr>
              <w:jc w:val="right"/>
              <w:spacing w:after="0"/>
              <w:rPr>
                <w:sz w:val="20"/>
                <w:szCs w:val="20"/>
                <w:color w:val="auto"/>
              </w:rPr>
            </w:pPr>
            <w:r>
              <w:rPr>
                <w:rFonts w:ascii="Arial" w:cs="Arial" w:eastAsia="Arial" w:hAnsi="Arial"/>
                <w:sz w:val="11"/>
                <w:szCs w:val="11"/>
                <w:color w:val="auto"/>
              </w:rPr>
              <w:t>3M L+450</w:t>
            </w: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12,480</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12,356</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12,137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shd w:val="clear" w:color="auto" w:fill="CCECFF"/>
          </w:tcPr>
          <w:p>
            <w:pPr>
              <w:ind w:left="20"/>
              <w:spacing w:after="0"/>
              <w:rPr>
                <w:sz w:val="20"/>
                <w:szCs w:val="20"/>
                <w:color w:val="auto"/>
              </w:rPr>
            </w:pPr>
            <w:r>
              <w:rPr>
                <w:rFonts w:ascii="Arial" w:cs="Arial" w:eastAsia="Arial" w:hAnsi="Arial"/>
                <w:sz w:val="11"/>
                <w:szCs w:val="11"/>
                <w:color w:val="auto"/>
              </w:rPr>
              <w:t>Solutionreach, Inc.</w:t>
            </w:r>
          </w:p>
        </w:tc>
        <w:tc>
          <w:tcPr>
            <w:tcW w:w="82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9"/>
              </w:rPr>
              <w:t>11/5/2019</w:t>
            </w:r>
          </w:p>
        </w:tc>
        <w:tc>
          <w:tcPr>
            <w:tcW w:w="240" w:type="dxa"/>
            <w:vAlign w:val="bottom"/>
            <w:shd w:val="clear" w:color="auto" w:fill="CCECFF"/>
          </w:tcPr>
          <w:p>
            <w:pPr>
              <w:spacing w:after="0"/>
              <w:rPr>
                <w:sz w:val="11"/>
                <w:szCs w:val="11"/>
                <w:color w:val="auto"/>
              </w:rPr>
            </w:pPr>
          </w:p>
        </w:tc>
        <w:tc>
          <w:tcPr>
            <w:tcW w:w="23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Healthcare and Pharmaceuticals</w:t>
            </w:r>
          </w:p>
        </w:tc>
        <w:tc>
          <w:tcPr>
            <w:tcW w:w="1260" w:type="dxa"/>
            <w:vAlign w:val="bottom"/>
            <w:gridSpan w:val="3"/>
            <w:shd w:val="clear" w:color="auto" w:fill="CCECFF"/>
          </w:tcPr>
          <w:p>
            <w:pPr>
              <w:jc w:val="right"/>
              <w:ind w:right="266"/>
              <w:spacing w:after="0"/>
              <w:rPr>
                <w:sz w:val="20"/>
                <w:szCs w:val="20"/>
                <w:color w:val="auto"/>
              </w:rPr>
            </w:pPr>
            <w:r>
              <w:rPr>
                <w:rFonts w:ascii="Arial" w:cs="Arial" w:eastAsia="Arial" w:hAnsi="Arial"/>
                <w:sz w:val="11"/>
                <w:szCs w:val="11"/>
                <w:color w:val="auto"/>
              </w:rPr>
              <w:t>7.42 %</w:t>
            </w:r>
          </w:p>
        </w:tc>
        <w:tc>
          <w:tcPr>
            <w:tcW w:w="9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L+575</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5,663</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5,638</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5,448</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tcPr>
          <w:p>
            <w:pPr>
              <w:ind w:left="20"/>
              <w:spacing w:after="0"/>
              <w:rPr>
                <w:sz w:val="20"/>
                <w:szCs w:val="20"/>
                <w:color w:val="auto"/>
              </w:rPr>
            </w:pPr>
            <w:r>
              <w:rPr>
                <w:rFonts w:ascii="Arial" w:cs="Arial" w:eastAsia="Arial" w:hAnsi="Arial"/>
                <w:sz w:val="11"/>
                <w:szCs w:val="11"/>
                <w:color w:val="auto"/>
              </w:rPr>
              <w:t>Spendmend Holdings LLC</w:t>
            </w:r>
          </w:p>
        </w:tc>
        <w:tc>
          <w:tcPr>
            <w:tcW w:w="820" w:type="dxa"/>
            <w:vAlign w:val="bottom"/>
            <w:gridSpan w:val="2"/>
          </w:tcPr>
          <w:p>
            <w:pPr>
              <w:jc w:val="center"/>
              <w:ind w:left="86"/>
              <w:spacing w:after="0"/>
              <w:rPr>
                <w:sz w:val="20"/>
                <w:szCs w:val="20"/>
                <w:color w:val="auto"/>
              </w:rPr>
            </w:pPr>
            <w:r>
              <w:rPr>
                <w:rFonts w:ascii="Arial" w:cs="Arial" w:eastAsia="Arial" w:hAnsi="Arial"/>
                <w:sz w:val="11"/>
                <w:szCs w:val="11"/>
                <w:color w:val="auto"/>
                <w:w w:val="89"/>
              </w:rPr>
              <w:t>3/23/2022</w:t>
            </w:r>
          </w:p>
        </w:tc>
        <w:tc>
          <w:tcPr>
            <w:tcW w:w="2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90"/>
              </w:rPr>
              <w:t>Healthcare Technology</w:t>
            </w:r>
          </w:p>
        </w:tc>
        <w:tc>
          <w:tcPr>
            <w:tcW w:w="1260" w:type="dxa"/>
            <w:vAlign w:val="bottom"/>
            <w:gridSpan w:val="3"/>
          </w:tcPr>
          <w:p>
            <w:pPr>
              <w:jc w:val="right"/>
              <w:ind w:right="266"/>
              <w:spacing w:after="0"/>
              <w:rPr>
                <w:sz w:val="20"/>
                <w:szCs w:val="20"/>
                <w:color w:val="auto"/>
              </w:rPr>
            </w:pPr>
            <w:r>
              <w:rPr>
                <w:rFonts w:ascii="Arial" w:cs="Arial" w:eastAsia="Arial" w:hAnsi="Arial"/>
                <w:sz w:val="11"/>
                <w:szCs w:val="11"/>
                <w:color w:val="auto"/>
              </w:rPr>
              <w:t>7.38 %</w:t>
            </w:r>
          </w:p>
        </w:tc>
        <w:tc>
          <w:tcPr>
            <w:tcW w:w="900" w:type="dxa"/>
            <w:vAlign w:val="bottom"/>
          </w:tcPr>
          <w:p>
            <w:pPr>
              <w:jc w:val="right"/>
              <w:spacing w:after="0"/>
              <w:rPr>
                <w:sz w:val="20"/>
                <w:szCs w:val="20"/>
                <w:color w:val="auto"/>
              </w:rPr>
            </w:pPr>
            <w:r>
              <w:rPr>
                <w:rFonts w:ascii="Arial" w:cs="Arial" w:eastAsia="Arial" w:hAnsi="Arial"/>
                <w:sz w:val="11"/>
                <w:szCs w:val="11"/>
                <w:color w:val="auto"/>
              </w:rPr>
              <w:t>SOFR+575</w:t>
            </w: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2,964</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2,922</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2,887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shd w:val="clear" w:color="auto" w:fill="CCECFF"/>
          </w:tcPr>
          <w:p>
            <w:pPr>
              <w:ind w:left="20"/>
              <w:spacing w:after="0"/>
              <w:rPr>
                <w:sz w:val="20"/>
                <w:szCs w:val="20"/>
                <w:color w:val="auto"/>
              </w:rPr>
            </w:pPr>
            <w:r>
              <w:rPr>
                <w:rFonts w:ascii="Arial" w:cs="Arial" w:eastAsia="Arial" w:hAnsi="Arial"/>
                <w:sz w:val="11"/>
                <w:szCs w:val="11"/>
                <w:color w:val="auto"/>
              </w:rPr>
              <w:t>STV Group Incorporated</w:t>
            </w:r>
          </w:p>
        </w:tc>
        <w:tc>
          <w:tcPr>
            <w:tcW w:w="82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8"/>
              </w:rPr>
              <w:t>6/8/2021</w:t>
            </w:r>
          </w:p>
        </w:tc>
        <w:tc>
          <w:tcPr>
            <w:tcW w:w="240" w:type="dxa"/>
            <w:vAlign w:val="bottom"/>
            <w:shd w:val="clear" w:color="auto" w:fill="CCECFF"/>
          </w:tcPr>
          <w:p>
            <w:pPr>
              <w:spacing w:after="0"/>
              <w:rPr>
                <w:sz w:val="11"/>
                <w:szCs w:val="11"/>
                <w:color w:val="auto"/>
              </w:rPr>
            </w:pPr>
          </w:p>
        </w:tc>
        <w:tc>
          <w:tcPr>
            <w:tcW w:w="23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Construction and Building</w:t>
            </w:r>
          </w:p>
        </w:tc>
        <w:tc>
          <w:tcPr>
            <w:tcW w:w="1260" w:type="dxa"/>
            <w:vAlign w:val="bottom"/>
            <w:gridSpan w:val="3"/>
            <w:shd w:val="clear" w:color="auto" w:fill="CCECFF"/>
          </w:tcPr>
          <w:p>
            <w:pPr>
              <w:jc w:val="right"/>
              <w:ind w:right="266"/>
              <w:spacing w:after="0"/>
              <w:rPr>
                <w:sz w:val="20"/>
                <w:szCs w:val="20"/>
                <w:color w:val="auto"/>
              </w:rPr>
            </w:pPr>
            <w:r>
              <w:rPr>
                <w:rFonts w:ascii="Arial" w:cs="Arial" w:eastAsia="Arial" w:hAnsi="Arial"/>
                <w:sz w:val="11"/>
                <w:szCs w:val="11"/>
                <w:color w:val="auto"/>
              </w:rPr>
              <w:t>6.92 %</w:t>
            </w:r>
          </w:p>
        </w:tc>
        <w:tc>
          <w:tcPr>
            <w:tcW w:w="9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L+525</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9,075</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9,008</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8,939</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820" w:type="dxa"/>
            <w:vAlign w:val="bottom"/>
          </w:tcPr>
          <w:p>
            <w:pPr>
              <w:ind w:left="20"/>
              <w:spacing w:after="0" w:line="99" w:lineRule="exact"/>
              <w:rPr>
                <w:sz w:val="20"/>
                <w:szCs w:val="20"/>
                <w:color w:val="auto"/>
              </w:rPr>
            </w:pPr>
            <w:r>
              <w:rPr>
                <w:rFonts w:ascii="Arial" w:cs="Arial" w:eastAsia="Arial" w:hAnsi="Arial"/>
                <w:sz w:val="11"/>
                <w:szCs w:val="11"/>
                <w:color w:val="auto"/>
              </w:rPr>
              <w:t>System Planning and Analysis, Inc. (f/k/a Management</w:t>
            </w:r>
          </w:p>
        </w:tc>
        <w:tc>
          <w:tcPr>
            <w:tcW w:w="820" w:type="dxa"/>
            <w:vAlign w:val="bottom"/>
            <w:gridSpan w:val="2"/>
            <w:vMerge w:val="restart"/>
          </w:tcPr>
          <w:p>
            <w:pPr>
              <w:jc w:val="center"/>
              <w:ind w:left="86"/>
              <w:spacing w:after="0"/>
              <w:rPr>
                <w:sz w:val="20"/>
                <w:szCs w:val="20"/>
                <w:color w:val="auto"/>
              </w:rPr>
            </w:pPr>
            <w:r>
              <w:rPr>
                <w:rFonts w:ascii="Arial" w:cs="Arial" w:eastAsia="Arial" w:hAnsi="Arial"/>
                <w:sz w:val="11"/>
                <w:szCs w:val="11"/>
                <w:color w:val="auto"/>
                <w:w w:val="89"/>
              </w:rPr>
              <w:t>12/3/2021</w:t>
            </w:r>
          </w:p>
        </w:tc>
        <w:tc>
          <w:tcPr>
            <w:tcW w:w="240" w:type="dxa"/>
            <w:vAlign w:val="bottom"/>
          </w:tcPr>
          <w:p>
            <w:pPr>
              <w:spacing w:after="0"/>
              <w:rPr>
                <w:sz w:val="8"/>
                <w:szCs w:val="8"/>
                <w:color w:val="auto"/>
              </w:rPr>
            </w:pPr>
          </w:p>
        </w:tc>
        <w:tc>
          <w:tcPr>
            <w:tcW w:w="2340" w:type="dxa"/>
            <w:vAlign w:val="bottom"/>
            <w:vMerge w:val="restart"/>
          </w:tcPr>
          <w:p>
            <w:pPr>
              <w:jc w:val="center"/>
              <w:spacing w:after="0"/>
              <w:rPr>
                <w:sz w:val="20"/>
                <w:szCs w:val="20"/>
                <w:color w:val="auto"/>
              </w:rPr>
            </w:pPr>
            <w:r>
              <w:rPr>
                <w:rFonts w:ascii="Arial" w:cs="Arial" w:eastAsia="Arial" w:hAnsi="Arial"/>
                <w:sz w:val="11"/>
                <w:szCs w:val="11"/>
                <w:color w:val="auto"/>
                <w:w w:val="86"/>
              </w:rPr>
              <w:t>Aerospace and Defense</w:t>
            </w:r>
          </w:p>
        </w:tc>
        <w:tc>
          <w:tcPr>
            <w:tcW w:w="1260" w:type="dxa"/>
            <w:vAlign w:val="bottom"/>
            <w:gridSpan w:val="3"/>
            <w:vMerge w:val="restart"/>
          </w:tcPr>
          <w:p>
            <w:pPr>
              <w:jc w:val="right"/>
              <w:ind w:right="266"/>
              <w:spacing w:after="0"/>
              <w:rPr>
                <w:sz w:val="20"/>
                <w:szCs w:val="20"/>
                <w:color w:val="auto"/>
              </w:rPr>
            </w:pPr>
            <w:r>
              <w:rPr>
                <w:rFonts w:ascii="Arial" w:cs="Arial" w:eastAsia="Arial" w:hAnsi="Arial"/>
                <w:sz w:val="11"/>
                <w:szCs w:val="11"/>
                <w:color w:val="auto"/>
              </w:rPr>
              <w:t>8.83 %</w:t>
            </w:r>
          </w:p>
        </w:tc>
        <w:tc>
          <w:tcPr>
            <w:tcW w:w="900" w:type="dxa"/>
            <w:vAlign w:val="bottom"/>
            <w:vMerge w:val="restart"/>
          </w:tcPr>
          <w:p>
            <w:pPr>
              <w:jc w:val="right"/>
              <w:spacing w:after="0"/>
              <w:rPr>
                <w:sz w:val="20"/>
                <w:szCs w:val="20"/>
                <w:color w:val="auto"/>
              </w:rPr>
            </w:pPr>
            <w:r>
              <w:rPr>
                <w:rFonts w:ascii="Arial" w:cs="Arial" w:eastAsia="Arial" w:hAnsi="Arial"/>
                <w:sz w:val="11"/>
                <w:szCs w:val="11"/>
                <w:color w:val="auto"/>
              </w:rPr>
              <w:t>SOFR+600</w:t>
            </w:r>
          </w:p>
        </w:tc>
        <w:tc>
          <w:tcPr>
            <w:tcW w:w="960" w:type="dxa"/>
            <w:vAlign w:val="bottom"/>
            <w:gridSpan w:val="2"/>
            <w:vMerge w:val="restart"/>
          </w:tcPr>
          <w:p>
            <w:pPr>
              <w:jc w:val="right"/>
              <w:spacing w:after="0"/>
              <w:rPr>
                <w:sz w:val="20"/>
                <w:szCs w:val="20"/>
                <w:color w:val="auto"/>
              </w:rPr>
            </w:pPr>
            <w:r>
              <w:rPr>
                <w:rFonts w:ascii="Arial" w:cs="Arial" w:eastAsia="Arial" w:hAnsi="Arial"/>
                <w:sz w:val="11"/>
                <w:szCs w:val="11"/>
                <w:color w:val="auto"/>
              </w:rPr>
              <w:t>14,925</w:t>
            </w: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14,645</w:t>
            </w: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vMerge w:val="restart"/>
          </w:tcPr>
          <w:p>
            <w:pPr>
              <w:jc w:val="right"/>
              <w:spacing w:after="0"/>
              <w:rPr>
                <w:sz w:val="20"/>
                <w:szCs w:val="20"/>
                <w:color w:val="auto"/>
              </w:rPr>
            </w:pPr>
            <w:r>
              <w:rPr>
                <w:rFonts w:ascii="Arial" w:cs="Arial" w:eastAsia="Arial" w:hAnsi="Arial"/>
                <w:sz w:val="11"/>
                <w:szCs w:val="11"/>
                <w:color w:val="auto"/>
              </w:rPr>
              <w:t>14,686</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2820" w:type="dxa"/>
            <w:vAlign w:val="bottom"/>
          </w:tcPr>
          <w:p>
            <w:pPr>
              <w:ind w:left="20"/>
              <w:spacing w:after="0"/>
              <w:rPr>
                <w:sz w:val="20"/>
                <w:szCs w:val="20"/>
                <w:color w:val="auto"/>
              </w:rPr>
            </w:pPr>
            <w:r>
              <w:rPr>
                <w:rFonts w:ascii="Arial" w:cs="Arial" w:eastAsia="Arial" w:hAnsi="Arial"/>
                <w:sz w:val="11"/>
                <w:szCs w:val="11"/>
                <w:color w:val="auto"/>
              </w:rPr>
              <w:t>Consulting &amp; Research, LLC)</w:t>
            </w:r>
          </w:p>
        </w:tc>
        <w:tc>
          <w:tcPr>
            <w:tcW w:w="8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2340" w:type="dxa"/>
            <w:vAlign w:val="bottom"/>
            <w:vMerge w:val="continue"/>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820" w:type="dxa"/>
            <w:vAlign w:val="bottom"/>
            <w:shd w:val="clear" w:color="auto" w:fill="CCECFF"/>
          </w:tcPr>
          <w:p>
            <w:pPr>
              <w:ind w:left="20"/>
              <w:spacing w:after="0"/>
              <w:rPr>
                <w:sz w:val="20"/>
                <w:szCs w:val="20"/>
                <w:color w:val="auto"/>
              </w:rPr>
            </w:pPr>
            <w:r>
              <w:rPr>
                <w:rFonts w:ascii="Arial" w:cs="Arial" w:eastAsia="Arial" w:hAnsi="Arial"/>
                <w:sz w:val="11"/>
                <w:szCs w:val="11"/>
                <w:color w:val="auto"/>
              </w:rPr>
              <w:t>TAC LifePort Purchaser, LLC</w:t>
            </w:r>
          </w:p>
        </w:tc>
        <w:tc>
          <w:tcPr>
            <w:tcW w:w="82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9"/>
              </w:rPr>
              <w:t>3/17/2021</w:t>
            </w:r>
          </w:p>
        </w:tc>
        <w:tc>
          <w:tcPr>
            <w:tcW w:w="240" w:type="dxa"/>
            <w:vAlign w:val="bottom"/>
            <w:shd w:val="clear" w:color="auto" w:fill="CCECFF"/>
          </w:tcPr>
          <w:p>
            <w:pPr>
              <w:spacing w:after="0"/>
              <w:rPr>
                <w:sz w:val="12"/>
                <w:szCs w:val="12"/>
                <w:color w:val="auto"/>
              </w:rPr>
            </w:pPr>
          </w:p>
        </w:tc>
        <w:tc>
          <w:tcPr>
            <w:tcW w:w="23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Aerospace and Defense</w:t>
            </w:r>
          </w:p>
        </w:tc>
        <w:tc>
          <w:tcPr>
            <w:tcW w:w="1260" w:type="dxa"/>
            <w:vAlign w:val="bottom"/>
            <w:gridSpan w:val="3"/>
            <w:shd w:val="clear" w:color="auto" w:fill="CCECFF"/>
          </w:tcPr>
          <w:p>
            <w:pPr>
              <w:jc w:val="right"/>
              <w:ind w:right="266"/>
              <w:spacing w:after="0"/>
              <w:rPr>
                <w:sz w:val="20"/>
                <w:szCs w:val="20"/>
                <w:color w:val="auto"/>
              </w:rPr>
            </w:pPr>
            <w:r>
              <w:rPr>
                <w:rFonts w:ascii="Arial" w:cs="Arial" w:eastAsia="Arial" w:hAnsi="Arial"/>
                <w:sz w:val="11"/>
                <w:szCs w:val="11"/>
                <w:color w:val="auto"/>
              </w:rPr>
              <w:t>8.25 %</w:t>
            </w:r>
          </w:p>
        </w:tc>
        <w:tc>
          <w:tcPr>
            <w:tcW w:w="9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L+600</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4,424</w:t>
            </w:r>
          </w:p>
        </w:tc>
        <w:tc>
          <w:tcPr>
            <w:tcW w:w="2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4,356</w:t>
            </w:r>
          </w:p>
        </w:tc>
        <w:tc>
          <w:tcPr>
            <w:tcW w:w="2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4,406</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820" w:type="dxa"/>
            <w:vAlign w:val="bottom"/>
          </w:tcPr>
          <w:p>
            <w:pPr>
              <w:ind w:left="20"/>
              <w:spacing w:after="0"/>
              <w:rPr>
                <w:sz w:val="20"/>
                <w:szCs w:val="20"/>
                <w:color w:val="auto"/>
              </w:rPr>
            </w:pPr>
            <w:r>
              <w:rPr>
                <w:rFonts w:ascii="Arial" w:cs="Arial" w:eastAsia="Arial" w:hAnsi="Arial"/>
                <w:sz w:val="11"/>
                <w:szCs w:val="11"/>
                <w:color w:val="auto"/>
              </w:rPr>
              <w:t>TeleGuam Holdings, LLC</w:t>
            </w:r>
          </w:p>
        </w:tc>
        <w:tc>
          <w:tcPr>
            <w:tcW w:w="820" w:type="dxa"/>
            <w:vAlign w:val="bottom"/>
            <w:gridSpan w:val="2"/>
          </w:tcPr>
          <w:p>
            <w:pPr>
              <w:jc w:val="center"/>
              <w:ind w:left="66"/>
              <w:spacing w:after="0"/>
              <w:rPr>
                <w:sz w:val="20"/>
                <w:szCs w:val="20"/>
                <w:color w:val="auto"/>
              </w:rPr>
            </w:pPr>
            <w:r>
              <w:rPr>
                <w:rFonts w:ascii="Arial" w:cs="Arial" w:eastAsia="Arial" w:hAnsi="Arial"/>
                <w:sz w:val="11"/>
                <w:szCs w:val="11"/>
                <w:color w:val="auto"/>
                <w:w w:val="88"/>
              </w:rPr>
              <w:t>6/8/2021</w:t>
            </w:r>
          </w:p>
        </w:tc>
        <w:tc>
          <w:tcPr>
            <w:tcW w:w="2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89"/>
              </w:rPr>
              <w:t>Telecommunications</w:t>
            </w:r>
          </w:p>
        </w:tc>
        <w:tc>
          <w:tcPr>
            <w:tcW w:w="1260" w:type="dxa"/>
            <w:vAlign w:val="bottom"/>
            <w:gridSpan w:val="3"/>
          </w:tcPr>
          <w:p>
            <w:pPr>
              <w:jc w:val="right"/>
              <w:ind w:right="266"/>
              <w:spacing w:after="0"/>
              <w:rPr>
                <w:sz w:val="20"/>
                <w:szCs w:val="20"/>
                <w:color w:val="auto"/>
              </w:rPr>
            </w:pPr>
            <w:r>
              <w:rPr>
                <w:rFonts w:ascii="Arial" w:cs="Arial" w:eastAsia="Arial" w:hAnsi="Arial"/>
                <w:sz w:val="11"/>
                <w:szCs w:val="11"/>
                <w:color w:val="auto"/>
              </w:rPr>
              <w:t>8.25 %</w:t>
            </w:r>
          </w:p>
        </w:tc>
        <w:tc>
          <w:tcPr>
            <w:tcW w:w="900" w:type="dxa"/>
            <w:vAlign w:val="bottom"/>
          </w:tcPr>
          <w:p>
            <w:pPr>
              <w:jc w:val="right"/>
              <w:spacing w:after="0"/>
              <w:rPr>
                <w:sz w:val="20"/>
                <w:szCs w:val="20"/>
                <w:color w:val="auto"/>
              </w:rPr>
            </w:pPr>
            <w:r>
              <w:rPr>
                <w:rFonts w:ascii="Arial" w:cs="Arial" w:eastAsia="Arial" w:hAnsi="Arial"/>
                <w:sz w:val="11"/>
                <w:szCs w:val="11"/>
                <w:color w:val="auto"/>
              </w:rPr>
              <w:t>3M L+450</w:t>
            </w: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10,248</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10,228</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10,248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shd w:val="clear" w:color="auto" w:fill="CCECFF"/>
          </w:tcPr>
          <w:p>
            <w:pPr>
              <w:ind w:left="20"/>
              <w:spacing w:after="0"/>
              <w:rPr>
                <w:sz w:val="20"/>
                <w:szCs w:val="20"/>
                <w:color w:val="auto"/>
              </w:rPr>
            </w:pPr>
            <w:r>
              <w:rPr>
                <w:rFonts w:ascii="Arial" w:cs="Arial" w:eastAsia="Arial" w:hAnsi="Arial"/>
                <w:sz w:val="11"/>
                <w:szCs w:val="11"/>
                <w:color w:val="auto"/>
              </w:rPr>
              <w:t>Teneo Holdings LLC</w:t>
            </w:r>
          </w:p>
        </w:tc>
        <w:tc>
          <w:tcPr>
            <w:tcW w:w="82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9"/>
              </w:rPr>
              <w:t>1/27/2021</w:t>
            </w:r>
          </w:p>
        </w:tc>
        <w:tc>
          <w:tcPr>
            <w:tcW w:w="240" w:type="dxa"/>
            <w:vAlign w:val="bottom"/>
            <w:shd w:val="clear" w:color="auto" w:fill="CCECFF"/>
          </w:tcPr>
          <w:p>
            <w:pPr>
              <w:spacing w:after="0"/>
              <w:rPr>
                <w:sz w:val="11"/>
                <w:szCs w:val="11"/>
                <w:color w:val="auto"/>
              </w:rPr>
            </w:pPr>
          </w:p>
        </w:tc>
        <w:tc>
          <w:tcPr>
            <w:tcW w:w="23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Business Services</w:t>
            </w:r>
          </w:p>
        </w:tc>
        <w:tc>
          <w:tcPr>
            <w:tcW w:w="1260" w:type="dxa"/>
            <w:vAlign w:val="bottom"/>
            <w:gridSpan w:val="3"/>
            <w:shd w:val="clear" w:color="auto" w:fill="CCECFF"/>
          </w:tcPr>
          <w:p>
            <w:pPr>
              <w:jc w:val="right"/>
              <w:ind w:right="266"/>
              <w:spacing w:after="0"/>
              <w:rPr>
                <w:sz w:val="20"/>
                <w:szCs w:val="20"/>
                <w:color w:val="auto"/>
              </w:rPr>
            </w:pPr>
            <w:r>
              <w:rPr>
                <w:rFonts w:ascii="Arial" w:cs="Arial" w:eastAsia="Arial" w:hAnsi="Arial"/>
                <w:sz w:val="11"/>
                <w:szCs w:val="11"/>
                <w:color w:val="auto"/>
              </w:rPr>
              <w:t>6.85 %</w:t>
            </w:r>
          </w:p>
        </w:tc>
        <w:tc>
          <w:tcPr>
            <w:tcW w:w="9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L+625</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2,292</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2,289</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2,246</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tcPr>
          <w:p>
            <w:pPr>
              <w:ind w:left="20"/>
              <w:spacing w:after="0"/>
              <w:rPr>
                <w:sz w:val="20"/>
                <w:szCs w:val="20"/>
                <w:color w:val="auto"/>
              </w:rPr>
            </w:pPr>
            <w:r>
              <w:rPr>
                <w:rFonts w:ascii="Arial" w:cs="Arial" w:eastAsia="Arial" w:hAnsi="Arial"/>
                <w:sz w:val="11"/>
                <w:szCs w:val="11"/>
                <w:color w:val="auto"/>
              </w:rPr>
              <w:t>The Aegis Technologies Group, LLC</w:t>
            </w:r>
          </w:p>
        </w:tc>
        <w:tc>
          <w:tcPr>
            <w:tcW w:w="820" w:type="dxa"/>
            <w:vAlign w:val="bottom"/>
            <w:gridSpan w:val="2"/>
          </w:tcPr>
          <w:p>
            <w:pPr>
              <w:jc w:val="center"/>
              <w:ind w:left="86"/>
              <w:spacing w:after="0"/>
              <w:rPr>
                <w:sz w:val="20"/>
                <w:szCs w:val="20"/>
                <w:color w:val="auto"/>
              </w:rPr>
            </w:pPr>
            <w:r>
              <w:rPr>
                <w:rFonts w:ascii="Arial" w:cs="Arial" w:eastAsia="Arial" w:hAnsi="Arial"/>
                <w:sz w:val="11"/>
                <w:szCs w:val="11"/>
                <w:color w:val="auto"/>
                <w:w w:val="89"/>
              </w:rPr>
              <w:t>1/27/2021</w:t>
            </w:r>
          </w:p>
        </w:tc>
        <w:tc>
          <w:tcPr>
            <w:tcW w:w="2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86"/>
              </w:rPr>
              <w:t>Aerospace and Defense</w:t>
            </w:r>
          </w:p>
        </w:tc>
        <w:tc>
          <w:tcPr>
            <w:tcW w:w="1260" w:type="dxa"/>
            <w:vAlign w:val="bottom"/>
            <w:gridSpan w:val="3"/>
          </w:tcPr>
          <w:p>
            <w:pPr>
              <w:jc w:val="right"/>
              <w:ind w:right="266"/>
              <w:spacing w:after="0"/>
              <w:rPr>
                <w:sz w:val="20"/>
                <w:szCs w:val="20"/>
                <w:color w:val="auto"/>
              </w:rPr>
            </w:pPr>
            <w:r>
              <w:rPr>
                <w:rFonts w:ascii="Arial" w:cs="Arial" w:eastAsia="Arial" w:hAnsi="Arial"/>
                <w:sz w:val="11"/>
                <w:szCs w:val="11"/>
                <w:color w:val="auto"/>
              </w:rPr>
              <w:t>8.06 %</w:t>
            </w:r>
          </w:p>
        </w:tc>
        <w:tc>
          <w:tcPr>
            <w:tcW w:w="900" w:type="dxa"/>
            <w:vAlign w:val="bottom"/>
          </w:tcPr>
          <w:p>
            <w:pPr>
              <w:jc w:val="right"/>
              <w:spacing w:after="0"/>
              <w:rPr>
                <w:sz w:val="20"/>
                <w:szCs w:val="20"/>
                <w:color w:val="auto"/>
              </w:rPr>
            </w:pPr>
            <w:r>
              <w:rPr>
                <w:rFonts w:ascii="Arial" w:cs="Arial" w:eastAsia="Arial" w:hAnsi="Arial"/>
                <w:sz w:val="11"/>
                <w:szCs w:val="11"/>
                <w:color w:val="auto"/>
              </w:rPr>
              <w:t>3M L+500</w:t>
            </w: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5,674</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5,606</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5,617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shd w:val="clear" w:color="auto" w:fill="CCECFF"/>
          </w:tcPr>
          <w:p>
            <w:pPr>
              <w:ind w:left="20"/>
              <w:spacing w:after="0"/>
              <w:rPr>
                <w:sz w:val="20"/>
                <w:szCs w:val="20"/>
                <w:color w:val="auto"/>
              </w:rPr>
            </w:pPr>
            <w:r>
              <w:rPr>
                <w:rFonts w:ascii="Arial" w:cs="Arial" w:eastAsia="Arial" w:hAnsi="Arial"/>
                <w:sz w:val="11"/>
                <w:szCs w:val="11"/>
                <w:color w:val="auto"/>
              </w:rPr>
              <w:t>The Bluebird Group LLC</w:t>
            </w:r>
          </w:p>
        </w:tc>
        <w:tc>
          <w:tcPr>
            <w:tcW w:w="82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9"/>
              </w:rPr>
              <w:t>8/26/2021</w:t>
            </w:r>
          </w:p>
        </w:tc>
        <w:tc>
          <w:tcPr>
            <w:tcW w:w="240" w:type="dxa"/>
            <w:vAlign w:val="bottom"/>
            <w:shd w:val="clear" w:color="auto" w:fill="CCECFF"/>
          </w:tcPr>
          <w:p>
            <w:pPr>
              <w:spacing w:after="0"/>
              <w:rPr>
                <w:sz w:val="11"/>
                <w:szCs w:val="11"/>
                <w:color w:val="auto"/>
              </w:rPr>
            </w:pPr>
          </w:p>
        </w:tc>
        <w:tc>
          <w:tcPr>
            <w:tcW w:w="23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Professional Services</w:t>
            </w:r>
          </w:p>
        </w:tc>
        <w:tc>
          <w:tcPr>
            <w:tcW w:w="1260" w:type="dxa"/>
            <w:vAlign w:val="bottom"/>
            <w:gridSpan w:val="3"/>
            <w:shd w:val="clear" w:color="auto" w:fill="CCECFF"/>
          </w:tcPr>
          <w:p>
            <w:pPr>
              <w:jc w:val="right"/>
              <w:ind w:right="266"/>
              <w:spacing w:after="0"/>
              <w:rPr>
                <w:sz w:val="20"/>
                <w:szCs w:val="20"/>
                <w:color w:val="auto"/>
              </w:rPr>
            </w:pPr>
            <w:r>
              <w:rPr>
                <w:rFonts w:ascii="Arial" w:cs="Arial" w:eastAsia="Arial" w:hAnsi="Arial"/>
                <w:sz w:val="11"/>
                <w:szCs w:val="11"/>
                <w:color w:val="auto"/>
              </w:rPr>
              <w:t>8.75 %</w:t>
            </w:r>
          </w:p>
        </w:tc>
        <w:tc>
          <w:tcPr>
            <w:tcW w:w="9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L+700</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1,715</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1,686</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1,732</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tcPr>
          <w:p>
            <w:pPr>
              <w:ind w:left="20"/>
              <w:spacing w:after="0"/>
              <w:rPr>
                <w:sz w:val="20"/>
                <w:szCs w:val="20"/>
                <w:color w:val="auto"/>
              </w:rPr>
            </w:pPr>
            <w:r>
              <w:rPr>
                <w:rFonts w:ascii="Arial" w:cs="Arial" w:eastAsia="Arial" w:hAnsi="Arial"/>
                <w:sz w:val="11"/>
                <w:szCs w:val="11"/>
                <w:color w:val="auto"/>
              </w:rPr>
              <w:t>The Infosoft Group, LLC</w:t>
            </w:r>
          </w:p>
        </w:tc>
        <w:tc>
          <w:tcPr>
            <w:tcW w:w="820" w:type="dxa"/>
            <w:vAlign w:val="bottom"/>
            <w:gridSpan w:val="2"/>
          </w:tcPr>
          <w:p>
            <w:pPr>
              <w:jc w:val="center"/>
              <w:ind w:left="86"/>
              <w:spacing w:after="0"/>
              <w:rPr>
                <w:sz w:val="20"/>
                <w:szCs w:val="20"/>
                <w:color w:val="auto"/>
              </w:rPr>
            </w:pPr>
            <w:r>
              <w:rPr>
                <w:rFonts w:ascii="Arial" w:cs="Arial" w:eastAsia="Arial" w:hAnsi="Arial"/>
                <w:sz w:val="11"/>
                <w:szCs w:val="11"/>
                <w:color w:val="auto"/>
                <w:w w:val="89"/>
              </w:rPr>
              <w:t>5/26/2021</w:t>
            </w:r>
          </w:p>
        </w:tc>
        <w:tc>
          <w:tcPr>
            <w:tcW w:w="2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89"/>
              </w:rPr>
              <w:t>Media: Broadcasting and Subscription</w:t>
            </w:r>
          </w:p>
        </w:tc>
        <w:tc>
          <w:tcPr>
            <w:tcW w:w="1260" w:type="dxa"/>
            <w:vAlign w:val="bottom"/>
            <w:gridSpan w:val="3"/>
          </w:tcPr>
          <w:p>
            <w:pPr>
              <w:jc w:val="right"/>
              <w:ind w:right="266"/>
              <w:spacing w:after="0"/>
              <w:rPr>
                <w:sz w:val="20"/>
                <w:szCs w:val="20"/>
                <w:color w:val="auto"/>
              </w:rPr>
            </w:pPr>
            <w:r>
              <w:rPr>
                <w:rFonts w:ascii="Arial" w:cs="Arial" w:eastAsia="Arial" w:hAnsi="Arial"/>
                <w:sz w:val="11"/>
                <w:szCs w:val="11"/>
                <w:color w:val="auto"/>
              </w:rPr>
              <w:t>7.19 %</w:t>
            </w:r>
          </w:p>
        </w:tc>
        <w:tc>
          <w:tcPr>
            <w:tcW w:w="900" w:type="dxa"/>
            <w:vAlign w:val="bottom"/>
          </w:tcPr>
          <w:p>
            <w:pPr>
              <w:jc w:val="right"/>
              <w:spacing w:after="0"/>
              <w:rPr>
                <w:sz w:val="20"/>
                <w:szCs w:val="20"/>
                <w:color w:val="auto"/>
              </w:rPr>
            </w:pPr>
            <w:r>
              <w:rPr>
                <w:rFonts w:ascii="Arial" w:cs="Arial" w:eastAsia="Arial" w:hAnsi="Arial"/>
                <w:sz w:val="11"/>
                <w:szCs w:val="11"/>
                <w:color w:val="auto"/>
              </w:rPr>
              <w:t>3M L+525</w:t>
            </w: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13,030</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13,025</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12,900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shd w:val="clear" w:color="auto" w:fill="CCECFF"/>
          </w:tcPr>
          <w:p>
            <w:pPr>
              <w:ind w:left="20"/>
              <w:spacing w:after="0"/>
              <w:rPr>
                <w:sz w:val="20"/>
                <w:szCs w:val="20"/>
                <w:color w:val="auto"/>
              </w:rPr>
            </w:pPr>
            <w:r>
              <w:rPr>
                <w:rFonts w:ascii="Arial" w:cs="Arial" w:eastAsia="Arial" w:hAnsi="Arial"/>
                <w:sz w:val="11"/>
                <w:szCs w:val="11"/>
                <w:color w:val="auto"/>
              </w:rPr>
              <w:t>The Vertex Companies, LLC</w:t>
            </w:r>
          </w:p>
        </w:tc>
        <w:tc>
          <w:tcPr>
            <w:tcW w:w="82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12/20/2021</w:t>
            </w:r>
          </w:p>
        </w:tc>
        <w:tc>
          <w:tcPr>
            <w:tcW w:w="240" w:type="dxa"/>
            <w:vAlign w:val="bottom"/>
            <w:shd w:val="clear" w:color="auto" w:fill="CCECFF"/>
          </w:tcPr>
          <w:p>
            <w:pPr>
              <w:spacing w:after="0"/>
              <w:rPr>
                <w:sz w:val="11"/>
                <w:szCs w:val="11"/>
                <w:color w:val="auto"/>
              </w:rPr>
            </w:pPr>
          </w:p>
        </w:tc>
        <w:tc>
          <w:tcPr>
            <w:tcW w:w="23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Construction and Engineering</w:t>
            </w:r>
          </w:p>
        </w:tc>
        <w:tc>
          <w:tcPr>
            <w:tcW w:w="1260" w:type="dxa"/>
            <w:vAlign w:val="bottom"/>
            <w:gridSpan w:val="3"/>
            <w:shd w:val="clear" w:color="auto" w:fill="CCECFF"/>
          </w:tcPr>
          <w:p>
            <w:pPr>
              <w:jc w:val="right"/>
              <w:ind w:right="266"/>
              <w:spacing w:after="0"/>
              <w:rPr>
                <w:sz w:val="20"/>
                <w:szCs w:val="20"/>
                <w:color w:val="auto"/>
              </w:rPr>
            </w:pPr>
            <w:r>
              <w:rPr>
                <w:rFonts w:ascii="Arial" w:cs="Arial" w:eastAsia="Arial" w:hAnsi="Arial"/>
                <w:sz w:val="11"/>
                <w:szCs w:val="11"/>
                <w:color w:val="auto"/>
              </w:rPr>
              <w:t>7.17 %</w:t>
            </w:r>
          </w:p>
        </w:tc>
        <w:tc>
          <w:tcPr>
            <w:tcW w:w="9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L+550</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5,592</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5,489</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5,491</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tcPr>
          <w:p>
            <w:pPr>
              <w:ind w:left="20"/>
              <w:spacing w:after="0"/>
              <w:rPr>
                <w:sz w:val="20"/>
                <w:szCs w:val="20"/>
                <w:color w:val="auto"/>
              </w:rPr>
            </w:pPr>
            <w:r>
              <w:rPr>
                <w:rFonts w:ascii="Arial" w:cs="Arial" w:eastAsia="Arial" w:hAnsi="Arial"/>
                <w:sz w:val="11"/>
                <w:szCs w:val="11"/>
                <w:color w:val="auto"/>
              </w:rPr>
              <w:t>TPC Canada Parent, Inc. and TPC US Parent, LLC</w:t>
            </w:r>
          </w:p>
        </w:tc>
        <w:tc>
          <w:tcPr>
            <w:tcW w:w="820" w:type="dxa"/>
            <w:vAlign w:val="bottom"/>
            <w:gridSpan w:val="2"/>
          </w:tcPr>
          <w:p>
            <w:pPr>
              <w:jc w:val="center"/>
              <w:ind w:left="66"/>
              <w:spacing w:after="0"/>
              <w:rPr>
                <w:sz w:val="20"/>
                <w:szCs w:val="20"/>
                <w:color w:val="auto"/>
              </w:rPr>
            </w:pPr>
            <w:r>
              <w:rPr>
                <w:rFonts w:ascii="Arial" w:cs="Arial" w:eastAsia="Arial" w:hAnsi="Arial"/>
                <w:sz w:val="11"/>
                <w:szCs w:val="11"/>
                <w:color w:val="auto"/>
                <w:w w:val="88"/>
              </w:rPr>
              <w:t>2/7/2020</w:t>
            </w:r>
          </w:p>
        </w:tc>
        <w:tc>
          <w:tcPr>
            <w:tcW w:w="2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89"/>
              </w:rPr>
              <w:t>Consumer Goods: Non-Durable</w:t>
            </w:r>
          </w:p>
        </w:tc>
        <w:tc>
          <w:tcPr>
            <w:tcW w:w="1260" w:type="dxa"/>
            <w:vAlign w:val="bottom"/>
            <w:gridSpan w:val="3"/>
          </w:tcPr>
          <w:p>
            <w:pPr>
              <w:jc w:val="right"/>
              <w:ind w:right="266"/>
              <w:spacing w:after="0"/>
              <w:rPr>
                <w:sz w:val="20"/>
                <w:szCs w:val="20"/>
                <w:color w:val="auto"/>
              </w:rPr>
            </w:pPr>
            <w:r>
              <w:rPr>
                <w:rFonts w:ascii="Arial" w:cs="Arial" w:eastAsia="Arial" w:hAnsi="Arial"/>
                <w:sz w:val="11"/>
                <w:szCs w:val="11"/>
                <w:color w:val="auto"/>
              </w:rPr>
              <w:t>6.97 %</w:t>
            </w:r>
          </w:p>
        </w:tc>
        <w:tc>
          <w:tcPr>
            <w:tcW w:w="900" w:type="dxa"/>
            <w:vAlign w:val="bottom"/>
          </w:tcPr>
          <w:p>
            <w:pPr>
              <w:jc w:val="right"/>
              <w:spacing w:after="0"/>
              <w:rPr>
                <w:sz w:val="20"/>
                <w:szCs w:val="20"/>
                <w:color w:val="auto"/>
              </w:rPr>
            </w:pPr>
            <w:r>
              <w:rPr>
                <w:rFonts w:ascii="Arial" w:cs="Arial" w:eastAsia="Arial" w:hAnsi="Arial"/>
                <w:sz w:val="11"/>
                <w:szCs w:val="11"/>
                <w:color w:val="auto"/>
              </w:rPr>
              <w:t>3M L+475</w:t>
            </w: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8,767</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8,618</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8,504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shd w:val="clear" w:color="auto" w:fill="CCECFF"/>
          </w:tcPr>
          <w:p>
            <w:pPr>
              <w:ind w:left="20"/>
              <w:spacing w:after="0"/>
              <w:rPr>
                <w:sz w:val="20"/>
                <w:szCs w:val="20"/>
                <w:color w:val="auto"/>
              </w:rPr>
            </w:pPr>
            <w:r>
              <w:rPr>
                <w:rFonts w:ascii="Arial" w:cs="Arial" w:eastAsia="Arial" w:hAnsi="Arial"/>
                <w:sz w:val="11"/>
                <w:szCs w:val="11"/>
                <w:color w:val="auto"/>
              </w:rPr>
              <w:t>TVC Enterprises, LLC</w:t>
            </w:r>
          </w:p>
        </w:tc>
        <w:tc>
          <w:tcPr>
            <w:tcW w:w="82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8"/>
              </w:rPr>
              <w:t>5/6/2022</w:t>
            </w:r>
          </w:p>
        </w:tc>
        <w:tc>
          <w:tcPr>
            <w:tcW w:w="240" w:type="dxa"/>
            <w:vAlign w:val="bottom"/>
            <w:shd w:val="clear" w:color="auto" w:fill="CCECFF"/>
          </w:tcPr>
          <w:p>
            <w:pPr>
              <w:spacing w:after="0"/>
              <w:rPr>
                <w:sz w:val="11"/>
                <w:szCs w:val="11"/>
                <w:color w:val="auto"/>
              </w:rPr>
            </w:pPr>
          </w:p>
        </w:tc>
        <w:tc>
          <w:tcPr>
            <w:tcW w:w="23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Diversified Consumer Services</w:t>
            </w:r>
          </w:p>
        </w:tc>
        <w:tc>
          <w:tcPr>
            <w:tcW w:w="1260" w:type="dxa"/>
            <w:vAlign w:val="bottom"/>
            <w:gridSpan w:val="3"/>
            <w:shd w:val="clear" w:color="auto" w:fill="CCECFF"/>
          </w:tcPr>
          <w:p>
            <w:pPr>
              <w:jc w:val="right"/>
              <w:ind w:right="266"/>
              <w:spacing w:after="0"/>
              <w:rPr>
                <w:sz w:val="20"/>
                <w:szCs w:val="20"/>
                <w:color w:val="auto"/>
              </w:rPr>
            </w:pPr>
            <w:r>
              <w:rPr>
                <w:rFonts w:ascii="Arial" w:cs="Arial" w:eastAsia="Arial" w:hAnsi="Arial"/>
                <w:sz w:val="11"/>
                <w:szCs w:val="11"/>
                <w:color w:val="auto"/>
              </w:rPr>
              <w:t>7.67 %</w:t>
            </w:r>
          </w:p>
        </w:tc>
        <w:tc>
          <w:tcPr>
            <w:tcW w:w="9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L+550</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14,990</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14,887</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14,690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tcPr>
          <w:p>
            <w:pPr>
              <w:ind w:left="20"/>
              <w:spacing w:after="0"/>
              <w:rPr>
                <w:sz w:val="20"/>
                <w:szCs w:val="20"/>
                <w:color w:val="auto"/>
              </w:rPr>
            </w:pPr>
            <w:r>
              <w:rPr>
                <w:rFonts w:ascii="Arial" w:cs="Arial" w:eastAsia="Arial" w:hAnsi="Arial"/>
                <w:sz w:val="11"/>
                <w:szCs w:val="11"/>
                <w:color w:val="auto"/>
              </w:rPr>
              <w:t>TWS Acquisition Corporation</w:t>
            </w:r>
          </w:p>
        </w:tc>
        <w:tc>
          <w:tcPr>
            <w:tcW w:w="820" w:type="dxa"/>
            <w:vAlign w:val="bottom"/>
            <w:gridSpan w:val="2"/>
          </w:tcPr>
          <w:p>
            <w:pPr>
              <w:jc w:val="center"/>
              <w:ind w:left="86"/>
              <w:spacing w:after="0"/>
              <w:rPr>
                <w:sz w:val="20"/>
                <w:szCs w:val="20"/>
                <w:color w:val="auto"/>
              </w:rPr>
            </w:pPr>
            <w:r>
              <w:rPr>
                <w:rFonts w:ascii="Arial" w:cs="Arial" w:eastAsia="Arial" w:hAnsi="Arial"/>
                <w:sz w:val="11"/>
                <w:szCs w:val="11"/>
                <w:color w:val="auto"/>
                <w:w w:val="89"/>
              </w:rPr>
              <w:t>7/17/2019</w:t>
            </w:r>
          </w:p>
        </w:tc>
        <w:tc>
          <w:tcPr>
            <w:tcW w:w="2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89"/>
              </w:rPr>
              <w:t>Diversified Consumer Services</w:t>
            </w:r>
          </w:p>
        </w:tc>
        <w:tc>
          <w:tcPr>
            <w:tcW w:w="1260" w:type="dxa"/>
            <w:vAlign w:val="bottom"/>
            <w:gridSpan w:val="3"/>
          </w:tcPr>
          <w:p>
            <w:pPr>
              <w:jc w:val="right"/>
              <w:ind w:right="266"/>
              <w:spacing w:after="0"/>
              <w:rPr>
                <w:sz w:val="20"/>
                <w:szCs w:val="20"/>
                <w:color w:val="auto"/>
              </w:rPr>
            </w:pPr>
            <w:r>
              <w:rPr>
                <w:rFonts w:ascii="Arial" w:cs="Arial" w:eastAsia="Arial" w:hAnsi="Arial"/>
                <w:sz w:val="11"/>
                <w:szCs w:val="11"/>
                <w:color w:val="auto"/>
              </w:rPr>
              <w:t>8.76 %</w:t>
            </w:r>
          </w:p>
        </w:tc>
        <w:tc>
          <w:tcPr>
            <w:tcW w:w="900" w:type="dxa"/>
            <w:vAlign w:val="bottom"/>
          </w:tcPr>
          <w:p>
            <w:pPr>
              <w:jc w:val="right"/>
              <w:spacing w:after="0"/>
              <w:rPr>
                <w:sz w:val="20"/>
                <w:szCs w:val="20"/>
                <w:color w:val="auto"/>
              </w:rPr>
            </w:pPr>
            <w:r>
              <w:rPr>
                <w:rFonts w:ascii="Arial" w:cs="Arial" w:eastAsia="Arial" w:hAnsi="Arial"/>
                <w:sz w:val="11"/>
                <w:szCs w:val="11"/>
                <w:color w:val="auto"/>
              </w:rPr>
              <w:t>3M L+625</w:t>
            </w: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5,468</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5,448</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5,441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shd w:val="clear" w:color="auto" w:fill="CCECFF"/>
          </w:tcPr>
          <w:p>
            <w:pPr>
              <w:ind w:left="20"/>
              <w:spacing w:after="0"/>
              <w:rPr>
                <w:sz w:val="20"/>
                <w:szCs w:val="20"/>
                <w:color w:val="auto"/>
              </w:rPr>
            </w:pPr>
            <w:r>
              <w:rPr>
                <w:rFonts w:ascii="Arial" w:cs="Arial" w:eastAsia="Arial" w:hAnsi="Arial"/>
                <w:sz w:val="11"/>
                <w:szCs w:val="11"/>
                <w:color w:val="auto"/>
              </w:rPr>
              <w:t>Tyto Athene, LLC (New Issue)</w:t>
            </w:r>
          </w:p>
        </w:tc>
        <w:tc>
          <w:tcPr>
            <w:tcW w:w="82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10/21/2021</w:t>
            </w:r>
          </w:p>
        </w:tc>
        <w:tc>
          <w:tcPr>
            <w:tcW w:w="240" w:type="dxa"/>
            <w:vAlign w:val="bottom"/>
            <w:shd w:val="clear" w:color="auto" w:fill="CCECFF"/>
          </w:tcPr>
          <w:p>
            <w:pPr>
              <w:spacing w:after="0"/>
              <w:rPr>
                <w:sz w:val="11"/>
                <w:szCs w:val="11"/>
                <w:color w:val="auto"/>
              </w:rPr>
            </w:pPr>
          </w:p>
        </w:tc>
        <w:tc>
          <w:tcPr>
            <w:tcW w:w="23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IT Services</w:t>
            </w:r>
          </w:p>
        </w:tc>
        <w:tc>
          <w:tcPr>
            <w:tcW w:w="1260" w:type="dxa"/>
            <w:vAlign w:val="bottom"/>
            <w:gridSpan w:val="3"/>
            <w:shd w:val="clear" w:color="auto" w:fill="CCECFF"/>
          </w:tcPr>
          <w:p>
            <w:pPr>
              <w:jc w:val="right"/>
              <w:ind w:right="266"/>
              <w:spacing w:after="0"/>
              <w:rPr>
                <w:sz w:val="20"/>
                <w:szCs w:val="20"/>
                <w:color w:val="auto"/>
              </w:rPr>
            </w:pPr>
            <w:r>
              <w:rPr>
                <w:rFonts w:ascii="Arial" w:cs="Arial" w:eastAsia="Arial" w:hAnsi="Arial"/>
                <w:sz w:val="11"/>
                <w:szCs w:val="11"/>
                <w:color w:val="auto"/>
              </w:rPr>
              <w:t>6.47 %</w:t>
            </w:r>
          </w:p>
        </w:tc>
        <w:tc>
          <w:tcPr>
            <w:tcW w:w="9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L+550</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15,589</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15,455</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14,747</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tcPr>
          <w:p>
            <w:pPr>
              <w:ind w:left="20"/>
              <w:spacing w:after="0"/>
              <w:rPr>
                <w:sz w:val="20"/>
                <w:szCs w:val="20"/>
                <w:color w:val="auto"/>
              </w:rPr>
            </w:pPr>
            <w:r>
              <w:rPr>
                <w:rFonts w:ascii="Arial" w:cs="Arial" w:eastAsia="Arial" w:hAnsi="Arial"/>
                <w:sz w:val="11"/>
                <w:szCs w:val="11"/>
                <w:color w:val="auto"/>
              </w:rPr>
              <w:t>UBEO, LLC</w:t>
            </w:r>
          </w:p>
        </w:tc>
        <w:tc>
          <w:tcPr>
            <w:tcW w:w="820" w:type="dxa"/>
            <w:vAlign w:val="bottom"/>
            <w:gridSpan w:val="2"/>
          </w:tcPr>
          <w:p>
            <w:pPr>
              <w:jc w:val="center"/>
              <w:ind w:left="86"/>
              <w:spacing w:after="0"/>
              <w:rPr>
                <w:sz w:val="20"/>
                <w:szCs w:val="20"/>
                <w:color w:val="auto"/>
              </w:rPr>
            </w:pPr>
            <w:r>
              <w:rPr>
                <w:rFonts w:ascii="Arial" w:cs="Arial" w:eastAsia="Arial" w:hAnsi="Arial"/>
                <w:sz w:val="11"/>
                <w:szCs w:val="11"/>
                <w:color w:val="auto"/>
                <w:w w:val="89"/>
              </w:rPr>
              <w:t>11/6/2018</w:t>
            </w:r>
          </w:p>
        </w:tc>
        <w:tc>
          <w:tcPr>
            <w:tcW w:w="2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91"/>
              </w:rPr>
              <w:t>Capital Equipment</w:t>
            </w:r>
          </w:p>
        </w:tc>
        <w:tc>
          <w:tcPr>
            <w:tcW w:w="1260" w:type="dxa"/>
            <w:vAlign w:val="bottom"/>
            <w:gridSpan w:val="3"/>
          </w:tcPr>
          <w:p>
            <w:pPr>
              <w:jc w:val="right"/>
              <w:ind w:right="266"/>
              <w:spacing w:after="0"/>
              <w:rPr>
                <w:sz w:val="20"/>
                <w:szCs w:val="20"/>
                <w:color w:val="auto"/>
              </w:rPr>
            </w:pPr>
            <w:r>
              <w:rPr>
                <w:rFonts w:ascii="Arial" w:cs="Arial" w:eastAsia="Arial" w:hAnsi="Arial"/>
                <w:sz w:val="11"/>
                <w:szCs w:val="11"/>
                <w:color w:val="auto"/>
              </w:rPr>
              <w:t>6.75 %</w:t>
            </w:r>
          </w:p>
        </w:tc>
        <w:tc>
          <w:tcPr>
            <w:tcW w:w="900" w:type="dxa"/>
            <w:vAlign w:val="bottom"/>
          </w:tcPr>
          <w:p>
            <w:pPr>
              <w:jc w:val="right"/>
              <w:spacing w:after="0"/>
              <w:rPr>
                <w:sz w:val="20"/>
                <w:szCs w:val="20"/>
                <w:color w:val="auto"/>
              </w:rPr>
            </w:pPr>
            <w:r>
              <w:rPr>
                <w:rFonts w:ascii="Arial" w:cs="Arial" w:eastAsia="Arial" w:hAnsi="Arial"/>
                <w:sz w:val="11"/>
                <w:szCs w:val="11"/>
                <w:color w:val="auto"/>
              </w:rPr>
              <w:t>3M L+450</w:t>
            </w: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17,436</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17,340</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17,087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shd w:val="clear" w:color="auto" w:fill="CCECFF"/>
          </w:tcPr>
          <w:p>
            <w:pPr>
              <w:ind w:left="20"/>
              <w:spacing w:after="0"/>
              <w:rPr>
                <w:sz w:val="20"/>
                <w:szCs w:val="20"/>
                <w:color w:val="auto"/>
              </w:rPr>
            </w:pPr>
            <w:r>
              <w:rPr>
                <w:rFonts w:ascii="Arial" w:cs="Arial" w:eastAsia="Arial" w:hAnsi="Arial"/>
                <w:sz w:val="11"/>
                <w:szCs w:val="11"/>
                <w:color w:val="auto"/>
              </w:rPr>
              <w:t>Walker Edison Furniture Company LLC</w:t>
            </w:r>
          </w:p>
        </w:tc>
        <w:tc>
          <w:tcPr>
            <w:tcW w:w="82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8"/>
              </w:rPr>
              <w:t>6/9/2021</w:t>
            </w:r>
          </w:p>
        </w:tc>
        <w:tc>
          <w:tcPr>
            <w:tcW w:w="240" w:type="dxa"/>
            <w:vAlign w:val="bottom"/>
            <w:shd w:val="clear" w:color="auto" w:fill="CCECFF"/>
          </w:tcPr>
          <w:p>
            <w:pPr>
              <w:spacing w:after="0"/>
              <w:rPr>
                <w:sz w:val="11"/>
                <w:szCs w:val="11"/>
                <w:color w:val="auto"/>
              </w:rPr>
            </w:pPr>
          </w:p>
        </w:tc>
        <w:tc>
          <w:tcPr>
            <w:tcW w:w="23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Wholesale</w:t>
            </w:r>
          </w:p>
        </w:tc>
        <w:tc>
          <w:tcPr>
            <w:tcW w:w="1260" w:type="dxa"/>
            <w:vAlign w:val="bottom"/>
            <w:gridSpan w:val="3"/>
            <w:shd w:val="clear" w:color="auto" w:fill="CCECFF"/>
          </w:tcPr>
          <w:p>
            <w:pPr>
              <w:jc w:val="right"/>
              <w:ind w:right="266"/>
              <w:spacing w:after="0"/>
              <w:rPr>
                <w:sz w:val="20"/>
                <w:szCs w:val="20"/>
                <w:color w:val="auto"/>
              </w:rPr>
            </w:pPr>
            <w:r>
              <w:rPr>
                <w:rFonts w:ascii="Arial" w:cs="Arial" w:eastAsia="Arial" w:hAnsi="Arial"/>
                <w:sz w:val="11"/>
                <w:szCs w:val="11"/>
                <w:color w:val="auto"/>
              </w:rPr>
              <w:t>11.00 %</w:t>
            </w:r>
          </w:p>
        </w:tc>
        <w:tc>
          <w:tcPr>
            <w:tcW w:w="9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L+575</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12,619</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12,361</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12,240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tcPr>
          <w:p>
            <w:pPr>
              <w:ind w:left="20"/>
              <w:spacing w:after="0"/>
              <w:rPr>
                <w:sz w:val="20"/>
                <w:szCs w:val="20"/>
                <w:color w:val="auto"/>
              </w:rPr>
            </w:pPr>
            <w:r>
              <w:rPr>
                <w:rFonts w:ascii="Arial" w:cs="Arial" w:eastAsia="Arial" w:hAnsi="Arial"/>
                <w:sz w:val="11"/>
                <w:szCs w:val="11"/>
                <w:color w:val="auto"/>
              </w:rPr>
              <w:t>Wildcat Buyerco, Inc.</w:t>
            </w:r>
          </w:p>
        </w:tc>
        <w:tc>
          <w:tcPr>
            <w:tcW w:w="820" w:type="dxa"/>
            <w:vAlign w:val="bottom"/>
            <w:gridSpan w:val="2"/>
          </w:tcPr>
          <w:p>
            <w:pPr>
              <w:jc w:val="center"/>
              <w:ind w:left="86"/>
              <w:spacing w:after="0"/>
              <w:rPr>
                <w:sz w:val="20"/>
                <w:szCs w:val="20"/>
                <w:color w:val="auto"/>
              </w:rPr>
            </w:pPr>
            <w:r>
              <w:rPr>
                <w:rFonts w:ascii="Arial" w:cs="Arial" w:eastAsia="Arial" w:hAnsi="Arial"/>
                <w:sz w:val="11"/>
                <w:szCs w:val="11"/>
                <w:color w:val="auto"/>
                <w:w w:val="89"/>
              </w:rPr>
              <w:t>7/31/2022</w:t>
            </w:r>
          </w:p>
        </w:tc>
        <w:tc>
          <w:tcPr>
            <w:tcW w:w="2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89"/>
              </w:rPr>
              <w:t>Electronic Equipment, Instruments, and Components</w:t>
            </w:r>
          </w:p>
        </w:tc>
        <w:tc>
          <w:tcPr>
            <w:tcW w:w="1260" w:type="dxa"/>
            <w:vAlign w:val="bottom"/>
            <w:gridSpan w:val="3"/>
          </w:tcPr>
          <w:p>
            <w:pPr>
              <w:jc w:val="right"/>
              <w:ind w:right="266"/>
              <w:spacing w:after="0"/>
              <w:rPr>
                <w:sz w:val="20"/>
                <w:szCs w:val="20"/>
                <w:color w:val="auto"/>
              </w:rPr>
            </w:pPr>
            <w:r>
              <w:rPr>
                <w:rFonts w:ascii="Arial" w:cs="Arial" w:eastAsia="Arial" w:hAnsi="Arial"/>
                <w:sz w:val="11"/>
                <w:szCs w:val="11"/>
                <w:color w:val="auto"/>
              </w:rPr>
              <w:t>7.95 %</w:t>
            </w:r>
          </w:p>
        </w:tc>
        <w:tc>
          <w:tcPr>
            <w:tcW w:w="900" w:type="dxa"/>
            <w:vAlign w:val="bottom"/>
          </w:tcPr>
          <w:p>
            <w:pPr>
              <w:jc w:val="right"/>
              <w:spacing w:after="0"/>
              <w:rPr>
                <w:sz w:val="20"/>
                <w:szCs w:val="20"/>
                <w:color w:val="auto"/>
              </w:rPr>
            </w:pPr>
            <w:r>
              <w:rPr>
                <w:rFonts w:ascii="Arial" w:cs="Arial" w:eastAsia="Arial" w:hAnsi="Arial"/>
                <w:sz w:val="11"/>
                <w:szCs w:val="11"/>
                <w:color w:val="auto"/>
              </w:rPr>
              <w:t>SOFR+550</w:t>
            </w: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8,575</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8,532</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8,345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shd w:val="clear" w:color="auto" w:fill="CCECFF"/>
          </w:tcPr>
          <w:p>
            <w:pPr>
              <w:ind w:left="20"/>
              <w:spacing w:after="0"/>
              <w:rPr>
                <w:sz w:val="20"/>
                <w:szCs w:val="20"/>
                <w:color w:val="auto"/>
              </w:rPr>
            </w:pPr>
            <w:r>
              <w:rPr>
                <w:rFonts w:ascii="Arial" w:cs="Arial" w:eastAsia="Arial" w:hAnsi="Arial"/>
                <w:sz w:val="11"/>
                <w:szCs w:val="11"/>
                <w:color w:val="auto"/>
              </w:rPr>
              <w:t>Zips Car Wash, LLC</w:t>
            </w:r>
          </w:p>
        </w:tc>
        <w:tc>
          <w:tcPr>
            <w:tcW w:w="82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12/29/2021</w:t>
            </w:r>
          </w:p>
        </w:tc>
        <w:tc>
          <w:tcPr>
            <w:tcW w:w="240" w:type="dxa"/>
            <w:vAlign w:val="bottom"/>
            <w:shd w:val="clear" w:color="auto" w:fill="CCECFF"/>
          </w:tcPr>
          <w:p>
            <w:pPr>
              <w:spacing w:after="0"/>
              <w:rPr>
                <w:sz w:val="11"/>
                <w:szCs w:val="11"/>
                <w:color w:val="auto"/>
              </w:rPr>
            </w:pPr>
          </w:p>
        </w:tc>
        <w:tc>
          <w:tcPr>
            <w:tcW w:w="23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Automobiles</w:t>
            </w:r>
          </w:p>
        </w:tc>
        <w:tc>
          <w:tcPr>
            <w:tcW w:w="1260" w:type="dxa"/>
            <w:vAlign w:val="bottom"/>
            <w:gridSpan w:val="3"/>
            <w:shd w:val="clear" w:color="auto" w:fill="CCECFF"/>
          </w:tcPr>
          <w:p>
            <w:pPr>
              <w:jc w:val="right"/>
              <w:ind w:right="266"/>
              <w:spacing w:after="0"/>
              <w:rPr>
                <w:sz w:val="20"/>
                <w:szCs w:val="20"/>
                <w:color w:val="auto"/>
              </w:rPr>
            </w:pPr>
            <w:r>
              <w:rPr>
                <w:rFonts w:ascii="Arial" w:cs="Arial" w:eastAsia="Arial" w:hAnsi="Arial"/>
                <w:sz w:val="11"/>
                <w:szCs w:val="11"/>
                <w:color w:val="auto"/>
              </w:rPr>
              <w:t>8.25 %</w:t>
            </w:r>
          </w:p>
        </w:tc>
        <w:tc>
          <w:tcPr>
            <w:tcW w:w="9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L+725</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17,000</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16,741</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16,660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82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1"/>
                <w:szCs w:val="11"/>
                <w:b w:val="1"/>
                <w:bCs w:val="1"/>
                <w:color w:val="auto"/>
              </w:rPr>
              <w:t>Total First Lien Secured Debt</w:t>
            </w:r>
          </w:p>
        </w:tc>
        <w:tc>
          <w:tcPr>
            <w:tcW w:w="140" w:type="dxa"/>
            <w:vAlign w:val="bottom"/>
            <w:tcBorders>
              <w:bottom w:val="single" w:sz="8" w:color="CCECFF"/>
            </w:tcBorders>
            <w:shd w:val="clear" w:color="auto" w:fill="CCECFF"/>
          </w:tcPr>
          <w:p>
            <w:pPr>
              <w:spacing w:after="0"/>
              <w:rPr>
                <w:sz w:val="11"/>
                <w:szCs w:val="11"/>
                <w:color w:val="auto"/>
              </w:rPr>
            </w:pPr>
          </w:p>
        </w:tc>
        <w:tc>
          <w:tcPr>
            <w:tcW w:w="680" w:type="dxa"/>
            <w:vAlign w:val="bottom"/>
            <w:tcBorders>
              <w:bottom w:val="single" w:sz="8" w:color="CCECFF"/>
            </w:tcBorders>
            <w:shd w:val="clear" w:color="auto" w:fill="CCECFF"/>
          </w:tcPr>
          <w:p>
            <w:pPr>
              <w:spacing w:after="0"/>
              <w:rPr>
                <w:sz w:val="11"/>
                <w:szCs w:val="11"/>
                <w:color w:val="auto"/>
              </w:rPr>
            </w:pPr>
          </w:p>
        </w:tc>
        <w:tc>
          <w:tcPr>
            <w:tcW w:w="240" w:type="dxa"/>
            <w:vAlign w:val="bottom"/>
            <w:tcBorders>
              <w:bottom w:val="single" w:sz="8" w:color="CCECFF"/>
            </w:tcBorders>
            <w:shd w:val="clear" w:color="auto" w:fill="CCECFF"/>
          </w:tcPr>
          <w:p>
            <w:pPr>
              <w:spacing w:after="0"/>
              <w:rPr>
                <w:sz w:val="11"/>
                <w:szCs w:val="11"/>
                <w:color w:val="auto"/>
              </w:rPr>
            </w:pPr>
          </w:p>
        </w:tc>
        <w:tc>
          <w:tcPr>
            <w:tcW w:w="2340" w:type="dxa"/>
            <w:vAlign w:val="bottom"/>
            <w:tcBorders>
              <w:bottom w:val="single" w:sz="8" w:color="CCECFF"/>
            </w:tcBorders>
            <w:shd w:val="clear" w:color="auto" w:fill="CCECFF"/>
          </w:tcPr>
          <w:p>
            <w:pPr>
              <w:spacing w:after="0"/>
              <w:rPr>
                <w:sz w:val="11"/>
                <w:szCs w:val="11"/>
                <w:color w:val="auto"/>
              </w:rPr>
            </w:pPr>
          </w:p>
        </w:tc>
        <w:tc>
          <w:tcPr>
            <w:tcW w:w="100" w:type="dxa"/>
            <w:vAlign w:val="bottom"/>
            <w:tcBorders>
              <w:bottom w:val="single" w:sz="8" w:color="CCECFF"/>
            </w:tcBorders>
            <w:shd w:val="clear" w:color="auto" w:fill="CCECFF"/>
          </w:tcPr>
          <w:p>
            <w:pPr>
              <w:spacing w:after="0"/>
              <w:rPr>
                <w:sz w:val="11"/>
                <w:szCs w:val="11"/>
                <w:color w:val="auto"/>
              </w:rPr>
            </w:pPr>
          </w:p>
        </w:tc>
        <w:tc>
          <w:tcPr>
            <w:tcW w:w="740" w:type="dxa"/>
            <w:vAlign w:val="bottom"/>
            <w:tcBorders>
              <w:bottom w:val="single" w:sz="8" w:color="CCECFF"/>
            </w:tcBorders>
            <w:shd w:val="clear" w:color="auto" w:fill="CCECFF"/>
          </w:tcPr>
          <w:p>
            <w:pPr>
              <w:spacing w:after="0"/>
              <w:rPr>
                <w:sz w:val="11"/>
                <w:szCs w:val="11"/>
                <w:color w:val="auto"/>
              </w:rPr>
            </w:pPr>
          </w:p>
        </w:tc>
        <w:tc>
          <w:tcPr>
            <w:tcW w:w="420" w:type="dxa"/>
            <w:vAlign w:val="bottom"/>
            <w:tcBorders>
              <w:bottom w:val="single" w:sz="8" w:color="CCECFF"/>
            </w:tcBorders>
            <w:shd w:val="clear" w:color="auto" w:fill="CCECFF"/>
          </w:tcPr>
          <w:p>
            <w:pPr>
              <w:spacing w:after="0"/>
              <w:rPr>
                <w:sz w:val="11"/>
                <w:szCs w:val="11"/>
                <w:color w:val="auto"/>
              </w:rPr>
            </w:pPr>
          </w:p>
        </w:tc>
        <w:tc>
          <w:tcPr>
            <w:tcW w:w="90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74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auto"/>
            </w:tcBorders>
            <w:shd w:val="clear" w:color="auto" w:fill="CCECFF"/>
          </w:tcPr>
          <w:p>
            <w:pPr>
              <w:spacing w:after="0"/>
              <w:rPr>
                <w:sz w:val="11"/>
                <w:szCs w:val="11"/>
                <w:color w:val="auto"/>
              </w:rPr>
            </w:pPr>
          </w:p>
        </w:tc>
        <w:tc>
          <w:tcPr>
            <w:tcW w:w="5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749,409</w:t>
            </w:r>
          </w:p>
        </w:tc>
        <w:tc>
          <w:tcPr>
            <w:tcW w:w="22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auto"/>
            </w:tcBorders>
            <w:shd w:val="clear" w:color="auto" w:fill="CCECFF"/>
          </w:tcPr>
          <w:p>
            <w:pPr>
              <w:spacing w:after="0"/>
              <w:rPr>
                <w:sz w:val="11"/>
                <w:szCs w:val="11"/>
                <w:color w:val="auto"/>
              </w:rPr>
            </w:pPr>
          </w:p>
        </w:tc>
        <w:tc>
          <w:tcPr>
            <w:tcW w:w="5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743,558</w:t>
            </w:r>
          </w:p>
        </w:tc>
        <w:tc>
          <w:tcPr>
            <w:tcW w:w="10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820" w:type="dxa"/>
            <w:vAlign w:val="bottom"/>
          </w:tcPr>
          <w:p>
            <w:pPr>
              <w:ind w:left="20"/>
              <w:spacing w:after="0"/>
              <w:rPr>
                <w:sz w:val="20"/>
                <w:szCs w:val="20"/>
                <w:color w:val="auto"/>
              </w:rPr>
            </w:pPr>
            <w:r>
              <w:rPr>
                <w:rFonts w:ascii="Arial" w:cs="Arial" w:eastAsia="Arial" w:hAnsi="Arial"/>
                <w:sz w:val="11"/>
                <w:szCs w:val="11"/>
                <w:b w:val="1"/>
                <w:bCs w:val="1"/>
                <w:color w:val="auto"/>
              </w:rPr>
              <w:t>Second Lien Secured Debt - 4.4%</w:t>
            </w: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vMerge w:val="restart"/>
          </w:tcPr>
          <w:p>
            <w:pPr>
              <w:jc w:val="right"/>
              <w:ind w:right="386"/>
              <w:spacing w:after="0"/>
              <w:rPr>
                <w:sz w:val="20"/>
                <w:szCs w:val="20"/>
                <w:color w:val="auto"/>
              </w:rPr>
            </w:pPr>
            <w:r>
              <w:rPr>
                <w:rFonts w:ascii="Arial" w:cs="Arial" w:eastAsia="Arial" w:hAnsi="Arial"/>
                <w:sz w:val="11"/>
                <w:szCs w:val="11"/>
                <w:color w:val="auto"/>
              </w:rPr>
              <w:t>P(IK 9.00%)</w:t>
            </w: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82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1"/>
                <w:szCs w:val="11"/>
                <w:color w:val="auto"/>
              </w:rPr>
              <w:t>Inventus Power, Inc.</w:t>
            </w:r>
          </w:p>
        </w:tc>
        <w:tc>
          <w:tcPr>
            <w:tcW w:w="820" w:type="dxa"/>
            <w:vAlign w:val="bottom"/>
            <w:tcBorders>
              <w:bottom w:val="single" w:sz="8" w:color="CCECFF"/>
            </w:tcBorders>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09/29/2024</w:t>
            </w:r>
          </w:p>
        </w:tc>
        <w:tc>
          <w:tcPr>
            <w:tcW w:w="240" w:type="dxa"/>
            <w:vAlign w:val="bottom"/>
            <w:tcBorders>
              <w:bottom w:val="single" w:sz="8" w:color="CCECFF"/>
            </w:tcBorders>
            <w:shd w:val="clear" w:color="auto" w:fill="CCECFF"/>
          </w:tcPr>
          <w:p>
            <w:pPr>
              <w:spacing w:after="0"/>
              <w:rPr>
                <w:sz w:val="12"/>
                <w:szCs w:val="12"/>
                <w:color w:val="auto"/>
              </w:rPr>
            </w:pPr>
          </w:p>
        </w:tc>
        <w:tc>
          <w:tcPr>
            <w:tcW w:w="2340" w:type="dxa"/>
            <w:vAlign w:val="bottom"/>
            <w:tcBorders>
              <w:bottom w:val="single" w:sz="8" w:color="CCECFF"/>
            </w:tcBorders>
            <w:shd w:val="clear" w:color="auto" w:fill="CCECFF"/>
          </w:tcPr>
          <w:p>
            <w:pPr>
              <w:jc w:val="center"/>
              <w:spacing w:after="0"/>
              <w:rPr>
                <w:sz w:val="20"/>
                <w:szCs w:val="20"/>
                <w:color w:val="auto"/>
              </w:rPr>
            </w:pPr>
            <w:r>
              <w:rPr>
                <w:rFonts w:ascii="Arial" w:cs="Arial" w:eastAsia="Arial" w:hAnsi="Arial"/>
                <w:sz w:val="11"/>
                <w:szCs w:val="11"/>
                <w:color w:val="auto"/>
                <w:w w:val="87"/>
              </w:rPr>
              <w:t>Consumer Goods: Durable</w:t>
            </w:r>
          </w:p>
        </w:tc>
        <w:tc>
          <w:tcPr>
            <w:tcW w:w="1260" w:type="dxa"/>
            <w:vAlign w:val="bottom"/>
            <w:tcBorders>
              <w:bottom w:val="single" w:sz="8" w:color="CCECFF"/>
            </w:tcBorders>
            <w:gridSpan w:val="3"/>
            <w:shd w:val="clear" w:color="auto" w:fill="CCECFF"/>
          </w:tcPr>
          <w:p>
            <w:pPr>
              <w:jc w:val="right"/>
              <w:ind w:right="266"/>
              <w:spacing w:after="0"/>
              <w:rPr>
                <w:sz w:val="20"/>
                <w:szCs w:val="20"/>
                <w:color w:val="auto"/>
              </w:rPr>
            </w:pPr>
            <w:r>
              <w:rPr>
                <w:rFonts w:ascii="Arial" w:cs="Arial" w:eastAsia="Arial" w:hAnsi="Arial"/>
                <w:sz w:val="11"/>
                <w:szCs w:val="11"/>
                <w:color w:val="auto"/>
              </w:rPr>
              <w:t>10.75 %</w:t>
            </w:r>
          </w:p>
        </w:tc>
        <w:tc>
          <w:tcPr>
            <w:tcW w:w="90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1"/>
                <w:szCs w:val="11"/>
                <w:color w:val="auto"/>
              </w:rPr>
              <w:t>3M L+850</w:t>
            </w:r>
          </w:p>
        </w:tc>
        <w:tc>
          <w:tcPr>
            <w:tcW w:w="960" w:type="dxa"/>
            <w:vAlign w:val="bottom"/>
            <w:tcBorders>
              <w:bottom w:val="single" w:sz="8" w:color="CCECFF"/>
            </w:tcBorders>
            <w:gridSpan w:val="2"/>
            <w:shd w:val="clear" w:color="auto" w:fill="CCECFF"/>
          </w:tcPr>
          <w:p>
            <w:pPr>
              <w:jc w:val="right"/>
              <w:spacing w:after="0"/>
              <w:rPr>
                <w:sz w:val="20"/>
                <w:szCs w:val="20"/>
                <w:color w:val="auto"/>
              </w:rPr>
            </w:pPr>
            <w:r>
              <w:rPr>
                <w:rFonts w:ascii="Arial" w:cs="Arial" w:eastAsia="Arial" w:hAnsi="Arial"/>
                <w:sz w:val="11"/>
                <w:szCs w:val="11"/>
                <w:color w:val="auto"/>
              </w:rPr>
              <w:t>3,000</w:t>
            </w:r>
          </w:p>
        </w:tc>
        <w:tc>
          <w:tcPr>
            <w:tcW w:w="220" w:type="dxa"/>
            <w:vAlign w:val="bottom"/>
            <w:tcBorders>
              <w:bottom w:val="single" w:sz="8" w:color="CCECFF"/>
            </w:tcBorders>
            <w:shd w:val="clear" w:color="auto" w:fill="CCECFF"/>
          </w:tcPr>
          <w:p>
            <w:pPr>
              <w:spacing w:after="0"/>
              <w:rPr>
                <w:sz w:val="12"/>
                <w:szCs w:val="12"/>
                <w:color w:val="auto"/>
              </w:rPr>
            </w:pPr>
          </w:p>
        </w:tc>
        <w:tc>
          <w:tcPr>
            <w:tcW w:w="140" w:type="dxa"/>
            <w:vAlign w:val="bottom"/>
            <w:tcBorders>
              <w:bottom w:val="single" w:sz="8" w:color="auto"/>
            </w:tcBorders>
            <w:shd w:val="clear" w:color="auto" w:fill="CCECFF"/>
          </w:tcPr>
          <w:p>
            <w:pPr>
              <w:spacing w:after="0"/>
              <w:rPr>
                <w:sz w:val="12"/>
                <w:szCs w:val="12"/>
                <w:color w:val="auto"/>
              </w:rPr>
            </w:pPr>
          </w:p>
        </w:tc>
        <w:tc>
          <w:tcPr>
            <w:tcW w:w="5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2,959</w:t>
            </w:r>
          </w:p>
        </w:tc>
        <w:tc>
          <w:tcPr>
            <w:tcW w:w="220" w:type="dxa"/>
            <w:vAlign w:val="bottom"/>
            <w:tcBorders>
              <w:bottom w:val="single" w:sz="8" w:color="CCECFF"/>
            </w:tcBorders>
            <w:shd w:val="clear" w:color="auto" w:fill="CCECFF"/>
          </w:tcPr>
          <w:p>
            <w:pPr>
              <w:spacing w:after="0"/>
              <w:rPr>
                <w:sz w:val="12"/>
                <w:szCs w:val="12"/>
                <w:color w:val="auto"/>
              </w:rPr>
            </w:pPr>
          </w:p>
        </w:tc>
        <w:tc>
          <w:tcPr>
            <w:tcW w:w="160" w:type="dxa"/>
            <w:vAlign w:val="bottom"/>
            <w:tcBorders>
              <w:bottom w:val="single" w:sz="8" w:color="auto"/>
            </w:tcBorders>
            <w:shd w:val="clear" w:color="auto" w:fill="CCECFF"/>
          </w:tcPr>
          <w:p>
            <w:pPr>
              <w:spacing w:after="0"/>
              <w:rPr>
                <w:sz w:val="12"/>
                <w:szCs w:val="12"/>
                <w:color w:val="auto"/>
              </w:rPr>
            </w:pPr>
          </w:p>
        </w:tc>
        <w:tc>
          <w:tcPr>
            <w:tcW w:w="5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2,925</w:t>
            </w:r>
          </w:p>
        </w:tc>
        <w:tc>
          <w:tcPr>
            <w:tcW w:w="10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820" w:type="dxa"/>
            <w:vAlign w:val="bottom"/>
          </w:tcPr>
          <w:p>
            <w:pPr>
              <w:ind w:left="20"/>
              <w:spacing w:after="0"/>
              <w:rPr>
                <w:sz w:val="20"/>
                <w:szCs w:val="20"/>
                <w:color w:val="auto"/>
              </w:rPr>
            </w:pPr>
            <w:r>
              <w:rPr>
                <w:rFonts w:ascii="Arial" w:cs="Arial" w:eastAsia="Arial" w:hAnsi="Arial"/>
                <w:sz w:val="11"/>
                <w:szCs w:val="11"/>
                <w:b w:val="1"/>
                <w:bCs w:val="1"/>
                <w:color w:val="auto"/>
              </w:rPr>
              <w:t>Total Second Lien Secured Debt</w:t>
            </w: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2,959</w:t>
            </w:r>
          </w:p>
        </w:tc>
        <w:tc>
          <w:tcPr>
            <w:tcW w:w="2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2,925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820" w:type="dxa"/>
            <w:vAlign w:val="bottom"/>
            <w:shd w:val="clear" w:color="auto" w:fill="CCECFF"/>
          </w:tcPr>
          <w:p>
            <w:pPr>
              <w:ind w:left="20"/>
              <w:spacing w:after="0"/>
              <w:rPr>
                <w:sz w:val="20"/>
                <w:szCs w:val="20"/>
                <w:color w:val="auto"/>
              </w:rPr>
            </w:pPr>
            <w:r>
              <w:rPr>
                <w:rFonts w:ascii="Arial" w:cs="Arial" w:eastAsia="Arial" w:hAnsi="Arial"/>
                <w:sz w:val="11"/>
                <w:szCs w:val="11"/>
                <w:b w:val="1"/>
                <w:bCs w:val="1"/>
                <w:color w:val="auto"/>
              </w:rPr>
              <w:t>Equity Securities - .9%</w:t>
            </w:r>
          </w:p>
        </w:tc>
        <w:tc>
          <w:tcPr>
            <w:tcW w:w="1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3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40" w:type="dxa"/>
            <w:vAlign w:val="bottom"/>
            <w:shd w:val="clear" w:color="auto" w:fill="CCECFF"/>
          </w:tcPr>
          <w:p>
            <w:pPr>
              <w:spacing w:after="0"/>
              <w:rPr>
                <w:sz w:val="11"/>
                <w:szCs w:val="11"/>
                <w:color w:val="auto"/>
              </w:rPr>
            </w:pPr>
          </w:p>
        </w:tc>
        <w:tc>
          <w:tcPr>
            <w:tcW w:w="420" w:type="dxa"/>
            <w:vAlign w:val="bottom"/>
            <w:shd w:val="clear" w:color="auto" w:fill="CCECFF"/>
          </w:tcPr>
          <w:p>
            <w:pPr>
              <w:spacing w:after="0"/>
              <w:rPr>
                <w:sz w:val="11"/>
                <w:szCs w:val="11"/>
                <w:color w:val="auto"/>
              </w:rPr>
            </w:pPr>
          </w:p>
        </w:tc>
        <w:tc>
          <w:tcPr>
            <w:tcW w:w="90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7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tcPr>
          <w:p>
            <w:pPr>
              <w:ind w:left="20"/>
              <w:spacing w:after="0"/>
              <w:rPr>
                <w:sz w:val="20"/>
                <w:szCs w:val="20"/>
                <w:color w:val="auto"/>
              </w:rPr>
            </w:pPr>
            <w:r>
              <w:rPr>
                <w:rFonts w:ascii="Arial" w:cs="Arial" w:eastAsia="Arial" w:hAnsi="Arial"/>
                <w:sz w:val="11"/>
                <w:szCs w:val="11"/>
                <w:color w:val="auto"/>
              </w:rPr>
              <w:t>New MPE Holdings, LLC</w:t>
            </w:r>
          </w:p>
        </w:tc>
        <w:tc>
          <w:tcPr>
            <w:tcW w:w="140" w:type="dxa"/>
            <w:vAlign w:val="bottom"/>
          </w:tcPr>
          <w:p>
            <w:pPr>
              <w:spacing w:after="0"/>
              <w:rPr>
                <w:sz w:val="11"/>
                <w:szCs w:val="11"/>
                <w:color w:val="auto"/>
              </w:rPr>
            </w:pPr>
          </w:p>
        </w:tc>
        <w:tc>
          <w:tcPr>
            <w:tcW w:w="680" w:type="dxa"/>
            <w:vAlign w:val="bottom"/>
          </w:tcPr>
          <w:p>
            <w:pPr>
              <w:ind w:left="560"/>
              <w:spacing w:after="0"/>
              <w:rPr>
                <w:sz w:val="20"/>
                <w:szCs w:val="20"/>
                <w:color w:val="auto"/>
              </w:rPr>
            </w:pPr>
            <w:r>
              <w:rPr>
                <w:rFonts w:ascii="Arial" w:cs="Arial" w:eastAsia="Arial" w:hAnsi="Arial"/>
                <w:sz w:val="11"/>
                <w:szCs w:val="11"/>
                <w:color w:val="auto"/>
                <w:w w:val="90"/>
              </w:rPr>
              <w:t>—</w:t>
            </w:r>
          </w:p>
        </w:tc>
        <w:tc>
          <w:tcPr>
            <w:tcW w:w="2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91"/>
              </w:rPr>
              <w:t>Media: Diversified and Production</w:t>
            </w:r>
          </w:p>
        </w:tc>
        <w:tc>
          <w:tcPr>
            <w:tcW w:w="100" w:type="dxa"/>
            <w:vAlign w:val="bottom"/>
          </w:tcPr>
          <w:p>
            <w:pPr>
              <w:spacing w:after="0"/>
              <w:rPr>
                <w:sz w:val="11"/>
                <w:szCs w:val="11"/>
                <w:color w:val="auto"/>
              </w:rPr>
            </w:pPr>
          </w:p>
        </w:tc>
        <w:tc>
          <w:tcPr>
            <w:tcW w:w="1160" w:type="dxa"/>
            <w:vAlign w:val="bottom"/>
            <w:gridSpan w:val="2"/>
          </w:tcPr>
          <w:p>
            <w:pPr>
              <w:jc w:val="right"/>
              <w:ind w:right="386"/>
              <w:spacing w:after="0"/>
              <w:rPr>
                <w:sz w:val="20"/>
                <w:szCs w:val="20"/>
                <w:color w:val="auto"/>
              </w:rPr>
            </w:pPr>
            <w:r>
              <w:rPr>
                <w:rFonts w:ascii="Arial" w:cs="Arial" w:eastAsia="Arial" w:hAnsi="Arial"/>
                <w:sz w:val="11"/>
                <w:szCs w:val="11"/>
                <w:color w:val="auto"/>
              </w:rPr>
              <w:t>—</w:t>
            </w:r>
          </w:p>
        </w:tc>
        <w:tc>
          <w:tcPr>
            <w:tcW w:w="90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336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82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1"/>
                <w:szCs w:val="11"/>
                <w:b w:val="1"/>
                <w:bCs w:val="1"/>
                <w:color w:val="auto"/>
              </w:rPr>
              <w:t>Total Equity Securities</w:t>
            </w:r>
          </w:p>
        </w:tc>
        <w:tc>
          <w:tcPr>
            <w:tcW w:w="140" w:type="dxa"/>
            <w:vAlign w:val="bottom"/>
            <w:tcBorders>
              <w:bottom w:val="single" w:sz="8" w:color="CCECFF"/>
            </w:tcBorders>
            <w:shd w:val="clear" w:color="auto" w:fill="CCECFF"/>
          </w:tcPr>
          <w:p>
            <w:pPr>
              <w:spacing w:after="0"/>
              <w:rPr>
                <w:sz w:val="11"/>
                <w:szCs w:val="11"/>
                <w:color w:val="auto"/>
              </w:rPr>
            </w:pPr>
          </w:p>
        </w:tc>
        <w:tc>
          <w:tcPr>
            <w:tcW w:w="680" w:type="dxa"/>
            <w:vAlign w:val="bottom"/>
            <w:tcBorders>
              <w:bottom w:val="single" w:sz="8" w:color="CCECFF"/>
            </w:tcBorders>
            <w:shd w:val="clear" w:color="auto" w:fill="CCECFF"/>
          </w:tcPr>
          <w:p>
            <w:pPr>
              <w:spacing w:after="0"/>
              <w:rPr>
                <w:sz w:val="11"/>
                <w:szCs w:val="11"/>
                <w:color w:val="auto"/>
              </w:rPr>
            </w:pPr>
          </w:p>
        </w:tc>
        <w:tc>
          <w:tcPr>
            <w:tcW w:w="240" w:type="dxa"/>
            <w:vAlign w:val="bottom"/>
            <w:tcBorders>
              <w:bottom w:val="single" w:sz="8" w:color="CCECFF"/>
            </w:tcBorders>
            <w:shd w:val="clear" w:color="auto" w:fill="CCECFF"/>
          </w:tcPr>
          <w:p>
            <w:pPr>
              <w:spacing w:after="0"/>
              <w:rPr>
                <w:sz w:val="11"/>
                <w:szCs w:val="11"/>
                <w:color w:val="auto"/>
              </w:rPr>
            </w:pPr>
          </w:p>
        </w:tc>
        <w:tc>
          <w:tcPr>
            <w:tcW w:w="2340" w:type="dxa"/>
            <w:vAlign w:val="bottom"/>
            <w:tcBorders>
              <w:bottom w:val="single" w:sz="8" w:color="CCECFF"/>
            </w:tcBorders>
            <w:shd w:val="clear" w:color="auto" w:fill="CCECFF"/>
          </w:tcPr>
          <w:p>
            <w:pPr>
              <w:spacing w:after="0"/>
              <w:rPr>
                <w:sz w:val="11"/>
                <w:szCs w:val="11"/>
                <w:color w:val="auto"/>
              </w:rPr>
            </w:pPr>
          </w:p>
        </w:tc>
        <w:tc>
          <w:tcPr>
            <w:tcW w:w="100" w:type="dxa"/>
            <w:vAlign w:val="bottom"/>
            <w:tcBorders>
              <w:bottom w:val="single" w:sz="8" w:color="CCECFF"/>
            </w:tcBorders>
            <w:shd w:val="clear" w:color="auto" w:fill="CCECFF"/>
          </w:tcPr>
          <w:p>
            <w:pPr>
              <w:spacing w:after="0"/>
              <w:rPr>
                <w:sz w:val="11"/>
                <w:szCs w:val="11"/>
                <w:color w:val="auto"/>
              </w:rPr>
            </w:pPr>
          </w:p>
        </w:tc>
        <w:tc>
          <w:tcPr>
            <w:tcW w:w="740" w:type="dxa"/>
            <w:vAlign w:val="bottom"/>
            <w:tcBorders>
              <w:bottom w:val="single" w:sz="8" w:color="CCECFF"/>
            </w:tcBorders>
            <w:shd w:val="clear" w:color="auto" w:fill="CCECFF"/>
          </w:tcPr>
          <w:p>
            <w:pPr>
              <w:spacing w:after="0"/>
              <w:rPr>
                <w:sz w:val="11"/>
                <w:szCs w:val="11"/>
                <w:color w:val="auto"/>
              </w:rPr>
            </w:pPr>
          </w:p>
        </w:tc>
        <w:tc>
          <w:tcPr>
            <w:tcW w:w="420" w:type="dxa"/>
            <w:vAlign w:val="bottom"/>
            <w:tcBorders>
              <w:bottom w:val="single" w:sz="8" w:color="CCECFF"/>
            </w:tcBorders>
            <w:shd w:val="clear" w:color="auto" w:fill="CCECFF"/>
          </w:tcPr>
          <w:p>
            <w:pPr>
              <w:spacing w:after="0"/>
              <w:rPr>
                <w:sz w:val="11"/>
                <w:szCs w:val="11"/>
                <w:color w:val="auto"/>
              </w:rPr>
            </w:pPr>
          </w:p>
        </w:tc>
        <w:tc>
          <w:tcPr>
            <w:tcW w:w="90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74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auto"/>
            </w:tcBorders>
            <w:shd w:val="clear" w:color="auto" w:fill="CCECFF"/>
          </w:tcPr>
          <w:p>
            <w:pPr>
              <w:spacing w:after="0"/>
              <w:rPr>
                <w:sz w:val="11"/>
                <w:szCs w:val="11"/>
                <w:color w:val="auto"/>
              </w:rPr>
            </w:pPr>
          </w:p>
        </w:tc>
        <w:tc>
          <w:tcPr>
            <w:tcW w:w="5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auto"/>
            </w:tcBorders>
            <w:shd w:val="clear" w:color="auto" w:fill="CCECFF"/>
          </w:tcPr>
          <w:p>
            <w:pPr>
              <w:spacing w:after="0"/>
              <w:rPr>
                <w:sz w:val="11"/>
                <w:szCs w:val="11"/>
                <w:color w:val="auto"/>
              </w:rPr>
            </w:pPr>
          </w:p>
        </w:tc>
        <w:tc>
          <w:tcPr>
            <w:tcW w:w="5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336</w:t>
            </w:r>
          </w:p>
        </w:tc>
        <w:tc>
          <w:tcPr>
            <w:tcW w:w="10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820" w:type="dxa"/>
            <w:vAlign w:val="bottom"/>
          </w:tcPr>
          <w:p>
            <w:pPr>
              <w:ind w:left="20"/>
              <w:spacing w:after="0"/>
              <w:rPr>
                <w:sz w:val="20"/>
                <w:szCs w:val="20"/>
                <w:color w:val="auto"/>
              </w:rPr>
            </w:pPr>
            <w:r>
              <w:rPr>
                <w:rFonts w:ascii="Arial" w:cs="Arial" w:eastAsia="Arial" w:hAnsi="Arial"/>
                <w:sz w:val="11"/>
                <w:szCs w:val="11"/>
                <w:b w:val="1"/>
                <w:bCs w:val="1"/>
                <w:color w:val="auto"/>
              </w:rPr>
              <w:t>Total Investments - 1,112.2%</w:t>
            </w: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752,368</w:t>
            </w:r>
          </w:p>
        </w:tc>
        <w:tc>
          <w:tcPr>
            <w:tcW w:w="2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746,819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820" w:type="dxa"/>
            <w:vAlign w:val="bottom"/>
            <w:shd w:val="clear" w:color="auto" w:fill="CCECFF"/>
          </w:tcPr>
          <w:p>
            <w:pPr>
              <w:ind w:left="20"/>
              <w:spacing w:after="0"/>
              <w:rPr>
                <w:sz w:val="20"/>
                <w:szCs w:val="20"/>
                <w:color w:val="auto"/>
              </w:rPr>
            </w:pPr>
            <w:r>
              <w:rPr>
                <w:rFonts w:ascii="Arial" w:cs="Arial" w:eastAsia="Arial" w:hAnsi="Arial"/>
                <w:sz w:val="11"/>
                <w:szCs w:val="11"/>
                <w:b w:val="1"/>
                <w:bCs w:val="1"/>
                <w:color w:val="auto"/>
              </w:rPr>
              <w:t>Cash and Cash Equivalents - 58.4%</w:t>
            </w:r>
          </w:p>
        </w:tc>
        <w:tc>
          <w:tcPr>
            <w:tcW w:w="1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3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40" w:type="dxa"/>
            <w:vAlign w:val="bottom"/>
            <w:shd w:val="clear" w:color="auto" w:fill="CCECFF"/>
          </w:tcPr>
          <w:p>
            <w:pPr>
              <w:spacing w:after="0"/>
              <w:rPr>
                <w:sz w:val="11"/>
                <w:szCs w:val="11"/>
                <w:color w:val="auto"/>
              </w:rPr>
            </w:pPr>
          </w:p>
        </w:tc>
        <w:tc>
          <w:tcPr>
            <w:tcW w:w="420" w:type="dxa"/>
            <w:vAlign w:val="bottom"/>
            <w:shd w:val="clear" w:color="auto" w:fill="CCECFF"/>
          </w:tcPr>
          <w:p>
            <w:pPr>
              <w:spacing w:after="0"/>
              <w:rPr>
                <w:sz w:val="11"/>
                <w:szCs w:val="11"/>
                <w:color w:val="auto"/>
              </w:rPr>
            </w:pPr>
          </w:p>
        </w:tc>
        <w:tc>
          <w:tcPr>
            <w:tcW w:w="90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7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tcPr>
          <w:p>
            <w:pPr>
              <w:ind w:left="20"/>
              <w:spacing w:after="0"/>
              <w:rPr>
                <w:sz w:val="20"/>
                <w:szCs w:val="20"/>
                <w:color w:val="auto"/>
              </w:rPr>
            </w:pPr>
            <w:r>
              <w:rPr>
                <w:rFonts w:ascii="Arial" w:cs="Arial" w:eastAsia="Arial" w:hAnsi="Arial"/>
                <w:sz w:val="11"/>
                <w:szCs w:val="11"/>
                <w:color w:val="auto"/>
              </w:rPr>
              <w:t>BlackRock Federal FD Institutional 30</w:t>
            </w: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39,197</w:t>
            </w:r>
          </w:p>
        </w:tc>
        <w:tc>
          <w:tcPr>
            <w:tcW w:w="2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39,190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82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1"/>
                <w:szCs w:val="11"/>
                <w:b w:val="1"/>
                <w:bCs w:val="1"/>
                <w:color w:val="auto"/>
              </w:rPr>
              <w:t>Total Cash and Cash Equivalents</w:t>
            </w:r>
          </w:p>
        </w:tc>
        <w:tc>
          <w:tcPr>
            <w:tcW w:w="140" w:type="dxa"/>
            <w:vAlign w:val="bottom"/>
            <w:tcBorders>
              <w:bottom w:val="single" w:sz="8" w:color="CCECFF"/>
            </w:tcBorders>
            <w:shd w:val="clear" w:color="auto" w:fill="CCECFF"/>
          </w:tcPr>
          <w:p>
            <w:pPr>
              <w:spacing w:after="0"/>
              <w:rPr>
                <w:sz w:val="11"/>
                <w:szCs w:val="11"/>
                <w:color w:val="auto"/>
              </w:rPr>
            </w:pPr>
          </w:p>
        </w:tc>
        <w:tc>
          <w:tcPr>
            <w:tcW w:w="680" w:type="dxa"/>
            <w:vAlign w:val="bottom"/>
            <w:tcBorders>
              <w:bottom w:val="single" w:sz="8" w:color="CCECFF"/>
            </w:tcBorders>
            <w:shd w:val="clear" w:color="auto" w:fill="CCECFF"/>
          </w:tcPr>
          <w:p>
            <w:pPr>
              <w:spacing w:after="0"/>
              <w:rPr>
                <w:sz w:val="11"/>
                <w:szCs w:val="11"/>
                <w:color w:val="auto"/>
              </w:rPr>
            </w:pPr>
          </w:p>
        </w:tc>
        <w:tc>
          <w:tcPr>
            <w:tcW w:w="240" w:type="dxa"/>
            <w:vAlign w:val="bottom"/>
            <w:tcBorders>
              <w:bottom w:val="single" w:sz="8" w:color="CCECFF"/>
            </w:tcBorders>
            <w:shd w:val="clear" w:color="auto" w:fill="CCECFF"/>
          </w:tcPr>
          <w:p>
            <w:pPr>
              <w:spacing w:after="0"/>
              <w:rPr>
                <w:sz w:val="11"/>
                <w:szCs w:val="11"/>
                <w:color w:val="auto"/>
              </w:rPr>
            </w:pPr>
          </w:p>
        </w:tc>
        <w:tc>
          <w:tcPr>
            <w:tcW w:w="2340" w:type="dxa"/>
            <w:vAlign w:val="bottom"/>
            <w:tcBorders>
              <w:bottom w:val="single" w:sz="8" w:color="CCECFF"/>
            </w:tcBorders>
            <w:shd w:val="clear" w:color="auto" w:fill="CCECFF"/>
          </w:tcPr>
          <w:p>
            <w:pPr>
              <w:spacing w:after="0"/>
              <w:rPr>
                <w:sz w:val="11"/>
                <w:szCs w:val="11"/>
                <w:color w:val="auto"/>
              </w:rPr>
            </w:pPr>
          </w:p>
        </w:tc>
        <w:tc>
          <w:tcPr>
            <w:tcW w:w="100" w:type="dxa"/>
            <w:vAlign w:val="bottom"/>
            <w:tcBorders>
              <w:bottom w:val="single" w:sz="8" w:color="CCECFF"/>
            </w:tcBorders>
            <w:shd w:val="clear" w:color="auto" w:fill="CCECFF"/>
          </w:tcPr>
          <w:p>
            <w:pPr>
              <w:spacing w:after="0"/>
              <w:rPr>
                <w:sz w:val="11"/>
                <w:szCs w:val="11"/>
                <w:color w:val="auto"/>
              </w:rPr>
            </w:pPr>
          </w:p>
        </w:tc>
        <w:tc>
          <w:tcPr>
            <w:tcW w:w="740" w:type="dxa"/>
            <w:vAlign w:val="bottom"/>
            <w:tcBorders>
              <w:bottom w:val="single" w:sz="8" w:color="CCECFF"/>
            </w:tcBorders>
            <w:shd w:val="clear" w:color="auto" w:fill="CCECFF"/>
          </w:tcPr>
          <w:p>
            <w:pPr>
              <w:spacing w:after="0"/>
              <w:rPr>
                <w:sz w:val="11"/>
                <w:szCs w:val="11"/>
                <w:color w:val="auto"/>
              </w:rPr>
            </w:pPr>
          </w:p>
        </w:tc>
        <w:tc>
          <w:tcPr>
            <w:tcW w:w="420" w:type="dxa"/>
            <w:vAlign w:val="bottom"/>
            <w:tcBorders>
              <w:bottom w:val="single" w:sz="8" w:color="CCECFF"/>
            </w:tcBorders>
            <w:shd w:val="clear" w:color="auto" w:fill="CCECFF"/>
          </w:tcPr>
          <w:p>
            <w:pPr>
              <w:spacing w:after="0"/>
              <w:rPr>
                <w:sz w:val="11"/>
                <w:szCs w:val="11"/>
                <w:color w:val="auto"/>
              </w:rPr>
            </w:pPr>
          </w:p>
        </w:tc>
        <w:tc>
          <w:tcPr>
            <w:tcW w:w="90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74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auto"/>
            </w:tcBorders>
            <w:shd w:val="clear" w:color="auto" w:fill="CCECFF"/>
          </w:tcPr>
          <w:p>
            <w:pPr>
              <w:spacing w:after="0"/>
              <w:rPr>
                <w:sz w:val="11"/>
                <w:szCs w:val="11"/>
                <w:color w:val="auto"/>
              </w:rPr>
            </w:pPr>
          </w:p>
        </w:tc>
        <w:tc>
          <w:tcPr>
            <w:tcW w:w="5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39,197</w:t>
            </w:r>
          </w:p>
        </w:tc>
        <w:tc>
          <w:tcPr>
            <w:tcW w:w="22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auto"/>
            </w:tcBorders>
            <w:shd w:val="clear" w:color="auto" w:fill="CCECFF"/>
          </w:tcPr>
          <w:p>
            <w:pPr>
              <w:spacing w:after="0"/>
              <w:rPr>
                <w:sz w:val="11"/>
                <w:szCs w:val="11"/>
                <w:color w:val="auto"/>
              </w:rPr>
            </w:pPr>
          </w:p>
        </w:tc>
        <w:tc>
          <w:tcPr>
            <w:tcW w:w="5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39,190</w:t>
            </w:r>
          </w:p>
        </w:tc>
        <w:tc>
          <w:tcPr>
            <w:tcW w:w="10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820" w:type="dxa"/>
            <w:vAlign w:val="bottom"/>
          </w:tcPr>
          <w:p>
            <w:pPr>
              <w:ind w:left="20"/>
              <w:spacing w:after="0"/>
              <w:rPr>
                <w:sz w:val="20"/>
                <w:szCs w:val="20"/>
                <w:color w:val="auto"/>
              </w:rPr>
            </w:pPr>
            <w:r>
              <w:rPr>
                <w:rFonts w:ascii="Arial" w:cs="Arial" w:eastAsia="Arial" w:hAnsi="Arial"/>
                <w:sz w:val="11"/>
                <w:szCs w:val="11"/>
                <w:b w:val="1"/>
                <w:bCs w:val="1"/>
                <w:color w:val="auto"/>
              </w:rPr>
              <w:t>Total Investments and Cash Equivalents —1,170.5%</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791,565</w:t>
            </w:r>
          </w:p>
        </w:tc>
        <w:tc>
          <w:tcPr>
            <w:tcW w:w="220" w:type="dxa"/>
            <w:vAlign w:val="bottom"/>
          </w:tcPr>
          <w:p>
            <w:pPr>
              <w:spacing w:after="0"/>
              <w:rPr>
                <w:sz w:val="12"/>
                <w:szCs w:val="12"/>
                <w:color w:val="auto"/>
              </w:rPr>
            </w:pPr>
          </w:p>
        </w:tc>
        <w:tc>
          <w:tcPr>
            <w:tcW w:w="16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786,009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820" w:type="dxa"/>
            <w:vAlign w:val="bottom"/>
            <w:tcBorders>
              <w:bottom w:val="single" w:sz="8" w:color="CCECFF"/>
            </w:tcBorders>
            <w:shd w:val="clear" w:color="auto" w:fill="CCECFF"/>
          </w:tcPr>
          <w:p>
            <w:pPr>
              <w:ind w:left="20"/>
              <w:spacing w:after="0" w:line="102" w:lineRule="exact"/>
              <w:rPr>
                <w:sz w:val="20"/>
                <w:szCs w:val="20"/>
                <w:color w:val="auto"/>
              </w:rPr>
            </w:pPr>
            <w:r>
              <w:rPr>
                <w:rFonts w:ascii="Arial" w:cs="Arial" w:eastAsia="Arial" w:hAnsi="Arial"/>
                <w:sz w:val="11"/>
                <w:szCs w:val="11"/>
                <w:b w:val="1"/>
                <w:bCs w:val="1"/>
                <w:color w:val="auto"/>
              </w:rPr>
              <w:t>Liabilities in Excess of Other Assets — (1,070.5)%</w:t>
            </w:r>
          </w:p>
        </w:tc>
        <w:tc>
          <w:tcPr>
            <w:tcW w:w="140" w:type="dxa"/>
            <w:vAlign w:val="bottom"/>
            <w:tcBorders>
              <w:bottom w:val="single" w:sz="8" w:color="CCECFF"/>
            </w:tcBorders>
            <w:shd w:val="clear" w:color="auto" w:fill="CCECFF"/>
          </w:tcPr>
          <w:p>
            <w:pPr>
              <w:spacing w:after="0"/>
              <w:rPr>
                <w:sz w:val="8"/>
                <w:szCs w:val="8"/>
                <w:color w:val="auto"/>
              </w:rPr>
            </w:pPr>
          </w:p>
        </w:tc>
        <w:tc>
          <w:tcPr>
            <w:tcW w:w="680" w:type="dxa"/>
            <w:vAlign w:val="bottom"/>
            <w:tcBorders>
              <w:bottom w:val="single" w:sz="8" w:color="CCECFF"/>
            </w:tcBorders>
            <w:shd w:val="clear" w:color="auto" w:fill="CCECFF"/>
          </w:tcPr>
          <w:p>
            <w:pPr>
              <w:spacing w:after="0"/>
              <w:rPr>
                <w:sz w:val="8"/>
                <w:szCs w:val="8"/>
                <w:color w:val="auto"/>
              </w:rPr>
            </w:pPr>
          </w:p>
        </w:tc>
        <w:tc>
          <w:tcPr>
            <w:tcW w:w="240" w:type="dxa"/>
            <w:vAlign w:val="bottom"/>
            <w:tcBorders>
              <w:bottom w:val="single" w:sz="8" w:color="CCECFF"/>
            </w:tcBorders>
            <w:shd w:val="clear" w:color="auto" w:fill="CCECFF"/>
          </w:tcPr>
          <w:p>
            <w:pPr>
              <w:spacing w:after="0"/>
              <w:rPr>
                <w:sz w:val="8"/>
                <w:szCs w:val="8"/>
                <w:color w:val="auto"/>
              </w:rPr>
            </w:pPr>
          </w:p>
        </w:tc>
        <w:tc>
          <w:tcPr>
            <w:tcW w:w="2340" w:type="dxa"/>
            <w:vAlign w:val="bottom"/>
            <w:tcBorders>
              <w:bottom w:val="single" w:sz="8" w:color="CCECFF"/>
            </w:tcBorders>
            <w:shd w:val="clear" w:color="auto" w:fill="CCECFF"/>
          </w:tcPr>
          <w:p>
            <w:pPr>
              <w:spacing w:after="0"/>
              <w:rPr>
                <w:sz w:val="8"/>
                <w:szCs w:val="8"/>
                <w:color w:val="auto"/>
              </w:rPr>
            </w:pPr>
          </w:p>
        </w:tc>
        <w:tc>
          <w:tcPr>
            <w:tcW w:w="100" w:type="dxa"/>
            <w:vAlign w:val="bottom"/>
            <w:tcBorders>
              <w:bottom w:val="single" w:sz="8" w:color="CCECFF"/>
            </w:tcBorders>
            <w:shd w:val="clear" w:color="auto" w:fill="CCECFF"/>
          </w:tcPr>
          <w:p>
            <w:pPr>
              <w:spacing w:after="0"/>
              <w:rPr>
                <w:sz w:val="8"/>
                <w:szCs w:val="8"/>
                <w:color w:val="auto"/>
              </w:rPr>
            </w:pPr>
          </w:p>
        </w:tc>
        <w:tc>
          <w:tcPr>
            <w:tcW w:w="740" w:type="dxa"/>
            <w:vAlign w:val="bottom"/>
            <w:tcBorders>
              <w:bottom w:val="single" w:sz="8" w:color="CCECFF"/>
            </w:tcBorders>
            <w:shd w:val="clear" w:color="auto" w:fill="CCECFF"/>
          </w:tcPr>
          <w:p>
            <w:pPr>
              <w:spacing w:after="0"/>
              <w:rPr>
                <w:sz w:val="8"/>
                <w:szCs w:val="8"/>
                <w:color w:val="auto"/>
              </w:rPr>
            </w:pPr>
          </w:p>
        </w:tc>
        <w:tc>
          <w:tcPr>
            <w:tcW w:w="420" w:type="dxa"/>
            <w:vAlign w:val="bottom"/>
            <w:tcBorders>
              <w:bottom w:val="single" w:sz="8" w:color="CCECFF"/>
            </w:tcBorders>
            <w:shd w:val="clear" w:color="auto" w:fill="CCECFF"/>
          </w:tcPr>
          <w:p>
            <w:pPr>
              <w:spacing w:after="0"/>
              <w:rPr>
                <w:sz w:val="8"/>
                <w:szCs w:val="8"/>
                <w:color w:val="auto"/>
              </w:rPr>
            </w:pPr>
          </w:p>
        </w:tc>
        <w:tc>
          <w:tcPr>
            <w:tcW w:w="900" w:type="dxa"/>
            <w:vAlign w:val="bottom"/>
            <w:tcBorders>
              <w:bottom w:val="single" w:sz="8" w:color="CCECFF"/>
            </w:tcBorders>
            <w:shd w:val="clear" w:color="auto" w:fill="CCECFF"/>
          </w:tcPr>
          <w:p>
            <w:pPr>
              <w:spacing w:after="0"/>
              <w:rPr>
                <w:sz w:val="8"/>
                <w:szCs w:val="8"/>
                <w:color w:val="auto"/>
              </w:rPr>
            </w:pPr>
          </w:p>
        </w:tc>
        <w:tc>
          <w:tcPr>
            <w:tcW w:w="220" w:type="dxa"/>
            <w:vAlign w:val="bottom"/>
            <w:tcBorders>
              <w:bottom w:val="single" w:sz="8" w:color="CCECFF"/>
            </w:tcBorders>
            <w:shd w:val="clear" w:color="auto" w:fill="CCECFF"/>
          </w:tcPr>
          <w:p>
            <w:pPr>
              <w:spacing w:after="0"/>
              <w:rPr>
                <w:sz w:val="8"/>
                <w:szCs w:val="8"/>
                <w:color w:val="auto"/>
              </w:rPr>
            </w:pPr>
          </w:p>
        </w:tc>
        <w:tc>
          <w:tcPr>
            <w:tcW w:w="740" w:type="dxa"/>
            <w:vAlign w:val="bottom"/>
            <w:tcBorders>
              <w:bottom w:val="single" w:sz="8" w:color="CCECFF"/>
            </w:tcBorders>
            <w:shd w:val="clear" w:color="auto" w:fill="CCECFF"/>
          </w:tcPr>
          <w:p>
            <w:pPr>
              <w:spacing w:after="0"/>
              <w:rPr>
                <w:sz w:val="8"/>
                <w:szCs w:val="8"/>
                <w:color w:val="auto"/>
              </w:rPr>
            </w:pPr>
          </w:p>
        </w:tc>
        <w:tc>
          <w:tcPr>
            <w:tcW w:w="220" w:type="dxa"/>
            <w:vAlign w:val="bottom"/>
            <w:tcBorders>
              <w:bottom w:val="single" w:sz="8" w:color="CCECFF"/>
            </w:tcBorders>
            <w:shd w:val="clear" w:color="auto" w:fill="CCECFF"/>
          </w:tcPr>
          <w:p>
            <w:pPr>
              <w:spacing w:after="0"/>
              <w:rPr>
                <w:sz w:val="8"/>
                <w:szCs w:val="8"/>
                <w:color w:val="auto"/>
              </w:rPr>
            </w:pPr>
          </w:p>
        </w:tc>
        <w:tc>
          <w:tcPr>
            <w:tcW w:w="140" w:type="dxa"/>
            <w:vAlign w:val="bottom"/>
            <w:tcBorders>
              <w:top w:val="single" w:sz="8" w:color="auto"/>
              <w:bottom w:val="single" w:sz="8" w:color="CCECFF"/>
            </w:tcBorders>
            <w:shd w:val="clear" w:color="auto" w:fill="CCECFF"/>
          </w:tcPr>
          <w:p>
            <w:pPr>
              <w:spacing w:after="0"/>
              <w:rPr>
                <w:sz w:val="8"/>
                <w:szCs w:val="8"/>
                <w:color w:val="auto"/>
              </w:rPr>
            </w:pPr>
          </w:p>
        </w:tc>
        <w:tc>
          <w:tcPr>
            <w:tcW w:w="540" w:type="dxa"/>
            <w:vAlign w:val="bottom"/>
            <w:tcBorders>
              <w:top w:val="single" w:sz="8" w:color="auto"/>
              <w:bottom w:val="single" w:sz="8" w:color="CCECFF"/>
            </w:tcBorders>
            <w:shd w:val="clear" w:color="auto" w:fill="CCECFF"/>
          </w:tcPr>
          <w:p>
            <w:pPr>
              <w:spacing w:after="0"/>
              <w:rPr>
                <w:sz w:val="8"/>
                <w:szCs w:val="8"/>
                <w:color w:val="auto"/>
              </w:rPr>
            </w:pPr>
          </w:p>
        </w:tc>
        <w:tc>
          <w:tcPr>
            <w:tcW w:w="220" w:type="dxa"/>
            <w:vAlign w:val="bottom"/>
            <w:tcBorders>
              <w:bottom w:val="single" w:sz="8" w:color="CCECFF"/>
            </w:tcBorders>
            <w:shd w:val="clear" w:color="auto" w:fill="CCECFF"/>
          </w:tcPr>
          <w:p>
            <w:pPr>
              <w:spacing w:after="0"/>
              <w:rPr>
                <w:sz w:val="8"/>
                <w:szCs w:val="8"/>
                <w:color w:val="auto"/>
              </w:rPr>
            </w:pPr>
          </w:p>
        </w:tc>
        <w:tc>
          <w:tcPr>
            <w:tcW w:w="160" w:type="dxa"/>
            <w:vAlign w:val="bottom"/>
            <w:tcBorders>
              <w:top w:val="single" w:sz="8" w:color="auto"/>
              <w:bottom w:val="single" w:sz="8" w:color="auto"/>
            </w:tcBorders>
            <w:shd w:val="clear" w:color="auto" w:fill="CCECFF"/>
          </w:tcPr>
          <w:p>
            <w:pPr>
              <w:spacing w:after="0"/>
              <w:rPr>
                <w:sz w:val="8"/>
                <w:szCs w:val="8"/>
                <w:color w:val="auto"/>
              </w:rPr>
            </w:pPr>
          </w:p>
        </w:tc>
        <w:tc>
          <w:tcPr>
            <w:tcW w:w="520" w:type="dxa"/>
            <w:vAlign w:val="bottom"/>
            <w:tcBorders>
              <w:top w:val="single" w:sz="8" w:color="auto"/>
              <w:bottom w:val="single" w:sz="8" w:color="auto"/>
            </w:tcBorders>
            <w:shd w:val="clear" w:color="auto" w:fill="CCECFF"/>
          </w:tcPr>
          <w:p>
            <w:pPr>
              <w:jc w:val="right"/>
              <w:spacing w:after="0" w:line="102" w:lineRule="exact"/>
              <w:rPr>
                <w:sz w:val="20"/>
                <w:szCs w:val="20"/>
                <w:color w:val="auto"/>
              </w:rPr>
            </w:pPr>
            <w:r>
              <w:rPr>
                <w:rFonts w:ascii="Arial" w:cs="Arial" w:eastAsia="Arial" w:hAnsi="Arial"/>
                <w:sz w:val="11"/>
                <w:szCs w:val="11"/>
                <w:color w:val="auto"/>
              </w:rPr>
              <w:t>(718,859</w:t>
            </w:r>
          </w:p>
        </w:tc>
        <w:tc>
          <w:tcPr>
            <w:tcW w:w="100" w:type="dxa"/>
            <w:vAlign w:val="bottom"/>
            <w:tcBorders>
              <w:bottom w:val="single" w:sz="8" w:color="CCECFF"/>
            </w:tcBorders>
            <w:shd w:val="clear" w:color="auto" w:fill="CCECFF"/>
          </w:tcPr>
          <w:p>
            <w:pPr>
              <w:jc w:val="right"/>
              <w:ind w:right="22"/>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42"/>
        </w:trPr>
        <w:tc>
          <w:tcPr>
            <w:tcW w:w="2820" w:type="dxa"/>
            <w:vAlign w:val="bottom"/>
          </w:tcPr>
          <w:p>
            <w:pPr>
              <w:ind w:left="20"/>
              <w:spacing w:after="0"/>
              <w:rPr>
                <w:sz w:val="20"/>
                <w:szCs w:val="20"/>
                <w:color w:val="auto"/>
              </w:rPr>
            </w:pPr>
            <w:r>
              <w:rPr>
                <w:rFonts w:ascii="Arial" w:cs="Arial" w:eastAsia="Arial" w:hAnsi="Arial"/>
                <w:sz w:val="11"/>
                <w:szCs w:val="11"/>
                <w:b w:val="1"/>
                <w:bCs w:val="1"/>
                <w:color w:val="auto"/>
              </w:rPr>
              <w:t>Members' Equity—100.0%</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gridSpan w:val="2"/>
          </w:tcPr>
          <w:p>
            <w:pPr>
              <w:jc w:val="right"/>
              <w:ind w:right="50"/>
              <w:spacing w:after="0"/>
              <w:rPr>
                <w:sz w:val="20"/>
                <w:szCs w:val="20"/>
                <w:color w:val="auto"/>
              </w:rPr>
            </w:pPr>
            <w:r>
              <w:rPr>
                <w:rFonts w:ascii="Arial" w:cs="Arial" w:eastAsia="Arial" w:hAnsi="Arial"/>
                <w:sz w:val="11"/>
                <w:szCs w:val="11"/>
                <w:color w:val="auto"/>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67,149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6503035</wp:posOffset>
            </wp:positionH>
            <wp:positionV relativeFrom="paragraph">
              <wp:posOffset>-1325245</wp:posOffset>
            </wp:positionV>
            <wp:extent cx="68580" cy="571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-1325245</wp:posOffset>
            </wp:positionV>
            <wp:extent cx="68580" cy="571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-1059180</wp:posOffset>
            </wp:positionV>
            <wp:extent cx="68580" cy="571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-1059180</wp:posOffset>
            </wp:positionV>
            <wp:extent cx="68580" cy="571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-690880</wp:posOffset>
            </wp:positionV>
            <wp:extent cx="68580" cy="571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-690880</wp:posOffset>
            </wp:positionV>
            <wp:extent cx="68580" cy="571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-321945</wp:posOffset>
            </wp:positionV>
            <wp:extent cx="68580" cy="571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-321945</wp:posOffset>
            </wp:positionV>
            <wp:extent cx="68580" cy="571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-116205</wp:posOffset>
            </wp:positionV>
            <wp:extent cx="68580" cy="571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1191260" cy="88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119126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380" w:right="20" w:hanging="372"/>
        <w:spacing w:after="0" w:line="215" w:lineRule="auto"/>
        <w:tabs>
          <w:tab w:leader="none" w:pos="380" w:val="left"/>
        </w:tabs>
        <w:numPr>
          <w:ilvl w:val="0"/>
          <w:numId w:val="24"/>
        </w:numPr>
        <w:rPr>
          <w:rFonts w:ascii="Arial" w:cs="Arial" w:eastAsia="Arial" w:hAnsi="Arial"/>
          <w:sz w:val="14"/>
          <w:szCs w:val="14"/>
          <w:color w:val="auto"/>
          <w:vertAlign w:val="superscript"/>
        </w:rPr>
      </w:pPr>
      <w:r>
        <w:rPr>
          <w:rFonts w:ascii="Arial" w:cs="Arial" w:eastAsia="Arial" w:hAnsi="Arial"/>
          <w:sz w:val="11"/>
          <w:szCs w:val="11"/>
          <w:color w:val="auto"/>
        </w:rPr>
        <w:t>Represents floating rate instruments that accrue interest at a predetermined spread relative to an index, typically the applicable LIBOR or “L” or Prime rate or “P”. The spread may change based on the type of rate used. The terms in the Schedule of Investments disclose the actual interest rate in effect as of the reporting period. LIBOR loans are typically indexed to a 30-day, 60-day, 90-day or 180-day LIBOR rate (1M L, 2M L, 3M L, or 6M L, respectively), at the borrower’s option. All securities are subject to a LIBOR or Prime rate floor where a spread is provided, unless noted. The spread provided includes PIK interest and other fee rates, if any.</w:t>
      </w:r>
    </w:p>
    <w:p>
      <w:pPr>
        <w:spacing w:after="0" w:line="1" w:lineRule="exact"/>
        <w:rPr>
          <w:rFonts w:ascii="Arial" w:cs="Arial" w:eastAsia="Arial" w:hAnsi="Arial"/>
          <w:sz w:val="14"/>
          <w:szCs w:val="14"/>
          <w:color w:val="auto"/>
          <w:vertAlign w:val="superscript"/>
        </w:rPr>
      </w:pPr>
    </w:p>
    <w:p>
      <w:pPr>
        <w:ind w:left="380" w:hanging="372"/>
        <w:spacing w:after="0" w:line="181" w:lineRule="auto"/>
        <w:tabs>
          <w:tab w:leader="none" w:pos="380" w:val="left"/>
        </w:tabs>
        <w:numPr>
          <w:ilvl w:val="0"/>
          <w:numId w:val="24"/>
        </w:numPr>
        <w:rPr>
          <w:rFonts w:ascii="Arial" w:cs="Arial" w:eastAsia="Arial" w:hAnsi="Arial"/>
          <w:sz w:val="14"/>
          <w:szCs w:val="14"/>
          <w:color w:val="auto"/>
          <w:vertAlign w:val="superscript"/>
        </w:rPr>
      </w:pPr>
      <w:r>
        <w:rPr>
          <w:rFonts w:ascii="Arial" w:cs="Arial" w:eastAsia="Arial" w:hAnsi="Arial"/>
          <w:sz w:val="11"/>
          <w:szCs w:val="11"/>
          <w:color w:val="auto"/>
        </w:rPr>
        <w:t>Valued based on PSSL’s accounting policy.</w:t>
      </w:r>
    </w:p>
    <w:p>
      <w:pPr>
        <w:ind w:left="380" w:hanging="372"/>
        <w:spacing w:after="0" w:line="181" w:lineRule="auto"/>
        <w:tabs>
          <w:tab w:leader="none" w:pos="380" w:val="left"/>
        </w:tabs>
        <w:numPr>
          <w:ilvl w:val="0"/>
          <w:numId w:val="24"/>
        </w:numPr>
        <w:rPr>
          <w:rFonts w:ascii="Arial" w:cs="Arial" w:eastAsia="Arial" w:hAnsi="Arial"/>
          <w:sz w:val="14"/>
          <w:szCs w:val="14"/>
          <w:color w:val="auto"/>
          <w:vertAlign w:val="superscript"/>
        </w:rPr>
      </w:pPr>
      <w:r>
        <w:rPr>
          <w:rFonts w:ascii="Arial" w:cs="Arial" w:eastAsia="Arial" w:hAnsi="Arial"/>
          <w:sz w:val="11"/>
          <w:szCs w:val="11"/>
          <w:color w:val="auto"/>
        </w:rPr>
        <w:t>Non-U.S. company or principal place of business outside the United States.</w:t>
      </w:r>
    </w:p>
    <w:p>
      <w:pPr>
        <w:ind w:left="380" w:hanging="372"/>
        <w:spacing w:after="0" w:line="181" w:lineRule="auto"/>
        <w:tabs>
          <w:tab w:leader="none" w:pos="380" w:val="left"/>
        </w:tabs>
        <w:numPr>
          <w:ilvl w:val="0"/>
          <w:numId w:val="24"/>
        </w:numPr>
        <w:rPr>
          <w:rFonts w:ascii="Arial" w:cs="Arial" w:eastAsia="Arial" w:hAnsi="Arial"/>
          <w:sz w:val="14"/>
          <w:szCs w:val="14"/>
          <w:color w:val="auto"/>
          <w:vertAlign w:val="superscript"/>
        </w:rPr>
      </w:pPr>
      <w:r>
        <w:rPr>
          <w:rFonts w:ascii="Arial" w:cs="Arial" w:eastAsia="Arial" w:hAnsi="Arial"/>
          <w:sz w:val="11"/>
          <w:szCs w:val="11"/>
          <w:color w:val="auto"/>
        </w:rPr>
        <w:t>Non-income producing security.</w:t>
      </w:r>
    </w:p>
    <w:p>
      <w:pPr>
        <w:ind w:left="380" w:hanging="372"/>
        <w:spacing w:after="0" w:line="191" w:lineRule="auto"/>
        <w:tabs>
          <w:tab w:leader="none" w:pos="380" w:val="left"/>
        </w:tabs>
        <w:numPr>
          <w:ilvl w:val="0"/>
          <w:numId w:val="24"/>
        </w:numPr>
        <w:rPr>
          <w:rFonts w:ascii="Arial" w:cs="Arial" w:eastAsia="Arial" w:hAnsi="Arial"/>
          <w:sz w:val="14"/>
          <w:szCs w:val="14"/>
          <w:color w:val="auto"/>
          <w:vertAlign w:val="superscript"/>
        </w:rPr>
      </w:pPr>
      <w:r>
        <w:rPr>
          <w:rFonts w:ascii="Arial" w:cs="Arial" w:eastAsia="Arial" w:hAnsi="Arial"/>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50" w:name="page51"/>
    <w:bookmarkEnd w:id="50"/>
    <w:p>
      <w:pPr>
        <w:ind w:left="460"/>
        <w:spacing w:after="0"/>
        <w:rPr>
          <w:sz w:val="20"/>
          <w:szCs w:val="20"/>
          <w:color w:val="auto"/>
        </w:rPr>
      </w:pPr>
      <w:r>
        <w:rPr>
          <w:rFonts w:ascii="Arial" w:cs="Arial" w:eastAsia="Arial" w:hAnsi="Arial"/>
          <w:sz w:val="14"/>
          <w:szCs w:val="14"/>
          <w:color w:val="auto"/>
        </w:rPr>
        <w:t>Below is a listing of PSSL’s individual investments as of September 30, 2021 ($ in thousands):</w:t>
      </w:r>
    </w:p>
    <w:tbl>
      <w:tblPr>
        <w:tblLayout w:type="fixed"/>
        <w:tblInd w:w="0" w:type="dxa"/>
        <w:tblCellMar>
          <w:top w:w="0" w:type="dxa"/>
          <w:left w:w="0" w:type="dxa"/>
          <w:bottom w:w="0" w:type="dxa"/>
          <w:right w:w="0" w:type="dxa"/>
        </w:tblCellMar>
      </w:tblPr>
      <w:tr>
        <w:trPr>
          <w:trHeight w:val="114"/>
        </w:trPr>
        <w:tc>
          <w:tcPr>
            <w:tcW w:w="29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2"/>
            <w:vMerge w:val="restart"/>
          </w:tcPr>
          <w:p>
            <w:pPr>
              <w:jc w:val="right"/>
              <w:ind w:right="440"/>
              <w:spacing w:after="0"/>
              <w:rPr>
                <w:sz w:val="20"/>
                <w:szCs w:val="20"/>
                <w:color w:val="auto"/>
              </w:rPr>
            </w:pPr>
            <w:r>
              <w:rPr>
                <w:rFonts w:ascii="Arial" w:cs="Arial" w:eastAsia="Arial" w:hAnsi="Arial"/>
                <w:sz w:val="11"/>
                <w:szCs w:val="11"/>
                <w:b w:val="1"/>
                <w:bCs w:val="1"/>
                <w:color w:val="auto"/>
              </w:rPr>
              <w:t>Current</w:t>
            </w:r>
          </w:p>
        </w:tc>
        <w:tc>
          <w:tcPr>
            <w:tcW w:w="780" w:type="dxa"/>
            <w:vAlign w:val="bottom"/>
          </w:tcPr>
          <w:p>
            <w:pPr>
              <w:jc w:val="center"/>
              <w:spacing w:after="0" w:line="114" w:lineRule="exact"/>
              <w:rPr>
                <w:sz w:val="20"/>
                <w:szCs w:val="20"/>
                <w:color w:val="auto"/>
              </w:rPr>
            </w:pPr>
            <w:r>
              <w:rPr>
                <w:rFonts w:ascii="Arial" w:cs="Arial" w:eastAsia="Arial" w:hAnsi="Arial"/>
                <w:sz w:val="11"/>
                <w:szCs w:val="11"/>
                <w:b w:val="1"/>
                <w:bCs w:val="1"/>
                <w:color w:val="auto"/>
                <w:w w:val="86"/>
              </w:rPr>
              <w:t>Basis Point</w:t>
            </w: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9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Issuer Name</w:t>
            </w:r>
          </w:p>
        </w:tc>
        <w:tc>
          <w:tcPr>
            <w:tcW w:w="140" w:type="dxa"/>
            <w:vAlign w:val="bottom"/>
          </w:tcPr>
          <w:p>
            <w:pPr>
              <w:spacing w:after="0"/>
              <w:rPr>
                <w:sz w:val="9"/>
                <w:szCs w:val="9"/>
                <w:color w:val="auto"/>
              </w:rPr>
            </w:pP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Maturity</w:t>
            </w:r>
          </w:p>
        </w:tc>
        <w:tc>
          <w:tcPr>
            <w:tcW w:w="120" w:type="dxa"/>
            <w:vAlign w:val="bottom"/>
          </w:tcPr>
          <w:p>
            <w:pPr>
              <w:spacing w:after="0"/>
              <w:rPr>
                <w:sz w:val="9"/>
                <w:szCs w:val="9"/>
                <w:color w:val="auto"/>
              </w:rPr>
            </w:pPr>
          </w:p>
        </w:tc>
        <w:tc>
          <w:tcPr>
            <w:tcW w:w="246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6"/>
              </w:rPr>
              <w:t>Industry</w:t>
            </w:r>
          </w:p>
        </w:tc>
        <w:tc>
          <w:tcPr>
            <w:tcW w:w="12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78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86"/>
              </w:rPr>
              <w:t>Spread Above</w:t>
            </w:r>
          </w:p>
        </w:tc>
        <w:tc>
          <w:tcPr>
            <w:tcW w:w="120" w:type="dxa"/>
            <w:vAlign w:val="bottom"/>
          </w:tcPr>
          <w:p>
            <w:pPr>
              <w:spacing w:after="0"/>
              <w:rPr>
                <w:sz w:val="9"/>
                <w:szCs w:val="9"/>
                <w:color w:val="auto"/>
              </w:rPr>
            </w:pPr>
          </w:p>
        </w:tc>
        <w:tc>
          <w:tcPr>
            <w:tcW w:w="740" w:type="dxa"/>
            <w:vAlign w:val="bottom"/>
            <w:vMerge w:val="restart"/>
          </w:tcPr>
          <w:p>
            <w:pPr>
              <w:jc w:val="right"/>
              <w:ind w:right="226"/>
              <w:spacing w:after="0"/>
              <w:rPr>
                <w:sz w:val="20"/>
                <w:szCs w:val="20"/>
                <w:color w:val="auto"/>
              </w:rPr>
            </w:pPr>
            <w:r>
              <w:rPr>
                <w:rFonts w:ascii="Arial" w:cs="Arial" w:eastAsia="Arial" w:hAnsi="Arial"/>
                <w:sz w:val="11"/>
                <w:szCs w:val="11"/>
                <w:b w:val="1"/>
                <w:bCs w:val="1"/>
                <w:color w:val="auto"/>
              </w:rPr>
              <w:t>Par</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vMerge w:val="restart"/>
          </w:tcPr>
          <w:p>
            <w:pPr>
              <w:jc w:val="right"/>
              <w:ind w:right="206"/>
              <w:spacing w:after="0"/>
              <w:rPr>
                <w:sz w:val="20"/>
                <w:szCs w:val="20"/>
                <w:color w:val="auto"/>
              </w:rPr>
            </w:pPr>
            <w:r>
              <w:rPr>
                <w:rFonts w:ascii="Arial" w:cs="Arial" w:eastAsia="Arial" w:hAnsi="Arial"/>
                <w:sz w:val="11"/>
                <w:szCs w:val="11"/>
                <w:b w:val="1"/>
                <w:bCs w:val="1"/>
                <w:color w:val="auto"/>
              </w:rPr>
              <w:t>Cost</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vMerge w:val="restart"/>
          </w:tcPr>
          <w:p>
            <w:pPr>
              <w:jc w:val="right"/>
              <w:ind w:right="66"/>
              <w:spacing w:after="0"/>
              <w:rPr>
                <w:sz w:val="20"/>
                <w:szCs w:val="20"/>
                <w:color w:val="auto"/>
              </w:rPr>
            </w:pPr>
            <w:r>
              <w:rPr>
                <w:rFonts w:ascii="Arial" w:cs="Arial" w:eastAsia="Arial" w:hAnsi="Arial"/>
                <w:sz w:val="11"/>
                <w:szCs w:val="11"/>
                <w:b w:val="1"/>
                <w:bCs w:val="1"/>
                <w:color w:val="auto"/>
                <w:w w:val="92"/>
              </w:rPr>
              <w:t xml:space="preserve">Fair Value </w:t>
            </w:r>
            <w:r>
              <w:rPr>
                <w:rFonts w:ascii="Arial" w:cs="Arial" w:eastAsia="Arial" w:hAnsi="Arial"/>
                <w:sz w:val="14"/>
                <w:szCs w:val="14"/>
                <w:b w:val="1"/>
                <w:bCs w:val="1"/>
                <w:color w:val="auto"/>
                <w:w w:val="92"/>
                <w:vertAlign w:val="superscript"/>
              </w:rPr>
              <w:t>(2)</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9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4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1"/>
                <w:szCs w:val="11"/>
                <w:b w:val="1"/>
                <w:bCs w:val="1"/>
                <w:color w:val="auto"/>
              </w:rPr>
              <w:t>Coupon</w:t>
            </w:r>
          </w:p>
        </w:tc>
        <w:tc>
          <w:tcPr>
            <w:tcW w:w="780" w:type="dxa"/>
            <w:vAlign w:val="bottom"/>
          </w:tcPr>
          <w:p>
            <w:pPr>
              <w:jc w:val="center"/>
              <w:spacing w:after="0" w:line="149" w:lineRule="exact"/>
              <w:rPr>
                <w:sz w:val="20"/>
                <w:szCs w:val="20"/>
                <w:color w:val="auto"/>
              </w:rPr>
            </w:pPr>
            <w:r>
              <w:rPr>
                <w:rFonts w:ascii="Arial" w:cs="Arial" w:eastAsia="Arial" w:hAnsi="Arial"/>
                <w:sz w:val="11"/>
                <w:szCs w:val="11"/>
                <w:b w:val="1"/>
                <w:bCs w:val="1"/>
                <w:color w:val="auto"/>
                <w:w w:val="87"/>
              </w:rPr>
              <w:t xml:space="preserve">Index </w:t>
            </w:r>
            <w:r>
              <w:rPr>
                <w:rFonts w:ascii="Arial" w:cs="Arial" w:eastAsia="Arial" w:hAnsi="Arial"/>
                <w:sz w:val="14"/>
                <w:szCs w:val="14"/>
                <w:b w:val="1"/>
                <w:bCs w:val="1"/>
                <w:color w:val="auto"/>
                <w:w w:val="87"/>
                <w:vertAlign w:val="superscript"/>
              </w:rPr>
              <w:t>(1)</w:t>
            </w:r>
          </w:p>
        </w:tc>
        <w:tc>
          <w:tcPr>
            <w:tcW w:w="1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960" w:type="dxa"/>
            <w:vAlign w:val="bottom"/>
            <w:tcBorders>
              <w:top w:val="single" w:sz="8" w:color="auto"/>
            </w:tcBorders>
          </w:tcPr>
          <w:p>
            <w:pPr>
              <w:ind w:left="20"/>
              <w:spacing w:after="0"/>
              <w:rPr>
                <w:sz w:val="20"/>
                <w:szCs w:val="20"/>
                <w:color w:val="auto"/>
              </w:rPr>
            </w:pPr>
            <w:r>
              <w:rPr>
                <w:rFonts w:ascii="Arial" w:cs="Arial" w:eastAsia="Arial" w:hAnsi="Arial"/>
                <w:sz w:val="11"/>
                <w:szCs w:val="11"/>
                <w:b w:val="1"/>
                <w:bCs w:val="1"/>
                <w:color w:val="auto"/>
              </w:rPr>
              <w:t>First Lien Secured Debt - 1,088.%</w:t>
            </w:r>
          </w:p>
        </w:tc>
        <w:tc>
          <w:tcPr>
            <w:tcW w:w="14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4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shd w:val="clear" w:color="auto" w:fill="CCECFF"/>
          </w:tcPr>
          <w:p>
            <w:pPr>
              <w:ind w:left="20"/>
              <w:spacing w:after="0"/>
              <w:rPr>
                <w:sz w:val="20"/>
                <w:szCs w:val="20"/>
                <w:color w:val="auto"/>
              </w:rPr>
            </w:pPr>
            <w:r>
              <w:rPr>
                <w:rFonts w:ascii="Arial" w:cs="Arial" w:eastAsia="Arial" w:hAnsi="Arial"/>
                <w:sz w:val="11"/>
                <w:szCs w:val="11"/>
                <w:color w:val="auto"/>
              </w:rPr>
              <w:t>Ad.net Acquisition, LLC</w:t>
            </w:r>
          </w:p>
        </w:tc>
        <w:tc>
          <w:tcPr>
            <w:tcW w:w="7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7"/>
              </w:rPr>
              <w:t>05/06/2026</w:t>
            </w:r>
          </w:p>
        </w:tc>
        <w:tc>
          <w:tcPr>
            <w:tcW w:w="120" w:type="dxa"/>
            <w:vAlign w:val="bottom"/>
            <w:shd w:val="clear" w:color="auto" w:fill="CCECFF"/>
          </w:tcPr>
          <w:p>
            <w:pPr>
              <w:spacing w:after="0"/>
              <w:rPr>
                <w:sz w:val="11"/>
                <w:szCs w:val="11"/>
                <w:color w:val="auto"/>
              </w:rPr>
            </w:pPr>
          </w:p>
        </w:tc>
        <w:tc>
          <w:tcPr>
            <w:tcW w:w="24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Media</w:t>
            </w:r>
          </w:p>
        </w:tc>
        <w:tc>
          <w:tcPr>
            <w:tcW w:w="1120" w:type="dxa"/>
            <w:vAlign w:val="bottom"/>
            <w:gridSpan w:val="3"/>
            <w:shd w:val="clear" w:color="auto" w:fill="CCECFF"/>
          </w:tcPr>
          <w:p>
            <w:pPr>
              <w:jc w:val="right"/>
              <w:ind w:right="160"/>
              <w:spacing w:after="0"/>
              <w:rPr>
                <w:sz w:val="20"/>
                <w:szCs w:val="20"/>
                <w:color w:val="auto"/>
              </w:rPr>
            </w:pPr>
            <w:r>
              <w:rPr>
                <w:rFonts w:ascii="Arial" w:cs="Arial" w:eastAsia="Arial" w:hAnsi="Arial"/>
                <w:sz w:val="11"/>
                <w:szCs w:val="11"/>
                <w:color w:val="auto"/>
              </w:rPr>
              <w:t>7.00 %</w:t>
            </w:r>
          </w:p>
        </w:tc>
        <w:tc>
          <w:tcPr>
            <w:tcW w:w="7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L+600</w:t>
            </w:r>
          </w:p>
        </w:tc>
        <w:tc>
          <w:tcPr>
            <w:tcW w:w="8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8,978</w:t>
            </w:r>
          </w:p>
        </w:tc>
        <w:tc>
          <w:tcPr>
            <w:tcW w:w="400" w:type="dxa"/>
            <w:vAlign w:val="bottom"/>
            <w:gridSpan w:val="2"/>
            <w:shd w:val="clear" w:color="auto" w:fill="CCECFF"/>
          </w:tcPr>
          <w:p>
            <w:pPr>
              <w:jc w:val="right"/>
              <w:ind w:right="100"/>
              <w:spacing w:after="0"/>
              <w:rPr>
                <w:sz w:val="20"/>
                <w:szCs w:val="20"/>
                <w:color w:val="auto"/>
              </w:rPr>
            </w:pPr>
            <w:r>
              <w:rPr>
                <w:rFonts w:ascii="Arial" w:cs="Arial" w:eastAsia="Arial" w:hAnsi="Arial"/>
                <w:sz w:val="11"/>
                <w:szCs w:val="11"/>
                <w:color w:val="auto"/>
              </w:rPr>
              <w:t>$</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8,852</w:t>
            </w:r>
          </w:p>
        </w:tc>
        <w:tc>
          <w:tcPr>
            <w:tcW w:w="32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w:t>
            </w:r>
          </w:p>
        </w:tc>
        <w:tc>
          <w:tcPr>
            <w:tcW w:w="7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8,843</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tcPr>
          <w:p>
            <w:pPr>
              <w:ind w:left="20"/>
              <w:spacing w:after="0"/>
              <w:rPr>
                <w:sz w:val="20"/>
                <w:szCs w:val="20"/>
                <w:color w:val="auto"/>
              </w:rPr>
            </w:pPr>
            <w:r>
              <w:rPr>
                <w:rFonts w:ascii="Arial" w:cs="Arial" w:eastAsia="Arial" w:hAnsi="Arial"/>
                <w:sz w:val="11"/>
                <w:szCs w:val="11"/>
                <w:color w:val="auto"/>
              </w:rPr>
              <w:t>Altamira Technologies, LLC</w:t>
            </w:r>
          </w:p>
        </w:tc>
        <w:tc>
          <w:tcPr>
            <w:tcW w:w="78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07/24/2025</w:t>
            </w:r>
          </w:p>
        </w:tc>
        <w:tc>
          <w:tcPr>
            <w:tcW w:w="120" w:type="dxa"/>
            <w:vAlign w:val="bottom"/>
          </w:tcPr>
          <w:p>
            <w:pPr>
              <w:spacing w:after="0"/>
              <w:rPr>
                <w:sz w:val="11"/>
                <w:szCs w:val="11"/>
                <w:color w:val="auto"/>
              </w:rPr>
            </w:pPr>
          </w:p>
        </w:tc>
        <w:tc>
          <w:tcPr>
            <w:tcW w:w="2460" w:type="dxa"/>
            <w:vAlign w:val="bottom"/>
          </w:tcPr>
          <w:p>
            <w:pPr>
              <w:jc w:val="center"/>
              <w:spacing w:after="0"/>
              <w:rPr>
                <w:sz w:val="20"/>
                <w:szCs w:val="20"/>
                <w:color w:val="auto"/>
              </w:rPr>
            </w:pPr>
            <w:r>
              <w:rPr>
                <w:rFonts w:ascii="Arial" w:cs="Arial" w:eastAsia="Arial" w:hAnsi="Arial"/>
                <w:sz w:val="11"/>
                <w:szCs w:val="11"/>
                <w:color w:val="auto"/>
                <w:w w:val="86"/>
              </w:rPr>
              <w:t>Business Services</w:t>
            </w:r>
          </w:p>
        </w:tc>
        <w:tc>
          <w:tcPr>
            <w:tcW w:w="1120" w:type="dxa"/>
            <w:vAlign w:val="bottom"/>
            <w:gridSpan w:val="3"/>
          </w:tcPr>
          <w:p>
            <w:pPr>
              <w:jc w:val="right"/>
              <w:ind w:right="160"/>
              <w:spacing w:after="0"/>
              <w:rPr>
                <w:sz w:val="20"/>
                <w:szCs w:val="20"/>
                <w:color w:val="auto"/>
              </w:rPr>
            </w:pPr>
            <w:r>
              <w:rPr>
                <w:rFonts w:ascii="Arial" w:cs="Arial" w:eastAsia="Arial" w:hAnsi="Arial"/>
                <w:sz w:val="11"/>
                <w:szCs w:val="11"/>
                <w:color w:val="auto"/>
              </w:rPr>
              <w:t>8.00 %</w:t>
            </w:r>
          </w:p>
        </w:tc>
        <w:tc>
          <w:tcPr>
            <w:tcW w:w="780" w:type="dxa"/>
            <w:vAlign w:val="bottom"/>
          </w:tcPr>
          <w:p>
            <w:pPr>
              <w:jc w:val="right"/>
              <w:spacing w:after="0"/>
              <w:rPr>
                <w:sz w:val="20"/>
                <w:szCs w:val="20"/>
                <w:color w:val="auto"/>
              </w:rPr>
            </w:pPr>
            <w:r>
              <w:rPr>
                <w:rFonts w:ascii="Arial" w:cs="Arial" w:eastAsia="Arial" w:hAnsi="Arial"/>
                <w:sz w:val="11"/>
                <w:szCs w:val="11"/>
                <w:color w:val="auto"/>
              </w:rPr>
              <w:t>3M L+700</w:t>
            </w: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5,525</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5,376</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5,180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shd w:val="clear" w:color="auto" w:fill="CCECFF"/>
          </w:tcPr>
          <w:p>
            <w:pPr>
              <w:ind w:left="20"/>
              <w:spacing w:after="0"/>
              <w:rPr>
                <w:sz w:val="20"/>
                <w:szCs w:val="20"/>
                <w:color w:val="auto"/>
              </w:rPr>
            </w:pPr>
            <w:r>
              <w:rPr>
                <w:rFonts w:ascii="Arial" w:cs="Arial" w:eastAsia="Arial" w:hAnsi="Arial"/>
                <w:sz w:val="11"/>
                <w:szCs w:val="11"/>
                <w:color w:val="auto"/>
              </w:rPr>
              <w:t>American Insulated Glass, LLC</w:t>
            </w:r>
          </w:p>
        </w:tc>
        <w:tc>
          <w:tcPr>
            <w:tcW w:w="7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7"/>
              </w:rPr>
              <w:t>12/21/2023</w:t>
            </w:r>
          </w:p>
        </w:tc>
        <w:tc>
          <w:tcPr>
            <w:tcW w:w="120" w:type="dxa"/>
            <w:vAlign w:val="bottom"/>
            <w:shd w:val="clear" w:color="auto" w:fill="CCECFF"/>
          </w:tcPr>
          <w:p>
            <w:pPr>
              <w:spacing w:after="0"/>
              <w:rPr>
                <w:sz w:val="11"/>
                <w:szCs w:val="11"/>
                <w:color w:val="auto"/>
              </w:rPr>
            </w:pPr>
          </w:p>
        </w:tc>
        <w:tc>
          <w:tcPr>
            <w:tcW w:w="24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1"/>
              </w:rPr>
              <w:t>Building Products</w:t>
            </w:r>
          </w:p>
        </w:tc>
        <w:tc>
          <w:tcPr>
            <w:tcW w:w="1120" w:type="dxa"/>
            <w:vAlign w:val="bottom"/>
            <w:gridSpan w:val="3"/>
            <w:shd w:val="clear" w:color="auto" w:fill="CCECFF"/>
          </w:tcPr>
          <w:p>
            <w:pPr>
              <w:jc w:val="right"/>
              <w:ind w:right="160"/>
              <w:spacing w:after="0"/>
              <w:rPr>
                <w:sz w:val="20"/>
                <w:szCs w:val="20"/>
                <w:color w:val="auto"/>
              </w:rPr>
            </w:pPr>
            <w:r>
              <w:rPr>
                <w:rFonts w:ascii="Arial" w:cs="Arial" w:eastAsia="Arial" w:hAnsi="Arial"/>
                <w:sz w:val="11"/>
                <w:szCs w:val="11"/>
                <w:color w:val="auto"/>
              </w:rPr>
              <w:t>6.50 %</w:t>
            </w:r>
          </w:p>
        </w:tc>
        <w:tc>
          <w:tcPr>
            <w:tcW w:w="7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L+550</w:t>
            </w:r>
          </w:p>
        </w:tc>
        <w:tc>
          <w:tcPr>
            <w:tcW w:w="8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5,721</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5,653</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5,663</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tcPr>
          <w:p>
            <w:pPr>
              <w:ind w:left="20"/>
              <w:spacing w:after="0"/>
              <w:rPr>
                <w:sz w:val="20"/>
                <w:szCs w:val="20"/>
                <w:color w:val="auto"/>
              </w:rPr>
            </w:pPr>
            <w:r>
              <w:rPr>
                <w:rFonts w:ascii="Arial" w:cs="Arial" w:eastAsia="Arial" w:hAnsi="Arial"/>
                <w:sz w:val="11"/>
                <w:szCs w:val="11"/>
                <w:color w:val="auto"/>
              </w:rPr>
              <w:t>Apex Service Partners, LLC</w:t>
            </w:r>
          </w:p>
        </w:tc>
        <w:tc>
          <w:tcPr>
            <w:tcW w:w="78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07/31/2025</w:t>
            </w:r>
          </w:p>
        </w:tc>
        <w:tc>
          <w:tcPr>
            <w:tcW w:w="120" w:type="dxa"/>
            <w:vAlign w:val="bottom"/>
          </w:tcPr>
          <w:p>
            <w:pPr>
              <w:spacing w:after="0"/>
              <w:rPr>
                <w:sz w:val="11"/>
                <w:szCs w:val="11"/>
                <w:color w:val="auto"/>
              </w:rPr>
            </w:pPr>
          </w:p>
        </w:tc>
        <w:tc>
          <w:tcPr>
            <w:tcW w:w="2460" w:type="dxa"/>
            <w:vAlign w:val="bottom"/>
          </w:tcPr>
          <w:p>
            <w:pPr>
              <w:jc w:val="center"/>
              <w:spacing w:after="0"/>
              <w:rPr>
                <w:sz w:val="20"/>
                <w:szCs w:val="20"/>
                <w:color w:val="auto"/>
              </w:rPr>
            </w:pPr>
            <w:r>
              <w:rPr>
                <w:rFonts w:ascii="Arial" w:cs="Arial" w:eastAsia="Arial" w:hAnsi="Arial"/>
                <w:sz w:val="11"/>
                <w:szCs w:val="11"/>
                <w:color w:val="auto"/>
                <w:w w:val="89"/>
              </w:rPr>
              <w:t>Diversified Consumer Services</w:t>
            </w:r>
          </w:p>
        </w:tc>
        <w:tc>
          <w:tcPr>
            <w:tcW w:w="1120" w:type="dxa"/>
            <w:vAlign w:val="bottom"/>
            <w:gridSpan w:val="3"/>
          </w:tcPr>
          <w:p>
            <w:pPr>
              <w:jc w:val="right"/>
              <w:ind w:right="160"/>
              <w:spacing w:after="0"/>
              <w:rPr>
                <w:sz w:val="20"/>
                <w:szCs w:val="20"/>
                <w:color w:val="auto"/>
              </w:rPr>
            </w:pPr>
            <w:r>
              <w:rPr>
                <w:rFonts w:ascii="Arial" w:cs="Arial" w:eastAsia="Arial" w:hAnsi="Arial"/>
                <w:sz w:val="11"/>
                <w:szCs w:val="11"/>
                <w:color w:val="auto"/>
              </w:rPr>
              <w:t>6.25 %</w:t>
            </w:r>
          </w:p>
        </w:tc>
        <w:tc>
          <w:tcPr>
            <w:tcW w:w="780" w:type="dxa"/>
            <w:vAlign w:val="bottom"/>
          </w:tcPr>
          <w:p>
            <w:pPr>
              <w:jc w:val="right"/>
              <w:spacing w:after="0"/>
              <w:rPr>
                <w:sz w:val="20"/>
                <w:szCs w:val="20"/>
                <w:color w:val="auto"/>
              </w:rPr>
            </w:pPr>
            <w:r>
              <w:rPr>
                <w:rFonts w:ascii="Arial" w:cs="Arial" w:eastAsia="Arial" w:hAnsi="Arial"/>
                <w:sz w:val="11"/>
                <w:szCs w:val="11"/>
                <w:color w:val="auto"/>
              </w:rPr>
              <w:t>3M L+525</w:t>
            </w: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1,021</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1,021</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1,010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shd w:val="clear" w:color="auto" w:fill="CCECFF"/>
          </w:tcPr>
          <w:p>
            <w:pPr>
              <w:ind w:left="20"/>
              <w:spacing w:after="0"/>
              <w:rPr>
                <w:sz w:val="20"/>
                <w:szCs w:val="20"/>
                <w:color w:val="auto"/>
              </w:rPr>
            </w:pPr>
            <w:r>
              <w:rPr>
                <w:rFonts w:ascii="Arial" w:cs="Arial" w:eastAsia="Arial" w:hAnsi="Arial"/>
                <w:sz w:val="11"/>
                <w:szCs w:val="11"/>
                <w:color w:val="auto"/>
              </w:rPr>
              <w:t>Apex Service Partners, LLC Term Loan B</w:t>
            </w:r>
          </w:p>
        </w:tc>
        <w:tc>
          <w:tcPr>
            <w:tcW w:w="7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7"/>
              </w:rPr>
              <w:t>07/31/2025</w:t>
            </w:r>
          </w:p>
        </w:tc>
        <w:tc>
          <w:tcPr>
            <w:tcW w:w="120" w:type="dxa"/>
            <w:vAlign w:val="bottom"/>
            <w:shd w:val="clear" w:color="auto" w:fill="CCECFF"/>
          </w:tcPr>
          <w:p>
            <w:pPr>
              <w:spacing w:after="0"/>
              <w:rPr>
                <w:sz w:val="11"/>
                <w:szCs w:val="11"/>
                <w:color w:val="auto"/>
              </w:rPr>
            </w:pPr>
          </w:p>
        </w:tc>
        <w:tc>
          <w:tcPr>
            <w:tcW w:w="24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Diversified Consumer Services</w:t>
            </w:r>
          </w:p>
        </w:tc>
        <w:tc>
          <w:tcPr>
            <w:tcW w:w="1120" w:type="dxa"/>
            <w:vAlign w:val="bottom"/>
            <w:gridSpan w:val="3"/>
            <w:shd w:val="clear" w:color="auto" w:fill="CCECFF"/>
          </w:tcPr>
          <w:p>
            <w:pPr>
              <w:jc w:val="right"/>
              <w:ind w:right="160"/>
              <w:spacing w:after="0"/>
              <w:rPr>
                <w:sz w:val="20"/>
                <w:szCs w:val="20"/>
                <w:color w:val="auto"/>
              </w:rPr>
            </w:pPr>
            <w:r>
              <w:rPr>
                <w:rFonts w:ascii="Arial" w:cs="Arial" w:eastAsia="Arial" w:hAnsi="Arial"/>
                <w:sz w:val="11"/>
                <w:szCs w:val="11"/>
                <w:color w:val="auto"/>
              </w:rPr>
              <w:t>6.50 %</w:t>
            </w:r>
          </w:p>
        </w:tc>
        <w:tc>
          <w:tcPr>
            <w:tcW w:w="7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L+550</w:t>
            </w:r>
          </w:p>
        </w:tc>
        <w:tc>
          <w:tcPr>
            <w:tcW w:w="8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2,222</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2,222</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2,200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tcPr>
          <w:p>
            <w:pPr>
              <w:ind w:left="20"/>
              <w:spacing w:after="0"/>
              <w:rPr>
                <w:sz w:val="20"/>
                <w:szCs w:val="20"/>
                <w:color w:val="auto"/>
              </w:rPr>
            </w:pPr>
            <w:r>
              <w:rPr>
                <w:rFonts w:ascii="Arial" w:cs="Arial" w:eastAsia="Arial" w:hAnsi="Arial"/>
                <w:sz w:val="11"/>
                <w:szCs w:val="11"/>
                <w:color w:val="auto"/>
              </w:rPr>
              <w:t>Apex Service Partners, LLC Term Loan C</w:t>
            </w:r>
          </w:p>
        </w:tc>
        <w:tc>
          <w:tcPr>
            <w:tcW w:w="78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07/31/2025</w:t>
            </w:r>
          </w:p>
        </w:tc>
        <w:tc>
          <w:tcPr>
            <w:tcW w:w="120" w:type="dxa"/>
            <w:vAlign w:val="bottom"/>
          </w:tcPr>
          <w:p>
            <w:pPr>
              <w:spacing w:after="0"/>
              <w:rPr>
                <w:sz w:val="11"/>
                <w:szCs w:val="11"/>
                <w:color w:val="auto"/>
              </w:rPr>
            </w:pPr>
          </w:p>
        </w:tc>
        <w:tc>
          <w:tcPr>
            <w:tcW w:w="2460" w:type="dxa"/>
            <w:vAlign w:val="bottom"/>
          </w:tcPr>
          <w:p>
            <w:pPr>
              <w:jc w:val="center"/>
              <w:spacing w:after="0"/>
              <w:rPr>
                <w:sz w:val="20"/>
                <w:szCs w:val="20"/>
                <w:color w:val="auto"/>
              </w:rPr>
            </w:pPr>
            <w:r>
              <w:rPr>
                <w:rFonts w:ascii="Arial" w:cs="Arial" w:eastAsia="Arial" w:hAnsi="Arial"/>
                <w:sz w:val="11"/>
                <w:szCs w:val="11"/>
                <w:color w:val="auto"/>
                <w:w w:val="89"/>
              </w:rPr>
              <w:t>Diversified Consumer Services</w:t>
            </w:r>
          </w:p>
        </w:tc>
        <w:tc>
          <w:tcPr>
            <w:tcW w:w="1120" w:type="dxa"/>
            <w:vAlign w:val="bottom"/>
            <w:gridSpan w:val="3"/>
          </w:tcPr>
          <w:p>
            <w:pPr>
              <w:jc w:val="right"/>
              <w:ind w:right="160"/>
              <w:spacing w:after="0"/>
              <w:rPr>
                <w:sz w:val="20"/>
                <w:szCs w:val="20"/>
                <w:color w:val="auto"/>
              </w:rPr>
            </w:pPr>
            <w:r>
              <w:rPr>
                <w:rFonts w:ascii="Arial" w:cs="Arial" w:eastAsia="Arial" w:hAnsi="Arial"/>
                <w:sz w:val="11"/>
                <w:szCs w:val="11"/>
                <w:color w:val="auto"/>
              </w:rPr>
              <w:t>6.25 %</w:t>
            </w:r>
          </w:p>
        </w:tc>
        <w:tc>
          <w:tcPr>
            <w:tcW w:w="780" w:type="dxa"/>
            <w:vAlign w:val="bottom"/>
          </w:tcPr>
          <w:p>
            <w:pPr>
              <w:jc w:val="right"/>
              <w:spacing w:after="0"/>
              <w:rPr>
                <w:sz w:val="20"/>
                <w:szCs w:val="20"/>
                <w:color w:val="auto"/>
              </w:rPr>
            </w:pPr>
            <w:r>
              <w:rPr>
                <w:rFonts w:ascii="Arial" w:cs="Arial" w:eastAsia="Arial" w:hAnsi="Arial"/>
                <w:sz w:val="11"/>
                <w:szCs w:val="11"/>
                <w:color w:val="auto"/>
              </w:rPr>
              <w:t>3M L+525</w:t>
            </w: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4,174</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4,103</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4,132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shd w:val="clear" w:color="auto" w:fill="CCECFF"/>
          </w:tcPr>
          <w:p>
            <w:pPr>
              <w:ind w:left="20"/>
              <w:spacing w:after="0"/>
              <w:rPr>
                <w:sz w:val="20"/>
                <w:szCs w:val="20"/>
                <w:color w:val="auto"/>
              </w:rPr>
            </w:pPr>
            <w:r>
              <w:rPr>
                <w:rFonts w:ascii="Arial" w:cs="Arial" w:eastAsia="Arial" w:hAnsi="Arial"/>
                <w:sz w:val="11"/>
                <w:szCs w:val="11"/>
                <w:color w:val="auto"/>
              </w:rPr>
              <w:t>Applied Technical Services, LLC</w:t>
            </w:r>
          </w:p>
        </w:tc>
        <w:tc>
          <w:tcPr>
            <w:tcW w:w="7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7"/>
              </w:rPr>
              <w:t>12/29/2026</w:t>
            </w:r>
          </w:p>
        </w:tc>
        <w:tc>
          <w:tcPr>
            <w:tcW w:w="120" w:type="dxa"/>
            <w:vAlign w:val="bottom"/>
            <w:shd w:val="clear" w:color="auto" w:fill="CCECFF"/>
          </w:tcPr>
          <w:p>
            <w:pPr>
              <w:spacing w:after="0"/>
              <w:rPr>
                <w:sz w:val="11"/>
                <w:szCs w:val="11"/>
                <w:color w:val="auto"/>
              </w:rPr>
            </w:pPr>
          </w:p>
        </w:tc>
        <w:tc>
          <w:tcPr>
            <w:tcW w:w="24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Commercial Services &amp; Supplies</w:t>
            </w:r>
          </w:p>
        </w:tc>
        <w:tc>
          <w:tcPr>
            <w:tcW w:w="1120" w:type="dxa"/>
            <w:vAlign w:val="bottom"/>
            <w:gridSpan w:val="3"/>
            <w:shd w:val="clear" w:color="auto" w:fill="CCECFF"/>
          </w:tcPr>
          <w:p>
            <w:pPr>
              <w:jc w:val="right"/>
              <w:ind w:right="160"/>
              <w:spacing w:after="0"/>
              <w:rPr>
                <w:sz w:val="20"/>
                <w:szCs w:val="20"/>
                <w:color w:val="auto"/>
              </w:rPr>
            </w:pPr>
            <w:r>
              <w:rPr>
                <w:rFonts w:ascii="Arial" w:cs="Arial" w:eastAsia="Arial" w:hAnsi="Arial"/>
                <w:sz w:val="11"/>
                <w:szCs w:val="11"/>
                <w:color w:val="auto"/>
              </w:rPr>
              <w:t>6.75 %</w:t>
            </w:r>
          </w:p>
        </w:tc>
        <w:tc>
          <w:tcPr>
            <w:tcW w:w="7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L+575</w:t>
            </w:r>
          </w:p>
        </w:tc>
        <w:tc>
          <w:tcPr>
            <w:tcW w:w="8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4,511</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4,419</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4,421</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tcPr>
          <w:p>
            <w:pPr>
              <w:ind w:left="20"/>
              <w:spacing w:after="0"/>
              <w:rPr>
                <w:sz w:val="20"/>
                <w:szCs w:val="20"/>
                <w:color w:val="auto"/>
              </w:rPr>
            </w:pPr>
            <w:r>
              <w:rPr>
                <w:rFonts w:ascii="Arial" w:cs="Arial" w:eastAsia="Arial" w:hAnsi="Arial"/>
                <w:sz w:val="11"/>
                <w:szCs w:val="11"/>
                <w:color w:val="auto"/>
              </w:rPr>
              <w:t>By Light Professional IT Services, LLC</w:t>
            </w:r>
          </w:p>
        </w:tc>
        <w:tc>
          <w:tcPr>
            <w:tcW w:w="78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05/16/2022</w:t>
            </w:r>
          </w:p>
        </w:tc>
        <w:tc>
          <w:tcPr>
            <w:tcW w:w="120" w:type="dxa"/>
            <w:vAlign w:val="bottom"/>
          </w:tcPr>
          <w:p>
            <w:pPr>
              <w:spacing w:after="0"/>
              <w:rPr>
                <w:sz w:val="11"/>
                <w:szCs w:val="11"/>
                <w:color w:val="auto"/>
              </w:rPr>
            </w:pPr>
          </w:p>
        </w:tc>
        <w:tc>
          <w:tcPr>
            <w:tcW w:w="2460" w:type="dxa"/>
            <w:vAlign w:val="bottom"/>
          </w:tcPr>
          <w:p>
            <w:pPr>
              <w:jc w:val="center"/>
              <w:spacing w:after="0"/>
              <w:rPr>
                <w:sz w:val="20"/>
                <w:szCs w:val="20"/>
                <w:color w:val="auto"/>
              </w:rPr>
            </w:pPr>
            <w:r>
              <w:rPr>
                <w:rFonts w:ascii="Arial" w:cs="Arial" w:eastAsia="Arial" w:hAnsi="Arial"/>
                <w:sz w:val="11"/>
                <w:szCs w:val="11"/>
                <w:color w:val="auto"/>
                <w:w w:val="89"/>
              </w:rPr>
              <w:t>High Tech Industries</w:t>
            </w:r>
          </w:p>
        </w:tc>
        <w:tc>
          <w:tcPr>
            <w:tcW w:w="1120" w:type="dxa"/>
            <w:vAlign w:val="bottom"/>
            <w:gridSpan w:val="3"/>
          </w:tcPr>
          <w:p>
            <w:pPr>
              <w:jc w:val="right"/>
              <w:ind w:right="160"/>
              <w:spacing w:after="0"/>
              <w:rPr>
                <w:sz w:val="20"/>
                <w:szCs w:val="20"/>
                <w:color w:val="auto"/>
              </w:rPr>
            </w:pPr>
            <w:r>
              <w:rPr>
                <w:rFonts w:ascii="Arial" w:cs="Arial" w:eastAsia="Arial" w:hAnsi="Arial"/>
                <w:sz w:val="11"/>
                <w:szCs w:val="11"/>
                <w:color w:val="auto"/>
              </w:rPr>
              <w:t>7.25 %</w:t>
            </w:r>
          </w:p>
        </w:tc>
        <w:tc>
          <w:tcPr>
            <w:tcW w:w="780" w:type="dxa"/>
            <w:vAlign w:val="bottom"/>
          </w:tcPr>
          <w:p>
            <w:pPr>
              <w:jc w:val="right"/>
              <w:spacing w:after="0"/>
              <w:rPr>
                <w:sz w:val="20"/>
                <w:szCs w:val="20"/>
                <w:color w:val="auto"/>
              </w:rPr>
            </w:pPr>
            <w:r>
              <w:rPr>
                <w:rFonts w:ascii="Arial" w:cs="Arial" w:eastAsia="Arial" w:hAnsi="Arial"/>
                <w:sz w:val="11"/>
                <w:szCs w:val="11"/>
                <w:color w:val="auto"/>
              </w:rPr>
              <w:t>1M L+625</w:t>
            </w: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12,880</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12,869</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12,880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960" w:type="dxa"/>
            <w:vAlign w:val="bottom"/>
            <w:shd w:val="clear" w:color="auto" w:fill="CCECFF"/>
          </w:tcPr>
          <w:p>
            <w:pPr>
              <w:ind w:left="20"/>
              <w:spacing w:after="0" w:line="125" w:lineRule="exact"/>
              <w:rPr>
                <w:sz w:val="20"/>
                <w:szCs w:val="20"/>
                <w:color w:val="auto"/>
              </w:rPr>
            </w:pPr>
            <w:r>
              <w:rPr>
                <w:rFonts w:ascii="Arial" w:cs="Arial" w:eastAsia="Arial" w:hAnsi="Arial"/>
                <w:sz w:val="11"/>
                <w:szCs w:val="11"/>
                <w:color w:val="auto"/>
              </w:rPr>
              <w:t>Cadence Aerospace, LLC</w:t>
            </w:r>
          </w:p>
        </w:tc>
        <w:tc>
          <w:tcPr>
            <w:tcW w:w="780" w:type="dxa"/>
            <w:vAlign w:val="bottom"/>
            <w:gridSpan w:val="2"/>
            <w:shd w:val="clear" w:color="auto" w:fill="CCECFF"/>
          </w:tcPr>
          <w:p>
            <w:pPr>
              <w:jc w:val="center"/>
              <w:ind w:left="86"/>
              <w:spacing w:after="0" w:line="125" w:lineRule="exact"/>
              <w:rPr>
                <w:sz w:val="20"/>
                <w:szCs w:val="20"/>
                <w:color w:val="auto"/>
              </w:rPr>
            </w:pPr>
            <w:r>
              <w:rPr>
                <w:rFonts w:ascii="Arial" w:cs="Arial" w:eastAsia="Arial" w:hAnsi="Arial"/>
                <w:sz w:val="11"/>
                <w:szCs w:val="11"/>
                <w:color w:val="auto"/>
                <w:w w:val="87"/>
              </w:rPr>
              <w:t>11/14/2023</w:t>
            </w:r>
          </w:p>
        </w:tc>
        <w:tc>
          <w:tcPr>
            <w:tcW w:w="120" w:type="dxa"/>
            <w:vAlign w:val="bottom"/>
            <w:shd w:val="clear" w:color="auto" w:fill="CCECFF"/>
          </w:tcPr>
          <w:p>
            <w:pPr>
              <w:spacing w:after="0"/>
              <w:rPr>
                <w:sz w:val="10"/>
                <w:szCs w:val="10"/>
                <w:color w:val="auto"/>
              </w:rPr>
            </w:pPr>
          </w:p>
        </w:tc>
        <w:tc>
          <w:tcPr>
            <w:tcW w:w="2460" w:type="dxa"/>
            <w:vAlign w:val="bottom"/>
            <w:shd w:val="clear" w:color="auto" w:fill="CCECFF"/>
          </w:tcPr>
          <w:p>
            <w:pPr>
              <w:jc w:val="center"/>
              <w:spacing w:after="0" w:line="125" w:lineRule="exact"/>
              <w:rPr>
                <w:sz w:val="20"/>
                <w:szCs w:val="20"/>
                <w:color w:val="auto"/>
              </w:rPr>
            </w:pPr>
            <w:r>
              <w:rPr>
                <w:rFonts w:ascii="Arial" w:cs="Arial" w:eastAsia="Arial" w:hAnsi="Arial"/>
                <w:sz w:val="11"/>
                <w:szCs w:val="11"/>
                <w:color w:val="auto"/>
                <w:w w:val="86"/>
              </w:rPr>
              <w:t>Aerospace and Defense</w:t>
            </w:r>
          </w:p>
        </w:tc>
        <w:tc>
          <w:tcPr>
            <w:tcW w:w="1120" w:type="dxa"/>
            <w:vAlign w:val="bottom"/>
            <w:gridSpan w:val="3"/>
            <w:shd w:val="clear" w:color="auto" w:fill="CCECFF"/>
          </w:tcPr>
          <w:p>
            <w:pPr>
              <w:jc w:val="right"/>
              <w:ind w:right="160"/>
              <w:spacing w:after="0" w:line="125" w:lineRule="exact"/>
              <w:rPr>
                <w:sz w:val="20"/>
                <w:szCs w:val="20"/>
                <w:color w:val="auto"/>
              </w:rPr>
            </w:pPr>
            <w:r>
              <w:rPr>
                <w:rFonts w:ascii="Arial" w:cs="Arial" w:eastAsia="Arial" w:hAnsi="Arial"/>
                <w:sz w:val="11"/>
                <w:szCs w:val="11"/>
                <w:color w:val="auto"/>
              </w:rPr>
              <w:t>9.50 %</w:t>
            </w:r>
          </w:p>
        </w:tc>
        <w:tc>
          <w:tcPr>
            <w:tcW w:w="780" w:type="dxa"/>
            <w:vAlign w:val="bottom"/>
            <w:shd w:val="clear" w:color="auto" w:fill="CCECFF"/>
          </w:tcPr>
          <w:p>
            <w:pPr>
              <w:jc w:val="right"/>
              <w:spacing w:after="0" w:line="125" w:lineRule="exact"/>
              <w:rPr>
                <w:sz w:val="20"/>
                <w:szCs w:val="20"/>
                <w:color w:val="auto"/>
              </w:rPr>
            </w:pPr>
            <w:r>
              <w:rPr>
                <w:rFonts w:ascii="Arial" w:cs="Arial" w:eastAsia="Arial" w:hAnsi="Arial"/>
                <w:sz w:val="11"/>
                <w:szCs w:val="11"/>
                <w:color w:val="auto"/>
              </w:rPr>
              <w:t>3M L+850</w:t>
            </w:r>
          </w:p>
        </w:tc>
        <w:tc>
          <w:tcPr>
            <w:tcW w:w="860" w:type="dxa"/>
            <w:vAlign w:val="bottom"/>
            <w:gridSpan w:val="2"/>
            <w:shd w:val="clear" w:color="auto" w:fill="CCECFF"/>
          </w:tcPr>
          <w:p>
            <w:pPr>
              <w:jc w:val="right"/>
              <w:spacing w:after="0" w:line="125" w:lineRule="exact"/>
              <w:rPr>
                <w:sz w:val="20"/>
                <w:szCs w:val="20"/>
                <w:color w:val="auto"/>
              </w:rPr>
            </w:pPr>
            <w:r>
              <w:rPr>
                <w:rFonts w:ascii="Arial" w:cs="Arial" w:eastAsia="Arial" w:hAnsi="Arial"/>
                <w:sz w:val="11"/>
                <w:szCs w:val="11"/>
                <w:color w:val="auto"/>
              </w:rPr>
              <w:t>12,282</w:t>
            </w:r>
          </w:p>
        </w:tc>
        <w:tc>
          <w:tcPr>
            <w:tcW w:w="22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line="125" w:lineRule="exact"/>
              <w:rPr>
                <w:sz w:val="20"/>
                <w:szCs w:val="20"/>
                <w:color w:val="auto"/>
              </w:rPr>
            </w:pPr>
            <w:r>
              <w:rPr>
                <w:rFonts w:ascii="Arial" w:cs="Arial" w:eastAsia="Arial" w:hAnsi="Arial"/>
                <w:sz w:val="11"/>
                <w:szCs w:val="11"/>
                <w:color w:val="auto"/>
              </w:rPr>
              <w:t>12,231</w:t>
            </w:r>
          </w:p>
        </w:tc>
        <w:tc>
          <w:tcPr>
            <w:tcW w:w="24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5" w:lineRule="exact"/>
              <w:rPr>
                <w:sz w:val="20"/>
                <w:szCs w:val="20"/>
                <w:color w:val="auto"/>
              </w:rPr>
            </w:pPr>
            <w:r>
              <w:rPr>
                <w:rFonts w:ascii="Arial" w:cs="Arial" w:eastAsia="Arial" w:hAnsi="Arial"/>
                <w:sz w:val="11"/>
                <w:szCs w:val="11"/>
                <w:color w:val="auto"/>
              </w:rPr>
              <w:t>11,981</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96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24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00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P(IK 9.50%)</w:t>
            </w:r>
          </w:p>
        </w:tc>
        <w:tc>
          <w:tcPr>
            <w:tcW w:w="7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960" w:type="dxa"/>
            <w:vAlign w:val="bottom"/>
          </w:tcPr>
          <w:p>
            <w:pPr>
              <w:ind w:left="20"/>
              <w:spacing w:after="0"/>
              <w:rPr>
                <w:sz w:val="20"/>
                <w:szCs w:val="20"/>
                <w:color w:val="auto"/>
              </w:rPr>
            </w:pPr>
            <w:r>
              <w:rPr>
                <w:rFonts w:ascii="Arial" w:cs="Arial" w:eastAsia="Arial" w:hAnsi="Arial"/>
                <w:sz w:val="11"/>
                <w:szCs w:val="11"/>
                <w:color w:val="auto"/>
              </w:rPr>
              <w:t>Cano Health</w:t>
            </w:r>
          </w:p>
        </w:tc>
        <w:tc>
          <w:tcPr>
            <w:tcW w:w="78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11/23/2027</w:t>
            </w:r>
          </w:p>
        </w:tc>
        <w:tc>
          <w:tcPr>
            <w:tcW w:w="120" w:type="dxa"/>
            <w:vAlign w:val="bottom"/>
          </w:tcPr>
          <w:p>
            <w:pPr>
              <w:spacing w:after="0"/>
              <w:rPr>
                <w:sz w:val="11"/>
                <w:szCs w:val="11"/>
                <w:color w:val="auto"/>
              </w:rPr>
            </w:pPr>
          </w:p>
        </w:tc>
        <w:tc>
          <w:tcPr>
            <w:tcW w:w="2460" w:type="dxa"/>
            <w:vAlign w:val="bottom"/>
          </w:tcPr>
          <w:p>
            <w:pPr>
              <w:jc w:val="center"/>
              <w:spacing w:after="0"/>
              <w:rPr>
                <w:sz w:val="20"/>
                <w:szCs w:val="20"/>
                <w:color w:val="auto"/>
              </w:rPr>
            </w:pPr>
            <w:r>
              <w:rPr>
                <w:rFonts w:ascii="Arial" w:cs="Arial" w:eastAsia="Arial" w:hAnsi="Arial"/>
                <w:sz w:val="11"/>
                <w:szCs w:val="11"/>
                <w:color w:val="auto"/>
                <w:w w:val="89"/>
              </w:rPr>
              <w:t>Healthcare, Education &amp; Childcare</w:t>
            </w:r>
          </w:p>
        </w:tc>
        <w:tc>
          <w:tcPr>
            <w:tcW w:w="1120" w:type="dxa"/>
            <w:vAlign w:val="bottom"/>
            <w:gridSpan w:val="3"/>
          </w:tcPr>
          <w:p>
            <w:pPr>
              <w:jc w:val="right"/>
              <w:ind w:right="160"/>
              <w:spacing w:after="0"/>
              <w:rPr>
                <w:sz w:val="20"/>
                <w:szCs w:val="20"/>
                <w:color w:val="auto"/>
              </w:rPr>
            </w:pPr>
            <w:r>
              <w:rPr>
                <w:rFonts w:ascii="Arial" w:cs="Arial" w:eastAsia="Arial" w:hAnsi="Arial"/>
                <w:sz w:val="11"/>
                <w:szCs w:val="11"/>
                <w:color w:val="auto"/>
              </w:rPr>
              <w:t>5.25 %</w:t>
            </w:r>
          </w:p>
        </w:tc>
        <w:tc>
          <w:tcPr>
            <w:tcW w:w="780" w:type="dxa"/>
            <w:vAlign w:val="bottom"/>
          </w:tcPr>
          <w:p>
            <w:pPr>
              <w:jc w:val="right"/>
              <w:spacing w:after="0"/>
              <w:rPr>
                <w:sz w:val="20"/>
                <w:szCs w:val="20"/>
                <w:color w:val="auto"/>
              </w:rPr>
            </w:pPr>
            <w:r>
              <w:rPr>
                <w:rFonts w:ascii="Arial" w:cs="Arial" w:eastAsia="Arial" w:hAnsi="Arial"/>
                <w:sz w:val="11"/>
                <w:szCs w:val="11"/>
                <w:color w:val="auto"/>
              </w:rPr>
              <w:t>3M L+450</w:t>
            </w: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2,653</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2,647</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2,654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shd w:val="clear" w:color="auto" w:fill="CCECFF"/>
          </w:tcPr>
          <w:p>
            <w:pPr>
              <w:ind w:left="20"/>
              <w:spacing w:after="0"/>
              <w:rPr>
                <w:sz w:val="20"/>
                <w:szCs w:val="20"/>
                <w:color w:val="auto"/>
              </w:rPr>
            </w:pPr>
            <w:r>
              <w:rPr>
                <w:rFonts w:ascii="Arial" w:cs="Arial" w:eastAsia="Arial" w:hAnsi="Arial"/>
                <w:sz w:val="11"/>
                <w:szCs w:val="11"/>
                <w:color w:val="auto"/>
              </w:rPr>
              <w:t>CHA Holdings, Inc.</w:t>
            </w:r>
          </w:p>
        </w:tc>
        <w:tc>
          <w:tcPr>
            <w:tcW w:w="7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7"/>
              </w:rPr>
              <w:t>04/10/2025</w:t>
            </w:r>
          </w:p>
        </w:tc>
        <w:tc>
          <w:tcPr>
            <w:tcW w:w="120" w:type="dxa"/>
            <w:vAlign w:val="bottom"/>
            <w:shd w:val="clear" w:color="auto" w:fill="CCECFF"/>
          </w:tcPr>
          <w:p>
            <w:pPr>
              <w:spacing w:after="0"/>
              <w:rPr>
                <w:sz w:val="11"/>
                <w:szCs w:val="11"/>
                <w:color w:val="auto"/>
              </w:rPr>
            </w:pPr>
          </w:p>
        </w:tc>
        <w:tc>
          <w:tcPr>
            <w:tcW w:w="24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Construction and Engineering</w:t>
            </w:r>
          </w:p>
        </w:tc>
        <w:tc>
          <w:tcPr>
            <w:tcW w:w="1120" w:type="dxa"/>
            <w:vAlign w:val="bottom"/>
            <w:gridSpan w:val="3"/>
            <w:shd w:val="clear" w:color="auto" w:fill="CCECFF"/>
          </w:tcPr>
          <w:p>
            <w:pPr>
              <w:jc w:val="right"/>
              <w:ind w:right="160"/>
              <w:spacing w:after="0"/>
              <w:rPr>
                <w:sz w:val="20"/>
                <w:szCs w:val="20"/>
                <w:color w:val="auto"/>
              </w:rPr>
            </w:pPr>
            <w:r>
              <w:rPr>
                <w:rFonts w:ascii="Arial" w:cs="Arial" w:eastAsia="Arial" w:hAnsi="Arial"/>
                <w:sz w:val="11"/>
                <w:szCs w:val="11"/>
                <w:color w:val="auto"/>
              </w:rPr>
              <w:t>5.50 %</w:t>
            </w:r>
          </w:p>
        </w:tc>
        <w:tc>
          <w:tcPr>
            <w:tcW w:w="7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L+450</w:t>
            </w:r>
          </w:p>
        </w:tc>
        <w:tc>
          <w:tcPr>
            <w:tcW w:w="8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5,615</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5,519</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5,530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960" w:type="dxa"/>
            <w:vAlign w:val="bottom"/>
          </w:tcPr>
          <w:p>
            <w:pPr>
              <w:ind w:left="20"/>
              <w:spacing w:after="0" w:line="125" w:lineRule="exact"/>
              <w:rPr>
                <w:sz w:val="20"/>
                <w:szCs w:val="20"/>
                <w:color w:val="auto"/>
              </w:rPr>
            </w:pPr>
            <w:r>
              <w:rPr>
                <w:rFonts w:ascii="Arial" w:cs="Arial" w:eastAsia="Arial" w:hAnsi="Arial"/>
                <w:sz w:val="11"/>
                <w:szCs w:val="11"/>
                <w:color w:val="auto"/>
              </w:rPr>
              <w:t>Challenger Performance Optimization, Inc.</w:t>
            </w:r>
          </w:p>
        </w:tc>
        <w:tc>
          <w:tcPr>
            <w:tcW w:w="780" w:type="dxa"/>
            <w:vAlign w:val="bottom"/>
            <w:gridSpan w:val="2"/>
          </w:tcPr>
          <w:p>
            <w:pPr>
              <w:jc w:val="center"/>
              <w:ind w:left="86"/>
              <w:spacing w:after="0" w:line="125" w:lineRule="exact"/>
              <w:rPr>
                <w:sz w:val="20"/>
                <w:szCs w:val="20"/>
                <w:color w:val="auto"/>
              </w:rPr>
            </w:pPr>
            <w:r>
              <w:rPr>
                <w:rFonts w:ascii="Arial" w:cs="Arial" w:eastAsia="Arial" w:hAnsi="Arial"/>
                <w:sz w:val="11"/>
                <w:szCs w:val="11"/>
                <w:color w:val="auto"/>
                <w:w w:val="87"/>
              </w:rPr>
              <w:t>08/31/2023</w:t>
            </w:r>
          </w:p>
        </w:tc>
        <w:tc>
          <w:tcPr>
            <w:tcW w:w="120" w:type="dxa"/>
            <w:vAlign w:val="bottom"/>
          </w:tcPr>
          <w:p>
            <w:pPr>
              <w:spacing w:after="0"/>
              <w:rPr>
                <w:sz w:val="10"/>
                <w:szCs w:val="10"/>
                <w:color w:val="auto"/>
              </w:rPr>
            </w:pPr>
          </w:p>
        </w:tc>
        <w:tc>
          <w:tcPr>
            <w:tcW w:w="2460" w:type="dxa"/>
            <w:vAlign w:val="bottom"/>
          </w:tcPr>
          <w:p>
            <w:pPr>
              <w:jc w:val="center"/>
              <w:spacing w:after="0" w:line="125" w:lineRule="exact"/>
              <w:rPr>
                <w:sz w:val="20"/>
                <w:szCs w:val="20"/>
                <w:color w:val="auto"/>
              </w:rPr>
            </w:pPr>
            <w:r>
              <w:rPr>
                <w:rFonts w:ascii="Arial" w:cs="Arial" w:eastAsia="Arial" w:hAnsi="Arial"/>
                <w:sz w:val="11"/>
                <w:szCs w:val="11"/>
                <w:color w:val="auto"/>
                <w:w w:val="86"/>
              </w:rPr>
              <w:t>Business Services</w:t>
            </w:r>
          </w:p>
        </w:tc>
        <w:tc>
          <w:tcPr>
            <w:tcW w:w="1120" w:type="dxa"/>
            <w:vAlign w:val="bottom"/>
            <w:gridSpan w:val="3"/>
          </w:tcPr>
          <w:p>
            <w:pPr>
              <w:jc w:val="right"/>
              <w:ind w:right="160"/>
              <w:spacing w:after="0" w:line="125" w:lineRule="exact"/>
              <w:rPr>
                <w:sz w:val="20"/>
                <w:szCs w:val="20"/>
                <w:color w:val="auto"/>
              </w:rPr>
            </w:pPr>
            <w:r>
              <w:rPr>
                <w:rFonts w:ascii="Arial" w:cs="Arial" w:eastAsia="Arial" w:hAnsi="Arial"/>
                <w:sz w:val="11"/>
                <w:szCs w:val="11"/>
                <w:color w:val="auto"/>
              </w:rPr>
              <w:t>8.00 %</w:t>
            </w:r>
          </w:p>
        </w:tc>
        <w:tc>
          <w:tcPr>
            <w:tcW w:w="780" w:type="dxa"/>
            <w:vAlign w:val="bottom"/>
          </w:tcPr>
          <w:p>
            <w:pPr>
              <w:jc w:val="right"/>
              <w:spacing w:after="0" w:line="125" w:lineRule="exact"/>
              <w:rPr>
                <w:sz w:val="20"/>
                <w:szCs w:val="20"/>
                <w:color w:val="auto"/>
              </w:rPr>
            </w:pPr>
            <w:r>
              <w:rPr>
                <w:rFonts w:ascii="Arial" w:cs="Arial" w:eastAsia="Arial" w:hAnsi="Arial"/>
                <w:sz w:val="11"/>
                <w:szCs w:val="11"/>
                <w:color w:val="auto"/>
              </w:rPr>
              <w:t>1M L+675</w:t>
            </w:r>
          </w:p>
        </w:tc>
        <w:tc>
          <w:tcPr>
            <w:tcW w:w="860" w:type="dxa"/>
            <w:vAlign w:val="bottom"/>
            <w:gridSpan w:val="2"/>
          </w:tcPr>
          <w:p>
            <w:pPr>
              <w:jc w:val="right"/>
              <w:spacing w:after="0" w:line="125" w:lineRule="exact"/>
              <w:rPr>
                <w:sz w:val="20"/>
                <w:szCs w:val="20"/>
                <w:color w:val="auto"/>
              </w:rPr>
            </w:pPr>
            <w:r>
              <w:rPr>
                <w:rFonts w:ascii="Arial" w:cs="Arial" w:eastAsia="Arial" w:hAnsi="Arial"/>
                <w:sz w:val="11"/>
                <w:szCs w:val="11"/>
                <w:color w:val="auto"/>
              </w:rPr>
              <w:t>9,501</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jc w:val="right"/>
              <w:spacing w:after="0" w:line="125" w:lineRule="exact"/>
              <w:rPr>
                <w:sz w:val="20"/>
                <w:szCs w:val="20"/>
                <w:color w:val="auto"/>
              </w:rPr>
            </w:pPr>
            <w:r>
              <w:rPr>
                <w:rFonts w:ascii="Arial" w:cs="Arial" w:eastAsia="Arial" w:hAnsi="Arial"/>
                <w:sz w:val="11"/>
                <w:szCs w:val="11"/>
                <w:color w:val="auto"/>
              </w:rPr>
              <w:t>9,454</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line="125" w:lineRule="exact"/>
              <w:rPr>
                <w:sz w:val="20"/>
                <w:szCs w:val="20"/>
                <w:color w:val="auto"/>
              </w:rPr>
            </w:pPr>
            <w:r>
              <w:rPr>
                <w:rFonts w:ascii="Arial" w:cs="Arial" w:eastAsia="Arial" w:hAnsi="Arial"/>
                <w:sz w:val="11"/>
                <w:szCs w:val="11"/>
                <w:color w:val="auto"/>
              </w:rPr>
              <w:t>9,216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1"/>
                <w:szCs w:val="11"/>
                <w:color w:val="auto"/>
              </w:rPr>
              <w:t>P(IK 1.00%)</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960" w:type="dxa"/>
            <w:vAlign w:val="bottom"/>
            <w:shd w:val="clear" w:color="auto" w:fill="CCECFF"/>
          </w:tcPr>
          <w:p>
            <w:pPr>
              <w:ind w:left="20"/>
              <w:spacing w:after="0"/>
              <w:rPr>
                <w:sz w:val="20"/>
                <w:szCs w:val="20"/>
                <w:color w:val="auto"/>
              </w:rPr>
            </w:pPr>
            <w:r>
              <w:rPr>
                <w:rFonts w:ascii="Arial" w:cs="Arial" w:eastAsia="Arial" w:hAnsi="Arial"/>
                <w:sz w:val="11"/>
                <w:szCs w:val="11"/>
                <w:color w:val="auto"/>
              </w:rPr>
              <w:t>Connatix Buyer, Inc</w:t>
            </w:r>
          </w:p>
        </w:tc>
        <w:tc>
          <w:tcPr>
            <w:tcW w:w="7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7"/>
              </w:rPr>
              <w:t>07/13/2027</w:t>
            </w:r>
          </w:p>
        </w:tc>
        <w:tc>
          <w:tcPr>
            <w:tcW w:w="120" w:type="dxa"/>
            <w:vAlign w:val="bottom"/>
            <w:shd w:val="clear" w:color="auto" w:fill="CCECFF"/>
          </w:tcPr>
          <w:p>
            <w:pPr>
              <w:spacing w:after="0"/>
              <w:rPr>
                <w:sz w:val="12"/>
                <w:szCs w:val="12"/>
                <w:color w:val="auto"/>
              </w:rPr>
            </w:pPr>
          </w:p>
        </w:tc>
        <w:tc>
          <w:tcPr>
            <w:tcW w:w="24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Media</w:t>
            </w:r>
          </w:p>
        </w:tc>
        <w:tc>
          <w:tcPr>
            <w:tcW w:w="1120" w:type="dxa"/>
            <w:vAlign w:val="bottom"/>
            <w:gridSpan w:val="3"/>
            <w:shd w:val="clear" w:color="auto" w:fill="CCECFF"/>
          </w:tcPr>
          <w:p>
            <w:pPr>
              <w:jc w:val="right"/>
              <w:ind w:right="160"/>
              <w:spacing w:after="0"/>
              <w:rPr>
                <w:sz w:val="20"/>
                <w:szCs w:val="20"/>
                <w:color w:val="auto"/>
              </w:rPr>
            </w:pPr>
            <w:r>
              <w:rPr>
                <w:rFonts w:ascii="Arial" w:cs="Arial" w:eastAsia="Arial" w:hAnsi="Arial"/>
                <w:sz w:val="11"/>
                <w:szCs w:val="11"/>
                <w:color w:val="auto"/>
              </w:rPr>
              <w:t>6.25 %</w:t>
            </w:r>
          </w:p>
        </w:tc>
        <w:tc>
          <w:tcPr>
            <w:tcW w:w="7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L+550</w:t>
            </w:r>
          </w:p>
        </w:tc>
        <w:tc>
          <w:tcPr>
            <w:tcW w:w="8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4,000</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3,922</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3,920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960" w:type="dxa"/>
            <w:vAlign w:val="bottom"/>
          </w:tcPr>
          <w:p>
            <w:pPr>
              <w:ind w:left="20"/>
              <w:spacing w:after="0"/>
              <w:rPr>
                <w:sz w:val="20"/>
                <w:szCs w:val="20"/>
                <w:color w:val="auto"/>
              </w:rPr>
            </w:pPr>
            <w:r>
              <w:rPr>
                <w:rFonts w:ascii="Arial" w:cs="Arial" w:eastAsia="Arial" w:hAnsi="Arial"/>
                <w:sz w:val="11"/>
                <w:szCs w:val="11"/>
                <w:color w:val="auto"/>
              </w:rPr>
              <w:t>CoolSys, Inc</w:t>
            </w:r>
          </w:p>
        </w:tc>
        <w:tc>
          <w:tcPr>
            <w:tcW w:w="78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08/04/2028</w:t>
            </w:r>
          </w:p>
        </w:tc>
        <w:tc>
          <w:tcPr>
            <w:tcW w:w="120" w:type="dxa"/>
            <w:vAlign w:val="bottom"/>
          </w:tcPr>
          <w:p>
            <w:pPr>
              <w:spacing w:after="0"/>
              <w:rPr>
                <w:sz w:val="11"/>
                <w:szCs w:val="11"/>
                <w:color w:val="auto"/>
              </w:rPr>
            </w:pPr>
          </w:p>
        </w:tc>
        <w:tc>
          <w:tcPr>
            <w:tcW w:w="2460" w:type="dxa"/>
            <w:vAlign w:val="bottom"/>
          </w:tcPr>
          <w:p>
            <w:pPr>
              <w:jc w:val="center"/>
              <w:spacing w:after="0"/>
              <w:rPr>
                <w:sz w:val="20"/>
                <w:szCs w:val="20"/>
                <w:color w:val="auto"/>
              </w:rPr>
            </w:pPr>
            <w:r>
              <w:rPr>
                <w:rFonts w:ascii="Arial" w:cs="Arial" w:eastAsia="Arial" w:hAnsi="Arial"/>
                <w:sz w:val="11"/>
                <w:szCs w:val="11"/>
                <w:color w:val="auto"/>
                <w:w w:val="86"/>
              </w:rPr>
              <w:t>Business Services</w:t>
            </w:r>
          </w:p>
        </w:tc>
        <w:tc>
          <w:tcPr>
            <w:tcW w:w="1120" w:type="dxa"/>
            <w:vAlign w:val="bottom"/>
            <w:gridSpan w:val="3"/>
          </w:tcPr>
          <w:p>
            <w:pPr>
              <w:jc w:val="right"/>
              <w:ind w:right="160"/>
              <w:spacing w:after="0"/>
              <w:rPr>
                <w:sz w:val="20"/>
                <w:szCs w:val="20"/>
                <w:color w:val="auto"/>
              </w:rPr>
            </w:pPr>
            <w:r>
              <w:rPr>
                <w:rFonts w:ascii="Arial" w:cs="Arial" w:eastAsia="Arial" w:hAnsi="Arial"/>
                <w:sz w:val="11"/>
                <w:szCs w:val="11"/>
                <w:color w:val="auto"/>
              </w:rPr>
              <w:t>5.50 %</w:t>
            </w:r>
          </w:p>
        </w:tc>
        <w:tc>
          <w:tcPr>
            <w:tcW w:w="780" w:type="dxa"/>
            <w:vAlign w:val="bottom"/>
          </w:tcPr>
          <w:p>
            <w:pPr>
              <w:jc w:val="right"/>
              <w:spacing w:after="0"/>
              <w:rPr>
                <w:sz w:val="20"/>
                <w:szCs w:val="20"/>
                <w:color w:val="auto"/>
              </w:rPr>
            </w:pPr>
            <w:r>
              <w:rPr>
                <w:rFonts w:ascii="Arial" w:cs="Arial" w:eastAsia="Arial" w:hAnsi="Arial"/>
                <w:sz w:val="11"/>
                <w:szCs w:val="11"/>
                <w:color w:val="auto"/>
              </w:rPr>
              <w:t>1M L+475</w:t>
            </w: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1,909</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1,890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1,914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shd w:val="clear" w:color="auto" w:fill="CCECFF"/>
          </w:tcPr>
          <w:p>
            <w:pPr>
              <w:ind w:left="20"/>
              <w:spacing w:after="0"/>
              <w:rPr>
                <w:sz w:val="20"/>
                <w:szCs w:val="20"/>
                <w:color w:val="auto"/>
              </w:rPr>
            </w:pPr>
            <w:r>
              <w:rPr>
                <w:rFonts w:ascii="Arial" w:cs="Arial" w:eastAsia="Arial" w:hAnsi="Arial"/>
                <w:sz w:val="11"/>
                <w:szCs w:val="11"/>
                <w:color w:val="auto"/>
              </w:rPr>
              <w:t>Crane 1 Services Inc</w:t>
            </w:r>
          </w:p>
        </w:tc>
        <w:tc>
          <w:tcPr>
            <w:tcW w:w="7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7"/>
              </w:rPr>
              <w:t>08/16/2027</w:t>
            </w:r>
          </w:p>
        </w:tc>
        <w:tc>
          <w:tcPr>
            <w:tcW w:w="120" w:type="dxa"/>
            <w:vAlign w:val="bottom"/>
            <w:shd w:val="clear" w:color="auto" w:fill="CCECFF"/>
          </w:tcPr>
          <w:p>
            <w:pPr>
              <w:spacing w:after="0"/>
              <w:rPr>
                <w:sz w:val="11"/>
                <w:szCs w:val="11"/>
                <w:color w:val="auto"/>
              </w:rPr>
            </w:pPr>
          </w:p>
        </w:tc>
        <w:tc>
          <w:tcPr>
            <w:tcW w:w="24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Commercial Services &amp; Supplies</w:t>
            </w:r>
          </w:p>
        </w:tc>
        <w:tc>
          <w:tcPr>
            <w:tcW w:w="1120" w:type="dxa"/>
            <w:vAlign w:val="bottom"/>
            <w:gridSpan w:val="3"/>
            <w:shd w:val="clear" w:color="auto" w:fill="CCECFF"/>
          </w:tcPr>
          <w:p>
            <w:pPr>
              <w:jc w:val="right"/>
              <w:ind w:right="160"/>
              <w:spacing w:after="0"/>
              <w:rPr>
                <w:sz w:val="20"/>
                <w:szCs w:val="20"/>
                <w:color w:val="auto"/>
              </w:rPr>
            </w:pPr>
            <w:r>
              <w:rPr>
                <w:rFonts w:ascii="Arial" w:cs="Arial" w:eastAsia="Arial" w:hAnsi="Arial"/>
                <w:sz w:val="11"/>
                <w:szCs w:val="11"/>
                <w:color w:val="auto"/>
              </w:rPr>
              <w:t>6.75 %</w:t>
            </w:r>
          </w:p>
        </w:tc>
        <w:tc>
          <w:tcPr>
            <w:tcW w:w="7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L+575</w:t>
            </w:r>
          </w:p>
        </w:tc>
        <w:tc>
          <w:tcPr>
            <w:tcW w:w="8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2,132</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2,100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2,110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tcPr>
          <w:p>
            <w:pPr>
              <w:ind w:left="20"/>
              <w:spacing w:after="0"/>
              <w:rPr>
                <w:sz w:val="20"/>
                <w:szCs w:val="20"/>
                <w:color w:val="auto"/>
              </w:rPr>
            </w:pPr>
            <w:r>
              <w:rPr>
                <w:rFonts w:ascii="Arial" w:cs="Arial" w:eastAsia="Arial" w:hAnsi="Arial"/>
                <w:sz w:val="11"/>
                <w:szCs w:val="11"/>
                <w:color w:val="auto"/>
              </w:rPr>
              <w:t>Crash Champions, LLC</w:t>
            </w:r>
          </w:p>
        </w:tc>
        <w:tc>
          <w:tcPr>
            <w:tcW w:w="78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08/05/2025</w:t>
            </w:r>
          </w:p>
        </w:tc>
        <w:tc>
          <w:tcPr>
            <w:tcW w:w="120" w:type="dxa"/>
            <w:vAlign w:val="bottom"/>
          </w:tcPr>
          <w:p>
            <w:pPr>
              <w:spacing w:after="0"/>
              <w:rPr>
                <w:sz w:val="11"/>
                <w:szCs w:val="11"/>
                <w:color w:val="auto"/>
              </w:rPr>
            </w:pPr>
          </w:p>
        </w:tc>
        <w:tc>
          <w:tcPr>
            <w:tcW w:w="2460" w:type="dxa"/>
            <w:vAlign w:val="bottom"/>
          </w:tcPr>
          <w:p>
            <w:pPr>
              <w:jc w:val="center"/>
              <w:spacing w:after="0"/>
              <w:rPr>
                <w:sz w:val="20"/>
                <w:szCs w:val="20"/>
                <w:color w:val="auto"/>
              </w:rPr>
            </w:pPr>
            <w:r>
              <w:rPr>
                <w:rFonts w:ascii="Arial" w:cs="Arial" w:eastAsia="Arial" w:hAnsi="Arial"/>
                <w:sz w:val="11"/>
                <w:szCs w:val="11"/>
                <w:color w:val="auto"/>
                <w:w w:val="89"/>
              </w:rPr>
              <w:t>Automobiles</w:t>
            </w:r>
          </w:p>
        </w:tc>
        <w:tc>
          <w:tcPr>
            <w:tcW w:w="1120" w:type="dxa"/>
            <w:vAlign w:val="bottom"/>
            <w:gridSpan w:val="3"/>
          </w:tcPr>
          <w:p>
            <w:pPr>
              <w:jc w:val="right"/>
              <w:ind w:right="160"/>
              <w:spacing w:after="0"/>
              <w:rPr>
                <w:sz w:val="20"/>
                <w:szCs w:val="20"/>
                <w:color w:val="auto"/>
              </w:rPr>
            </w:pPr>
            <w:r>
              <w:rPr>
                <w:rFonts w:ascii="Arial" w:cs="Arial" w:eastAsia="Arial" w:hAnsi="Arial"/>
                <w:sz w:val="11"/>
                <w:szCs w:val="11"/>
                <w:color w:val="auto"/>
              </w:rPr>
              <w:t>6.00 %</w:t>
            </w:r>
          </w:p>
        </w:tc>
        <w:tc>
          <w:tcPr>
            <w:tcW w:w="780" w:type="dxa"/>
            <w:vAlign w:val="bottom"/>
          </w:tcPr>
          <w:p>
            <w:pPr>
              <w:jc w:val="right"/>
              <w:spacing w:after="0"/>
              <w:rPr>
                <w:sz w:val="20"/>
                <w:szCs w:val="20"/>
                <w:color w:val="auto"/>
              </w:rPr>
            </w:pPr>
            <w:r>
              <w:rPr>
                <w:rFonts w:ascii="Arial" w:cs="Arial" w:eastAsia="Arial" w:hAnsi="Arial"/>
                <w:sz w:val="11"/>
                <w:szCs w:val="11"/>
                <w:color w:val="auto"/>
              </w:rPr>
              <w:t>3M L+500</w:t>
            </w: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8,978</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8,802</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8,798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shd w:val="clear" w:color="auto" w:fill="CCECFF"/>
          </w:tcPr>
          <w:p>
            <w:pPr>
              <w:ind w:left="20"/>
              <w:spacing w:after="0"/>
              <w:rPr>
                <w:sz w:val="20"/>
                <w:szCs w:val="20"/>
                <w:color w:val="auto"/>
              </w:rPr>
            </w:pPr>
            <w:r>
              <w:rPr>
                <w:rFonts w:ascii="Arial" w:cs="Arial" w:eastAsia="Arial" w:hAnsi="Arial"/>
                <w:sz w:val="11"/>
                <w:szCs w:val="11"/>
                <w:color w:val="auto"/>
              </w:rPr>
              <w:t>Digital Room Holdings, Inc.</w:t>
            </w:r>
          </w:p>
        </w:tc>
        <w:tc>
          <w:tcPr>
            <w:tcW w:w="7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7"/>
              </w:rPr>
              <w:t>05/22/2026</w:t>
            </w:r>
          </w:p>
        </w:tc>
        <w:tc>
          <w:tcPr>
            <w:tcW w:w="120" w:type="dxa"/>
            <w:vAlign w:val="bottom"/>
            <w:shd w:val="clear" w:color="auto" w:fill="CCECFF"/>
          </w:tcPr>
          <w:p>
            <w:pPr>
              <w:spacing w:after="0"/>
              <w:rPr>
                <w:sz w:val="11"/>
                <w:szCs w:val="11"/>
                <w:color w:val="auto"/>
              </w:rPr>
            </w:pPr>
          </w:p>
        </w:tc>
        <w:tc>
          <w:tcPr>
            <w:tcW w:w="24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Commercial Services &amp; Supplies</w:t>
            </w:r>
          </w:p>
        </w:tc>
        <w:tc>
          <w:tcPr>
            <w:tcW w:w="1120" w:type="dxa"/>
            <w:vAlign w:val="bottom"/>
            <w:gridSpan w:val="3"/>
            <w:shd w:val="clear" w:color="auto" w:fill="CCECFF"/>
          </w:tcPr>
          <w:p>
            <w:pPr>
              <w:jc w:val="right"/>
              <w:ind w:right="160"/>
              <w:spacing w:after="0"/>
              <w:rPr>
                <w:sz w:val="20"/>
                <w:szCs w:val="20"/>
                <w:color w:val="auto"/>
              </w:rPr>
            </w:pPr>
            <w:r>
              <w:rPr>
                <w:rFonts w:ascii="Arial" w:cs="Arial" w:eastAsia="Arial" w:hAnsi="Arial"/>
                <w:sz w:val="11"/>
                <w:szCs w:val="11"/>
                <w:color w:val="auto"/>
              </w:rPr>
              <w:t>5.08 %</w:t>
            </w:r>
          </w:p>
        </w:tc>
        <w:tc>
          <w:tcPr>
            <w:tcW w:w="7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L+500</w:t>
            </w:r>
          </w:p>
        </w:tc>
        <w:tc>
          <w:tcPr>
            <w:tcW w:w="8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3,228</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3,111</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3,186</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tcPr>
          <w:p>
            <w:pPr>
              <w:ind w:left="20"/>
              <w:spacing w:after="0"/>
              <w:rPr>
                <w:sz w:val="20"/>
                <w:szCs w:val="20"/>
                <w:color w:val="auto"/>
              </w:rPr>
            </w:pPr>
            <w:r>
              <w:rPr>
                <w:rFonts w:ascii="Arial" w:cs="Arial" w:eastAsia="Arial" w:hAnsi="Arial"/>
                <w:sz w:val="11"/>
                <w:szCs w:val="11"/>
                <w:color w:val="auto"/>
              </w:rPr>
              <w:t>Douglas Products and Packaging Company LLC</w:t>
            </w:r>
          </w:p>
        </w:tc>
        <w:tc>
          <w:tcPr>
            <w:tcW w:w="78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10/19/2022</w:t>
            </w:r>
          </w:p>
        </w:tc>
        <w:tc>
          <w:tcPr>
            <w:tcW w:w="120" w:type="dxa"/>
            <w:vAlign w:val="bottom"/>
          </w:tcPr>
          <w:p>
            <w:pPr>
              <w:spacing w:after="0"/>
              <w:rPr>
                <w:sz w:val="11"/>
                <w:szCs w:val="11"/>
                <w:color w:val="auto"/>
              </w:rPr>
            </w:pPr>
          </w:p>
        </w:tc>
        <w:tc>
          <w:tcPr>
            <w:tcW w:w="2460" w:type="dxa"/>
            <w:vAlign w:val="bottom"/>
          </w:tcPr>
          <w:p>
            <w:pPr>
              <w:jc w:val="center"/>
              <w:spacing w:after="0"/>
              <w:rPr>
                <w:sz w:val="20"/>
                <w:szCs w:val="20"/>
                <w:color w:val="auto"/>
              </w:rPr>
            </w:pPr>
            <w:r>
              <w:rPr>
                <w:rFonts w:ascii="Arial" w:cs="Arial" w:eastAsia="Arial" w:hAnsi="Arial"/>
                <w:sz w:val="11"/>
                <w:szCs w:val="11"/>
                <w:color w:val="auto"/>
                <w:w w:val="88"/>
              </w:rPr>
              <w:t>Chemicals, Plastics and Rubber</w:t>
            </w:r>
          </w:p>
        </w:tc>
        <w:tc>
          <w:tcPr>
            <w:tcW w:w="1120" w:type="dxa"/>
            <w:vAlign w:val="bottom"/>
            <w:gridSpan w:val="3"/>
          </w:tcPr>
          <w:p>
            <w:pPr>
              <w:jc w:val="right"/>
              <w:ind w:right="160"/>
              <w:spacing w:after="0"/>
              <w:rPr>
                <w:sz w:val="20"/>
                <w:szCs w:val="20"/>
                <w:color w:val="auto"/>
              </w:rPr>
            </w:pPr>
            <w:r>
              <w:rPr>
                <w:rFonts w:ascii="Arial" w:cs="Arial" w:eastAsia="Arial" w:hAnsi="Arial"/>
                <w:sz w:val="11"/>
                <w:szCs w:val="11"/>
                <w:color w:val="auto"/>
              </w:rPr>
              <w:t>6.75 %</w:t>
            </w:r>
          </w:p>
        </w:tc>
        <w:tc>
          <w:tcPr>
            <w:tcW w:w="780" w:type="dxa"/>
            <w:vAlign w:val="bottom"/>
          </w:tcPr>
          <w:p>
            <w:pPr>
              <w:jc w:val="right"/>
              <w:spacing w:after="0"/>
              <w:rPr>
                <w:sz w:val="20"/>
                <w:szCs w:val="20"/>
                <w:color w:val="auto"/>
              </w:rPr>
            </w:pPr>
            <w:r>
              <w:rPr>
                <w:rFonts w:ascii="Arial" w:cs="Arial" w:eastAsia="Arial" w:hAnsi="Arial"/>
                <w:sz w:val="11"/>
                <w:szCs w:val="11"/>
                <w:color w:val="auto"/>
              </w:rPr>
              <w:t>3M L+575</w:t>
            </w: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8,746</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8,695</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8,746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shd w:val="clear" w:color="auto" w:fill="CCECFF"/>
          </w:tcPr>
          <w:p>
            <w:pPr>
              <w:ind w:left="20"/>
              <w:spacing w:after="0"/>
              <w:rPr>
                <w:sz w:val="20"/>
                <w:szCs w:val="20"/>
                <w:color w:val="auto"/>
              </w:rPr>
            </w:pPr>
            <w:r>
              <w:rPr>
                <w:rFonts w:ascii="Arial" w:cs="Arial" w:eastAsia="Arial" w:hAnsi="Arial"/>
                <w:sz w:val="11"/>
                <w:szCs w:val="11"/>
                <w:color w:val="auto"/>
              </w:rPr>
              <w:t>Douglas Sewer Intermediate, LLC</w:t>
            </w:r>
          </w:p>
        </w:tc>
        <w:tc>
          <w:tcPr>
            <w:tcW w:w="7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7"/>
              </w:rPr>
              <w:t>10/19/2022</w:t>
            </w:r>
          </w:p>
        </w:tc>
        <w:tc>
          <w:tcPr>
            <w:tcW w:w="120" w:type="dxa"/>
            <w:vAlign w:val="bottom"/>
            <w:shd w:val="clear" w:color="auto" w:fill="CCECFF"/>
          </w:tcPr>
          <w:p>
            <w:pPr>
              <w:spacing w:after="0"/>
              <w:rPr>
                <w:sz w:val="11"/>
                <w:szCs w:val="11"/>
                <w:color w:val="auto"/>
              </w:rPr>
            </w:pPr>
          </w:p>
        </w:tc>
        <w:tc>
          <w:tcPr>
            <w:tcW w:w="24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Chemicals, Plastics and Rubber</w:t>
            </w:r>
          </w:p>
        </w:tc>
        <w:tc>
          <w:tcPr>
            <w:tcW w:w="1120" w:type="dxa"/>
            <w:vAlign w:val="bottom"/>
            <w:gridSpan w:val="3"/>
            <w:shd w:val="clear" w:color="auto" w:fill="CCECFF"/>
          </w:tcPr>
          <w:p>
            <w:pPr>
              <w:jc w:val="right"/>
              <w:ind w:right="160"/>
              <w:spacing w:after="0"/>
              <w:rPr>
                <w:sz w:val="20"/>
                <w:szCs w:val="20"/>
                <w:color w:val="auto"/>
              </w:rPr>
            </w:pPr>
            <w:r>
              <w:rPr>
                <w:rFonts w:ascii="Arial" w:cs="Arial" w:eastAsia="Arial" w:hAnsi="Arial"/>
                <w:sz w:val="11"/>
                <w:szCs w:val="11"/>
                <w:color w:val="auto"/>
              </w:rPr>
              <w:t>6.75 %</w:t>
            </w:r>
          </w:p>
        </w:tc>
        <w:tc>
          <w:tcPr>
            <w:tcW w:w="7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L+575</w:t>
            </w:r>
          </w:p>
        </w:tc>
        <w:tc>
          <w:tcPr>
            <w:tcW w:w="8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7,323</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7,278</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7,323</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tcPr>
          <w:p>
            <w:pPr>
              <w:ind w:left="20"/>
              <w:spacing w:after="0"/>
              <w:rPr>
                <w:sz w:val="20"/>
                <w:szCs w:val="20"/>
                <w:color w:val="auto"/>
              </w:rPr>
            </w:pPr>
            <w:r>
              <w:rPr>
                <w:rFonts w:ascii="Arial" w:cs="Arial" w:eastAsia="Arial" w:hAnsi="Arial"/>
                <w:sz w:val="11"/>
                <w:szCs w:val="11"/>
                <w:color w:val="auto"/>
              </w:rPr>
              <w:t>Dr. Squatch, LLC</w:t>
            </w:r>
          </w:p>
        </w:tc>
        <w:tc>
          <w:tcPr>
            <w:tcW w:w="780" w:type="dxa"/>
            <w:vAlign w:val="bottom"/>
            <w:gridSpan w:val="2"/>
          </w:tcPr>
          <w:p>
            <w:pPr>
              <w:jc w:val="center"/>
              <w:ind w:left="86"/>
              <w:spacing w:after="0"/>
              <w:rPr>
                <w:sz w:val="20"/>
                <w:szCs w:val="20"/>
                <w:color w:val="auto"/>
              </w:rPr>
            </w:pPr>
            <w:r>
              <w:rPr>
                <w:rFonts w:ascii="Arial" w:cs="Arial" w:eastAsia="Arial" w:hAnsi="Arial"/>
                <w:sz w:val="11"/>
                <w:szCs w:val="11"/>
                <w:color w:val="auto"/>
                <w:w w:val="89"/>
              </w:rPr>
              <w:t>8/27/2026</w:t>
            </w:r>
          </w:p>
        </w:tc>
        <w:tc>
          <w:tcPr>
            <w:tcW w:w="120" w:type="dxa"/>
            <w:vAlign w:val="bottom"/>
          </w:tcPr>
          <w:p>
            <w:pPr>
              <w:spacing w:after="0"/>
              <w:rPr>
                <w:sz w:val="11"/>
                <w:szCs w:val="11"/>
                <w:color w:val="auto"/>
              </w:rPr>
            </w:pPr>
          </w:p>
        </w:tc>
        <w:tc>
          <w:tcPr>
            <w:tcW w:w="2460" w:type="dxa"/>
            <w:vAlign w:val="bottom"/>
          </w:tcPr>
          <w:p>
            <w:pPr>
              <w:jc w:val="center"/>
              <w:spacing w:after="0"/>
              <w:rPr>
                <w:sz w:val="20"/>
                <w:szCs w:val="20"/>
                <w:color w:val="auto"/>
              </w:rPr>
            </w:pPr>
            <w:r>
              <w:rPr>
                <w:rFonts w:ascii="Arial" w:cs="Arial" w:eastAsia="Arial" w:hAnsi="Arial"/>
                <w:sz w:val="11"/>
                <w:szCs w:val="11"/>
                <w:color w:val="auto"/>
                <w:w w:val="86"/>
              </w:rPr>
              <w:t>Personal Products</w:t>
            </w:r>
          </w:p>
        </w:tc>
        <w:tc>
          <w:tcPr>
            <w:tcW w:w="1120" w:type="dxa"/>
            <w:vAlign w:val="bottom"/>
            <w:gridSpan w:val="3"/>
          </w:tcPr>
          <w:p>
            <w:pPr>
              <w:jc w:val="right"/>
              <w:ind w:right="160"/>
              <w:spacing w:after="0"/>
              <w:rPr>
                <w:sz w:val="20"/>
                <w:szCs w:val="20"/>
                <w:color w:val="auto"/>
              </w:rPr>
            </w:pPr>
            <w:r>
              <w:rPr>
                <w:rFonts w:ascii="Arial" w:cs="Arial" w:eastAsia="Arial" w:hAnsi="Arial"/>
                <w:sz w:val="11"/>
                <w:szCs w:val="11"/>
                <w:color w:val="auto"/>
              </w:rPr>
              <w:t>7.00 %</w:t>
            </w:r>
          </w:p>
        </w:tc>
        <w:tc>
          <w:tcPr>
            <w:tcW w:w="780" w:type="dxa"/>
            <w:vAlign w:val="bottom"/>
          </w:tcPr>
          <w:p>
            <w:pPr>
              <w:jc w:val="right"/>
              <w:spacing w:after="0"/>
              <w:rPr>
                <w:sz w:val="20"/>
                <w:szCs w:val="20"/>
                <w:color w:val="auto"/>
              </w:rPr>
            </w:pPr>
            <w:r>
              <w:rPr>
                <w:rFonts w:ascii="Arial" w:cs="Arial" w:eastAsia="Arial" w:hAnsi="Arial"/>
                <w:sz w:val="11"/>
                <w:szCs w:val="11"/>
                <w:color w:val="auto"/>
              </w:rPr>
              <w:t>3M L+600</w:t>
            </w: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10,000</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9,803</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9,800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shd w:val="clear" w:color="auto" w:fill="CCECFF"/>
          </w:tcPr>
          <w:p>
            <w:pPr>
              <w:ind w:left="20"/>
              <w:spacing w:after="0"/>
              <w:rPr>
                <w:sz w:val="20"/>
                <w:szCs w:val="20"/>
                <w:color w:val="auto"/>
              </w:rPr>
            </w:pPr>
            <w:r>
              <w:rPr>
                <w:rFonts w:ascii="Arial" w:cs="Arial" w:eastAsia="Arial" w:hAnsi="Arial"/>
                <w:sz w:val="11"/>
                <w:szCs w:val="11"/>
                <w:color w:val="auto"/>
              </w:rPr>
              <w:t>DRS Holdings III, Inc.</w:t>
            </w:r>
          </w:p>
        </w:tc>
        <w:tc>
          <w:tcPr>
            <w:tcW w:w="7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7"/>
              </w:rPr>
              <w:t>11/03/2025</w:t>
            </w:r>
          </w:p>
        </w:tc>
        <w:tc>
          <w:tcPr>
            <w:tcW w:w="120" w:type="dxa"/>
            <w:vAlign w:val="bottom"/>
            <w:shd w:val="clear" w:color="auto" w:fill="CCECFF"/>
          </w:tcPr>
          <w:p>
            <w:pPr>
              <w:spacing w:after="0"/>
              <w:rPr>
                <w:sz w:val="11"/>
                <w:szCs w:val="11"/>
                <w:color w:val="auto"/>
              </w:rPr>
            </w:pPr>
          </w:p>
        </w:tc>
        <w:tc>
          <w:tcPr>
            <w:tcW w:w="24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Consumer Goods: Durable</w:t>
            </w:r>
          </w:p>
        </w:tc>
        <w:tc>
          <w:tcPr>
            <w:tcW w:w="1120" w:type="dxa"/>
            <w:vAlign w:val="bottom"/>
            <w:gridSpan w:val="3"/>
            <w:shd w:val="clear" w:color="auto" w:fill="CCECFF"/>
          </w:tcPr>
          <w:p>
            <w:pPr>
              <w:jc w:val="right"/>
              <w:ind w:right="160"/>
              <w:spacing w:after="0"/>
              <w:rPr>
                <w:sz w:val="20"/>
                <w:szCs w:val="20"/>
                <w:color w:val="auto"/>
              </w:rPr>
            </w:pPr>
            <w:r>
              <w:rPr>
                <w:rFonts w:ascii="Arial" w:cs="Arial" w:eastAsia="Arial" w:hAnsi="Arial"/>
                <w:sz w:val="11"/>
                <w:szCs w:val="11"/>
                <w:color w:val="auto"/>
              </w:rPr>
              <w:t>7.25 %</w:t>
            </w:r>
          </w:p>
        </w:tc>
        <w:tc>
          <w:tcPr>
            <w:tcW w:w="7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L+625</w:t>
            </w:r>
          </w:p>
        </w:tc>
        <w:tc>
          <w:tcPr>
            <w:tcW w:w="8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15,676</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15,584</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15,566</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960" w:type="dxa"/>
            <w:vAlign w:val="bottom"/>
          </w:tcPr>
          <w:p>
            <w:pPr>
              <w:ind w:left="20"/>
              <w:spacing w:after="0" w:line="125" w:lineRule="exact"/>
              <w:rPr>
                <w:sz w:val="20"/>
                <w:szCs w:val="20"/>
                <w:color w:val="auto"/>
              </w:rPr>
            </w:pPr>
            <w:r>
              <w:rPr>
                <w:rFonts w:ascii="Arial" w:cs="Arial" w:eastAsia="Arial" w:hAnsi="Arial"/>
                <w:sz w:val="11"/>
                <w:szCs w:val="11"/>
                <w:color w:val="auto"/>
              </w:rPr>
              <w:t>East Valley Tourist Development Authority</w:t>
            </w:r>
          </w:p>
        </w:tc>
        <w:tc>
          <w:tcPr>
            <w:tcW w:w="780" w:type="dxa"/>
            <w:vAlign w:val="bottom"/>
            <w:gridSpan w:val="2"/>
          </w:tcPr>
          <w:p>
            <w:pPr>
              <w:jc w:val="center"/>
              <w:ind w:left="86"/>
              <w:spacing w:after="0" w:line="125" w:lineRule="exact"/>
              <w:rPr>
                <w:sz w:val="20"/>
                <w:szCs w:val="20"/>
                <w:color w:val="auto"/>
              </w:rPr>
            </w:pPr>
            <w:r>
              <w:rPr>
                <w:rFonts w:ascii="Arial" w:cs="Arial" w:eastAsia="Arial" w:hAnsi="Arial"/>
                <w:sz w:val="11"/>
                <w:szCs w:val="11"/>
                <w:color w:val="auto"/>
                <w:w w:val="87"/>
              </w:rPr>
              <w:t>03/07/2022</w:t>
            </w:r>
          </w:p>
        </w:tc>
        <w:tc>
          <w:tcPr>
            <w:tcW w:w="120" w:type="dxa"/>
            <w:vAlign w:val="bottom"/>
          </w:tcPr>
          <w:p>
            <w:pPr>
              <w:spacing w:after="0"/>
              <w:rPr>
                <w:sz w:val="10"/>
                <w:szCs w:val="10"/>
                <w:color w:val="auto"/>
              </w:rPr>
            </w:pPr>
          </w:p>
        </w:tc>
        <w:tc>
          <w:tcPr>
            <w:tcW w:w="2460" w:type="dxa"/>
            <w:vAlign w:val="bottom"/>
          </w:tcPr>
          <w:p>
            <w:pPr>
              <w:jc w:val="center"/>
              <w:spacing w:after="0" w:line="125" w:lineRule="exact"/>
              <w:rPr>
                <w:sz w:val="20"/>
                <w:szCs w:val="20"/>
                <w:color w:val="auto"/>
              </w:rPr>
            </w:pPr>
            <w:r>
              <w:rPr>
                <w:rFonts w:ascii="Arial" w:cs="Arial" w:eastAsia="Arial" w:hAnsi="Arial"/>
                <w:sz w:val="11"/>
                <w:szCs w:val="11"/>
                <w:color w:val="auto"/>
                <w:w w:val="87"/>
              </w:rPr>
              <w:t>Hotels, Restaurants and Leisure</w:t>
            </w:r>
          </w:p>
        </w:tc>
        <w:tc>
          <w:tcPr>
            <w:tcW w:w="1120" w:type="dxa"/>
            <w:vAlign w:val="bottom"/>
            <w:gridSpan w:val="3"/>
          </w:tcPr>
          <w:p>
            <w:pPr>
              <w:jc w:val="right"/>
              <w:ind w:right="160"/>
              <w:spacing w:after="0" w:line="125" w:lineRule="exact"/>
              <w:rPr>
                <w:sz w:val="20"/>
                <w:szCs w:val="20"/>
                <w:color w:val="auto"/>
              </w:rPr>
            </w:pPr>
            <w:r>
              <w:rPr>
                <w:rFonts w:ascii="Arial" w:cs="Arial" w:eastAsia="Arial" w:hAnsi="Arial"/>
                <w:sz w:val="11"/>
                <w:szCs w:val="11"/>
                <w:color w:val="auto"/>
              </w:rPr>
              <w:t>9.00 %</w:t>
            </w:r>
          </w:p>
        </w:tc>
        <w:tc>
          <w:tcPr>
            <w:tcW w:w="780" w:type="dxa"/>
            <w:vAlign w:val="bottom"/>
          </w:tcPr>
          <w:p>
            <w:pPr>
              <w:jc w:val="right"/>
              <w:spacing w:after="0" w:line="125" w:lineRule="exact"/>
              <w:rPr>
                <w:sz w:val="20"/>
                <w:szCs w:val="20"/>
                <w:color w:val="auto"/>
              </w:rPr>
            </w:pPr>
            <w:r>
              <w:rPr>
                <w:rFonts w:ascii="Arial" w:cs="Arial" w:eastAsia="Arial" w:hAnsi="Arial"/>
                <w:sz w:val="11"/>
                <w:szCs w:val="11"/>
                <w:color w:val="auto"/>
              </w:rPr>
              <w:t>3M L+800</w:t>
            </w:r>
          </w:p>
        </w:tc>
        <w:tc>
          <w:tcPr>
            <w:tcW w:w="860" w:type="dxa"/>
            <w:vAlign w:val="bottom"/>
            <w:gridSpan w:val="2"/>
          </w:tcPr>
          <w:p>
            <w:pPr>
              <w:jc w:val="right"/>
              <w:spacing w:after="0" w:line="125" w:lineRule="exact"/>
              <w:rPr>
                <w:sz w:val="20"/>
                <w:szCs w:val="20"/>
                <w:color w:val="auto"/>
              </w:rPr>
            </w:pPr>
            <w:r>
              <w:rPr>
                <w:rFonts w:ascii="Arial" w:cs="Arial" w:eastAsia="Arial" w:hAnsi="Arial"/>
                <w:sz w:val="11"/>
                <w:szCs w:val="11"/>
                <w:color w:val="auto"/>
              </w:rPr>
              <w:t>5,719</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jc w:val="right"/>
              <w:spacing w:after="0" w:line="125" w:lineRule="exact"/>
              <w:rPr>
                <w:sz w:val="20"/>
                <w:szCs w:val="20"/>
                <w:color w:val="auto"/>
              </w:rPr>
            </w:pPr>
            <w:r>
              <w:rPr>
                <w:rFonts w:ascii="Arial" w:cs="Arial" w:eastAsia="Arial" w:hAnsi="Arial"/>
                <w:sz w:val="11"/>
                <w:szCs w:val="11"/>
                <w:color w:val="auto"/>
              </w:rPr>
              <w:t>5,624</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line="125" w:lineRule="exact"/>
              <w:rPr>
                <w:sz w:val="20"/>
                <w:szCs w:val="20"/>
                <w:color w:val="auto"/>
              </w:rPr>
            </w:pPr>
            <w:r>
              <w:rPr>
                <w:rFonts w:ascii="Arial" w:cs="Arial" w:eastAsia="Arial" w:hAnsi="Arial"/>
                <w:sz w:val="11"/>
                <w:szCs w:val="11"/>
                <w:color w:val="auto"/>
              </w:rPr>
              <w:t>5,633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1"/>
                <w:szCs w:val="11"/>
                <w:color w:val="auto"/>
              </w:rPr>
              <w:t>P(IK 3.50%)</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960" w:type="dxa"/>
            <w:vAlign w:val="bottom"/>
            <w:shd w:val="clear" w:color="auto" w:fill="CCECFF"/>
          </w:tcPr>
          <w:p>
            <w:pPr>
              <w:ind w:left="20"/>
              <w:spacing w:after="0"/>
              <w:rPr>
                <w:sz w:val="20"/>
                <w:szCs w:val="20"/>
                <w:color w:val="auto"/>
              </w:rPr>
            </w:pPr>
            <w:r>
              <w:rPr>
                <w:rFonts w:ascii="Arial" w:cs="Arial" w:eastAsia="Arial" w:hAnsi="Arial"/>
                <w:sz w:val="11"/>
                <w:szCs w:val="11"/>
                <w:color w:val="auto"/>
              </w:rPr>
              <w:t>ECL Entertainment, LLC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8"/>
              </w:rPr>
              <w:t>03/312028</w:t>
            </w:r>
          </w:p>
        </w:tc>
        <w:tc>
          <w:tcPr>
            <w:tcW w:w="120" w:type="dxa"/>
            <w:vAlign w:val="bottom"/>
            <w:shd w:val="clear" w:color="auto" w:fill="CCECFF"/>
          </w:tcPr>
          <w:p>
            <w:pPr>
              <w:spacing w:after="0"/>
              <w:rPr>
                <w:sz w:val="12"/>
                <w:szCs w:val="12"/>
                <w:color w:val="auto"/>
              </w:rPr>
            </w:pPr>
          </w:p>
        </w:tc>
        <w:tc>
          <w:tcPr>
            <w:tcW w:w="24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Hotels, Restaurants and Leisure</w:t>
            </w:r>
          </w:p>
        </w:tc>
        <w:tc>
          <w:tcPr>
            <w:tcW w:w="1120" w:type="dxa"/>
            <w:vAlign w:val="bottom"/>
            <w:gridSpan w:val="3"/>
            <w:shd w:val="clear" w:color="auto" w:fill="CCECFF"/>
          </w:tcPr>
          <w:p>
            <w:pPr>
              <w:jc w:val="right"/>
              <w:ind w:right="160"/>
              <w:spacing w:after="0"/>
              <w:rPr>
                <w:sz w:val="20"/>
                <w:szCs w:val="20"/>
                <w:color w:val="auto"/>
              </w:rPr>
            </w:pPr>
            <w:r>
              <w:rPr>
                <w:rFonts w:ascii="Arial" w:cs="Arial" w:eastAsia="Arial" w:hAnsi="Arial"/>
                <w:sz w:val="11"/>
                <w:szCs w:val="11"/>
                <w:color w:val="auto"/>
              </w:rPr>
              <w:t>8.25 %</w:t>
            </w:r>
          </w:p>
        </w:tc>
        <w:tc>
          <w:tcPr>
            <w:tcW w:w="7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L+750</w:t>
            </w:r>
          </w:p>
        </w:tc>
        <w:tc>
          <w:tcPr>
            <w:tcW w:w="8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2,647</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2,621</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2,707</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960" w:type="dxa"/>
            <w:vAlign w:val="bottom"/>
          </w:tcPr>
          <w:p>
            <w:pPr>
              <w:ind w:left="20"/>
              <w:spacing w:after="0"/>
              <w:rPr>
                <w:sz w:val="20"/>
                <w:szCs w:val="20"/>
                <w:color w:val="auto"/>
              </w:rPr>
            </w:pPr>
            <w:r>
              <w:rPr>
                <w:rFonts w:ascii="Arial" w:cs="Arial" w:eastAsia="Arial" w:hAnsi="Arial"/>
                <w:sz w:val="11"/>
                <w:szCs w:val="11"/>
                <w:color w:val="auto"/>
              </w:rPr>
              <w:t>ECM Industries, LLC</w:t>
            </w:r>
          </w:p>
        </w:tc>
        <w:tc>
          <w:tcPr>
            <w:tcW w:w="78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12/23/2025</w:t>
            </w:r>
          </w:p>
        </w:tc>
        <w:tc>
          <w:tcPr>
            <w:tcW w:w="120" w:type="dxa"/>
            <w:vAlign w:val="bottom"/>
          </w:tcPr>
          <w:p>
            <w:pPr>
              <w:spacing w:after="0"/>
              <w:rPr>
                <w:sz w:val="11"/>
                <w:szCs w:val="11"/>
                <w:color w:val="auto"/>
              </w:rPr>
            </w:pPr>
          </w:p>
        </w:tc>
        <w:tc>
          <w:tcPr>
            <w:tcW w:w="2460" w:type="dxa"/>
            <w:vAlign w:val="bottom"/>
          </w:tcPr>
          <w:p>
            <w:pPr>
              <w:jc w:val="center"/>
              <w:spacing w:after="0"/>
              <w:rPr>
                <w:sz w:val="20"/>
                <w:szCs w:val="20"/>
                <w:color w:val="auto"/>
              </w:rPr>
            </w:pPr>
            <w:r>
              <w:rPr>
                <w:rFonts w:ascii="Arial" w:cs="Arial" w:eastAsia="Arial" w:hAnsi="Arial"/>
                <w:sz w:val="11"/>
                <w:szCs w:val="11"/>
                <w:color w:val="auto"/>
                <w:w w:val="89"/>
              </w:rPr>
              <w:t>Electronic Equipment, Instruments, and Components</w:t>
            </w:r>
          </w:p>
        </w:tc>
        <w:tc>
          <w:tcPr>
            <w:tcW w:w="1120" w:type="dxa"/>
            <w:vAlign w:val="bottom"/>
            <w:gridSpan w:val="3"/>
          </w:tcPr>
          <w:p>
            <w:pPr>
              <w:jc w:val="right"/>
              <w:ind w:right="160"/>
              <w:spacing w:after="0"/>
              <w:rPr>
                <w:sz w:val="20"/>
                <w:szCs w:val="20"/>
                <w:color w:val="auto"/>
              </w:rPr>
            </w:pPr>
            <w:r>
              <w:rPr>
                <w:rFonts w:ascii="Arial" w:cs="Arial" w:eastAsia="Arial" w:hAnsi="Arial"/>
                <w:sz w:val="11"/>
                <w:szCs w:val="11"/>
                <w:color w:val="auto"/>
              </w:rPr>
              <w:t>5.50 %</w:t>
            </w:r>
          </w:p>
        </w:tc>
        <w:tc>
          <w:tcPr>
            <w:tcW w:w="780" w:type="dxa"/>
            <w:vAlign w:val="bottom"/>
          </w:tcPr>
          <w:p>
            <w:pPr>
              <w:jc w:val="right"/>
              <w:spacing w:after="0"/>
              <w:rPr>
                <w:sz w:val="20"/>
                <w:szCs w:val="20"/>
                <w:color w:val="auto"/>
              </w:rPr>
            </w:pPr>
            <w:r>
              <w:rPr>
                <w:rFonts w:ascii="Arial" w:cs="Arial" w:eastAsia="Arial" w:hAnsi="Arial"/>
                <w:sz w:val="11"/>
                <w:szCs w:val="11"/>
                <w:color w:val="auto"/>
              </w:rPr>
              <w:t>1M L+450</w:t>
            </w: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4,994</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4,994</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4,894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shd w:val="clear" w:color="auto" w:fill="CCECFF"/>
          </w:tcPr>
          <w:p>
            <w:pPr>
              <w:ind w:left="20"/>
              <w:spacing w:after="0"/>
              <w:rPr>
                <w:sz w:val="20"/>
                <w:szCs w:val="20"/>
                <w:color w:val="auto"/>
              </w:rPr>
            </w:pPr>
            <w:r>
              <w:rPr>
                <w:rFonts w:ascii="Arial" w:cs="Arial" w:eastAsia="Arial" w:hAnsi="Arial"/>
                <w:sz w:val="11"/>
                <w:szCs w:val="11"/>
                <w:color w:val="auto"/>
              </w:rPr>
              <w:t>Fairbanks More Defense</w:t>
            </w:r>
          </w:p>
        </w:tc>
        <w:tc>
          <w:tcPr>
            <w:tcW w:w="7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7"/>
              </w:rPr>
              <w:t>06/17/2028</w:t>
            </w:r>
          </w:p>
        </w:tc>
        <w:tc>
          <w:tcPr>
            <w:tcW w:w="120" w:type="dxa"/>
            <w:vAlign w:val="bottom"/>
            <w:shd w:val="clear" w:color="auto" w:fill="CCECFF"/>
          </w:tcPr>
          <w:p>
            <w:pPr>
              <w:spacing w:after="0"/>
              <w:rPr>
                <w:sz w:val="11"/>
                <w:szCs w:val="11"/>
                <w:color w:val="auto"/>
              </w:rPr>
            </w:pPr>
          </w:p>
        </w:tc>
        <w:tc>
          <w:tcPr>
            <w:tcW w:w="24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Aerospace and Defense</w:t>
            </w:r>
          </w:p>
        </w:tc>
        <w:tc>
          <w:tcPr>
            <w:tcW w:w="1120" w:type="dxa"/>
            <w:vAlign w:val="bottom"/>
            <w:gridSpan w:val="3"/>
            <w:shd w:val="clear" w:color="auto" w:fill="CCECFF"/>
          </w:tcPr>
          <w:p>
            <w:pPr>
              <w:jc w:val="right"/>
              <w:ind w:right="160"/>
              <w:spacing w:after="0"/>
              <w:rPr>
                <w:sz w:val="20"/>
                <w:szCs w:val="20"/>
                <w:color w:val="auto"/>
              </w:rPr>
            </w:pPr>
            <w:r>
              <w:rPr>
                <w:rFonts w:ascii="Arial" w:cs="Arial" w:eastAsia="Arial" w:hAnsi="Arial"/>
                <w:sz w:val="11"/>
                <w:szCs w:val="11"/>
                <w:color w:val="auto"/>
              </w:rPr>
              <w:t>5.50 %</w:t>
            </w:r>
          </w:p>
        </w:tc>
        <w:tc>
          <w:tcPr>
            <w:tcW w:w="7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L+475</w:t>
            </w:r>
          </w:p>
        </w:tc>
        <w:tc>
          <w:tcPr>
            <w:tcW w:w="8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10,000</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9,955</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10,000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tcPr>
          <w:p>
            <w:pPr>
              <w:ind w:left="20"/>
              <w:spacing w:after="0"/>
              <w:rPr>
                <w:sz w:val="20"/>
                <w:szCs w:val="20"/>
                <w:color w:val="auto"/>
              </w:rPr>
            </w:pPr>
            <w:r>
              <w:rPr>
                <w:rFonts w:ascii="Arial" w:cs="Arial" w:eastAsia="Arial" w:hAnsi="Arial"/>
                <w:sz w:val="11"/>
                <w:szCs w:val="11"/>
                <w:color w:val="auto"/>
              </w:rPr>
              <w:t>FlexPrint, LLC</w:t>
            </w:r>
          </w:p>
        </w:tc>
        <w:tc>
          <w:tcPr>
            <w:tcW w:w="78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01/02/2024</w:t>
            </w:r>
          </w:p>
        </w:tc>
        <w:tc>
          <w:tcPr>
            <w:tcW w:w="120" w:type="dxa"/>
            <w:vAlign w:val="bottom"/>
          </w:tcPr>
          <w:p>
            <w:pPr>
              <w:spacing w:after="0"/>
              <w:rPr>
                <w:sz w:val="11"/>
                <w:szCs w:val="11"/>
                <w:color w:val="auto"/>
              </w:rPr>
            </w:pPr>
          </w:p>
        </w:tc>
        <w:tc>
          <w:tcPr>
            <w:tcW w:w="2460" w:type="dxa"/>
            <w:vAlign w:val="bottom"/>
          </w:tcPr>
          <w:p>
            <w:pPr>
              <w:jc w:val="center"/>
              <w:spacing w:after="0"/>
              <w:rPr>
                <w:sz w:val="20"/>
                <w:szCs w:val="20"/>
                <w:color w:val="auto"/>
              </w:rPr>
            </w:pPr>
            <w:r>
              <w:rPr>
                <w:rFonts w:ascii="Arial" w:cs="Arial" w:eastAsia="Arial" w:hAnsi="Arial"/>
                <w:sz w:val="11"/>
                <w:szCs w:val="11"/>
                <w:color w:val="auto"/>
                <w:w w:val="88"/>
              </w:rPr>
              <w:t>Commercial Services &amp; Supplies</w:t>
            </w:r>
          </w:p>
        </w:tc>
        <w:tc>
          <w:tcPr>
            <w:tcW w:w="1120" w:type="dxa"/>
            <w:vAlign w:val="bottom"/>
            <w:gridSpan w:val="3"/>
          </w:tcPr>
          <w:p>
            <w:pPr>
              <w:jc w:val="right"/>
              <w:ind w:right="160"/>
              <w:spacing w:after="0"/>
              <w:rPr>
                <w:sz w:val="20"/>
                <w:szCs w:val="20"/>
                <w:color w:val="auto"/>
              </w:rPr>
            </w:pPr>
            <w:r>
              <w:rPr>
                <w:rFonts w:ascii="Arial" w:cs="Arial" w:eastAsia="Arial" w:hAnsi="Arial"/>
                <w:sz w:val="11"/>
                <w:szCs w:val="11"/>
                <w:color w:val="auto"/>
              </w:rPr>
              <w:t>6.02 %</w:t>
            </w:r>
          </w:p>
        </w:tc>
        <w:tc>
          <w:tcPr>
            <w:tcW w:w="780" w:type="dxa"/>
            <w:vAlign w:val="bottom"/>
          </w:tcPr>
          <w:p>
            <w:pPr>
              <w:jc w:val="right"/>
              <w:spacing w:after="0"/>
              <w:rPr>
                <w:sz w:val="20"/>
                <w:szCs w:val="20"/>
                <w:color w:val="auto"/>
              </w:rPr>
            </w:pPr>
            <w:r>
              <w:rPr>
                <w:rFonts w:ascii="Arial" w:cs="Arial" w:eastAsia="Arial" w:hAnsi="Arial"/>
                <w:sz w:val="11"/>
                <w:szCs w:val="11"/>
                <w:color w:val="auto"/>
              </w:rPr>
              <w:t>1M L+590</w:t>
            </w: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4,770</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4,732</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4,746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shd w:val="clear" w:color="auto" w:fill="CCECFF"/>
          </w:tcPr>
          <w:p>
            <w:pPr>
              <w:ind w:left="20"/>
              <w:spacing w:after="0"/>
              <w:rPr>
                <w:sz w:val="20"/>
                <w:szCs w:val="20"/>
                <w:color w:val="auto"/>
              </w:rPr>
            </w:pPr>
            <w:r>
              <w:rPr>
                <w:rFonts w:ascii="Arial" w:cs="Arial" w:eastAsia="Arial" w:hAnsi="Arial"/>
                <w:sz w:val="11"/>
                <w:szCs w:val="11"/>
                <w:color w:val="auto"/>
              </w:rPr>
              <w:t>Gantech Acquisition Corp.</w:t>
            </w:r>
          </w:p>
        </w:tc>
        <w:tc>
          <w:tcPr>
            <w:tcW w:w="7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7"/>
              </w:rPr>
              <w:t>05/14/2026</w:t>
            </w:r>
          </w:p>
        </w:tc>
        <w:tc>
          <w:tcPr>
            <w:tcW w:w="120" w:type="dxa"/>
            <w:vAlign w:val="bottom"/>
            <w:shd w:val="clear" w:color="auto" w:fill="CCECFF"/>
          </w:tcPr>
          <w:p>
            <w:pPr>
              <w:spacing w:after="0"/>
              <w:rPr>
                <w:sz w:val="11"/>
                <w:szCs w:val="11"/>
                <w:color w:val="auto"/>
              </w:rPr>
            </w:pPr>
          </w:p>
        </w:tc>
        <w:tc>
          <w:tcPr>
            <w:tcW w:w="24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IT Services</w:t>
            </w:r>
          </w:p>
        </w:tc>
        <w:tc>
          <w:tcPr>
            <w:tcW w:w="1120" w:type="dxa"/>
            <w:vAlign w:val="bottom"/>
            <w:gridSpan w:val="3"/>
            <w:shd w:val="clear" w:color="auto" w:fill="CCECFF"/>
          </w:tcPr>
          <w:p>
            <w:pPr>
              <w:jc w:val="right"/>
              <w:ind w:right="160"/>
              <w:spacing w:after="0"/>
              <w:rPr>
                <w:sz w:val="20"/>
                <w:szCs w:val="20"/>
                <w:color w:val="auto"/>
              </w:rPr>
            </w:pPr>
            <w:r>
              <w:rPr>
                <w:rFonts w:ascii="Arial" w:cs="Arial" w:eastAsia="Arial" w:hAnsi="Arial"/>
                <w:sz w:val="11"/>
                <w:szCs w:val="11"/>
                <w:color w:val="auto"/>
              </w:rPr>
              <w:t>7.25 %</w:t>
            </w:r>
          </w:p>
        </w:tc>
        <w:tc>
          <w:tcPr>
            <w:tcW w:w="7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L+625</w:t>
            </w:r>
          </w:p>
        </w:tc>
        <w:tc>
          <w:tcPr>
            <w:tcW w:w="8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14,925</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14,648</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14,627</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tcPr>
          <w:p>
            <w:pPr>
              <w:ind w:left="20"/>
              <w:spacing w:after="0"/>
              <w:rPr>
                <w:sz w:val="20"/>
                <w:szCs w:val="20"/>
                <w:color w:val="auto"/>
              </w:rPr>
            </w:pPr>
            <w:r>
              <w:rPr>
                <w:rFonts w:ascii="Arial" w:cs="Arial" w:eastAsia="Arial" w:hAnsi="Arial"/>
                <w:sz w:val="11"/>
                <w:szCs w:val="11"/>
                <w:color w:val="auto"/>
              </w:rPr>
              <w:t>Global Holdings InterCo LLC</w:t>
            </w:r>
          </w:p>
        </w:tc>
        <w:tc>
          <w:tcPr>
            <w:tcW w:w="78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03/16/2026</w:t>
            </w:r>
          </w:p>
        </w:tc>
        <w:tc>
          <w:tcPr>
            <w:tcW w:w="120" w:type="dxa"/>
            <w:vAlign w:val="bottom"/>
          </w:tcPr>
          <w:p>
            <w:pPr>
              <w:spacing w:after="0"/>
              <w:rPr>
                <w:sz w:val="11"/>
                <w:szCs w:val="11"/>
                <w:color w:val="auto"/>
              </w:rPr>
            </w:pPr>
          </w:p>
        </w:tc>
        <w:tc>
          <w:tcPr>
            <w:tcW w:w="2460" w:type="dxa"/>
            <w:vAlign w:val="bottom"/>
          </w:tcPr>
          <w:p>
            <w:pPr>
              <w:jc w:val="center"/>
              <w:spacing w:after="0"/>
              <w:rPr>
                <w:sz w:val="20"/>
                <w:szCs w:val="20"/>
                <w:color w:val="auto"/>
              </w:rPr>
            </w:pPr>
            <w:r>
              <w:rPr>
                <w:rFonts w:ascii="Arial" w:cs="Arial" w:eastAsia="Arial" w:hAnsi="Arial"/>
                <w:sz w:val="11"/>
                <w:szCs w:val="11"/>
                <w:color w:val="auto"/>
                <w:w w:val="90"/>
              </w:rPr>
              <w:t>Diversified Financial Services</w:t>
            </w:r>
          </w:p>
        </w:tc>
        <w:tc>
          <w:tcPr>
            <w:tcW w:w="1120" w:type="dxa"/>
            <w:vAlign w:val="bottom"/>
            <w:gridSpan w:val="3"/>
          </w:tcPr>
          <w:p>
            <w:pPr>
              <w:jc w:val="right"/>
              <w:ind w:right="160"/>
              <w:spacing w:after="0"/>
              <w:rPr>
                <w:sz w:val="20"/>
                <w:szCs w:val="20"/>
                <w:color w:val="auto"/>
              </w:rPr>
            </w:pPr>
            <w:r>
              <w:rPr>
                <w:rFonts w:ascii="Arial" w:cs="Arial" w:eastAsia="Arial" w:hAnsi="Arial"/>
                <w:sz w:val="11"/>
                <w:szCs w:val="11"/>
                <w:color w:val="auto"/>
              </w:rPr>
              <w:t>7.00 %</w:t>
            </w:r>
          </w:p>
        </w:tc>
        <w:tc>
          <w:tcPr>
            <w:tcW w:w="780" w:type="dxa"/>
            <w:vAlign w:val="bottom"/>
          </w:tcPr>
          <w:p>
            <w:pPr>
              <w:jc w:val="right"/>
              <w:spacing w:after="0"/>
              <w:rPr>
                <w:sz w:val="20"/>
                <w:szCs w:val="20"/>
                <w:color w:val="auto"/>
              </w:rPr>
            </w:pPr>
            <w:r>
              <w:rPr>
                <w:rFonts w:ascii="Arial" w:cs="Arial" w:eastAsia="Arial" w:hAnsi="Arial"/>
                <w:sz w:val="11"/>
                <w:szCs w:val="11"/>
                <w:color w:val="auto"/>
              </w:rPr>
              <w:t>3M L+600</w:t>
            </w: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3,968</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3,948</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3,948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shd w:val="clear" w:color="auto" w:fill="CCECFF"/>
          </w:tcPr>
          <w:p>
            <w:pPr>
              <w:ind w:left="20"/>
              <w:spacing w:after="0"/>
              <w:rPr>
                <w:sz w:val="20"/>
                <w:szCs w:val="20"/>
                <w:color w:val="auto"/>
              </w:rPr>
            </w:pPr>
            <w:r>
              <w:rPr>
                <w:rFonts w:ascii="Arial" w:cs="Arial" w:eastAsia="Arial" w:hAnsi="Arial"/>
                <w:sz w:val="11"/>
                <w:szCs w:val="11"/>
                <w:color w:val="auto"/>
              </w:rPr>
              <w:t>Graffiti Buyer, Inc</w:t>
            </w:r>
          </w:p>
        </w:tc>
        <w:tc>
          <w:tcPr>
            <w:tcW w:w="7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7"/>
              </w:rPr>
              <w:t>08/10/2027</w:t>
            </w:r>
          </w:p>
        </w:tc>
        <w:tc>
          <w:tcPr>
            <w:tcW w:w="120" w:type="dxa"/>
            <w:vAlign w:val="bottom"/>
            <w:shd w:val="clear" w:color="auto" w:fill="CCECFF"/>
          </w:tcPr>
          <w:p>
            <w:pPr>
              <w:spacing w:after="0"/>
              <w:rPr>
                <w:sz w:val="11"/>
                <w:szCs w:val="11"/>
                <w:color w:val="auto"/>
              </w:rPr>
            </w:pPr>
          </w:p>
        </w:tc>
        <w:tc>
          <w:tcPr>
            <w:tcW w:w="24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1"/>
              </w:rPr>
              <w:t>Trding Companies &amp; Distributors</w:t>
            </w:r>
          </w:p>
        </w:tc>
        <w:tc>
          <w:tcPr>
            <w:tcW w:w="1120" w:type="dxa"/>
            <w:vAlign w:val="bottom"/>
            <w:gridSpan w:val="3"/>
            <w:shd w:val="clear" w:color="auto" w:fill="CCECFF"/>
          </w:tcPr>
          <w:p>
            <w:pPr>
              <w:jc w:val="right"/>
              <w:ind w:right="160"/>
              <w:spacing w:after="0"/>
              <w:rPr>
                <w:sz w:val="20"/>
                <w:szCs w:val="20"/>
                <w:color w:val="auto"/>
              </w:rPr>
            </w:pPr>
            <w:r>
              <w:rPr>
                <w:rFonts w:ascii="Arial" w:cs="Arial" w:eastAsia="Arial" w:hAnsi="Arial"/>
                <w:sz w:val="11"/>
                <w:szCs w:val="11"/>
                <w:color w:val="auto"/>
              </w:rPr>
              <w:t>6.75 %</w:t>
            </w:r>
          </w:p>
        </w:tc>
        <w:tc>
          <w:tcPr>
            <w:tcW w:w="7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L+575</w:t>
            </w:r>
          </w:p>
        </w:tc>
        <w:tc>
          <w:tcPr>
            <w:tcW w:w="8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2,393</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2,346</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2,357</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tcPr>
          <w:p>
            <w:pPr>
              <w:ind w:left="20"/>
              <w:spacing w:after="0"/>
              <w:rPr>
                <w:sz w:val="20"/>
                <w:szCs w:val="20"/>
                <w:color w:val="auto"/>
              </w:rPr>
            </w:pPr>
            <w:r>
              <w:rPr>
                <w:rFonts w:ascii="Arial" w:cs="Arial" w:eastAsia="Arial" w:hAnsi="Arial"/>
                <w:sz w:val="11"/>
                <w:szCs w:val="11"/>
                <w:color w:val="auto"/>
              </w:rPr>
              <w:t>Hancock Roofing and Construction L.L.C.</w:t>
            </w:r>
          </w:p>
        </w:tc>
        <w:tc>
          <w:tcPr>
            <w:tcW w:w="78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12/31/2026</w:t>
            </w:r>
          </w:p>
        </w:tc>
        <w:tc>
          <w:tcPr>
            <w:tcW w:w="120" w:type="dxa"/>
            <w:vAlign w:val="bottom"/>
          </w:tcPr>
          <w:p>
            <w:pPr>
              <w:spacing w:after="0"/>
              <w:rPr>
                <w:sz w:val="11"/>
                <w:szCs w:val="11"/>
                <w:color w:val="auto"/>
              </w:rPr>
            </w:pPr>
          </w:p>
        </w:tc>
        <w:tc>
          <w:tcPr>
            <w:tcW w:w="2460" w:type="dxa"/>
            <w:vAlign w:val="bottom"/>
          </w:tcPr>
          <w:p>
            <w:pPr>
              <w:jc w:val="center"/>
              <w:spacing w:after="0"/>
              <w:rPr>
                <w:sz w:val="20"/>
                <w:szCs w:val="20"/>
                <w:color w:val="auto"/>
              </w:rPr>
            </w:pPr>
            <w:r>
              <w:rPr>
                <w:rFonts w:ascii="Arial" w:cs="Arial" w:eastAsia="Arial" w:hAnsi="Arial"/>
                <w:sz w:val="11"/>
                <w:szCs w:val="11"/>
                <w:color w:val="auto"/>
                <w:w w:val="86"/>
              </w:rPr>
              <w:t>Insurance</w:t>
            </w:r>
          </w:p>
        </w:tc>
        <w:tc>
          <w:tcPr>
            <w:tcW w:w="1120" w:type="dxa"/>
            <w:vAlign w:val="bottom"/>
            <w:gridSpan w:val="3"/>
          </w:tcPr>
          <w:p>
            <w:pPr>
              <w:jc w:val="right"/>
              <w:ind w:right="160"/>
              <w:spacing w:after="0"/>
              <w:rPr>
                <w:sz w:val="20"/>
                <w:szCs w:val="20"/>
                <w:color w:val="auto"/>
              </w:rPr>
            </w:pPr>
            <w:r>
              <w:rPr>
                <w:rFonts w:ascii="Arial" w:cs="Arial" w:eastAsia="Arial" w:hAnsi="Arial"/>
                <w:sz w:val="11"/>
                <w:szCs w:val="11"/>
                <w:color w:val="auto"/>
              </w:rPr>
              <w:t>6.00 %</w:t>
            </w:r>
          </w:p>
        </w:tc>
        <w:tc>
          <w:tcPr>
            <w:tcW w:w="780" w:type="dxa"/>
            <w:vAlign w:val="bottom"/>
          </w:tcPr>
          <w:p>
            <w:pPr>
              <w:jc w:val="right"/>
              <w:spacing w:after="0"/>
              <w:rPr>
                <w:sz w:val="20"/>
                <w:szCs w:val="20"/>
                <w:color w:val="auto"/>
              </w:rPr>
            </w:pPr>
            <w:r>
              <w:rPr>
                <w:rFonts w:ascii="Arial" w:cs="Arial" w:eastAsia="Arial" w:hAnsi="Arial"/>
                <w:sz w:val="11"/>
                <w:szCs w:val="11"/>
                <w:color w:val="auto"/>
              </w:rPr>
              <w:t>3M L+500</w:t>
            </w: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2,481</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2,425</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2,456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shd w:val="clear" w:color="auto" w:fill="CCECFF"/>
          </w:tcPr>
          <w:p>
            <w:pPr>
              <w:ind w:left="20"/>
              <w:spacing w:after="0"/>
              <w:rPr>
                <w:sz w:val="20"/>
                <w:szCs w:val="20"/>
                <w:color w:val="auto"/>
              </w:rPr>
            </w:pPr>
            <w:r>
              <w:rPr>
                <w:rFonts w:ascii="Arial" w:cs="Arial" w:eastAsia="Arial" w:hAnsi="Arial"/>
                <w:sz w:val="11"/>
                <w:szCs w:val="11"/>
                <w:color w:val="auto"/>
              </w:rPr>
              <w:t>Holdco Sands Intermediate, LLC</w:t>
            </w:r>
          </w:p>
        </w:tc>
        <w:tc>
          <w:tcPr>
            <w:tcW w:w="7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7"/>
              </w:rPr>
              <w:t>12/19/2025</w:t>
            </w:r>
          </w:p>
        </w:tc>
        <w:tc>
          <w:tcPr>
            <w:tcW w:w="120" w:type="dxa"/>
            <w:vAlign w:val="bottom"/>
            <w:shd w:val="clear" w:color="auto" w:fill="CCECFF"/>
          </w:tcPr>
          <w:p>
            <w:pPr>
              <w:spacing w:after="0"/>
              <w:rPr>
                <w:sz w:val="11"/>
                <w:szCs w:val="11"/>
                <w:color w:val="auto"/>
              </w:rPr>
            </w:pPr>
          </w:p>
        </w:tc>
        <w:tc>
          <w:tcPr>
            <w:tcW w:w="24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Aerospace and Defense</w:t>
            </w:r>
          </w:p>
        </w:tc>
        <w:tc>
          <w:tcPr>
            <w:tcW w:w="1120" w:type="dxa"/>
            <w:vAlign w:val="bottom"/>
            <w:gridSpan w:val="3"/>
            <w:shd w:val="clear" w:color="auto" w:fill="CCECFF"/>
          </w:tcPr>
          <w:p>
            <w:pPr>
              <w:jc w:val="right"/>
              <w:ind w:right="160"/>
              <w:spacing w:after="0"/>
              <w:rPr>
                <w:sz w:val="20"/>
                <w:szCs w:val="20"/>
                <w:color w:val="auto"/>
              </w:rPr>
            </w:pPr>
            <w:r>
              <w:rPr>
                <w:rFonts w:ascii="Arial" w:cs="Arial" w:eastAsia="Arial" w:hAnsi="Arial"/>
                <w:sz w:val="11"/>
                <w:szCs w:val="11"/>
                <w:color w:val="auto"/>
              </w:rPr>
              <w:t>7.50 %</w:t>
            </w:r>
          </w:p>
        </w:tc>
        <w:tc>
          <w:tcPr>
            <w:tcW w:w="7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L+600</w:t>
            </w:r>
          </w:p>
        </w:tc>
        <w:tc>
          <w:tcPr>
            <w:tcW w:w="8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6,474</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6,407</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6,441</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tcPr>
          <w:p>
            <w:pPr>
              <w:ind w:left="20"/>
              <w:spacing w:after="0"/>
              <w:rPr>
                <w:sz w:val="20"/>
                <w:szCs w:val="20"/>
                <w:color w:val="auto"/>
              </w:rPr>
            </w:pPr>
            <w:r>
              <w:rPr>
                <w:rFonts w:ascii="Arial" w:cs="Arial" w:eastAsia="Arial" w:hAnsi="Arial"/>
                <w:sz w:val="11"/>
                <w:szCs w:val="11"/>
                <w:color w:val="auto"/>
              </w:rPr>
              <w:t>IMIA Holdings, Inc.</w:t>
            </w:r>
          </w:p>
        </w:tc>
        <w:tc>
          <w:tcPr>
            <w:tcW w:w="78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04/09/2027</w:t>
            </w:r>
          </w:p>
        </w:tc>
        <w:tc>
          <w:tcPr>
            <w:tcW w:w="120" w:type="dxa"/>
            <w:vAlign w:val="bottom"/>
          </w:tcPr>
          <w:p>
            <w:pPr>
              <w:spacing w:after="0"/>
              <w:rPr>
                <w:sz w:val="11"/>
                <w:szCs w:val="11"/>
                <w:color w:val="auto"/>
              </w:rPr>
            </w:pPr>
          </w:p>
        </w:tc>
        <w:tc>
          <w:tcPr>
            <w:tcW w:w="2460" w:type="dxa"/>
            <w:vAlign w:val="bottom"/>
          </w:tcPr>
          <w:p>
            <w:pPr>
              <w:jc w:val="center"/>
              <w:spacing w:after="0"/>
              <w:rPr>
                <w:sz w:val="20"/>
                <w:szCs w:val="20"/>
                <w:color w:val="auto"/>
              </w:rPr>
            </w:pPr>
            <w:r>
              <w:rPr>
                <w:rFonts w:ascii="Arial" w:cs="Arial" w:eastAsia="Arial" w:hAnsi="Arial"/>
                <w:sz w:val="11"/>
                <w:szCs w:val="11"/>
                <w:color w:val="auto"/>
                <w:w w:val="86"/>
              </w:rPr>
              <w:t>Aerospace and Defense</w:t>
            </w:r>
          </w:p>
        </w:tc>
        <w:tc>
          <w:tcPr>
            <w:tcW w:w="1120" w:type="dxa"/>
            <w:vAlign w:val="bottom"/>
            <w:gridSpan w:val="3"/>
          </w:tcPr>
          <w:p>
            <w:pPr>
              <w:jc w:val="right"/>
              <w:ind w:right="160"/>
              <w:spacing w:after="0"/>
              <w:rPr>
                <w:sz w:val="20"/>
                <w:szCs w:val="20"/>
                <w:color w:val="auto"/>
              </w:rPr>
            </w:pPr>
            <w:r>
              <w:rPr>
                <w:rFonts w:ascii="Arial" w:cs="Arial" w:eastAsia="Arial" w:hAnsi="Arial"/>
                <w:sz w:val="11"/>
                <w:szCs w:val="11"/>
                <w:color w:val="auto"/>
              </w:rPr>
              <w:t>6.75 %</w:t>
            </w:r>
          </w:p>
        </w:tc>
        <w:tc>
          <w:tcPr>
            <w:tcW w:w="780" w:type="dxa"/>
            <w:vAlign w:val="bottom"/>
          </w:tcPr>
          <w:p>
            <w:pPr>
              <w:jc w:val="right"/>
              <w:spacing w:after="0"/>
              <w:rPr>
                <w:sz w:val="20"/>
                <w:szCs w:val="20"/>
                <w:color w:val="auto"/>
              </w:rPr>
            </w:pPr>
            <w:r>
              <w:rPr>
                <w:rFonts w:ascii="Arial" w:cs="Arial" w:eastAsia="Arial" w:hAnsi="Arial"/>
                <w:sz w:val="11"/>
                <w:szCs w:val="11"/>
                <w:color w:val="auto"/>
              </w:rPr>
              <w:t>3M L+575</w:t>
            </w: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13,589</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13,338</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13,317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shd w:val="clear" w:color="auto" w:fill="CCECFF"/>
          </w:tcPr>
          <w:p>
            <w:pPr>
              <w:ind w:left="20"/>
              <w:spacing w:after="0"/>
              <w:rPr>
                <w:sz w:val="20"/>
                <w:szCs w:val="20"/>
                <w:color w:val="auto"/>
              </w:rPr>
            </w:pPr>
            <w:r>
              <w:rPr>
                <w:rFonts w:ascii="Arial" w:cs="Arial" w:eastAsia="Arial" w:hAnsi="Arial"/>
                <w:sz w:val="11"/>
                <w:szCs w:val="11"/>
                <w:color w:val="auto"/>
              </w:rPr>
              <w:t>Integrative Nutrition, LLC</w:t>
            </w:r>
          </w:p>
        </w:tc>
        <w:tc>
          <w:tcPr>
            <w:tcW w:w="7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7"/>
              </w:rPr>
              <w:t>09/29/2023</w:t>
            </w:r>
          </w:p>
        </w:tc>
        <w:tc>
          <w:tcPr>
            <w:tcW w:w="120" w:type="dxa"/>
            <w:vAlign w:val="bottom"/>
            <w:shd w:val="clear" w:color="auto" w:fill="CCECFF"/>
          </w:tcPr>
          <w:p>
            <w:pPr>
              <w:spacing w:after="0"/>
              <w:rPr>
                <w:sz w:val="11"/>
                <w:szCs w:val="11"/>
                <w:color w:val="auto"/>
              </w:rPr>
            </w:pPr>
          </w:p>
        </w:tc>
        <w:tc>
          <w:tcPr>
            <w:tcW w:w="24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Diversified Consumer Services</w:t>
            </w:r>
          </w:p>
        </w:tc>
        <w:tc>
          <w:tcPr>
            <w:tcW w:w="1120" w:type="dxa"/>
            <w:vAlign w:val="bottom"/>
            <w:gridSpan w:val="3"/>
            <w:shd w:val="clear" w:color="auto" w:fill="CCECFF"/>
          </w:tcPr>
          <w:p>
            <w:pPr>
              <w:jc w:val="right"/>
              <w:ind w:right="160"/>
              <w:spacing w:after="0"/>
              <w:rPr>
                <w:sz w:val="20"/>
                <w:szCs w:val="20"/>
                <w:color w:val="auto"/>
              </w:rPr>
            </w:pPr>
            <w:r>
              <w:rPr>
                <w:rFonts w:ascii="Arial" w:cs="Arial" w:eastAsia="Arial" w:hAnsi="Arial"/>
                <w:sz w:val="11"/>
                <w:szCs w:val="11"/>
                <w:color w:val="auto"/>
              </w:rPr>
              <w:t>5.50 %</w:t>
            </w:r>
          </w:p>
        </w:tc>
        <w:tc>
          <w:tcPr>
            <w:tcW w:w="7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L+450</w:t>
            </w:r>
          </w:p>
        </w:tc>
        <w:tc>
          <w:tcPr>
            <w:tcW w:w="8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11,567</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11,528</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11,567</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tcPr>
          <w:p>
            <w:pPr>
              <w:ind w:left="20"/>
              <w:spacing w:after="0"/>
              <w:rPr>
                <w:sz w:val="20"/>
                <w:szCs w:val="20"/>
                <w:color w:val="auto"/>
              </w:rPr>
            </w:pPr>
            <w:r>
              <w:rPr>
                <w:rFonts w:ascii="Arial" w:cs="Arial" w:eastAsia="Arial" w:hAnsi="Arial"/>
                <w:sz w:val="11"/>
                <w:szCs w:val="11"/>
                <w:color w:val="auto"/>
              </w:rPr>
              <w:t>K2 Pure Solutions NoCal, L.P.</w:t>
            </w:r>
          </w:p>
        </w:tc>
        <w:tc>
          <w:tcPr>
            <w:tcW w:w="78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12/20/2023</w:t>
            </w:r>
          </w:p>
        </w:tc>
        <w:tc>
          <w:tcPr>
            <w:tcW w:w="120" w:type="dxa"/>
            <w:vAlign w:val="bottom"/>
          </w:tcPr>
          <w:p>
            <w:pPr>
              <w:spacing w:after="0"/>
              <w:rPr>
                <w:sz w:val="11"/>
                <w:szCs w:val="11"/>
                <w:color w:val="auto"/>
              </w:rPr>
            </w:pPr>
          </w:p>
        </w:tc>
        <w:tc>
          <w:tcPr>
            <w:tcW w:w="2460" w:type="dxa"/>
            <w:vAlign w:val="bottom"/>
          </w:tcPr>
          <w:p>
            <w:pPr>
              <w:jc w:val="center"/>
              <w:spacing w:after="0"/>
              <w:rPr>
                <w:sz w:val="20"/>
                <w:szCs w:val="20"/>
                <w:color w:val="auto"/>
              </w:rPr>
            </w:pPr>
            <w:r>
              <w:rPr>
                <w:rFonts w:ascii="Arial" w:cs="Arial" w:eastAsia="Arial" w:hAnsi="Arial"/>
                <w:sz w:val="11"/>
                <w:szCs w:val="11"/>
                <w:color w:val="auto"/>
                <w:w w:val="88"/>
              </w:rPr>
              <w:t>Chemicals, Plastics and Rubber</w:t>
            </w:r>
          </w:p>
        </w:tc>
        <w:tc>
          <w:tcPr>
            <w:tcW w:w="1120" w:type="dxa"/>
            <w:vAlign w:val="bottom"/>
            <w:gridSpan w:val="3"/>
          </w:tcPr>
          <w:p>
            <w:pPr>
              <w:jc w:val="right"/>
              <w:ind w:right="160"/>
              <w:spacing w:after="0"/>
              <w:rPr>
                <w:sz w:val="20"/>
                <w:szCs w:val="20"/>
                <w:color w:val="auto"/>
              </w:rPr>
            </w:pPr>
            <w:r>
              <w:rPr>
                <w:rFonts w:ascii="Arial" w:cs="Arial" w:eastAsia="Arial" w:hAnsi="Arial"/>
                <w:sz w:val="11"/>
                <w:szCs w:val="11"/>
                <w:color w:val="auto"/>
              </w:rPr>
              <w:t>8.00 %</w:t>
            </w:r>
          </w:p>
        </w:tc>
        <w:tc>
          <w:tcPr>
            <w:tcW w:w="780" w:type="dxa"/>
            <w:vAlign w:val="bottom"/>
          </w:tcPr>
          <w:p>
            <w:pPr>
              <w:jc w:val="right"/>
              <w:spacing w:after="0"/>
              <w:rPr>
                <w:sz w:val="20"/>
                <w:szCs w:val="20"/>
                <w:color w:val="auto"/>
              </w:rPr>
            </w:pPr>
            <w:r>
              <w:rPr>
                <w:rFonts w:ascii="Arial" w:cs="Arial" w:eastAsia="Arial" w:hAnsi="Arial"/>
                <w:sz w:val="11"/>
                <w:szCs w:val="11"/>
                <w:color w:val="auto"/>
              </w:rPr>
              <w:t>1M L+700</w:t>
            </w: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19,450</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19,193</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18,933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960" w:type="dxa"/>
            <w:vAlign w:val="bottom"/>
            <w:shd w:val="clear" w:color="auto" w:fill="CCECFF"/>
          </w:tcPr>
          <w:p>
            <w:pPr>
              <w:ind w:left="20"/>
              <w:spacing w:after="0" w:line="125" w:lineRule="exact"/>
              <w:rPr>
                <w:sz w:val="20"/>
                <w:szCs w:val="20"/>
                <w:color w:val="auto"/>
              </w:rPr>
            </w:pPr>
            <w:r>
              <w:rPr>
                <w:rFonts w:ascii="Arial" w:cs="Arial" w:eastAsia="Arial" w:hAnsi="Arial"/>
                <w:sz w:val="11"/>
                <w:szCs w:val="11"/>
                <w:color w:val="auto"/>
              </w:rPr>
              <w:t>LAV Gear Holdings, Inc.</w:t>
            </w:r>
          </w:p>
        </w:tc>
        <w:tc>
          <w:tcPr>
            <w:tcW w:w="780" w:type="dxa"/>
            <w:vAlign w:val="bottom"/>
            <w:gridSpan w:val="2"/>
            <w:shd w:val="clear" w:color="auto" w:fill="CCECFF"/>
          </w:tcPr>
          <w:p>
            <w:pPr>
              <w:jc w:val="center"/>
              <w:ind w:left="86"/>
              <w:spacing w:after="0" w:line="125" w:lineRule="exact"/>
              <w:rPr>
                <w:sz w:val="20"/>
                <w:szCs w:val="20"/>
                <w:color w:val="auto"/>
              </w:rPr>
            </w:pPr>
            <w:r>
              <w:rPr>
                <w:rFonts w:ascii="Arial" w:cs="Arial" w:eastAsia="Arial" w:hAnsi="Arial"/>
                <w:sz w:val="11"/>
                <w:szCs w:val="11"/>
                <w:color w:val="auto"/>
                <w:w w:val="87"/>
              </w:rPr>
              <w:t>10/31/2024</w:t>
            </w:r>
          </w:p>
        </w:tc>
        <w:tc>
          <w:tcPr>
            <w:tcW w:w="120" w:type="dxa"/>
            <w:vAlign w:val="bottom"/>
            <w:shd w:val="clear" w:color="auto" w:fill="CCECFF"/>
          </w:tcPr>
          <w:p>
            <w:pPr>
              <w:spacing w:after="0"/>
              <w:rPr>
                <w:sz w:val="10"/>
                <w:szCs w:val="10"/>
                <w:color w:val="auto"/>
              </w:rPr>
            </w:pPr>
          </w:p>
        </w:tc>
        <w:tc>
          <w:tcPr>
            <w:tcW w:w="2460" w:type="dxa"/>
            <w:vAlign w:val="bottom"/>
            <w:shd w:val="clear" w:color="auto" w:fill="CCECFF"/>
          </w:tcPr>
          <w:p>
            <w:pPr>
              <w:jc w:val="center"/>
              <w:spacing w:after="0" w:line="125" w:lineRule="exact"/>
              <w:rPr>
                <w:sz w:val="20"/>
                <w:szCs w:val="20"/>
                <w:color w:val="auto"/>
              </w:rPr>
            </w:pPr>
            <w:r>
              <w:rPr>
                <w:rFonts w:ascii="Arial" w:cs="Arial" w:eastAsia="Arial" w:hAnsi="Arial"/>
                <w:sz w:val="11"/>
                <w:szCs w:val="11"/>
                <w:color w:val="auto"/>
                <w:w w:val="91"/>
              </w:rPr>
              <w:t>Capital Equipment</w:t>
            </w:r>
          </w:p>
        </w:tc>
        <w:tc>
          <w:tcPr>
            <w:tcW w:w="1120" w:type="dxa"/>
            <w:vAlign w:val="bottom"/>
            <w:gridSpan w:val="3"/>
            <w:shd w:val="clear" w:color="auto" w:fill="CCECFF"/>
          </w:tcPr>
          <w:p>
            <w:pPr>
              <w:jc w:val="right"/>
              <w:ind w:right="160"/>
              <w:spacing w:after="0" w:line="125" w:lineRule="exact"/>
              <w:rPr>
                <w:sz w:val="20"/>
                <w:szCs w:val="20"/>
                <w:color w:val="auto"/>
              </w:rPr>
            </w:pPr>
            <w:r>
              <w:rPr>
                <w:rFonts w:ascii="Arial" w:cs="Arial" w:eastAsia="Arial" w:hAnsi="Arial"/>
                <w:sz w:val="11"/>
                <w:szCs w:val="11"/>
                <w:color w:val="auto"/>
              </w:rPr>
              <w:t>8.50 %</w:t>
            </w:r>
          </w:p>
        </w:tc>
        <w:tc>
          <w:tcPr>
            <w:tcW w:w="780" w:type="dxa"/>
            <w:vAlign w:val="bottom"/>
            <w:shd w:val="clear" w:color="auto" w:fill="CCECFF"/>
          </w:tcPr>
          <w:p>
            <w:pPr>
              <w:jc w:val="right"/>
              <w:spacing w:after="0" w:line="125" w:lineRule="exact"/>
              <w:rPr>
                <w:sz w:val="20"/>
                <w:szCs w:val="20"/>
                <w:color w:val="auto"/>
              </w:rPr>
            </w:pPr>
            <w:r>
              <w:rPr>
                <w:rFonts w:ascii="Arial" w:cs="Arial" w:eastAsia="Arial" w:hAnsi="Arial"/>
                <w:sz w:val="11"/>
                <w:szCs w:val="11"/>
                <w:color w:val="auto"/>
              </w:rPr>
              <w:t>3M L+750</w:t>
            </w:r>
          </w:p>
        </w:tc>
        <w:tc>
          <w:tcPr>
            <w:tcW w:w="860" w:type="dxa"/>
            <w:vAlign w:val="bottom"/>
            <w:gridSpan w:val="2"/>
            <w:shd w:val="clear" w:color="auto" w:fill="CCECFF"/>
          </w:tcPr>
          <w:p>
            <w:pPr>
              <w:jc w:val="right"/>
              <w:spacing w:after="0" w:line="125" w:lineRule="exact"/>
              <w:rPr>
                <w:sz w:val="20"/>
                <w:szCs w:val="20"/>
                <w:color w:val="auto"/>
              </w:rPr>
            </w:pPr>
            <w:r>
              <w:rPr>
                <w:rFonts w:ascii="Arial" w:cs="Arial" w:eastAsia="Arial" w:hAnsi="Arial"/>
                <w:sz w:val="11"/>
                <w:szCs w:val="11"/>
                <w:color w:val="auto"/>
              </w:rPr>
              <w:t>10,491</w:t>
            </w:r>
          </w:p>
        </w:tc>
        <w:tc>
          <w:tcPr>
            <w:tcW w:w="22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line="125" w:lineRule="exact"/>
              <w:rPr>
                <w:sz w:val="20"/>
                <w:szCs w:val="20"/>
                <w:color w:val="auto"/>
              </w:rPr>
            </w:pPr>
            <w:r>
              <w:rPr>
                <w:rFonts w:ascii="Arial" w:cs="Arial" w:eastAsia="Arial" w:hAnsi="Arial"/>
                <w:sz w:val="11"/>
                <w:szCs w:val="11"/>
                <w:color w:val="auto"/>
              </w:rPr>
              <w:t>10,435</w:t>
            </w:r>
          </w:p>
        </w:tc>
        <w:tc>
          <w:tcPr>
            <w:tcW w:w="24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5" w:lineRule="exact"/>
              <w:rPr>
                <w:sz w:val="20"/>
                <w:szCs w:val="20"/>
                <w:color w:val="auto"/>
              </w:rPr>
            </w:pPr>
            <w:r>
              <w:rPr>
                <w:rFonts w:ascii="Arial" w:cs="Arial" w:eastAsia="Arial" w:hAnsi="Arial"/>
                <w:sz w:val="11"/>
                <w:szCs w:val="11"/>
                <w:color w:val="auto"/>
              </w:rPr>
              <w:t>9,833</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96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24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00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P(IK 1.00%)</w:t>
            </w:r>
          </w:p>
        </w:tc>
        <w:tc>
          <w:tcPr>
            <w:tcW w:w="7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960" w:type="dxa"/>
            <w:vAlign w:val="bottom"/>
          </w:tcPr>
          <w:p>
            <w:pPr>
              <w:ind w:left="20"/>
              <w:spacing w:after="0" w:line="125" w:lineRule="exact"/>
              <w:rPr>
                <w:sz w:val="20"/>
                <w:szCs w:val="20"/>
                <w:color w:val="auto"/>
              </w:rPr>
            </w:pPr>
            <w:r>
              <w:rPr>
                <w:rFonts w:ascii="Arial" w:cs="Arial" w:eastAsia="Arial" w:hAnsi="Arial"/>
                <w:sz w:val="11"/>
                <w:szCs w:val="11"/>
                <w:color w:val="auto"/>
              </w:rPr>
              <w:t>Lightspeed Buyer Inc.</w:t>
            </w:r>
          </w:p>
        </w:tc>
        <w:tc>
          <w:tcPr>
            <w:tcW w:w="780" w:type="dxa"/>
            <w:vAlign w:val="bottom"/>
            <w:gridSpan w:val="2"/>
          </w:tcPr>
          <w:p>
            <w:pPr>
              <w:jc w:val="center"/>
              <w:ind w:left="86"/>
              <w:spacing w:after="0" w:line="125" w:lineRule="exact"/>
              <w:rPr>
                <w:sz w:val="20"/>
                <w:szCs w:val="20"/>
                <w:color w:val="auto"/>
              </w:rPr>
            </w:pPr>
            <w:r>
              <w:rPr>
                <w:rFonts w:ascii="Arial" w:cs="Arial" w:eastAsia="Arial" w:hAnsi="Arial"/>
                <w:sz w:val="11"/>
                <w:szCs w:val="11"/>
                <w:color w:val="auto"/>
                <w:w w:val="89"/>
              </w:rPr>
              <w:t>02/3/2026</w:t>
            </w:r>
          </w:p>
        </w:tc>
        <w:tc>
          <w:tcPr>
            <w:tcW w:w="120" w:type="dxa"/>
            <w:vAlign w:val="bottom"/>
          </w:tcPr>
          <w:p>
            <w:pPr>
              <w:spacing w:after="0"/>
              <w:rPr>
                <w:sz w:val="10"/>
                <w:szCs w:val="10"/>
                <w:color w:val="auto"/>
              </w:rPr>
            </w:pPr>
          </w:p>
        </w:tc>
        <w:tc>
          <w:tcPr>
            <w:tcW w:w="2460" w:type="dxa"/>
            <w:vAlign w:val="bottom"/>
          </w:tcPr>
          <w:p>
            <w:pPr>
              <w:jc w:val="center"/>
              <w:spacing w:after="0" w:line="125" w:lineRule="exact"/>
              <w:rPr>
                <w:sz w:val="20"/>
                <w:szCs w:val="20"/>
                <w:color w:val="auto"/>
              </w:rPr>
            </w:pPr>
            <w:r>
              <w:rPr>
                <w:rFonts w:ascii="Arial" w:cs="Arial" w:eastAsia="Arial" w:hAnsi="Arial"/>
                <w:sz w:val="11"/>
                <w:szCs w:val="11"/>
                <w:color w:val="auto"/>
                <w:w w:val="88"/>
              </w:rPr>
              <w:t>Healthcare Providers and Services</w:t>
            </w:r>
          </w:p>
        </w:tc>
        <w:tc>
          <w:tcPr>
            <w:tcW w:w="1120" w:type="dxa"/>
            <w:vAlign w:val="bottom"/>
            <w:gridSpan w:val="3"/>
          </w:tcPr>
          <w:p>
            <w:pPr>
              <w:jc w:val="right"/>
              <w:ind w:right="160"/>
              <w:spacing w:after="0" w:line="125" w:lineRule="exact"/>
              <w:rPr>
                <w:sz w:val="20"/>
                <w:szCs w:val="20"/>
                <w:color w:val="auto"/>
              </w:rPr>
            </w:pPr>
            <w:r>
              <w:rPr>
                <w:rFonts w:ascii="Arial" w:cs="Arial" w:eastAsia="Arial" w:hAnsi="Arial"/>
                <w:sz w:val="11"/>
                <w:szCs w:val="11"/>
                <w:color w:val="auto"/>
              </w:rPr>
              <w:t>6.75 %</w:t>
            </w:r>
          </w:p>
        </w:tc>
        <w:tc>
          <w:tcPr>
            <w:tcW w:w="780" w:type="dxa"/>
            <w:vAlign w:val="bottom"/>
          </w:tcPr>
          <w:p>
            <w:pPr>
              <w:jc w:val="right"/>
              <w:spacing w:after="0" w:line="125" w:lineRule="exact"/>
              <w:rPr>
                <w:sz w:val="20"/>
                <w:szCs w:val="20"/>
                <w:color w:val="auto"/>
              </w:rPr>
            </w:pPr>
            <w:r>
              <w:rPr>
                <w:rFonts w:ascii="Arial" w:cs="Arial" w:eastAsia="Arial" w:hAnsi="Arial"/>
                <w:sz w:val="11"/>
                <w:szCs w:val="11"/>
                <w:color w:val="auto"/>
              </w:rPr>
              <w:t>1M L+575</w:t>
            </w:r>
          </w:p>
        </w:tc>
        <w:tc>
          <w:tcPr>
            <w:tcW w:w="860" w:type="dxa"/>
            <w:vAlign w:val="bottom"/>
            <w:gridSpan w:val="2"/>
          </w:tcPr>
          <w:p>
            <w:pPr>
              <w:jc w:val="right"/>
              <w:spacing w:after="0" w:line="125" w:lineRule="exact"/>
              <w:rPr>
                <w:sz w:val="20"/>
                <w:szCs w:val="20"/>
                <w:color w:val="auto"/>
              </w:rPr>
            </w:pPr>
            <w:r>
              <w:rPr>
                <w:rFonts w:ascii="Arial" w:cs="Arial" w:eastAsia="Arial" w:hAnsi="Arial"/>
                <w:sz w:val="11"/>
                <w:szCs w:val="11"/>
                <w:color w:val="auto"/>
              </w:rPr>
              <w:t>5,707</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jc w:val="right"/>
              <w:spacing w:after="0" w:line="125" w:lineRule="exact"/>
              <w:rPr>
                <w:sz w:val="20"/>
                <w:szCs w:val="20"/>
                <w:color w:val="auto"/>
              </w:rPr>
            </w:pPr>
            <w:r>
              <w:rPr>
                <w:rFonts w:ascii="Arial" w:cs="Arial" w:eastAsia="Arial" w:hAnsi="Arial"/>
                <w:sz w:val="11"/>
                <w:szCs w:val="11"/>
                <w:color w:val="auto"/>
              </w:rPr>
              <w:t>5,606</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line="125" w:lineRule="exact"/>
              <w:rPr>
                <w:sz w:val="20"/>
                <w:szCs w:val="20"/>
                <w:color w:val="auto"/>
              </w:rPr>
            </w:pPr>
            <w:r>
              <w:rPr>
                <w:rFonts w:ascii="Arial" w:cs="Arial" w:eastAsia="Arial" w:hAnsi="Arial"/>
                <w:sz w:val="11"/>
                <w:szCs w:val="11"/>
                <w:color w:val="auto"/>
              </w:rPr>
              <w:t>5,707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960" w:type="dxa"/>
            <w:vAlign w:val="bottom"/>
          </w:tcPr>
          <w:p>
            <w:pPr>
              <w:ind w:left="20"/>
              <w:spacing w:after="0" w:line="115" w:lineRule="exact"/>
              <w:rPr>
                <w:sz w:val="20"/>
                <w:szCs w:val="20"/>
                <w:color w:val="auto"/>
              </w:rPr>
            </w:pPr>
            <w:r>
              <w:rPr>
                <w:rFonts w:ascii="Arial" w:cs="Arial" w:eastAsia="Arial" w:hAnsi="Arial"/>
                <w:sz w:val="11"/>
                <w:szCs w:val="11"/>
                <w:color w:val="auto"/>
              </w:rPr>
              <w:t>Lucky Bucks, LLC</w:t>
            </w:r>
          </w:p>
        </w:tc>
        <w:tc>
          <w:tcPr>
            <w:tcW w:w="780" w:type="dxa"/>
            <w:vAlign w:val="bottom"/>
            <w:gridSpan w:val="2"/>
          </w:tcPr>
          <w:p>
            <w:pPr>
              <w:jc w:val="center"/>
              <w:ind w:left="86"/>
              <w:spacing w:after="0" w:line="115" w:lineRule="exact"/>
              <w:rPr>
                <w:sz w:val="20"/>
                <w:szCs w:val="20"/>
                <w:color w:val="auto"/>
              </w:rPr>
            </w:pPr>
            <w:r>
              <w:rPr>
                <w:rFonts w:ascii="Arial" w:cs="Arial" w:eastAsia="Arial" w:hAnsi="Arial"/>
                <w:sz w:val="11"/>
                <w:szCs w:val="11"/>
                <w:color w:val="auto"/>
                <w:w w:val="87"/>
              </w:rPr>
              <w:t>07/20/2027</w:t>
            </w:r>
          </w:p>
        </w:tc>
        <w:tc>
          <w:tcPr>
            <w:tcW w:w="120" w:type="dxa"/>
            <w:vAlign w:val="bottom"/>
          </w:tcPr>
          <w:p>
            <w:pPr>
              <w:spacing w:after="0"/>
              <w:rPr>
                <w:sz w:val="9"/>
                <w:szCs w:val="9"/>
                <w:color w:val="auto"/>
              </w:rPr>
            </w:pPr>
          </w:p>
        </w:tc>
        <w:tc>
          <w:tcPr>
            <w:tcW w:w="2460" w:type="dxa"/>
            <w:vAlign w:val="bottom"/>
          </w:tcPr>
          <w:p>
            <w:pPr>
              <w:jc w:val="center"/>
              <w:spacing w:after="0" w:line="115" w:lineRule="exact"/>
              <w:rPr>
                <w:sz w:val="20"/>
                <w:szCs w:val="20"/>
                <w:color w:val="auto"/>
              </w:rPr>
            </w:pPr>
            <w:r>
              <w:rPr>
                <w:rFonts w:ascii="Arial" w:cs="Arial" w:eastAsia="Arial" w:hAnsi="Arial"/>
                <w:sz w:val="11"/>
                <w:szCs w:val="11"/>
                <w:color w:val="auto"/>
                <w:w w:val="90"/>
              </w:rPr>
              <w:t>Hotel, Gaming and Leisure</w:t>
            </w:r>
          </w:p>
        </w:tc>
        <w:tc>
          <w:tcPr>
            <w:tcW w:w="1120" w:type="dxa"/>
            <w:vAlign w:val="bottom"/>
            <w:gridSpan w:val="3"/>
          </w:tcPr>
          <w:p>
            <w:pPr>
              <w:jc w:val="right"/>
              <w:ind w:right="160"/>
              <w:spacing w:after="0" w:line="115" w:lineRule="exact"/>
              <w:rPr>
                <w:sz w:val="20"/>
                <w:szCs w:val="20"/>
                <w:color w:val="auto"/>
              </w:rPr>
            </w:pPr>
            <w:r>
              <w:rPr>
                <w:rFonts w:ascii="Arial" w:cs="Arial" w:eastAsia="Arial" w:hAnsi="Arial"/>
                <w:sz w:val="11"/>
                <w:szCs w:val="11"/>
                <w:color w:val="auto"/>
              </w:rPr>
              <w:t>6.25 %</w:t>
            </w:r>
          </w:p>
        </w:tc>
        <w:tc>
          <w:tcPr>
            <w:tcW w:w="780" w:type="dxa"/>
            <w:vAlign w:val="bottom"/>
          </w:tcPr>
          <w:p>
            <w:pPr>
              <w:jc w:val="right"/>
              <w:spacing w:after="0" w:line="115" w:lineRule="exact"/>
              <w:rPr>
                <w:sz w:val="20"/>
                <w:szCs w:val="20"/>
                <w:color w:val="auto"/>
              </w:rPr>
            </w:pPr>
            <w:r>
              <w:rPr>
                <w:rFonts w:ascii="Arial" w:cs="Arial" w:eastAsia="Arial" w:hAnsi="Arial"/>
                <w:sz w:val="11"/>
                <w:szCs w:val="11"/>
                <w:color w:val="auto"/>
              </w:rPr>
              <w:t>1M L+550</w:t>
            </w:r>
          </w:p>
        </w:tc>
        <w:tc>
          <w:tcPr>
            <w:tcW w:w="86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4,500</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jc w:val="right"/>
              <w:spacing w:after="0" w:line="115" w:lineRule="exact"/>
              <w:rPr>
                <w:sz w:val="20"/>
                <w:szCs w:val="20"/>
                <w:color w:val="auto"/>
              </w:rPr>
            </w:pPr>
            <w:r>
              <w:rPr>
                <w:rFonts w:ascii="Arial" w:cs="Arial" w:eastAsia="Arial" w:hAnsi="Arial"/>
                <w:sz w:val="11"/>
                <w:szCs w:val="11"/>
                <w:color w:val="auto"/>
              </w:rPr>
              <w:t>4,411</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jc w:val="right"/>
              <w:spacing w:after="0" w:line="115" w:lineRule="exact"/>
              <w:rPr>
                <w:sz w:val="20"/>
                <w:szCs w:val="20"/>
                <w:color w:val="auto"/>
              </w:rPr>
            </w:pPr>
            <w:r>
              <w:rPr>
                <w:rFonts w:ascii="Arial" w:cs="Arial" w:eastAsia="Arial" w:hAnsi="Arial"/>
                <w:sz w:val="11"/>
                <w:szCs w:val="11"/>
                <w:color w:val="auto"/>
              </w:rPr>
              <w:t>4,424</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96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Marketplace Events, LLC </w:t>
            </w:r>
            <w:r>
              <w:rPr>
                <w:rFonts w:ascii="Arial" w:cs="Arial" w:eastAsia="Arial" w:hAnsi="Arial"/>
                <w:sz w:val="14"/>
                <w:szCs w:val="14"/>
                <w:color w:val="auto"/>
                <w:vertAlign w:val="superscript"/>
              </w:rPr>
              <w:t>(3)(4)</w:t>
            </w:r>
          </w:p>
        </w:tc>
        <w:tc>
          <w:tcPr>
            <w:tcW w:w="78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09/30/2025</w:t>
            </w:r>
          </w:p>
        </w:tc>
        <w:tc>
          <w:tcPr>
            <w:tcW w:w="120" w:type="dxa"/>
            <w:vAlign w:val="bottom"/>
          </w:tcPr>
          <w:p>
            <w:pPr>
              <w:spacing w:after="0"/>
              <w:rPr>
                <w:sz w:val="13"/>
                <w:szCs w:val="13"/>
                <w:color w:val="auto"/>
              </w:rPr>
            </w:pPr>
          </w:p>
        </w:tc>
        <w:tc>
          <w:tcPr>
            <w:tcW w:w="2460" w:type="dxa"/>
            <w:vAlign w:val="bottom"/>
          </w:tcPr>
          <w:p>
            <w:pPr>
              <w:ind w:left="20"/>
              <w:spacing w:after="0"/>
              <w:rPr>
                <w:sz w:val="20"/>
                <w:szCs w:val="20"/>
                <w:color w:val="auto"/>
              </w:rPr>
            </w:pPr>
            <w:r>
              <w:rPr>
                <w:rFonts w:ascii="Arial" w:cs="Arial" w:eastAsia="Arial" w:hAnsi="Arial"/>
                <w:sz w:val="11"/>
                <w:szCs w:val="11"/>
                <w:color w:val="auto"/>
              </w:rPr>
              <w:t>Media: Diversified and Production</w:t>
            </w:r>
          </w:p>
        </w:tc>
        <w:tc>
          <w:tcPr>
            <w:tcW w:w="1120" w:type="dxa"/>
            <w:vAlign w:val="bottom"/>
            <w:gridSpan w:val="3"/>
          </w:tcPr>
          <w:p>
            <w:pPr>
              <w:jc w:val="right"/>
              <w:ind w:right="160"/>
              <w:spacing w:after="0"/>
              <w:rPr>
                <w:sz w:val="20"/>
                <w:szCs w:val="20"/>
                <w:color w:val="auto"/>
              </w:rPr>
            </w:pPr>
            <w:r>
              <w:rPr>
                <w:rFonts w:ascii="Arial" w:cs="Arial" w:eastAsia="Arial" w:hAnsi="Arial"/>
                <w:sz w:val="11"/>
                <w:szCs w:val="11"/>
                <w:color w:val="auto"/>
              </w:rPr>
              <w:t>6.25 %</w:t>
            </w:r>
          </w:p>
        </w:tc>
        <w:tc>
          <w:tcPr>
            <w:tcW w:w="780" w:type="dxa"/>
            <w:vAlign w:val="bottom"/>
          </w:tcPr>
          <w:p>
            <w:pPr>
              <w:jc w:val="right"/>
              <w:spacing w:after="0"/>
              <w:rPr>
                <w:sz w:val="20"/>
                <w:szCs w:val="20"/>
                <w:color w:val="auto"/>
              </w:rPr>
            </w:pPr>
            <w:r>
              <w:rPr>
                <w:rFonts w:ascii="Arial" w:cs="Arial" w:eastAsia="Arial" w:hAnsi="Arial"/>
                <w:sz w:val="11"/>
                <w:szCs w:val="11"/>
                <w:color w:val="auto"/>
              </w:rPr>
              <w:t>3M L+525</w:t>
            </w: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617</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617</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617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960" w:type="dxa"/>
            <w:vAlign w:val="bottom"/>
          </w:tcPr>
          <w:p>
            <w:pPr>
              <w:ind w:left="20"/>
              <w:spacing w:after="0"/>
              <w:rPr>
                <w:sz w:val="20"/>
                <w:szCs w:val="20"/>
                <w:color w:val="auto"/>
              </w:rPr>
            </w:pPr>
            <w:r>
              <w:rPr>
                <w:rFonts w:ascii="Arial" w:cs="Arial" w:eastAsia="Arial" w:hAnsi="Arial"/>
                <w:sz w:val="11"/>
                <w:szCs w:val="11"/>
                <w:color w:val="auto"/>
              </w:rPr>
              <w:t>Super Priority First Lien Term Loan</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1"/>
                <w:szCs w:val="11"/>
                <w:color w:val="auto"/>
              </w:rPr>
              <w:t>P(IK 6.25%)</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960" w:type="dxa"/>
            <w:vAlign w:val="bottom"/>
          </w:tcPr>
          <w:p>
            <w:pPr>
              <w:ind w:left="20"/>
              <w:spacing w:after="0" w:line="104" w:lineRule="exact"/>
              <w:rPr>
                <w:sz w:val="20"/>
                <w:szCs w:val="20"/>
                <w:color w:val="auto"/>
              </w:rPr>
            </w:pPr>
            <w:r>
              <w:rPr>
                <w:rFonts w:ascii="Arial" w:cs="Arial" w:eastAsia="Arial" w:hAnsi="Arial"/>
                <w:sz w:val="11"/>
                <w:szCs w:val="11"/>
                <w:color w:val="auto"/>
                <w:w w:val="97"/>
              </w:rPr>
              <w:t>Marketplace Events, LLC - Super Priority First Lien Unfunded</w:t>
            </w:r>
          </w:p>
        </w:tc>
        <w:tc>
          <w:tcPr>
            <w:tcW w:w="780" w:type="dxa"/>
            <w:vAlign w:val="bottom"/>
            <w:gridSpan w:val="2"/>
            <w:vMerge w:val="restart"/>
          </w:tcPr>
          <w:p>
            <w:pPr>
              <w:jc w:val="center"/>
              <w:ind w:left="86"/>
              <w:spacing w:after="0"/>
              <w:rPr>
                <w:sz w:val="20"/>
                <w:szCs w:val="20"/>
                <w:color w:val="auto"/>
              </w:rPr>
            </w:pPr>
            <w:r>
              <w:rPr>
                <w:rFonts w:ascii="Arial" w:cs="Arial" w:eastAsia="Arial" w:hAnsi="Arial"/>
                <w:sz w:val="11"/>
                <w:szCs w:val="11"/>
                <w:color w:val="auto"/>
                <w:w w:val="87"/>
              </w:rPr>
              <w:t>09/30/2025</w:t>
            </w:r>
          </w:p>
        </w:tc>
        <w:tc>
          <w:tcPr>
            <w:tcW w:w="120" w:type="dxa"/>
            <w:vAlign w:val="bottom"/>
          </w:tcPr>
          <w:p>
            <w:pPr>
              <w:spacing w:after="0"/>
              <w:rPr>
                <w:sz w:val="9"/>
                <w:szCs w:val="9"/>
                <w:color w:val="auto"/>
              </w:rPr>
            </w:pPr>
          </w:p>
        </w:tc>
        <w:tc>
          <w:tcPr>
            <w:tcW w:w="2460" w:type="dxa"/>
            <w:vAlign w:val="bottom"/>
            <w:vMerge w:val="restart"/>
          </w:tcPr>
          <w:p>
            <w:pPr>
              <w:jc w:val="center"/>
              <w:spacing w:after="0"/>
              <w:rPr>
                <w:sz w:val="20"/>
                <w:szCs w:val="20"/>
                <w:color w:val="auto"/>
              </w:rPr>
            </w:pPr>
            <w:r>
              <w:rPr>
                <w:rFonts w:ascii="Arial" w:cs="Arial" w:eastAsia="Arial" w:hAnsi="Arial"/>
                <w:sz w:val="11"/>
                <w:szCs w:val="11"/>
                <w:color w:val="auto"/>
                <w:w w:val="91"/>
              </w:rPr>
              <w:t>Media: Diversified and Production</w:t>
            </w:r>
          </w:p>
        </w:tc>
        <w:tc>
          <w:tcPr>
            <w:tcW w:w="120" w:type="dxa"/>
            <w:vAlign w:val="bottom"/>
          </w:tcPr>
          <w:p>
            <w:pPr>
              <w:spacing w:after="0"/>
              <w:rPr>
                <w:sz w:val="9"/>
                <w:szCs w:val="9"/>
                <w:color w:val="auto"/>
              </w:rPr>
            </w:pPr>
          </w:p>
        </w:tc>
        <w:tc>
          <w:tcPr>
            <w:tcW w:w="1000" w:type="dxa"/>
            <w:vAlign w:val="bottom"/>
            <w:gridSpan w:val="2"/>
            <w:vMerge w:val="restart"/>
          </w:tcPr>
          <w:p>
            <w:pPr>
              <w:jc w:val="right"/>
              <w:ind w:right="280"/>
              <w:spacing w:after="0"/>
              <w:rPr>
                <w:sz w:val="20"/>
                <w:szCs w:val="20"/>
                <w:color w:val="auto"/>
              </w:rPr>
            </w:pPr>
            <w:r>
              <w:rPr>
                <w:rFonts w:ascii="Arial" w:cs="Arial" w:eastAsia="Arial" w:hAnsi="Arial"/>
                <w:sz w:val="11"/>
                <w:szCs w:val="11"/>
                <w:color w:val="auto"/>
              </w:rPr>
              <w:t>—</w:t>
            </w:r>
          </w:p>
        </w:tc>
        <w:tc>
          <w:tcPr>
            <w:tcW w:w="7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860" w:type="dxa"/>
            <w:vAlign w:val="bottom"/>
            <w:gridSpan w:val="2"/>
            <w:vMerge w:val="restart"/>
          </w:tcPr>
          <w:p>
            <w:pPr>
              <w:jc w:val="right"/>
              <w:spacing w:after="0"/>
              <w:rPr>
                <w:sz w:val="20"/>
                <w:szCs w:val="20"/>
                <w:color w:val="auto"/>
              </w:rPr>
            </w:pPr>
            <w:r>
              <w:rPr>
                <w:rFonts w:ascii="Arial" w:cs="Arial" w:eastAsia="Arial" w:hAnsi="Arial"/>
                <w:sz w:val="11"/>
                <w:szCs w:val="11"/>
                <w:color w:val="auto"/>
              </w:rPr>
              <w:t>589</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2960" w:type="dxa"/>
            <w:vAlign w:val="bottom"/>
          </w:tcPr>
          <w:p>
            <w:pPr>
              <w:ind w:left="20"/>
              <w:spacing w:after="0" w:line="119" w:lineRule="exact"/>
              <w:rPr>
                <w:sz w:val="20"/>
                <w:szCs w:val="20"/>
                <w:color w:val="auto"/>
              </w:rPr>
            </w:pPr>
            <w:r>
              <w:rPr>
                <w:rFonts w:ascii="Arial" w:cs="Arial" w:eastAsia="Arial" w:hAnsi="Arial"/>
                <w:sz w:val="10"/>
                <w:szCs w:val="10"/>
                <w:color w:val="auto"/>
              </w:rPr>
              <w:t xml:space="preserve">Term Loan </w:t>
            </w:r>
            <w:r>
              <w:rPr>
                <w:rFonts w:ascii="Arial" w:cs="Arial" w:eastAsia="Arial" w:hAnsi="Arial"/>
                <w:sz w:val="13"/>
                <w:szCs w:val="13"/>
                <w:color w:val="auto"/>
                <w:vertAlign w:val="superscript"/>
              </w:rPr>
              <w:t>(3)(4)</w:t>
            </w:r>
          </w:p>
        </w:tc>
        <w:tc>
          <w:tcPr>
            <w:tcW w:w="7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24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960" w:type="dxa"/>
            <w:vAlign w:val="bottom"/>
          </w:tcPr>
          <w:p>
            <w:pPr>
              <w:ind w:left="20"/>
              <w:spacing w:after="0"/>
              <w:rPr>
                <w:sz w:val="20"/>
                <w:szCs w:val="20"/>
                <w:color w:val="auto"/>
              </w:rPr>
            </w:pPr>
            <w:r>
              <w:rPr>
                <w:rFonts w:ascii="Arial" w:cs="Arial" w:eastAsia="Arial" w:hAnsi="Arial"/>
                <w:sz w:val="11"/>
                <w:szCs w:val="11"/>
                <w:color w:val="auto"/>
              </w:rPr>
              <w:t xml:space="preserve">Marketplace Events LLC </w:t>
            </w:r>
            <w:r>
              <w:rPr>
                <w:rFonts w:ascii="Arial" w:cs="Arial" w:eastAsia="Arial" w:hAnsi="Arial"/>
                <w:sz w:val="14"/>
                <w:szCs w:val="14"/>
                <w:color w:val="auto"/>
                <w:vertAlign w:val="superscript"/>
              </w:rPr>
              <w:t>(4)</w:t>
            </w:r>
          </w:p>
        </w:tc>
        <w:tc>
          <w:tcPr>
            <w:tcW w:w="78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09/30/2026</w:t>
            </w:r>
          </w:p>
        </w:tc>
        <w:tc>
          <w:tcPr>
            <w:tcW w:w="120" w:type="dxa"/>
            <w:vAlign w:val="bottom"/>
          </w:tcPr>
          <w:p>
            <w:pPr>
              <w:spacing w:after="0"/>
              <w:rPr>
                <w:sz w:val="14"/>
                <w:szCs w:val="14"/>
                <w:color w:val="auto"/>
              </w:rPr>
            </w:pPr>
          </w:p>
        </w:tc>
        <w:tc>
          <w:tcPr>
            <w:tcW w:w="2460" w:type="dxa"/>
            <w:vAlign w:val="bottom"/>
          </w:tcPr>
          <w:p>
            <w:pPr>
              <w:jc w:val="center"/>
              <w:spacing w:after="0"/>
              <w:rPr>
                <w:sz w:val="20"/>
                <w:szCs w:val="20"/>
                <w:color w:val="auto"/>
              </w:rPr>
            </w:pPr>
            <w:r>
              <w:rPr>
                <w:rFonts w:ascii="Arial" w:cs="Arial" w:eastAsia="Arial" w:hAnsi="Arial"/>
                <w:sz w:val="11"/>
                <w:szCs w:val="11"/>
                <w:color w:val="auto"/>
                <w:w w:val="91"/>
              </w:rPr>
              <w:t>Media: Diversified and Production</w:t>
            </w:r>
          </w:p>
        </w:tc>
        <w:tc>
          <w:tcPr>
            <w:tcW w:w="1120" w:type="dxa"/>
            <w:vAlign w:val="bottom"/>
            <w:gridSpan w:val="3"/>
          </w:tcPr>
          <w:p>
            <w:pPr>
              <w:jc w:val="right"/>
              <w:ind w:right="160"/>
              <w:spacing w:after="0"/>
              <w:rPr>
                <w:sz w:val="20"/>
                <w:szCs w:val="20"/>
                <w:color w:val="auto"/>
              </w:rPr>
            </w:pPr>
            <w:r>
              <w:rPr>
                <w:rFonts w:ascii="Arial" w:cs="Arial" w:eastAsia="Arial" w:hAnsi="Arial"/>
                <w:sz w:val="11"/>
                <w:szCs w:val="11"/>
                <w:color w:val="auto"/>
              </w:rPr>
              <w:t>0.00 %</w:t>
            </w:r>
          </w:p>
        </w:tc>
        <w:tc>
          <w:tcPr>
            <w:tcW w:w="780" w:type="dxa"/>
            <w:vAlign w:val="bottom"/>
          </w:tcPr>
          <w:p>
            <w:pPr>
              <w:jc w:val="right"/>
              <w:spacing w:after="0"/>
              <w:rPr>
                <w:sz w:val="20"/>
                <w:szCs w:val="20"/>
                <w:color w:val="auto"/>
              </w:rPr>
            </w:pPr>
            <w:r>
              <w:rPr>
                <w:rFonts w:ascii="Arial" w:cs="Arial" w:eastAsia="Arial" w:hAnsi="Arial"/>
                <w:sz w:val="11"/>
                <w:szCs w:val="11"/>
                <w:color w:val="auto"/>
              </w:rPr>
              <w:t>—</w:t>
            </w: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4,615</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3,441</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4,615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960" w:type="dxa"/>
            <w:vAlign w:val="bottom"/>
            <w:shd w:val="clear" w:color="auto" w:fill="CCECFF"/>
          </w:tcPr>
          <w:p>
            <w:pPr>
              <w:ind w:left="20"/>
              <w:spacing w:after="0"/>
              <w:rPr>
                <w:sz w:val="20"/>
                <w:szCs w:val="20"/>
                <w:color w:val="auto"/>
              </w:rPr>
            </w:pPr>
            <w:r>
              <w:rPr>
                <w:rFonts w:ascii="Arial" w:cs="Arial" w:eastAsia="Arial" w:hAnsi="Arial"/>
                <w:sz w:val="11"/>
                <w:szCs w:val="11"/>
                <w:color w:val="auto"/>
              </w:rPr>
              <w:t>Mars Acquisition Holdings Corp.</w:t>
            </w:r>
          </w:p>
        </w:tc>
        <w:tc>
          <w:tcPr>
            <w:tcW w:w="7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7"/>
              </w:rPr>
              <w:t>05/14/2026</w:t>
            </w:r>
          </w:p>
        </w:tc>
        <w:tc>
          <w:tcPr>
            <w:tcW w:w="120" w:type="dxa"/>
            <w:vAlign w:val="bottom"/>
            <w:shd w:val="clear" w:color="auto" w:fill="CCECFF"/>
          </w:tcPr>
          <w:p>
            <w:pPr>
              <w:spacing w:after="0"/>
              <w:rPr>
                <w:sz w:val="11"/>
                <w:szCs w:val="11"/>
                <w:color w:val="auto"/>
              </w:rPr>
            </w:pPr>
          </w:p>
        </w:tc>
        <w:tc>
          <w:tcPr>
            <w:tcW w:w="24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Media</w:t>
            </w:r>
          </w:p>
        </w:tc>
        <w:tc>
          <w:tcPr>
            <w:tcW w:w="1120" w:type="dxa"/>
            <w:vAlign w:val="bottom"/>
            <w:gridSpan w:val="3"/>
            <w:shd w:val="clear" w:color="auto" w:fill="CCECFF"/>
          </w:tcPr>
          <w:p>
            <w:pPr>
              <w:jc w:val="right"/>
              <w:ind w:right="160"/>
              <w:spacing w:after="0"/>
              <w:rPr>
                <w:sz w:val="20"/>
                <w:szCs w:val="20"/>
                <w:color w:val="auto"/>
              </w:rPr>
            </w:pPr>
            <w:r>
              <w:rPr>
                <w:rFonts w:ascii="Arial" w:cs="Arial" w:eastAsia="Arial" w:hAnsi="Arial"/>
                <w:sz w:val="11"/>
                <w:szCs w:val="11"/>
                <w:color w:val="auto"/>
              </w:rPr>
              <w:t>6.50 %</w:t>
            </w:r>
          </w:p>
        </w:tc>
        <w:tc>
          <w:tcPr>
            <w:tcW w:w="7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L+550</w:t>
            </w:r>
          </w:p>
        </w:tc>
        <w:tc>
          <w:tcPr>
            <w:tcW w:w="8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10,000</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9,813</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9,900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tcPr>
          <w:p>
            <w:pPr>
              <w:ind w:left="20"/>
              <w:spacing w:after="0"/>
              <w:rPr>
                <w:sz w:val="20"/>
                <w:szCs w:val="20"/>
                <w:color w:val="auto"/>
              </w:rPr>
            </w:pPr>
            <w:r>
              <w:rPr>
                <w:rFonts w:ascii="Arial" w:cs="Arial" w:eastAsia="Arial" w:hAnsi="Arial"/>
                <w:sz w:val="11"/>
                <w:szCs w:val="11"/>
                <w:color w:val="auto"/>
              </w:rPr>
              <w:t>MBS Holdings, Inc.</w:t>
            </w:r>
          </w:p>
        </w:tc>
        <w:tc>
          <w:tcPr>
            <w:tcW w:w="78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04/16/2027</w:t>
            </w:r>
          </w:p>
        </w:tc>
        <w:tc>
          <w:tcPr>
            <w:tcW w:w="120" w:type="dxa"/>
            <w:vAlign w:val="bottom"/>
          </w:tcPr>
          <w:p>
            <w:pPr>
              <w:spacing w:after="0"/>
              <w:rPr>
                <w:sz w:val="11"/>
                <w:szCs w:val="11"/>
                <w:color w:val="auto"/>
              </w:rPr>
            </w:pPr>
          </w:p>
        </w:tc>
        <w:tc>
          <w:tcPr>
            <w:tcW w:w="2460" w:type="dxa"/>
            <w:vAlign w:val="bottom"/>
          </w:tcPr>
          <w:p>
            <w:pPr>
              <w:jc w:val="center"/>
              <w:spacing w:after="0"/>
              <w:rPr>
                <w:sz w:val="20"/>
                <w:szCs w:val="20"/>
                <w:color w:val="auto"/>
              </w:rPr>
            </w:pPr>
            <w:r>
              <w:rPr>
                <w:rFonts w:ascii="Arial" w:cs="Arial" w:eastAsia="Arial" w:hAnsi="Arial"/>
                <w:sz w:val="11"/>
                <w:szCs w:val="11"/>
                <w:color w:val="auto"/>
                <w:w w:val="89"/>
              </w:rPr>
              <w:t>Internet Software and Services</w:t>
            </w:r>
          </w:p>
        </w:tc>
        <w:tc>
          <w:tcPr>
            <w:tcW w:w="1120" w:type="dxa"/>
            <w:vAlign w:val="bottom"/>
            <w:gridSpan w:val="3"/>
          </w:tcPr>
          <w:p>
            <w:pPr>
              <w:jc w:val="right"/>
              <w:ind w:right="160"/>
              <w:spacing w:after="0"/>
              <w:rPr>
                <w:sz w:val="20"/>
                <w:szCs w:val="20"/>
                <w:color w:val="auto"/>
              </w:rPr>
            </w:pPr>
            <w:r>
              <w:rPr>
                <w:rFonts w:ascii="Arial" w:cs="Arial" w:eastAsia="Arial" w:hAnsi="Arial"/>
                <w:sz w:val="11"/>
                <w:szCs w:val="11"/>
                <w:color w:val="auto"/>
              </w:rPr>
              <w:t>6.75 %</w:t>
            </w:r>
          </w:p>
        </w:tc>
        <w:tc>
          <w:tcPr>
            <w:tcW w:w="780" w:type="dxa"/>
            <w:vAlign w:val="bottom"/>
          </w:tcPr>
          <w:p>
            <w:pPr>
              <w:jc w:val="right"/>
              <w:spacing w:after="0"/>
              <w:rPr>
                <w:sz w:val="20"/>
                <w:szCs w:val="20"/>
                <w:color w:val="auto"/>
              </w:rPr>
            </w:pPr>
            <w:r>
              <w:rPr>
                <w:rFonts w:ascii="Arial" w:cs="Arial" w:eastAsia="Arial" w:hAnsi="Arial"/>
                <w:sz w:val="11"/>
                <w:szCs w:val="11"/>
                <w:color w:val="auto"/>
              </w:rPr>
              <w:t>3M L+575</w:t>
            </w: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7,481</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7,338</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7,332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shd w:val="clear" w:color="auto" w:fill="CCECFF"/>
          </w:tcPr>
          <w:p>
            <w:pPr>
              <w:ind w:left="20"/>
              <w:spacing w:after="0"/>
              <w:rPr>
                <w:sz w:val="20"/>
                <w:szCs w:val="20"/>
                <w:color w:val="auto"/>
              </w:rPr>
            </w:pPr>
            <w:r>
              <w:rPr>
                <w:rFonts w:ascii="Arial" w:cs="Arial" w:eastAsia="Arial" w:hAnsi="Arial"/>
                <w:sz w:val="11"/>
                <w:szCs w:val="11"/>
                <w:color w:val="auto"/>
              </w:rPr>
              <w:t>MeritDirect, LLC</w:t>
            </w:r>
          </w:p>
        </w:tc>
        <w:tc>
          <w:tcPr>
            <w:tcW w:w="7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7"/>
              </w:rPr>
              <w:t>05/23/2024</w:t>
            </w:r>
          </w:p>
        </w:tc>
        <w:tc>
          <w:tcPr>
            <w:tcW w:w="120" w:type="dxa"/>
            <w:vAlign w:val="bottom"/>
            <w:shd w:val="clear" w:color="auto" w:fill="CCECFF"/>
          </w:tcPr>
          <w:p>
            <w:pPr>
              <w:spacing w:after="0"/>
              <w:rPr>
                <w:sz w:val="11"/>
                <w:szCs w:val="11"/>
                <w:color w:val="auto"/>
              </w:rPr>
            </w:pPr>
          </w:p>
        </w:tc>
        <w:tc>
          <w:tcPr>
            <w:tcW w:w="24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3"/>
              </w:rPr>
              <w:t>Media: Advertising, Printing &amp; Publishing</w:t>
            </w:r>
          </w:p>
        </w:tc>
        <w:tc>
          <w:tcPr>
            <w:tcW w:w="1120" w:type="dxa"/>
            <w:vAlign w:val="bottom"/>
            <w:gridSpan w:val="3"/>
            <w:shd w:val="clear" w:color="auto" w:fill="CCECFF"/>
          </w:tcPr>
          <w:p>
            <w:pPr>
              <w:jc w:val="right"/>
              <w:ind w:right="160"/>
              <w:spacing w:after="0"/>
              <w:rPr>
                <w:sz w:val="20"/>
                <w:szCs w:val="20"/>
                <w:color w:val="auto"/>
              </w:rPr>
            </w:pPr>
            <w:r>
              <w:rPr>
                <w:rFonts w:ascii="Arial" w:cs="Arial" w:eastAsia="Arial" w:hAnsi="Arial"/>
                <w:sz w:val="11"/>
                <w:szCs w:val="11"/>
                <w:color w:val="auto"/>
              </w:rPr>
              <w:t>6.50 %</w:t>
            </w:r>
          </w:p>
        </w:tc>
        <w:tc>
          <w:tcPr>
            <w:tcW w:w="7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L+550</w:t>
            </w:r>
          </w:p>
        </w:tc>
        <w:tc>
          <w:tcPr>
            <w:tcW w:w="8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5,532</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5,412</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5,477</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tcPr>
          <w:p>
            <w:pPr>
              <w:ind w:left="20"/>
              <w:spacing w:after="0"/>
              <w:rPr>
                <w:sz w:val="20"/>
                <w:szCs w:val="20"/>
                <w:color w:val="auto"/>
              </w:rPr>
            </w:pPr>
            <w:r>
              <w:rPr>
                <w:rFonts w:ascii="Arial" w:cs="Arial" w:eastAsia="Arial" w:hAnsi="Arial"/>
                <w:sz w:val="11"/>
                <w:szCs w:val="11"/>
                <w:color w:val="auto"/>
              </w:rPr>
              <w:t>Mission Critical Electronics, Inc.</w:t>
            </w:r>
          </w:p>
        </w:tc>
        <w:tc>
          <w:tcPr>
            <w:tcW w:w="78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09/28/2022</w:t>
            </w:r>
          </w:p>
        </w:tc>
        <w:tc>
          <w:tcPr>
            <w:tcW w:w="120" w:type="dxa"/>
            <w:vAlign w:val="bottom"/>
          </w:tcPr>
          <w:p>
            <w:pPr>
              <w:spacing w:after="0"/>
              <w:rPr>
                <w:sz w:val="11"/>
                <w:szCs w:val="11"/>
                <w:color w:val="auto"/>
              </w:rPr>
            </w:pPr>
          </w:p>
        </w:tc>
        <w:tc>
          <w:tcPr>
            <w:tcW w:w="2460" w:type="dxa"/>
            <w:vAlign w:val="bottom"/>
          </w:tcPr>
          <w:p>
            <w:pPr>
              <w:jc w:val="center"/>
              <w:spacing w:after="0"/>
              <w:rPr>
                <w:sz w:val="20"/>
                <w:szCs w:val="20"/>
                <w:color w:val="auto"/>
              </w:rPr>
            </w:pPr>
            <w:r>
              <w:rPr>
                <w:rFonts w:ascii="Arial" w:cs="Arial" w:eastAsia="Arial" w:hAnsi="Arial"/>
                <w:sz w:val="11"/>
                <w:szCs w:val="11"/>
                <w:color w:val="auto"/>
                <w:w w:val="91"/>
              </w:rPr>
              <w:t>Capital Equipment</w:t>
            </w:r>
          </w:p>
        </w:tc>
        <w:tc>
          <w:tcPr>
            <w:tcW w:w="1120" w:type="dxa"/>
            <w:vAlign w:val="bottom"/>
            <w:gridSpan w:val="3"/>
          </w:tcPr>
          <w:p>
            <w:pPr>
              <w:jc w:val="right"/>
              <w:ind w:right="160"/>
              <w:spacing w:after="0"/>
              <w:rPr>
                <w:sz w:val="20"/>
                <w:szCs w:val="20"/>
                <w:color w:val="auto"/>
              </w:rPr>
            </w:pPr>
            <w:r>
              <w:rPr>
                <w:rFonts w:ascii="Arial" w:cs="Arial" w:eastAsia="Arial" w:hAnsi="Arial"/>
                <w:sz w:val="11"/>
                <w:szCs w:val="11"/>
                <w:color w:val="auto"/>
              </w:rPr>
              <w:t>6.00 %</w:t>
            </w:r>
          </w:p>
        </w:tc>
        <w:tc>
          <w:tcPr>
            <w:tcW w:w="780" w:type="dxa"/>
            <w:vAlign w:val="bottom"/>
          </w:tcPr>
          <w:p>
            <w:pPr>
              <w:jc w:val="right"/>
              <w:spacing w:after="0"/>
              <w:rPr>
                <w:sz w:val="20"/>
                <w:szCs w:val="20"/>
                <w:color w:val="auto"/>
              </w:rPr>
            </w:pPr>
            <w:r>
              <w:rPr>
                <w:rFonts w:ascii="Arial" w:cs="Arial" w:eastAsia="Arial" w:hAnsi="Arial"/>
                <w:sz w:val="11"/>
                <w:szCs w:val="11"/>
                <w:color w:val="auto"/>
              </w:rPr>
              <w:t>3M L+500</w:t>
            </w: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5,890</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5,877</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5,890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shd w:val="clear" w:color="auto" w:fill="CCECFF"/>
          </w:tcPr>
          <w:p>
            <w:pPr>
              <w:ind w:left="20"/>
              <w:spacing w:after="0"/>
              <w:rPr>
                <w:sz w:val="20"/>
                <w:szCs w:val="20"/>
                <w:color w:val="auto"/>
              </w:rPr>
            </w:pPr>
            <w:r>
              <w:rPr>
                <w:rFonts w:ascii="Arial" w:cs="Arial" w:eastAsia="Arial" w:hAnsi="Arial"/>
                <w:sz w:val="11"/>
                <w:szCs w:val="11"/>
                <w:color w:val="auto"/>
              </w:rPr>
              <w:t>NBH Group LLC</w:t>
            </w:r>
          </w:p>
        </w:tc>
        <w:tc>
          <w:tcPr>
            <w:tcW w:w="7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7"/>
              </w:rPr>
              <w:t>08/19/2026</w:t>
            </w:r>
          </w:p>
        </w:tc>
        <w:tc>
          <w:tcPr>
            <w:tcW w:w="120" w:type="dxa"/>
            <w:vAlign w:val="bottom"/>
            <w:shd w:val="clear" w:color="auto" w:fill="CCECFF"/>
          </w:tcPr>
          <w:p>
            <w:pPr>
              <w:spacing w:after="0"/>
              <w:rPr>
                <w:sz w:val="11"/>
                <w:szCs w:val="11"/>
                <w:color w:val="auto"/>
              </w:rPr>
            </w:pPr>
          </w:p>
        </w:tc>
        <w:tc>
          <w:tcPr>
            <w:tcW w:w="24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Healthcare, Education &amp; Culture</w:t>
            </w:r>
          </w:p>
        </w:tc>
        <w:tc>
          <w:tcPr>
            <w:tcW w:w="1120" w:type="dxa"/>
            <w:vAlign w:val="bottom"/>
            <w:gridSpan w:val="3"/>
            <w:shd w:val="clear" w:color="auto" w:fill="CCECFF"/>
          </w:tcPr>
          <w:p>
            <w:pPr>
              <w:jc w:val="right"/>
              <w:ind w:right="160"/>
              <w:spacing w:after="0"/>
              <w:rPr>
                <w:sz w:val="20"/>
                <w:szCs w:val="20"/>
                <w:color w:val="auto"/>
              </w:rPr>
            </w:pPr>
            <w:r>
              <w:rPr>
                <w:rFonts w:ascii="Arial" w:cs="Arial" w:eastAsia="Arial" w:hAnsi="Arial"/>
                <w:sz w:val="11"/>
                <w:szCs w:val="11"/>
                <w:color w:val="auto"/>
              </w:rPr>
              <w:t>6.50 %</w:t>
            </w:r>
          </w:p>
        </w:tc>
        <w:tc>
          <w:tcPr>
            <w:tcW w:w="7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L+550</w:t>
            </w:r>
          </w:p>
        </w:tc>
        <w:tc>
          <w:tcPr>
            <w:tcW w:w="8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10,902</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10,687</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10,684</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tcPr>
          <w:p>
            <w:pPr>
              <w:ind w:left="20"/>
              <w:spacing w:after="0"/>
              <w:rPr>
                <w:sz w:val="20"/>
                <w:szCs w:val="20"/>
                <w:color w:val="auto"/>
              </w:rPr>
            </w:pPr>
            <w:r>
              <w:rPr>
                <w:rFonts w:ascii="Arial" w:cs="Arial" w:eastAsia="Arial" w:hAnsi="Arial"/>
                <w:sz w:val="11"/>
                <w:szCs w:val="11"/>
                <w:color w:val="auto"/>
              </w:rPr>
              <w:t>New Milani Group LLC</w:t>
            </w:r>
          </w:p>
        </w:tc>
        <w:tc>
          <w:tcPr>
            <w:tcW w:w="78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06/06/2024</w:t>
            </w:r>
          </w:p>
        </w:tc>
        <w:tc>
          <w:tcPr>
            <w:tcW w:w="120" w:type="dxa"/>
            <w:vAlign w:val="bottom"/>
          </w:tcPr>
          <w:p>
            <w:pPr>
              <w:spacing w:after="0"/>
              <w:rPr>
                <w:sz w:val="11"/>
                <w:szCs w:val="11"/>
                <w:color w:val="auto"/>
              </w:rPr>
            </w:pPr>
          </w:p>
        </w:tc>
        <w:tc>
          <w:tcPr>
            <w:tcW w:w="2460" w:type="dxa"/>
            <w:vAlign w:val="bottom"/>
          </w:tcPr>
          <w:p>
            <w:pPr>
              <w:jc w:val="center"/>
              <w:spacing w:after="0"/>
              <w:rPr>
                <w:sz w:val="20"/>
                <w:szCs w:val="20"/>
                <w:color w:val="auto"/>
              </w:rPr>
            </w:pPr>
            <w:r>
              <w:rPr>
                <w:rFonts w:ascii="Arial" w:cs="Arial" w:eastAsia="Arial" w:hAnsi="Arial"/>
                <w:sz w:val="11"/>
                <w:szCs w:val="11"/>
                <w:color w:val="auto"/>
                <w:w w:val="89"/>
              </w:rPr>
              <w:t>Consumer Goods: Non-Durable</w:t>
            </w:r>
          </w:p>
        </w:tc>
        <w:tc>
          <w:tcPr>
            <w:tcW w:w="1120" w:type="dxa"/>
            <w:vAlign w:val="bottom"/>
            <w:gridSpan w:val="3"/>
          </w:tcPr>
          <w:p>
            <w:pPr>
              <w:jc w:val="right"/>
              <w:ind w:right="160"/>
              <w:spacing w:after="0"/>
              <w:rPr>
                <w:sz w:val="20"/>
                <w:szCs w:val="20"/>
                <w:color w:val="auto"/>
              </w:rPr>
            </w:pPr>
            <w:r>
              <w:rPr>
                <w:rFonts w:ascii="Arial" w:cs="Arial" w:eastAsia="Arial" w:hAnsi="Arial"/>
                <w:sz w:val="11"/>
                <w:szCs w:val="11"/>
                <w:color w:val="auto"/>
              </w:rPr>
              <w:t>6.50 %</w:t>
            </w:r>
          </w:p>
        </w:tc>
        <w:tc>
          <w:tcPr>
            <w:tcW w:w="780" w:type="dxa"/>
            <w:vAlign w:val="bottom"/>
          </w:tcPr>
          <w:p>
            <w:pPr>
              <w:jc w:val="right"/>
              <w:spacing w:after="0"/>
              <w:rPr>
                <w:sz w:val="20"/>
                <w:szCs w:val="20"/>
                <w:color w:val="auto"/>
              </w:rPr>
            </w:pPr>
            <w:r>
              <w:rPr>
                <w:rFonts w:ascii="Arial" w:cs="Arial" w:eastAsia="Arial" w:hAnsi="Arial"/>
                <w:sz w:val="11"/>
                <w:szCs w:val="11"/>
                <w:color w:val="auto"/>
              </w:rPr>
              <w:t>1M L+550</w:t>
            </w: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14,550</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14,481</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13,895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shd w:val="clear" w:color="auto" w:fill="CCECFF"/>
          </w:tcPr>
          <w:p>
            <w:pPr>
              <w:ind w:left="20"/>
              <w:spacing w:after="0"/>
              <w:rPr>
                <w:sz w:val="20"/>
                <w:szCs w:val="20"/>
                <w:color w:val="auto"/>
              </w:rPr>
            </w:pPr>
            <w:r>
              <w:rPr>
                <w:rFonts w:ascii="Arial" w:cs="Arial" w:eastAsia="Arial" w:hAnsi="Arial"/>
                <w:sz w:val="11"/>
                <w:szCs w:val="11"/>
                <w:color w:val="auto"/>
              </w:rPr>
              <w:t>OIS Management Services LLC</w:t>
            </w:r>
          </w:p>
        </w:tc>
        <w:tc>
          <w:tcPr>
            <w:tcW w:w="7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7"/>
              </w:rPr>
              <w:t>07/09/2026</w:t>
            </w:r>
          </w:p>
        </w:tc>
        <w:tc>
          <w:tcPr>
            <w:tcW w:w="120" w:type="dxa"/>
            <w:vAlign w:val="bottom"/>
            <w:shd w:val="clear" w:color="auto" w:fill="CCECFF"/>
          </w:tcPr>
          <w:p>
            <w:pPr>
              <w:spacing w:after="0"/>
              <w:rPr>
                <w:sz w:val="11"/>
                <w:szCs w:val="11"/>
                <w:color w:val="auto"/>
              </w:rPr>
            </w:pPr>
          </w:p>
        </w:tc>
        <w:tc>
          <w:tcPr>
            <w:tcW w:w="24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Healthcare Equipment and Supplies</w:t>
            </w:r>
          </w:p>
        </w:tc>
        <w:tc>
          <w:tcPr>
            <w:tcW w:w="1120" w:type="dxa"/>
            <w:vAlign w:val="bottom"/>
            <w:gridSpan w:val="3"/>
            <w:shd w:val="clear" w:color="auto" w:fill="CCECFF"/>
          </w:tcPr>
          <w:p>
            <w:pPr>
              <w:jc w:val="right"/>
              <w:ind w:right="160"/>
              <w:spacing w:after="0"/>
              <w:rPr>
                <w:sz w:val="20"/>
                <w:szCs w:val="20"/>
                <w:color w:val="auto"/>
              </w:rPr>
            </w:pPr>
            <w:r>
              <w:rPr>
                <w:rFonts w:ascii="Arial" w:cs="Arial" w:eastAsia="Arial" w:hAnsi="Arial"/>
                <w:sz w:val="11"/>
                <w:szCs w:val="11"/>
                <w:color w:val="auto"/>
              </w:rPr>
              <w:t>5.75 %</w:t>
            </w:r>
          </w:p>
        </w:tc>
        <w:tc>
          <w:tcPr>
            <w:tcW w:w="7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L+475</w:t>
            </w:r>
          </w:p>
        </w:tc>
        <w:tc>
          <w:tcPr>
            <w:tcW w:w="8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1,995</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1,966</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1,965</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tcPr>
          <w:p>
            <w:pPr>
              <w:ind w:left="20"/>
              <w:spacing w:after="0"/>
              <w:rPr>
                <w:sz w:val="20"/>
                <w:szCs w:val="20"/>
                <w:color w:val="auto"/>
              </w:rPr>
            </w:pPr>
            <w:r>
              <w:rPr>
                <w:rFonts w:ascii="Arial" w:cs="Arial" w:eastAsia="Arial" w:hAnsi="Arial"/>
                <w:sz w:val="11"/>
                <w:szCs w:val="11"/>
                <w:color w:val="auto"/>
              </w:rPr>
              <w:t>One Stop Mailing, LLC</w:t>
            </w:r>
          </w:p>
        </w:tc>
        <w:tc>
          <w:tcPr>
            <w:tcW w:w="78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05/07/2027</w:t>
            </w:r>
          </w:p>
        </w:tc>
        <w:tc>
          <w:tcPr>
            <w:tcW w:w="120" w:type="dxa"/>
            <w:vAlign w:val="bottom"/>
          </w:tcPr>
          <w:p>
            <w:pPr>
              <w:spacing w:after="0"/>
              <w:rPr>
                <w:sz w:val="11"/>
                <w:szCs w:val="11"/>
                <w:color w:val="auto"/>
              </w:rPr>
            </w:pPr>
          </w:p>
        </w:tc>
        <w:tc>
          <w:tcPr>
            <w:tcW w:w="2460" w:type="dxa"/>
            <w:vAlign w:val="bottom"/>
          </w:tcPr>
          <w:p>
            <w:pPr>
              <w:jc w:val="center"/>
              <w:spacing w:after="0"/>
              <w:rPr>
                <w:sz w:val="20"/>
                <w:szCs w:val="20"/>
                <w:color w:val="auto"/>
              </w:rPr>
            </w:pPr>
            <w:r>
              <w:rPr>
                <w:rFonts w:ascii="Arial" w:cs="Arial" w:eastAsia="Arial" w:hAnsi="Arial"/>
                <w:sz w:val="11"/>
                <w:szCs w:val="11"/>
                <w:color w:val="auto"/>
                <w:w w:val="93"/>
              </w:rPr>
              <w:t>Air Freight and Logistics</w:t>
            </w:r>
          </w:p>
        </w:tc>
        <w:tc>
          <w:tcPr>
            <w:tcW w:w="1120" w:type="dxa"/>
            <w:vAlign w:val="bottom"/>
            <w:gridSpan w:val="3"/>
          </w:tcPr>
          <w:p>
            <w:pPr>
              <w:jc w:val="right"/>
              <w:ind w:right="160"/>
              <w:spacing w:after="0"/>
              <w:rPr>
                <w:sz w:val="20"/>
                <w:szCs w:val="20"/>
                <w:color w:val="auto"/>
              </w:rPr>
            </w:pPr>
            <w:r>
              <w:rPr>
                <w:rFonts w:ascii="Arial" w:cs="Arial" w:eastAsia="Arial" w:hAnsi="Arial"/>
                <w:sz w:val="11"/>
                <w:szCs w:val="11"/>
                <w:color w:val="auto"/>
              </w:rPr>
              <w:t>7.25 %</w:t>
            </w:r>
          </w:p>
        </w:tc>
        <w:tc>
          <w:tcPr>
            <w:tcW w:w="780" w:type="dxa"/>
            <w:vAlign w:val="bottom"/>
          </w:tcPr>
          <w:p>
            <w:pPr>
              <w:jc w:val="right"/>
              <w:spacing w:after="0"/>
              <w:rPr>
                <w:sz w:val="20"/>
                <w:szCs w:val="20"/>
                <w:color w:val="auto"/>
              </w:rPr>
            </w:pPr>
            <w:r>
              <w:rPr>
                <w:rFonts w:ascii="Arial" w:cs="Arial" w:eastAsia="Arial" w:hAnsi="Arial"/>
                <w:sz w:val="11"/>
                <w:szCs w:val="11"/>
                <w:color w:val="auto"/>
              </w:rPr>
              <w:t>1M L+625</w:t>
            </w: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14,920</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14,631</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14,659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shd w:val="clear" w:color="auto" w:fill="CCECFF"/>
          </w:tcPr>
          <w:p>
            <w:pPr>
              <w:ind w:left="20"/>
              <w:spacing w:after="0"/>
              <w:rPr>
                <w:sz w:val="20"/>
                <w:szCs w:val="20"/>
                <w:color w:val="auto"/>
              </w:rPr>
            </w:pPr>
            <w:r>
              <w:rPr>
                <w:rFonts w:ascii="Arial" w:cs="Arial" w:eastAsia="Arial" w:hAnsi="Arial"/>
                <w:sz w:val="11"/>
                <w:szCs w:val="11"/>
                <w:color w:val="auto"/>
              </w:rPr>
              <w:t>Output Services Group, Inc.</w:t>
            </w:r>
          </w:p>
        </w:tc>
        <w:tc>
          <w:tcPr>
            <w:tcW w:w="7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7"/>
              </w:rPr>
              <w:t>03/27/2024</w:t>
            </w:r>
          </w:p>
        </w:tc>
        <w:tc>
          <w:tcPr>
            <w:tcW w:w="120" w:type="dxa"/>
            <w:vAlign w:val="bottom"/>
            <w:shd w:val="clear" w:color="auto" w:fill="CCECFF"/>
          </w:tcPr>
          <w:p>
            <w:pPr>
              <w:spacing w:after="0"/>
              <w:rPr>
                <w:sz w:val="11"/>
                <w:szCs w:val="11"/>
                <w:color w:val="auto"/>
              </w:rPr>
            </w:pPr>
          </w:p>
        </w:tc>
        <w:tc>
          <w:tcPr>
            <w:tcW w:w="24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Business Services</w:t>
            </w:r>
          </w:p>
        </w:tc>
        <w:tc>
          <w:tcPr>
            <w:tcW w:w="1120" w:type="dxa"/>
            <w:vAlign w:val="bottom"/>
            <w:gridSpan w:val="3"/>
            <w:shd w:val="clear" w:color="auto" w:fill="CCECFF"/>
          </w:tcPr>
          <w:p>
            <w:pPr>
              <w:jc w:val="right"/>
              <w:ind w:right="160"/>
              <w:spacing w:after="0"/>
              <w:rPr>
                <w:sz w:val="20"/>
                <w:szCs w:val="20"/>
                <w:color w:val="auto"/>
              </w:rPr>
            </w:pPr>
            <w:r>
              <w:rPr>
                <w:rFonts w:ascii="Arial" w:cs="Arial" w:eastAsia="Arial" w:hAnsi="Arial"/>
                <w:sz w:val="11"/>
                <w:szCs w:val="11"/>
                <w:color w:val="auto"/>
              </w:rPr>
              <w:t>5.50 %</w:t>
            </w:r>
          </w:p>
        </w:tc>
        <w:tc>
          <w:tcPr>
            <w:tcW w:w="7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L+450</w:t>
            </w:r>
          </w:p>
        </w:tc>
        <w:tc>
          <w:tcPr>
            <w:tcW w:w="8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7,743</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7,733</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7,047</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tcPr>
          <w:p>
            <w:pPr>
              <w:ind w:left="20"/>
              <w:spacing w:after="0"/>
              <w:rPr>
                <w:sz w:val="20"/>
                <w:szCs w:val="20"/>
                <w:color w:val="auto"/>
              </w:rPr>
            </w:pPr>
            <w:r>
              <w:rPr>
                <w:rFonts w:ascii="Arial" w:cs="Arial" w:eastAsia="Arial" w:hAnsi="Arial"/>
                <w:sz w:val="11"/>
                <w:szCs w:val="11"/>
                <w:color w:val="auto"/>
              </w:rPr>
              <w:t>Ox Two, LLC</w:t>
            </w:r>
          </w:p>
        </w:tc>
        <w:tc>
          <w:tcPr>
            <w:tcW w:w="78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05/18/2026</w:t>
            </w:r>
          </w:p>
        </w:tc>
        <w:tc>
          <w:tcPr>
            <w:tcW w:w="120" w:type="dxa"/>
            <w:vAlign w:val="bottom"/>
          </w:tcPr>
          <w:p>
            <w:pPr>
              <w:spacing w:after="0"/>
              <w:rPr>
                <w:sz w:val="11"/>
                <w:szCs w:val="11"/>
                <w:color w:val="auto"/>
              </w:rPr>
            </w:pPr>
          </w:p>
        </w:tc>
        <w:tc>
          <w:tcPr>
            <w:tcW w:w="2460" w:type="dxa"/>
            <w:vAlign w:val="bottom"/>
          </w:tcPr>
          <w:p>
            <w:pPr>
              <w:jc w:val="center"/>
              <w:spacing w:after="0"/>
              <w:rPr>
                <w:sz w:val="20"/>
                <w:szCs w:val="20"/>
                <w:color w:val="auto"/>
              </w:rPr>
            </w:pPr>
            <w:r>
              <w:rPr>
                <w:rFonts w:ascii="Arial" w:cs="Arial" w:eastAsia="Arial" w:hAnsi="Arial"/>
                <w:sz w:val="11"/>
                <w:szCs w:val="11"/>
                <w:color w:val="auto"/>
                <w:w w:val="90"/>
              </w:rPr>
              <w:t>Construction and Building</w:t>
            </w:r>
          </w:p>
        </w:tc>
        <w:tc>
          <w:tcPr>
            <w:tcW w:w="1120" w:type="dxa"/>
            <w:vAlign w:val="bottom"/>
            <w:gridSpan w:val="3"/>
          </w:tcPr>
          <w:p>
            <w:pPr>
              <w:jc w:val="right"/>
              <w:ind w:right="160"/>
              <w:spacing w:after="0"/>
              <w:rPr>
                <w:sz w:val="20"/>
                <w:szCs w:val="20"/>
                <w:color w:val="auto"/>
              </w:rPr>
            </w:pPr>
            <w:r>
              <w:rPr>
                <w:rFonts w:ascii="Arial" w:cs="Arial" w:eastAsia="Arial" w:hAnsi="Arial"/>
                <w:sz w:val="11"/>
                <w:szCs w:val="11"/>
                <w:color w:val="auto"/>
              </w:rPr>
              <w:t>7.00 %</w:t>
            </w:r>
          </w:p>
        </w:tc>
        <w:tc>
          <w:tcPr>
            <w:tcW w:w="780" w:type="dxa"/>
            <w:vAlign w:val="bottom"/>
          </w:tcPr>
          <w:p>
            <w:pPr>
              <w:jc w:val="right"/>
              <w:spacing w:after="0"/>
              <w:rPr>
                <w:sz w:val="20"/>
                <w:szCs w:val="20"/>
                <w:color w:val="auto"/>
              </w:rPr>
            </w:pPr>
            <w:r>
              <w:rPr>
                <w:rFonts w:ascii="Arial" w:cs="Arial" w:eastAsia="Arial" w:hAnsi="Arial"/>
                <w:sz w:val="11"/>
                <w:szCs w:val="11"/>
                <w:color w:val="auto"/>
              </w:rPr>
              <w:t>3M L+600</w:t>
            </w: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4,975</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4,901</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4,876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shd w:val="clear" w:color="auto" w:fill="CCECFF"/>
          </w:tcPr>
          <w:p>
            <w:pPr>
              <w:ind w:left="20"/>
              <w:spacing w:after="0"/>
              <w:rPr>
                <w:sz w:val="20"/>
                <w:szCs w:val="20"/>
                <w:color w:val="auto"/>
              </w:rPr>
            </w:pPr>
            <w:r>
              <w:rPr>
                <w:rFonts w:ascii="Arial" w:cs="Arial" w:eastAsia="Arial" w:hAnsi="Arial"/>
                <w:sz w:val="11"/>
                <w:szCs w:val="11"/>
                <w:color w:val="auto"/>
              </w:rPr>
              <w:t>PH Beauty Holdings III, Inc.</w:t>
            </w:r>
          </w:p>
        </w:tc>
        <w:tc>
          <w:tcPr>
            <w:tcW w:w="7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7"/>
              </w:rPr>
              <w:t>09/29/2025</w:t>
            </w:r>
          </w:p>
        </w:tc>
        <w:tc>
          <w:tcPr>
            <w:tcW w:w="120" w:type="dxa"/>
            <w:vAlign w:val="bottom"/>
            <w:shd w:val="clear" w:color="auto" w:fill="CCECFF"/>
          </w:tcPr>
          <w:p>
            <w:pPr>
              <w:spacing w:after="0"/>
              <w:rPr>
                <w:sz w:val="11"/>
                <w:szCs w:val="11"/>
                <w:color w:val="auto"/>
              </w:rPr>
            </w:pPr>
          </w:p>
        </w:tc>
        <w:tc>
          <w:tcPr>
            <w:tcW w:w="24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Wholesale</w:t>
            </w:r>
          </w:p>
        </w:tc>
        <w:tc>
          <w:tcPr>
            <w:tcW w:w="1120" w:type="dxa"/>
            <w:vAlign w:val="bottom"/>
            <w:gridSpan w:val="3"/>
            <w:shd w:val="clear" w:color="auto" w:fill="CCECFF"/>
          </w:tcPr>
          <w:p>
            <w:pPr>
              <w:jc w:val="right"/>
              <w:ind w:right="160"/>
              <w:spacing w:after="0"/>
              <w:rPr>
                <w:sz w:val="20"/>
                <w:szCs w:val="20"/>
                <w:color w:val="auto"/>
              </w:rPr>
            </w:pPr>
            <w:r>
              <w:rPr>
                <w:rFonts w:ascii="Arial" w:cs="Arial" w:eastAsia="Arial" w:hAnsi="Arial"/>
                <w:sz w:val="11"/>
                <w:szCs w:val="11"/>
                <w:color w:val="auto"/>
              </w:rPr>
              <w:t>5.12 %</w:t>
            </w:r>
          </w:p>
        </w:tc>
        <w:tc>
          <w:tcPr>
            <w:tcW w:w="7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L+500</w:t>
            </w:r>
          </w:p>
        </w:tc>
        <w:tc>
          <w:tcPr>
            <w:tcW w:w="8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9,693</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9,514</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9,467</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tcPr>
          <w:p>
            <w:pPr>
              <w:ind w:left="20"/>
              <w:spacing w:after="0"/>
              <w:rPr>
                <w:sz w:val="20"/>
                <w:szCs w:val="20"/>
                <w:color w:val="auto"/>
              </w:rPr>
            </w:pPr>
            <w:r>
              <w:rPr>
                <w:rFonts w:ascii="Arial" w:cs="Arial" w:eastAsia="Arial" w:hAnsi="Arial"/>
                <w:sz w:val="11"/>
                <w:szCs w:val="11"/>
                <w:color w:val="auto"/>
              </w:rPr>
              <w:t>Plant Health Intermediate, Inc.</w:t>
            </w:r>
          </w:p>
        </w:tc>
        <w:tc>
          <w:tcPr>
            <w:tcW w:w="78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10/19/2022</w:t>
            </w:r>
          </w:p>
        </w:tc>
        <w:tc>
          <w:tcPr>
            <w:tcW w:w="120" w:type="dxa"/>
            <w:vAlign w:val="bottom"/>
          </w:tcPr>
          <w:p>
            <w:pPr>
              <w:spacing w:after="0"/>
              <w:rPr>
                <w:sz w:val="11"/>
                <w:szCs w:val="11"/>
                <w:color w:val="auto"/>
              </w:rPr>
            </w:pPr>
          </w:p>
        </w:tc>
        <w:tc>
          <w:tcPr>
            <w:tcW w:w="2460" w:type="dxa"/>
            <w:vAlign w:val="bottom"/>
          </w:tcPr>
          <w:p>
            <w:pPr>
              <w:jc w:val="center"/>
              <w:spacing w:after="0"/>
              <w:rPr>
                <w:sz w:val="20"/>
                <w:szCs w:val="20"/>
                <w:color w:val="auto"/>
              </w:rPr>
            </w:pPr>
            <w:r>
              <w:rPr>
                <w:rFonts w:ascii="Arial" w:cs="Arial" w:eastAsia="Arial" w:hAnsi="Arial"/>
                <w:sz w:val="11"/>
                <w:szCs w:val="11"/>
                <w:color w:val="auto"/>
                <w:w w:val="88"/>
              </w:rPr>
              <w:t>Chemicals, Plastics and Rubber</w:t>
            </w:r>
          </w:p>
        </w:tc>
        <w:tc>
          <w:tcPr>
            <w:tcW w:w="1120" w:type="dxa"/>
            <w:vAlign w:val="bottom"/>
            <w:gridSpan w:val="3"/>
          </w:tcPr>
          <w:p>
            <w:pPr>
              <w:jc w:val="right"/>
              <w:ind w:right="160"/>
              <w:spacing w:after="0"/>
              <w:rPr>
                <w:sz w:val="20"/>
                <w:szCs w:val="20"/>
                <w:color w:val="auto"/>
              </w:rPr>
            </w:pPr>
            <w:r>
              <w:rPr>
                <w:rFonts w:ascii="Arial" w:cs="Arial" w:eastAsia="Arial" w:hAnsi="Arial"/>
                <w:sz w:val="11"/>
                <w:szCs w:val="11"/>
                <w:color w:val="auto"/>
              </w:rPr>
              <w:t>6.75 %</w:t>
            </w:r>
          </w:p>
        </w:tc>
        <w:tc>
          <w:tcPr>
            <w:tcW w:w="780" w:type="dxa"/>
            <w:vAlign w:val="bottom"/>
          </w:tcPr>
          <w:p>
            <w:pPr>
              <w:jc w:val="right"/>
              <w:spacing w:after="0"/>
              <w:rPr>
                <w:sz w:val="20"/>
                <w:szCs w:val="20"/>
                <w:color w:val="auto"/>
              </w:rPr>
            </w:pPr>
            <w:r>
              <w:rPr>
                <w:rFonts w:ascii="Arial" w:cs="Arial" w:eastAsia="Arial" w:hAnsi="Arial"/>
                <w:sz w:val="11"/>
                <w:szCs w:val="11"/>
                <w:color w:val="auto"/>
              </w:rPr>
              <w:t>3M L+575</w:t>
            </w: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1,578</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1,568</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1,578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shd w:val="clear" w:color="auto" w:fill="CCECFF"/>
          </w:tcPr>
          <w:p>
            <w:pPr>
              <w:ind w:left="20"/>
              <w:spacing w:after="0"/>
              <w:rPr>
                <w:sz w:val="20"/>
                <w:szCs w:val="20"/>
                <w:color w:val="auto"/>
              </w:rPr>
            </w:pPr>
            <w:r>
              <w:rPr>
                <w:rFonts w:ascii="Arial" w:cs="Arial" w:eastAsia="Arial" w:hAnsi="Arial"/>
                <w:sz w:val="11"/>
                <w:szCs w:val="11"/>
                <w:color w:val="auto"/>
              </w:rPr>
              <w:t>PlayPower, Inc.</w:t>
            </w:r>
          </w:p>
        </w:tc>
        <w:tc>
          <w:tcPr>
            <w:tcW w:w="7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9"/>
              </w:rPr>
              <w:t>05/8/2026</w:t>
            </w:r>
          </w:p>
        </w:tc>
        <w:tc>
          <w:tcPr>
            <w:tcW w:w="120" w:type="dxa"/>
            <w:vAlign w:val="bottom"/>
            <w:shd w:val="clear" w:color="auto" w:fill="CCECFF"/>
          </w:tcPr>
          <w:p>
            <w:pPr>
              <w:spacing w:after="0"/>
              <w:rPr>
                <w:sz w:val="11"/>
                <w:szCs w:val="11"/>
                <w:color w:val="auto"/>
              </w:rPr>
            </w:pPr>
          </w:p>
        </w:tc>
        <w:tc>
          <w:tcPr>
            <w:tcW w:w="24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Consumer Goods: Durable</w:t>
            </w:r>
          </w:p>
        </w:tc>
        <w:tc>
          <w:tcPr>
            <w:tcW w:w="1120" w:type="dxa"/>
            <w:vAlign w:val="bottom"/>
            <w:gridSpan w:val="3"/>
            <w:shd w:val="clear" w:color="auto" w:fill="CCECFF"/>
          </w:tcPr>
          <w:p>
            <w:pPr>
              <w:jc w:val="right"/>
              <w:ind w:right="160"/>
              <w:spacing w:after="0"/>
              <w:rPr>
                <w:sz w:val="20"/>
                <w:szCs w:val="20"/>
                <w:color w:val="auto"/>
              </w:rPr>
            </w:pPr>
            <w:r>
              <w:rPr>
                <w:rFonts w:ascii="Arial" w:cs="Arial" w:eastAsia="Arial" w:hAnsi="Arial"/>
                <w:sz w:val="11"/>
                <w:szCs w:val="11"/>
                <w:color w:val="auto"/>
              </w:rPr>
              <w:t>5.63 %</w:t>
            </w:r>
          </w:p>
        </w:tc>
        <w:tc>
          <w:tcPr>
            <w:tcW w:w="7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L+550</w:t>
            </w:r>
          </w:p>
        </w:tc>
        <w:tc>
          <w:tcPr>
            <w:tcW w:w="8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3,805</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3,720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3,736</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tcPr>
          <w:p>
            <w:pPr>
              <w:ind w:left="20"/>
              <w:spacing w:after="0"/>
              <w:rPr>
                <w:sz w:val="20"/>
                <w:szCs w:val="20"/>
                <w:color w:val="auto"/>
              </w:rPr>
            </w:pPr>
            <w:r>
              <w:rPr>
                <w:rFonts w:ascii="Arial" w:cs="Arial" w:eastAsia="Arial" w:hAnsi="Arial"/>
                <w:sz w:val="11"/>
                <w:szCs w:val="11"/>
                <w:color w:val="auto"/>
              </w:rPr>
              <w:t>Recteq, LLC</w:t>
            </w:r>
          </w:p>
        </w:tc>
        <w:tc>
          <w:tcPr>
            <w:tcW w:w="78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01/29/2026</w:t>
            </w:r>
          </w:p>
        </w:tc>
        <w:tc>
          <w:tcPr>
            <w:tcW w:w="120" w:type="dxa"/>
            <w:vAlign w:val="bottom"/>
          </w:tcPr>
          <w:p>
            <w:pPr>
              <w:spacing w:after="0"/>
              <w:rPr>
                <w:sz w:val="11"/>
                <w:szCs w:val="11"/>
                <w:color w:val="auto"/>
              </w:rPr>
            </w:pPr>
          </w:p>
        </w:tc>
        <w:tc>
          <w:tcPr>
            <w:tcW w:w="2460" w:type="dxa"/>
            <w:vAlign w:val="bottom"/>
          </w:tcPr>
          <w:p>
            <w:pPr>
              <w:jc w:val="center"/>
              <w:spacing w:after="0"/>
              <w:rPr>
                <w:sz w:val="20"/>
                <w:szCs w:val="20"/>
                <w:color w:val="auto"/>
              </w:rPr>
            </w:pPr>
            <w:r>
              <w:rPr>
                <w:rFonts w:ascii="Arial" w:cs="Arial" w:eastAsia="Arial" w:hAnsi="Arial"/>
                <w:sz w:val="11"/>
                <w:szCs w:val="11"/>
                <w:color w:val="auto"/>
                <w:w w:val="89"/>
              </w:rPr>
              <w:t>Leisure Products</w:t>
            </w:r>
          </w:p>
        </w:tc>
        <w:tc>
          <w:tcPr>
            <w:tcW w:w="1120" w:type="dxa"/>
            <w:vAlign w:val="bottom"/>
            <w:gridSpan w:val="3"/>
          </w:tcPr>
          <w:p>
            <w:pPr>
              <w:jc w:val="right"/>
              <w:ind w:right="160"/>
              <w:spacing w:after="0"/>
              <w:rPr>
                <w:sz w:val="20"/>
                <w:szCs w:val="20"/>
                <w:color w:val="auto"/>
              </w:rPr>
            </w:pPr>
            <w:r>
              <w:rPr>
                <w:rFonts w:ascii="Arial" w:cs="Arial" w:eastAsia="Arial" w:hAnsi="Arial"/>
                <w:sz w:val="11"/>
                <w:szCs w:val="11"/>
                <w:color w:val="auto"/>
              </w:rPr>
              <w:t>7.00 %</w:t>
            </w:r>
          </w:p>
        </w:tc>
        <w:tc>
          <w:tcPr>
            <w:tcW w:w="780" w:type="dxa"/>
            <w:vAlign w:val="bottom"/>
          </w:tcPr>
          <w:p>
            <w:pPr>
              <w:jc w:val="right"/>
              <w:spacing w:after="0"/>
              <w:rPr>
                <w:sz w:val="20"/>
                <w:szCs w:val="20"/>
                <w:color w:val="auto"/>
              </w:rPr>
            </w:pPr>
            <w:r>
              <w:rPr>
                <w:rFonts w:ascii="Arial" w:cs="Arial" w:eastAsia="Arial" w:hAnsi="Arial"/>
                <w:sz w:val="11"/>
                <w:szCs w:val="11"/>
                <w:color w:val="auto"/>
              </w:rPr>
              <w:t>3M L+600</w:t>
            </w: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4,975</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4,888</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4,925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shd w:val="clear" w:color="auto" w:fill="CCECFF"/>
          </w:tcPr>
          <w:p>
            <w:pPr>
              <w:ind w:left="20"/>
              <w:spacing w:after="0"/>
              <w:rPr>
                <w:sz w:val="20"/>
                <w:szCs w:val="20"/>
                <w:color w:val="auto"/>
              </w:rPr>
            </w:pPr>
            <w:r>
              <w:rPr>
                <w:rFonts w:ascii="Arial" w:cs="Arial" w:eastAsia="Arial" w:hAnsi="Arial"/>
                <w:sz w:val="11"/>
                <w:szCs w:val="11"/>
                <w:color w:val="auto"/>
                <w:w w:val="90"/>
              </w:rPr>
              <w:t>Research Now Group, Inc. and Survey Sampling International LLC</w:t>
            </w:r>
          </w:p>
        </w:tc>
        <w:tc>
          <w:tcPr>
            <w:tcW w:w="7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7"/>
              </w:rPr>
              <w:t>12/20/2024</w:t>
            </w:r>
          </w:p>
        </w:tc>
        <w:tc>
          <w:tcPr>
            <w:tcW w:w="120" w:type="dxa"/>
            <w:vAlign w:val="bottom"/>
            <w:shd w:val="clear" w:color="auto" w:fill="CCECFF"/>
          </w:tcPr>
          <w:p>
            <w:pPr>
              <w:spacing w:after="0"/>
              <w:rPr>
                <w:sz w:val="11"/>
                <w:szCs w:val="11"/>
                <w:color w:val="auto"/>
              </w:rPr>
            </w:pPr>
          </w:p>
        </w:tc>
        <w:tc>
          <w:tcPr>
            <w:tcW w:w="24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Diversified Consumer Services</w:t>
            </w:r>
          </w:p>
        </w:tc>
        <w:tc>
          <w:tcPr>
            <w:tcW w:w="1120" w:type="dxa"/>
            <w:vAlign w:val="bottom"/>
            <w:gridSpan w:val="3"/>
            <w:shd w:val="clear" w:color="auto" w:fill="CCECFF"/>
          </w:tcPr>
          <w:p>
            <w:pPr>
              <w:jc w:val="right"/>
              <w:ind w:right="160"/>
              <w:spacing w:after="0"/>
              <w:rPr>
                <w:sz w:val="20"/>
                <w:szCs w:val="20"/>
                <w:color w:val="auto"/>
              </w:rPr>
            </w:pPr>
            <w:r>
              <w:rPr>
                <w:rFonts w:ascii="Arial" w:cs="Arial" w:eastAsia="Arial" w:hAnsi="Arial"/>
                <w:sz w:val="11"/>
                <w:szCs w:val="11"/>
                <w:color w:val="auto"/>
              </w:rPr>
              <w:t>6.50 %</w:t>
            </w:r>
          </w:p>
        </w:tc>
        <w:tc>
          <w:tcPr>
            <w:tcW w:w="7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L+550</w:t>
            </w:r>
          </w:p>
        </w:tc>
        <w:tc>
          <w:tcPr>
            <w:tcW w:w="8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10,680</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10,592</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10,544</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tcPr>
          <w:p>
            <w:pPr>
              <w:ind w:left="20"/>
              <w:spacing w:after="0"/>
              <w:rPr>
                <w:sz w:val="20"/>
                <w:szCs w:val="20"/>
                <w:color w:val="auto"/>
              </w:rPr>
            </w:pPr>
            <w:r>
              <w:rPr>
                <w:rFonts w:ascii="Arial" w:cs="Arial" w:eastAsia="Arial" w:hAnsi="Arial"/>
                <w:sz w:val="11"/>
                <w:szCs w:val="11"/>
                <w:color w:val="auto"/>
              </w:rPr>
              <w:t>Sales Benchmark Index LLC</w:t>
            </w:r>
          </w:p>
        </w:tc>
        <w:tc>
          <w:tcPr>
            <w:tcW w:w="78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01/03/2025</w:t>
            </w:r>
          </w:p>
        </w:tc>
        <w:tc>
          <w:tcPr>
            <w:tcW w:w="120" w:type="dxa"/>
            <w:vAlign w:val="bottom"/>
          </w:tcPr>
          <w:p>
            <w:pPr>
              <w:spacing w:after="0"/>
              <w:rPr>
                <w:sz w:val="11"/>
                <w:szCs w:val="11"/>
                <w:color w:val="auto"/>
              </w:rPr>
            </w:pPr>
          </w:p>
        </w:tc>
        <w:tc>
          <w:tcPr>
            <w:tcW w:w="2460" w:type="dxa"/>
            <w:vAlign w:val="bottom"/>
          </w:tcPr>
          <w:p>
            <w:pPr>
              <w:jc w:val="center"/>
              <w:spacing w:after="0"/>
              <w:rPr>
                <w:sz w:val="20"/>
                <w:szCs w:val="20"/>
                <w:color w:val="auto"/>
              </w:rPr>
            </w:pPr>
            <w:r>
              <w:rPr>
                <w:rFonts w:ascii="Arial" w:cs="Arial" w:eastAsia="Arial" w:hAnsi="Arial"/>
                <w:sz w:val="11"/>
                <w:szCs w:val="11"/>
                <w:color w:val="auto"/>
                <w:w w:val="88"/>
              </w:rPr>
              <w:t>Professional Services</w:t>
            </w:r>
          </w:p>
        </w:tc>
        <w:tc>
          <w:tcPr>
            <w:tcW w:w="1120" w:type="dxa"/>
            <w:vAlign w:val="bottom"/>
            <w:gridSpan w:val="3"/>
          </w:tcPr>
          <w:p>
            <w:pPr>
              <w:jc w:val="right"/>
              <w:ind w:right="160"/>
              <w:spacing w:after="0"/>
              <w:rPr>
                <w:sz w:val="20"/>
                <w:szCs w:val="20"/>
                <w:color w:val="auto"/>
              </w:rPr>
            </w:pPr>
            <w:r>
              <w:rPr>
                <w:rFonts w:ascii="Arial" w:cs="Arial" w:eastAsia="Arial" w:hAnsi="Arial"/>
                <w:sz w:val="11"/>
                <w:szCs w:val="11"/>
                <w:color w:val="auto"/>
              </w:rPr>
              <w:t>7.75 %</w:t>
            </w:r>
          </w:p>
        </w:tc>
        <w:tc>
          <w:tcPr>
            <w:tcW w:w="780" w:type="dxa"/>
            <w:vAlign w:val="bottom"/>
          </w:tcPr>
          <w:p>
            <w:pPr>
              <w:jc w:val="right"/>
              <w:spacing w:after="0"/>
              <w:rPr>
                <w:sz w:val="20"/>
                <w:szCs w:val="20"/>
                <w:color w:val="auto"/>
              </w:rPr>
            </w:pPr>
            <w:r>
              <w:rPr>
                <w:rFonts w:ascii="Arial" w:cs="Arial" w:eastAsia="Arial" w:hAnsi="Arial"/>
                <w:sz w:val="11"/>
                <w:szCs w:val="11"/>
                <w:color w:val="auto"/>
              </w:rPr>
              <w:t>3M L+600</w:t>
            </w: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5,578</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5,496</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5,439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shd w:val="clear" w:color="auto" w:fill="CCECFF"/>
          </w:tcPr>
          <w:p>
            <w:pPr>
              <w:ind w:left="20"/>
              <w:spacing w:after="0"/>
              <w:rPr>
                <w:sz w:val="20"/>
                <w:szCs w:val="20"/>
                <w:color w:val="auto"/>
              </w:rPr>
            </w:pPr>
            <w:r>
              <w:rPr>
                <w:rFonts w:ascii="Arial" w:cs="Arial" w:eastAsia="Arial" w:hAnsi="Arial"/>
                <w:sz w:val="11"/>
                <w:szCs w:val="11"/>
                <w:color w:val="auto"/>
              </w:rPr>
              <w:t>Sargent &amp; Greenleaf Inc.</w:t>
            </w:r>
          </w:p>
        </w:tc>
        <w:tc>
          <w:tcPr>
            <w:tcW w:w="7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7"/>
              </w:rPr>
              <w:t>12/20/2024</w:t>
            </w:r>
          </w:p>
        </w:tc>
        <w:tc>
          <w:tcPr>
            <w:tcW w:w="120" w:type="dxa"/>
            <w:vAlign w:val="bottom"/>
            <w:shd w:val="clear" w:color="auto" w:fill="CCECFF"/>
          </w:tcPr>
          <w:p>
            <w:pPr>
              <w:spacing w:after="0"/>
              <w:rPr>
                <w:sz w:val="11"/>
                <w:szCs w:val="11"/>
                <w:color w:val="auto"/>
              </w:rPr>
            </w:pPr>
          </w:p>
        </w:tc>
        <w:tc>
          <w:tcPr>
            <w:tcW w:w="24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Wholesale</w:t>
            </w:r>
          </w:p>
        </w:tc>
        <w:tc>
          <w:tcPr>
            <w:tcW w:w="1120" w:type="dxa"/>
            <w:vAlign w:val="bottom"/>
            <w:gridSpan w:val="3"/>
            <w:shd w:val="clear" w:color="auto" w:fill="CCECFF"/>
          </w:tcPr>
          <w:p>
            <w:pPr>
              <w:jc w:val="right"/>
              <w:ind w:right="160"/>
              <w:spacing w:after="0"/>
              <w:rPr>
                <w:sz w:val="20"/>
                <w:szCs w:val="20"/>
                <w:color w:val="auto"/>
              </w:rPr>
            </w:pPr>
            <w:r>
              <w:rPr>
                <w:rFonts w:ascii="Arial" w:cs="Arial" w:eastAsia="Arial" w:hAnsi="Arial"/>
                <w:sz w:val="11"/>
                <w:szCs w:val="11"/>
                <w:color w:val="auto"/>
              </w:rPr>
              <w:t>7.00 %</w:t>
            </w:r>
          </w:p>
        </w:tc>
        <w:tc>
          <w:tcPr>
            <w:tcW w:w="7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L+550</w:t>
            </w:r>
          </w:p>
        </w:tc>
        <w:tc>
          <w:tcPr>
            <w:tcW w:w="8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5,550</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5,493</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5,550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tcPr>
          <w:p>
            <w:pPr>
              <w:ind w:left="20"/>
              <w:spacing w:after="0"/>
              <w:rPr>
                <w:sz w:val="20"/>
                <w:szCs w:val="20"/>
                <w:color w:val="auto"/>
              </w:rPr>
            </w:pPr>
            <w:r>
              <w:rPr>
                <w:rFonts w:ascii="Arial" w:cs="Arial" w:eastAsia="Arial" w:hAnsi="Arial"/>
                <w:sz w:val="11"/>
                <w:szCs w:val="11"/>
                <w:color w:val="auto"/>
              </w:rPr>
              <w:t>Schlesinger Global, Inc.</w:t>
            </w:r>
          </w:p>
        </w:tc>
        <w:tc>
          <w:tcPr>
            <w:tcW w:w="78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07/14/2025</w:t>
            </w:r>
          </w:p>
        </w:tc>
        <w:tc>
          <w:tcPr>
            <w:tcW w:w="120" w:type="dxa"/>
            <w:vAlign w:val="bottom"/>
          </w:tcPr>
          <w:p>
            <w:pPr>
              <w:spacing w:after="0"/>
              <w:rPr>
                <w:sz w:val="11"/>
                <w:szCs w:val="11"/>
                <w:color w:val="auto"/>
              </w:rPr>
            </w:pPr>
          </w:p>
        </w:tc>
        <w:tc>
          <w:tcPr>
            <w:tcW w:w="2460" w:type="dxa"/>
            <w:vAlign w:val="bottom"/>
          </w:tcPr>
          <w:p>
            <w:pPr>
              <w:jc w:val="center"/>
              <w:spacing w:after="0"/>
              <w:rPr>
                <w:sz w:val="20"/>
                <w:szCs w:val="20"/>
                <w:color w:val="auto"/>
              </w:rPr>
            </w:pPr>
            <w:r>
              <w:rPr>
                <w:rFonts w:ascii="Arial" w:cs="Arial" w:eastAsia="Arial" w:hAnsi="Arial"/>
                <w:sz w:val="11"/>
                <w:szCs w:val="11"/>
                <w:color w:val="auto"/>
                <w:w w:val="86"/>
              </w:rPr>
              <w:t>Business Services</w:t>
            </w:r>
          </w:p>
        </w:tc>
        <w:tc>
          <w:tcPr>
            <w:tcW w:w="1120" w:type="dxa"/>
            <w:vAlign w:val="bottom"/>
            <w:gridSpan w:val="3"/>
          </w:tcPr>
          <w:p>
            <w:pPr>
              <w:jc w:val="right"/>
              <w:ind w:right="160"/>
              <w:spacing w:after="0"/>
              <w:rPr>
                <w:sz w:val="20"/>
                <w:szCs w:val="20"/>
                <w:color w:val="auto"/>
              </w:rPr>
            </w:pPr>
            <w:r>
              <w:rPr>
                <w:rFonts w:ascii="Arial" w:cs="Arial" w:eastAsia="Arial" w:hAnsi="Arial"/>
                <w:sz w:val="11"/>
                <w:szCs w:val="11"/>
                <w:color w:val="auto"/>
              </w:rPr>
              <w:t>8.00 %</w:t>
            </w:r>
          </w:p>
        </w:tc>
        <w:tc>
          <w:tcPr>
            <w:tcW w:w="780" w:type="dxa"/>
            <w:vAlign w:val="bottom"/>
          </w:tcPr>
          <w:p>
            <w:pPr>
              <w:jc w:val="right"/>
              <w:spacing w:after="0"/>
              <w:rPr>
                <w:sz w:val="20"/>
                <w:szCs w:val="20"/>
                <w:color w:val="auto"/>
              </w:rPr>
            </w:pPr>
            <w:r>
              <w:rPr>
                <w:rFonts w:ascii="Arial" w:cs="Arial" w:eastAsia="Arial" w:hAnsi="Arial"/>
                <w:sz w:val="11"/>
                <w:szCs w:val="11"/>
                <w:color w:val="auto"/>
              </w:rPr>
              <w:t>3M L+700</w:t>
            </w: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11,785</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11,760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11,254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shd w:val="clear" w:color="auto" w:fill="CCECFF"/>
          </w:tcPr>
          <w:p>
            <w:pPr>
              <w:ind w:left="20"/>
              <w:spacing w:after="0"/>
              <w:rPr>
                <w:sz w:val="20"/>
                <w:szCs w:val="20"/>
                <w:color w:val="auto"/>
              </w:rPr>
            </w:pPr>
            <w:r>
              <w:rPr>
                <w:rFonts w:ascii="Arial" w:cs="Arial" w:eastAsia="Arial" w:hAnsi="Arial"/>
                <w:sz w:val="11"/>
                <w:szCs w:val="11"/>
                <w:color w:val="auto"/>
              </w:rPr>
              <w:t>Smile Brands Inc.</w:t>
            </w:r>
          </w:p>
        </w:tc>
        <w:tc>
          <w:tcPr>
            <w:tcW w:w="7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7"/>
              </w:rPr>
              <w:t>10/14/2024</w:t>
            </w:r>
          </w:p>
        </w:tc>
        <w:tc>
          <w:tcPr>
            <w:tcW w:w="120" w:type="dxa"/>
            <w:vAlign w:val="bottom"/>
            <w:shd w:val="clear" w:color="auto" w:fill="CCECFF"/>
          </w:tcPr>
          <w:p>
            <w:pPr>
              <w:spacing w:after="0"/>
              <w:rPr>
                <w:sz w:val="11"/>
                <w:szCs w:val="11"/>
                <w:color w:val="auto"/>
              </w:rPr>
            </w:pPr>
          </w:p>
        </w:tc>
        <w:tc>
          <w:tcPr>
            <w:tcW w:w="24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Healthcare and Pharmaceuticals</w:t>
            </w:r>
          </w:p>
        </w:tc>
        <w:tc>
          <w:tcPr>
            <w:tcW w:w="1120" w:type="dxa"/>
            <w:vAlign w:val="bottom"/>
            <w:gridSpan w:val="3"/>
            <w:shd w:val="clear" w:color="auto" w:fill="CCECFF"/>
          </w:tcPr>
          <w:p>
            <w:pPr>
              <w:jc w:val="right"/>
              <w:ind w:right="160"/>
              <w:spacing w:after="0"/>
              <w:rPr>
                <w:sz w:val="20"/>
                <w:szCs w:val="20"/>
                <w:color w:val="auto"/>
              </w:rPr>
            </w:pPr>
            <w:r>
              <w:rPr>
                <w:rFonts w:ascii="Arial" w:cs="Arial" w:eastAsia="Arial" w:hAnsi="Arial"/>
                <w:sz w:val="11"/>
                <w:szCs w:val="11"/>
                <w:color w:val="auto"/>
              </w:rPr>
              <w:t>5.32 %</w:t>
            </w:r>
          </w:p>
        </w:tc>
        <w:tc>
          <w:tcPr>
            <w:tcW w:w="7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L+450</w:t>
            </w:r>
          </w:p>
        </w:tc>
        <w:tc>
          <w:tcPr>
            <w:tcW w:w="8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12,576</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12,459</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12,451</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tcPr>
          <w:p>
            <w:pPr>
              <w:ind w:left="20"/>
              <w:spacing w:after="0"/>
              <w:rPr>
                <w:sz w:val="20"/>
                <w:szCs w:val="20"/>
                <w:color w:val="auto"/>
              </w:rPr>
            </w:pPr>
            <w:r>
              <w:rPr>
                <w:rFonts w:ascii="Arial" w:cs="Arial" w:eastAsia="Arial" w:hAnsi="Arial"/>
                <w:sz w:val="11"/>
                <w:szCs w:val="11"/>
                <w:color w:val="auto"/>
              </w:rPr>
              <w:t>Snak Club, LLC</w:t>
            </w:r>
          </w:p>
        </w:tc>
        <w:tc>
          <w:tcPr>
            <w:tcW w:w="78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07/19/2022</w:t>
            </w:r>
          </w:p>
        </w:tc>
        <w:tc>
          <w:tcPr>
            <w:tcW w:w="120" w:type="dxa"/>
            <w:vAlign w:val="bottom"/>
          </w:tcPr>
          <w:p>
            <w:pPr>
              <w:spacing w:after="0"/>
              <w:rPr>
                <w:sz w:val="11"/>
                <w:szCs w:val="11"/>
                <w:color w:val="auto"/>
              </w:rPr>
            </w:pPr>
          </w:p>
        </w:tc>
        <w:tc>
          <w:tcPr>
            <w:tcW w:w="2460" w:type="dxa"/>
            <w:vAlign w:val="bottom"/>
          </w:tcPr>
          <w:p>
            <w:pPr>
              <w:jc w:val="center"/>
              <w:spacing w:after="0"/>
              <w:rPr>
                <w:sz w:val="20"/>
                <w:szCs w:val="20"/>
                <w:color w:val="auto"/>
              </w:rPr>
            </w:pPr>
            <w:r>
              <w:rPr>
                <w:rFonts w:ascii="Arial" w:cs="Arial" w:eastAsia="Arial" w:hAnsi="Arial"/>
                <w:sz w:val="11"/>
                <w:szCs w:val="11"/>
                <w:color w:val="auto"/>
                <w:w w:val="86"/>
              </w:rPr>
              <w:t>Beverage, Food and Tobacco</w:t>
            </w:r>
          </w:p>
        </w:tc>
        <w:tc>
          <w:tcPr>
            <w:tcW w:w="1120" w:type="dxa"/>
            <w:vAlign w:val="bottom"/>
            <w:gridSpan w:val="3"/>
          </w:tcPr>
          <w:p>
            <w:pPr>
              <w:jc w:val="right"/>
              <w:ind w:right="160"/>
              <w:spacing w:after="0"/>
              <w:rPr>
                <w:sz w:val="20"/>
                <w:szCs w:val="20"/>
                <w:color w:val="auto"/>
              </w:rPr>
            </w:pPr>
            <w:r>
              <w:rPr>
                <w:rFonts w:ascii="Arial" w:cs="Arial" w:eastAsia="Arial" w:hAnsi="Arial"/>
                <w:sz w:val="11"/>
                <w:szCs w:val="11"/>
                <w:color w:val="auto"/>
              </w:rPr>
              <w:t>7.00 %</w:t>
            </w:r>
          </w:p>
        </w:tc>
        <w:tc>
          <w:tcPr>
            <w:tcW w:w="780" w:type="dxa"/>
            <w:vAlign w:val="bottom"/>
          </w:tcPr>
          <w:p>
            <w:pPr>
              <w:jc w:val="right"/>
              <w:spacing w:after="0"/>
              <w:rPr>
                <w:sz w:val="20"/>
                <w:szCs w:val="20"/>
                <w:color w:val="auto"/>
              </w:rPr>
            </w:pPr>
            <w:r>
              <w:rPr>
                <w:rFonts w:ascii="Arial" w:cs="Arial" w:eastAsia="Arial" w:hAnsi="Arial"/>
                <w:sz w:val="11"/>
                <w:szCs w:val="11"/>
                <w:color w:val="auto"/>
              </w:rPr>
              <w:t>1M L+600</w:t>
            </w: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4,388</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4,362</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4,388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shd w:val="clear" w:color="auto" w:fill="CCECFF"/>
          </w:tcPr>
          <w:p>
            <w:pPr>
              <w:ind w:left="20"/>
              <w:spacing w:after="0"/>
              <w:rPr>
                <w:sz w:val="20"/>
                <w:szCs w:val="20"/>
                <w:color w:val="auto"/>
              </w:rPr>
            </w:pPr>
            <w:r>
              <w:rPr>
                <w:rFonts w:ascii="Arial" w:cs="Arial" w:eastAsia="Arial" w:hAnsi="Arial"/>
                <w:sz w:val="11"/>
                <w:szCs w:val="11"/>
                <w:color w:val="auto"/>
              </w:rPr>
              <w:t>Solutionreach, Inc.</w:t>
            </w:r>
          </w:p>
        </w:tc>
        <w:tc>
          <w:tcPr>
            <w:tcW w:w="7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7"/>
              </w:rPr>
              <w:t>01/17/2024</w:t>
            </w:r>
          </w:p>
        </w:tc>
        <w:tc>
          <w:tcPr>
            <w:tcW w:w="120" w:type="dxa"/>
            <w:vAlign w:val="bottom"/>
            <w:shd w:val="clear" w:color="auto" w:fill="CCECFF"/>
          </w:tcPr>
          <w:p>
            <w:pPr>
              <w:spacing w:after="0"/>
              <w:rPr>
                <w:sz w:val="11"/>
                <w:szCs w:val="11"/>
                <w:color w:val="auto"/>
              </w:rPr>
            </w:pPr>
          </w:p>
        </w:tc>
        <w:tc>
          <w:tcPr>
            <w:tcW w:w="24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Healthcare and Pharmaceuticals</w:t>
            </w:r>
          </w:p>
        </w:tc>
        <w:tc>
          <w:tcPr>
            <w:tcW w:w="1120" w:type="dxa"/>
            <w:vAlign w:val="bottom"/>
            <w:gridSpan w:val="3"/>
            <w:shd w:val="clear" w:color="auto" w:fill="CCECFF"/>
          </w:tcPr>
          <w:p>
            <w:pPr>
              <w:jc w:val="right"/>
              <w:ind w:right="160"/>
              <w:spacing w:after="0"/>
              <w:rPr>
                <w:sz w:val="20"/>
                <w:szCs w:val="20"/>
                <w:color w:val="auto"/>
              </w:rPr>
            </w:pPr>
            <w:r>
              <w:rPr>
                <w:rFonts w:ascii="Arial" w:cs="Arial" w:eastAsia="Arial" w:hAnsi="Arial"/>
                <w:sz w:val="11"/>
                <w:szCs w:val="11"/>
                <w:color w:val="auto"/>
              </w:rPr>
              <w:t>6.75 %</w:t>
            </w:r>
          </w:p>
        </w:tc>
        <w:tc>
          <w:tcPr>
            <w:tcW w:w="7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L+575</w:t>
            </w:r>
          </w:p>
        </w:tc>
        <w:tc>
          <w:tcPr>
            <w:tcW w:w="8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5,892</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5,854</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5,892</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-2296795</wp:posOffset>
            </wp:positionV>
            <wp:extent cx="7132320" cy="8572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-2039620</wp:posOffset>
            </wp:positionV>
            <wp:extent cx="7132320" cy="15430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1714500"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171450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126"/>
        </w:trPr>
        <w:tc>
          <w:tcPr>
            <w:tcW w:w="2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jc w:val="center"/>
              <w:spacing w:after="0"/>
              <w:rPr>
                <w:sz w:val="20"/>
                <w:szCs w:val="20"/>
                <w:color w:val="auto"/>
              </w:rPr>
            </w:pPr>
            <w:r>
              <w:rPr>
                <w:rFonts w:ascii="Arial" w:cs="Arial" w:eastAsia="Arial" w:hAnsi="Arial"/>
                <w:sz w:val="11"/>
                <w:szCs w:val="11"/>
                <w:b w:val="1"/>
                <w:bCs w:val="1"/>
                <w:color w:val="auto"/>
                <w:w w:val="83"/>
              </w:rPr>
              <w:t>Basis Point</w:t>
            </w: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gridSpan w:val="2"/>
            <w:vMerge w:val="restart"/>
          </w:tcPr>
          <w:p>
            <w:pPr>
              <w:jc w:val="right"/>
              <w:ind w:right="306"/>
              <w:spacing w:after="0"/>
              <w:rPr>
                <w:sz w:val="20"/>
                <w:szCs w:val="20"/>
                <w:color w:val="auto"/>
              </w:rPr>
            </w:pPr>
            <w:r>
              <w:rPr>
                <w:rFonts w:ascii="Arial" w:cs="Arial" w:eastAsia="Arial" w:hAnsi="Arial"/>
                <w:sz w:val="11"/>
                <w:szCs w:val="11"/>
                <w:b w:val="1"/>
                <w:bCs w:val="1"/>
                <w:color w:val="auto"/>
              </w:rPr>
              <w:t>Current</w:t>
            </w:r>
          </w:p>
        </w:tc>
        <w:tc>
          <w:tcPr>
            <w:tcW w:w="94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85"/>
              </w:rPr>
              <w:t>Spread</w:t>
            </w:r>
          </w:p>
        </w:tc>
        <w:tc>
          <w:tcPr>
            <w:tcW w:w="220" w:type="dxa"/>
            <w:vAlign w:val="bottom"/>
          </w:tcPr>
          <w:p>
            <w:pPr>
              <w:spacing w:after="0"/>
              <w:rPr>
                <w:sz w:val="9"/>
                <w:szCs w:val="9"/>
                <w:color w:val="auto"/>
              </w:rPr>
            </w:pPr>
          </w:p>
        </w:tc>
        <w:tc>
          <w:tcPr>
            <w:tcW w:w="1100" w:type="dxa"/>
            <w:vAlign w:val="bottom"/>
            <w:gridSpan w:val="3"/>
            <w:vMerge w:val="restart"/>
          </w:tcPr>
          <w:p>
            <w:pPr>
              <w:jc w:val="center"/>
              <w:ind w:right="311"/>
              <w:spacing w:after="0"/>
              <w:rPr>
                <w:sz w:val="20"/>
                <w:szCs w:val="20"/>
                <w:color w:val="auto"/>
              </w:rPr>
            </w:pPr>
            <w:r>
              <w:rPr>
                <w:rFonts w:ascii="Arial" w:cs="Arial" w:eastAsia="Arial" w:hAnsi="Arial"/>
                <w:sz w:val="11"/>
                <w:szCs w:val="11"/>
                <w:b w:val="1"/>
                <w:bCs w:val="1"/>
                <w:color w:val="auto"/>
                <w:w w:val="92"/>
              </w:rPr>
              <w:t>Par /</w:t>
            </w: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90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Issuer Name</w:t>
            </w:r>
          </w:p>
        </w:tc>
        <w:tc>
          <w:tcPr>
            <w:tcW w:w="140" w:type="dxa"/>
            <w:vAlign w:val="bottom"/>
          </w:tcPr>
          <w:p>
            <w:pPr>
              <w:spacing w:after="0"/>
              <w:rPr>
                <w:sz w:val="9"/>
                <w:szCs w:val="9"/>
                <w:color w:val="auto"/>
              </w:rPr>
            </w:pPr>
          </w:p>
        </w:tc>
        <w:tc>
          <w:tcPr>
            <w:tcW w:w="70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8"/>
              </w:rPr>
              <w:t>Maturity</w:t>
            </w:r>
          </w:p>
        </w:tc>
        <w:tc>
          <w:tcPr>
            <w:tcW w:w="260" w:type="dxa"/>
            <w:vAlign w:val="bottom"/>
          </w:tcPr>
          <w:p>
            <w:pPr>
              <w:spacing w:after="0"/>
              <w:rPr>
                <w:sz w:val="9"/>
                <w:szCs w:val="9"/>
                <w:color w:val="auto"/>
              </w:rPr>
            </w:pPr>
          </w:p>
        </w:tc>
        <w:tc>
          <w:tcPr>
            <w:tcW w:w="238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2"/>
              </w:rPr>
              <w:t>Industry</w:t>
            </w:r>
          </w:p>
        </w:tc>
        <w:tc>
          <w:tcPr>
            <w:tcW w:w="14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94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83"/>
              </w:rPr>
              <w:t>Above</w:t>
            </w:r>
          </w:p>
        </w:tc>
        <w:tc>
          <w:tcPr>
            <w:tcW w:w="220" w:type="dxa"/>
            <w:vAlign w:val="bottom"/>
          </w:tcPr>
          <w:p>
            <w:pPr>
              <w:spacing w:after="0"/>
              <w:rPr>
                <w:sz w:val="9"/>
                <w:szCs w:val="9"/>
                <w:color w:val="auto"/>
              </w:rPr>
            </w:pPr>
          </w:p>
        </w:tc>
        <w:tc>
          <w:tcPr>
            <w:tcW w:w="1100" w:type="dxa"/>
            <w:vAlign w:val="bottom"/>
            <w:gridSpan w:val="3"/>
            <w:vMerge w:val="continue"/>
          </w:tcPr>
          <w:p>
            <w:pPr>
              <w:spacing w:after="0"/>
              <w:rPr>
                <w:sz w:val="9"/>
                <w:szCs w:val="9"/>
                <w:color w:val="auto"/>
              </w:rPr>
            </w:pPr>
          </w:p>
        </w:tc>
        <w:tc>
          <w:tcPr>
            <w:tcW w:w="560" w:type="dxa"/>
            <w:vAlign w:val="bottom"/>
            <w:vMerge w:val="restart"/>
          </w:tcPr>
          <w:p>
            <w:pPr>
              <w:jc w:val="right"/>
              <w:ind w:right="206"/>
              <w:spacing w:after="0"/>
              <w:rPr>
                <w:sz w:val="20"/>
                <w:szCs w:val="20"/>
                <w:color w:val="auto"/>
              </w:rPr>
            </w:pPr>
            <w:r>
              <w:rPr>
                <w:rFonts w:ascii="Arial" w:cs="Arial" w:eastAsia="Arial" w:hAnsi="Arial"/>
                <w:sz w:val="11"/>
                <w:szCs w:val="11"/>
                <w:b w:val="1"/>
                <w:bCs w:val="1"/>
                <w:color w:val="auto"/>
              </w:rPr>
              <w:t>Cost</w:t>
            </w:r>
          </w:p>
        </w:tc>
        <w:tc>
          <w:tcPr>
            <w:tcW w:w="220" w:type="dxa"/>
            <w:vAlign w:val="bottom"/>
          </w:tcPr>
          <w:p>
            <w:pPr>
              <w:spacing w:after="0"/>
              <w:rPr>
                <w:sz w:val="9"/>
                <w:szCs w:val="9"/>
                <w:color w:val="auto"/>
              </w:rPr>
            </w:pPr>
          </w:p>
        </w:tc>
        <w:tc>
          <w:tcPr>
            <w:tcW w:w="800" w:type="dxa"/>
            <w:vAlign w:val="bottom"/>
            <w:gridSpan w:val="3"/>
            <w:vMerge w:val="restart"/>
          </w:tcPr>
          <w:p>
            <w:pPr>
              <w:jc w:val="right"/>
              <w:ind w:right="122"/>
              <w:spacing w:after="0"/>
              <w:rPr>
                <w:sz w:val="20"/>
                <w:szCs w:val="20"/>
                <w:color w:val="auto"/>
              </w:rPr>
            </w:pPr>
            <w:r>
              <w:rPr>
                <w:rFonts w:ascii="Arial" w:cs="Arial" w:eastAsia="Arial" w:hAnsi="Arial"/>
                <w:sz w:val="11"/>
                <w:szCs w:val="11"/>
                <w:b w:val="1"/>
                <w:bCs w:val="1"/>
                <w:color w:val="auto"/>
                <w:w w:val="92"/>
              </w:rPr>
              <w:t xml:space="preserve">Fair Value </w:t>
            </w:r>
            <w:r>
              <w:rPr>
                <w:rFonts w:ascii="Arial" w:cs="Arial" w:eastAsia="Arial" w:hAnsi="Arial"/>
                <w:sz w:val="14"/>
                <w:szCs w:val="14"/>
                <w:b w:val="1"/>
                <w:bCs w:val="1"/>
                <w:color w:val="auto"/>
                <w:w w:val="92"/>
                <w:vertAlign w:val="superscript"/>
              </w:rPr>
              <w:t>(2)</w:t>
            </w:r>
          </w:p>
        </w:tc>
        <w:tc>
          <w:tcPr>
            <w:tcW w:w="0" w:type="dxa"/>
            <w:vAlign w:val="bottom"/>
          </w:tcPr>
          <w:p>
            <w:pPr>
              <w:spacing w:after="0"/>
              <w:rPr>
                <w:sz w:val="1"/>
                <w:szCs w:val="1"/>
                <w:color w:val="auto"/>
              </w:rPr>
            </w:pPr>
          </w:p>
        </w:tc>
      </w:tr>
      <w:tr>
        <w:trPr>
          <w:trHeight w:val="148"/>
        </w:trPr>
        <w:tc>
          <w:tcPr>
            <w:tcW w:w="29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23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306"/>
              <w:spacing w:after="0"/>
              <w:rPr>
                <w:sz w:val="20"/>
                <w:szCs w:val="20"/>
                <w:color w:val="auto"/>
              </w:rPr>
            </w:pPr>
            <w:r>
              <w:rPr>
                <w:rFonts w:ascii="Arial" w:cs="Arial" w:eastAsia="Arial" w:hAnsi="Arial"/>
                <w:sz w:val="11"/>
                <w:szCs w:val="11"/>
                <w:b w:val="1"/>
                <w:bCs w:val="1"/>
                <w:color w:val="auto"/>
              </w:rPr>
              <w:t>Coupon</w:t>
            </w:r>
          </w:p>
        </w:tc>
        <w:tc>
          <w:tcPr>
            <w:tcW w:w="940" w:type="dxa"/>
            <w:vAlign w:val="bottom"/>
          </w:tcPr>
          <w:p>
            <w:pPr>
              <w:jc w:val="center"/>
              <w:spacing w:after="0" w:line="149" w:lineRule="exact"/>
              <w:rPr>
                <w:sz w:val="20"/>
                <w:szCs w:val="20"/>
                <w:color w:val="auto"/>
              </w:rPr>
            </w:pPr>
            <w:r>
              <w:rPr>
                <w:rFonts w:ascii="Arial" w:cs="Arial" w:eastAsia="Arial" w:hAnsi="Arial"/>
                <w:sz w:val="11"/>
                <w:szCs w:val="11"/>
                <w:b w:val="1"/>
                <w:bCs w:val="1"/>
                <w:color w:val="auto"/>
                <w:w w:val="87"/>
              </w:rPr>
              <w:t xml:space="preserve">Index </w:t>
            </w:r>
            <w:r>
              <w:rPr>
                <w:rFonts w:ascii="Arial" w:cs="Arial" w:eastAsia="Arial" w:hAnsi="Arial"/>
                <w:sz w:val="14"/>
                <w:szCs w:val="14"/>
                <w:b w:val="1"/>
                <w:bCs w:val="1"/>
                <w:color w:val="auto"/>
                <w:w w:val="87"/>
                <w:vertAlign w:val="superscript"/>
              </w:rPr>
              <w:t>(1)</w:t>
            </w:r>
          </w:p>
        </w:tc>
        <w:tc>
          <w:tcPr>
            <w:tcW w:w="220" w:type="dxa"/>
            <w:vAlign w:val="bottom"/>
          </w:tcPr>
          <w:p>
            <w:pPr>
              <w:spacing w:after="0"/>
              <w:rPr>
                <w:sz w:val="12"/>
                <w:szCs w:val="12"/>
                <w:color w:val="auto"/>
              </w:rPr>
            </w:pPr>
          </w:p>
        </w:tc>
        <w:tc>
          <w:tcPr>
            <w:tcW w:w="1100" w:type="dxa"/>
            <w:vAlign w:val="bottom"/>
            <w:gridSpan w:val="3"/>
          </w:tcPr>
          <w:p>
            <w:pPr>
              <w:jc w:val="center"/>
              <w:ind w:right="291"/>
              <w:spacing w:after="0"/>
              <w:rPr>
                <w:sz w:val="20"/>
                <w:szCs w:val="20"/>
                <w:color w:val="auto"/>
              </w:rPr>
            </w:pPr>
            <w:r>
              <w:rPr>
                <w:rFonts w:ascii="Arial" w:cs="Arial" w:eastAsia="Arial" w:hAnsi="Arial"/>
                <w:sz w:val="11"/>
                <w:szCs w:val="11"/>
                <w:b w:val="1"/>
                <w:bCs w:val="1"/>
                <w:color w:val="auto"/>
                <w:w w:val="87"/>
              </w:rPr>
              <w:t>Shares</w:t>
            </w:r>
          </w:p>
        </w:tc>
        <w:tc>
          <w:tcPr>
            <w:tcW w:w="5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900" w:type="dxa"/>
            <w:vAlign w:val="bottom"/>
            <w:tcBorders>
              <w:top w:val="single" w:sz="8" w:color="auto"/>
            </w:tcBorders>
            <w:shd w:val="clear" w:color="auto" w:fill="CCECFF"/>
          </w:tcPr>
          <w:p>
            <w:pPr>
              <w:ind w:left="20"/>
              <w:spacing w:after="0"/>
              <w:rPr>
                <w:sz w:val="20"/>
                <w:szCs w:val="20"/>
                <w:color w:val="auto"/>
              </w:rPr>
            </w:pPr>
            <w:r>
              <w:rPr>
                <w:rFonts w:ascii="Arial" w:cs="Arial" w:eastAsia="Arial" w:hAnsi="Arial"/>
                <w:sz w:val="11"/>
                <w:szCs w:val="11"/>
                <w:color w:val="auto"/>
              </w:rPr>
              <w:t>Spectacle Gary Holdings, LLC</w:t>
            </w:r>
          </w:p>
        </w:tc>
        <w:tc>
          <w:tcPr>
            <w:tcW w:w="140" w:type="dxa"/>
            <w:vAlign w:val="bottom"/>
            <w:shd w:val="clear" w:color="auto" w:fill="CCECFF"/>
          </w:tcPr>
          <w:p>
            <w:pPr>
              <w:spacing w:after="0"/>
              <w:rPr>
                <w:sz w:val="11"/>
                <w:szCs w:val="11"/>
                <w:color w:val="auto"/>
              </w:rPr>
            </w:pPr>
          </w:p>
        </w:tc>
        <w:tc>
          <w:tcPr>
            <w:tcW w:w="700" w:type="dxa"/>
            <w:vAlign w:val="bottom"/>
            <w:tcBorders>
              <w:top w:val="single" w:sz="8" w:color="auto"/>
            </w:tcBorders>
            <w:shd w:val="clear" w:color="auto" w:fill="CCECFF"/>
          </w:tcPr>
          <w:p>
            <w:pPr>
              <w:jc w:val="center"/>
              <w:spacing w:after="0"/>
              <w:rPr>
                <w:sz w:val="20"/>
                <w:szCs w:val="20"/>
                <w:color w:val="auto"/>
              </w:rPr>
            </w:pPr>
            <w:r>
              <w:rPr>
                <w:rFonts w:ascii="Arial" w:cs="Arial" w:eastAsia="Arial" w:hAnsi="Arial"/>
                <w:sz w:val="11"/>
                <w:szCs w:val="11"/>
                <w:color w:val="auto"/>
                <w:w w:val="87"/>
              </w:rPr>
              <w:t>12/23/2025</w:t>
            </w:r>
          </w:p>
        </w:tc>
        <w:tc>
          <w:tcPr>
            <w:tcW w:w="260" w:type="dxa"/>
            <w:vAlign w:val="bottom"/>
            <w:shd w:val="clear" w:color="auto" w:fill="CCECFF"/>
          </w:tcPr>
          <w:p>
            <w:pPr>
              <w:spacing w:after="0"/>
              <w:rPr>
                <w:sz w:val="11"/>
                <w:szCs w:val="11"/>
                <w:color w:val="auto"/>
              </w:rPr>
            </w:pPr>
          </w:p>
        </w:tc>
        <w:tc>
          <w:tcPr>
            <w:tcW w:w="2380" w:type="dxa"/>
            <w:vAlign w:val="bottom"/>
            <w:tcBorders>
              <w:top w:val="single" w:sz="8" w:color="auto"/>
            </w:tcBorders>
            <w:shd w:val="clear" w:color="auto" w:fill="CCECFF"/>
          </w:tcPr>
          <w:p>
            <w:pPr>
              <w:jc w:val="center"/>
              <w:spacing w:after="0"/>
              <w:rPr>
                <w:sz w:val="20"/>
                <w:szCs w:val="20"/>
                <w:color w:val="auto"/>
              </w:rPr>
            </w:pPr>
            <w:r>
              <w:rPr>
                <w:rFonts w:ascii="Arial" w:cs="Arial" w:eastAsia="Arial" w:hAnsi="Arial"/>
                <w:sz w:val="11"/>
                <w:szCs w:val="11"/>
                <w:color w:val="auto"/>
                <w:w w:val="87"/>
              </w:rPr>
              <w:t>Hotels, Restaurants and Leisure</w:t>
            </w:r>
          </w:p>
        </w:tc>
        <w:tc>
          <w:tcPr>
            <w:tcW w:w="140" w:type="dxa"/>
            <w:vAlign w:val="bottom"/>
            <w:shd w:val="clear" w:color="auto" w:fill="CCECFF"/>
          </w:tcPr>
          <w:p>
            <w:pPr>
              <w:spacing w:after="0"/>
              <w:rPr>
                <w:sz w:val="11"/>
                <w:szCs w:val="11"/>
                <w:color w:val="auto"/>
              </w:rPr>
            </w:pPr>
          </w:p>
        </w:tc>
        <w:tc>
          <w:tcPr>
            <w:tcW w:w="66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11.00</w:t>
            </w:r>
          </w:p>
        </w:tc>
        <w:tc>
          <w:tcPr>
            <w:tcW w:w="220" w:type="dxa"/>
            <w:vAlign w:val="bottom"/>
            <w:shd w:val="clear" w:color="auto" w:fill="CCECFF"/>
          </w:tcPr>
          <w:p>
            <w:pPr>
              <w:jc w:val="right"/>
              <w:ind w:right="66"/>
              <w:spacing w:after="0"/>
              <w:rPr>
                <w:sz w:val="20"/>
                <w:szCs w:val="20"/>
                <w:color w:val="auto"/>
              </w:rPr>
            </w:pPr>
            <w:r>
              <w:rPr>
                <w:rFonts w:ascii="Arial" w:cs="Arial" w:eastAsia="Arial" w:hAnsi="Arial"/>
                <w:sz w:val="11"/>
                <w:szCs w:val="11"/>
                <w:color w:val="auto"/>
                <w:w w:val="81"/>
              </w:rPr>
              <w:t>%</w:t>
            </w:r>
          </w:p>
        </w:tc>
        <w:tc>
          <w:tcPr>
            <w:tcW w:w="94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1M L+900</w:t>
            </w:r>
          </w:p>
        </w:tc>
        <w:tc>
          <w:tcPr>
            <w:tcW w:w="220" w:type="dxa"/>
            <w:vAlign w:val="bottom"/>
            <w:shd w:val="clear" w:color="auto" w:fill="CCECFF"/>
          </w:tcPr>
          <w:p>
            <w:pPr>
              <w:spacing w:after="0"/>
              <w:rPr>
                <w:sz w:val="11"/>
                <w:szCs w:val="11"/>
                <w:color w:val="auto"/>
              </w:rPr>
            </w:pPr>
          </w:p>
        </w:tc>
        <w:tc>
          <w:tcPr>
            <w:tcW w:w="7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4,389</w:t>
            </w:r>
          </w:p>
        </w:tc>
        <w:tc>
          <w:tcPr>
            <w:tcW w:w="240" w:type="dxa"/>
            <w:vAlign w:val="bottom"/>
            <w:shd w:val="clear" w:color="auto" w:fill="CCECFF"/>
          </w:tcPr>
          <w:p>
            <w:pPr>
              <w:spacing w:after="0"/>
              <w:rPr>
                <w:sz w:val="11"/>
                <w:szCs w:val="11"/>
                <w:color w:val="auto"/>
              </w:rPr>
            </w:pPr>
          </w:p>
        </w:tc>
        <w:tc>
          <w:tcPr>
            <w:tcW w:w="140" w:type="dxa"/>
            <w:vAlign w:val="bottom"/>
            <w:tcBorders>
              <w:top w:val="single" w:sz="8" w:color="auto"/>
            </w:tcBorders>
            <w:shd w:val="clear" w:color="auto" w:fill="CCECFF"/>
          </w:tcPr>
          <w:p>
            <w:pPr>
              <w:spacing w:after="0"/>
              <w:rPr>
                <w:sz w:val="11"/>
                <w:szCs w:val="11"/>
                <w:color w:val="auto"/>
              </w:rPr>
            </w:pPr>
          </w:p>
        </w:tc>
        <w:tc>
          <w:tcPr>
            <w:tcW w:w="56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4,506</w:t>
            </w:r>
          </w:p>
        </w:tc>
        <w:tc>
          <w:tcPr>
            <w:tcW w:w="220" w:type="dxa"/>
            <w:vAlign w:val="bottom"/>
            <w:shd w:val="clear" w:color="auto" w:fill="CCECFF"/>
          </w:tcPr>
          <w:p>
            <w:pPr>
              <w:spacing w:after="0"/>
              <w:rPr>
                <w:sz w:val="11"/>
                <w:szCs w:val="11"/>
                <w:color w:val="auto"/>
              </w:rPr>
            </w:pPr>
          </w:p>
        </w:tc>
        <w:tc>
          <w:tcPr>
            <w:tcW w:w="180" w:type="dxa"/>
            <w:vAlign w:val="bottom"/>
            <w:tcBorders>
              <w:top w:val="single" w:sz="8" w:color="auto"/>
            </w:tcBorders>
            <w:shd w:val="clear" w:color="auto" w:fill="CCECFF"/>
          </w:tcPr>
          <w:p>
            <w:pPr>
              <w:spacing w:after="0"/>
              <w:rPr>
                <w:sz w:val="11"/>
                <w:szCs w:val="11"/>
                <w:color w:val="auto"/>
              </w:rPr>
            </w:pPr>
          </w:p>
        </w:tc>
        <w:tc>
          <w:tcPr>
            <w:tcW w:w="5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4,765</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00" w:type="dxa"/>
            <w:vAlign w:val="bottom"/>
          </w:tcPr>
          <w:p>
            <w:pPr>
              <w:ind w:left="20"/>
              <w:spacing w:after="0"/>
              <w:rPr>
                <w:sz w:val="20"/>
                <w:szCs w:val="20"/>
                <w:color w:val="auto"/>
              </w:rPr>
            </w:pPr>
            <w:r>
              <w:rPr>
                <w:rFonts w:ascii="Arial" w:cs="Arial" w:eastAsia="Arial" w:hAnsi="Arial"/>
                <w:sz w:val="11"/>
                <w:szCs w:val="11"/>
                <w:color w:val="auto"/>
              </w:rPr>
              <w:t>STV Group Incorporated</w:t>
            </w:r>
          </w:p>
        </w:tc>
        <w:tc>
          <w:tcPr>
            <w:tcW w:w="8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12/11/2026</w:t>
            </w:r>
          </w:p>
        </w:tc>
        <w:tc>
          <w:tcPr>
            <w:tcW w:w="260" w:type="dxa"/>
            <w:vAlign w:val="bottom"/>
          </w:tcPr>
          <w:p>
            <w:pPr>
              <w:spacing w:after="0"/>
              <w:rPr>
                <w:sz w:val="11"/>
                <w:szCs w:val="11"/>
                <w:color w:val="auto"/>
              </w:rPr>
            </w:pPr>
          </w:p>
        </w:tc>
        <w:tc>
          <w:tcPr>
            <w:tcW w:w="2380" w:type="dxa"/>
            <w:vAlign w:val="bottom"/>
          </w:tcPr>
          <w:p>
            <w:pPr>
              <w:jc w:val="center"/>
              <w:spacing w:after="0"/>
              <w:rPr>
                <w:sz w:val="20"/>
                <w:szCs w:val="20"/>
                <w:color w:val="auto"/>
              </w:rPr>
            </w:pPr>
            <w:r>
              <w:rPr>
                <w:rFonts w:ascii="Arial" w:cs="Arial" w:eastAsia="Arial" w:hAnsi="Arial"/>
                <w:sz w:val="11"/>
                <w:szCs w:val="11"/>
                <w:color w:val="auto"/>
                <w:w w:val="90"/>
              </w:rPr>
              <w:t>Construction and Building</w:t>
            </w:r>
          </w:p>
        </w:tc>
        <w:tc>
          <w:tcPr>
            <w:tcW w:w="1020" w:type="dxa"/>
            <w:vAlign w:val="bottom"/>
            <w:gridSpan w:val="3"/>
          </w:tcPr>
          <w:p>
            <w:pPr>
              <w:jc w:val="right"/>
              <w:ind w:right="66"/>
              <w:spacing w:after="0"/>
              <w:rPr>
                <w:sz w:val="20"/>
                <w:szCs w:val="20"/>
                <w:color w:val="auto"/>
              </w:rPr>
            </w:pPr>
            <w:r>
              <w:rPr>
                <w:rFonts w:ascii="Arial" w:cs="Arial" w:eastAsia="Arial" w:hAnsi="Arial"/>
                <w:sz w:val="11"/>
                <w:szCs w:val="11"/>
                <w:color w:val="auto"/>
              </w:rPr>
              <w:t>5.33 %</w:t>
            </w:r>
          </w:p>
        </w:tc>
        <w:tc>
          <w:tcPr>
            <w:tcW w:w="940" w:type="dxa"/>
            <w:vAlign w:val="bottom"/>
          </w:tcPr>
          <w:p>
            <w:pPr>
              <w:jc w:val="right"/>
              <w:spacing w:after="0"/>
              <w:rPr>
                <w:sz w:val="20"/>
                <w:szCs w:val="20"/>
                <w:color w:val="auto"/>
              </w:rPr>
            </w:pPr>
            <w:r>
              <w:rPr>
                <w:rFonts w:ascii="Arial" w:cs="Arial" w:eastAsia="Arial" w:hAnsi="Arial"/>
                <w:sz w:val="11"/>
                <w:szCs w:val="11"/>
                <w:color w:val="auto"/>
              </w:rPr>
              <w:t>1M L+525</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9,075</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9,004</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9,030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00" w:type="dxa"/>
            <w:vAlign w:val="bottom"/>
            <w:shd w:val="clear" w:color="auto" w:fill="CCECFF"/>
          </w:tcPr>
          <w:p>
            <w:pPr>
              <w:ind w:left="20"/>
              <w:spacing w:after="0"/>
              <w:rPr>
                <w:sz w:val="20"/>
                <w:szCs w:val="20"/>
                <w:color w:val="auto"/>
              </w:rPr>
            </w:pPr>
            <w:r>
              <w:rPr>
                <w:rFonts w:ascii="Arial" w:cs="Arial" w:eastAsia="Arial" w:hAnsi="Arial"/>
                <w:sz w:val="11"/>
                <w:szCs w:val="11"/>
                <w:color w:val="auto"/>
              </w:rPr>
              <w:t>TAC LifePort Purchaser, LLC</w:t>
            </w:r>
          </w:p>
        </w:tc>
        <w:tc>
          <w:tcPr>
            <w:tcW w:w="8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03/01/2026</w:t>
            </w:r>
          </w:p>
        </w:tc>
        <w:tc>
          <w:tcPr>
            <w:tcW w:w="260" w:type="dxa"/>
            <w:vAlign w:val="bottom"/>
            <w:shd w:val="clear" w:color="auto" w:fill="CCECFF"/>
          </w:tcPr>
          <w:p>
            <w:pPr>
              <w:spacing w:after="0"/>
              <w:rPr>
                <w:sz w:val="11"/>
                <w:szCs w:val="11"/>
                <w:color w:val="auto"/>
              </w:rPr>
            </w:pPr>
          </w:p>
        </w:tc>
        <w:tc>
          <w:tcPr>
            <w:tcW w:w="23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Aerospace and Defense</w:t>
            </w:r>
          </w:p>
        </w:tc>
        <w:tc>
          <w:tcPr>
            <w:tcW w:w="1020" w:type="dxa"/>
            <w:vAlign w:val="bottom"/>
            <w:gridSpan w:val="3"/>
            <w:shd w:val="clear" w:color="auto" w:fill="CCECFF"/>
          </w:tcPr>
          <w:p>
            <w:pPr>
              <w:jc w:val="right"/>
              <w:ind w:right="66"/>
              <w:spacing w:after="0"/>
              <w:rPr>
                <w:sz w:val="20"/>
                <w:szCs w:val="20"/>
                <w:color w:val="auto"/>
              </w:rPr>
            </w:pPr>
            <w:r>
              <w:rPr>
                <w:rFonts w:ascii="Arial" w:cs="Arial" w:eastAsia="Arial" w:hAnsi="Arial"/>
                <w:sz w:val="11"/>
                <w:szCs w:val="11"/>
                <w:color w:val="auto"/>
              </w:rPr>
              <w:t>7.00 %</w:t>
            </w:r>
          </w:p>
        </w:tc>
        <w:tc>
          <w:tcPr>
            <w:tcW w:w="9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L+600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4,950</w:t>
            </w:r>
          </w:p>
        </w:tc>
        <w:tc>
          <w:tcPr>
            <w:tcW w:w="24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4,860</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4,948</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00" w:type="dxa"/>
            <w:vAlign w:val="bottom"/>
          </w:tcPr>
          <w:p>
            <w:pPr>
              <w:ind w:left="20"/>
              <w:spacing w:after="0"/>
              <w:rPr>
                <w:sz w:val="20"/>
                <w:szCs w:val="20"/>
                <w:color w:val="auto"/>
              </w:rPr>
            </w:pPr>
            <w:r>
              <w:rPr>
                <w:rFonts w:ascii="Arial" w:cs="Arial" w:eastAsia="Arial" w:hAnsi="Arial"/>
                <w:sz w:val="11"/>
                <w:szCs w:val="11"/>
                <w:color w:val="auto"/>
              </w:rPr>
              <w:t>TeleGuam Holdings, LLC</w:t>
            </w:r>
          </w:p>
        </w:tc>
        <w:tc>
          <w:tcPr>
            <w:tcW w:w="8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11/20/2025</w:t>
            </w:r>
          </w:p>
        </w:tc>
        <w:tc>
          <w:tcPr>
            <w:tcW w:w="260" w:type="dxa"/>
            <w:vAlign w:val="bottom"/>
          </w:tcPr>
          <w:p>
            <w:pPr>
              <w:spacing w:after="0"/>
              <w:rPr>
                <w:sz w:val="11"/>
                <w:szCs w:val="11"/>
                <w:color w:val="auto"/>
              </w:rPr>
            </w:pPr>
          </w:p>
        </w:tc>
        <w:tc>
          <w:tcPr>
            <w:tcW w:w="2380" w:type="dxa"/>
            <w:vAlign w:val="bottom"/>
          </w:tcPr>
          <w:p>
            <w:pPr>
              <w:jc w:val="center"/>
              <w:spacing w:after="0"/>
              <w:rPr>
                <w:sz w:val="20"/>
                <w:szCs w:val="20"/>
                <w:color w:val="auto"/>
              </w:rPr>
            </w:pPr>
            <w:r>
              <w:rPr>
                <w:rFonts w:ascii="Arial" w:cs="Arial" w:eastAsia="Arial" w:hAnsi="Arial"/>
                <w:sz w:val="11"/>
                <w:szCs w:val="11"/>
                <w:color w:val="auto"/>
                <w:w w:val="89"/>
              </w:rPr>
              <w:t>Telecommunications</w:t>
            </w:r>
          </w:p>
        </w:tc>
        <w:tc>
          <w:tcPr>
            <w:tcW w:w="1020" w:type="dxa"/>
            <w:vAlign w:val="bottom"/>
            <w:gridSpan w:val="3"/>
          </w:tcPr>
          <w:p>
            <w:pPr>
              <w:jc w:val="right"/>
              <w:ind w:right="66"/>
              <w:spacing w:after="0"/>
              <w:rPr>
                <w:sz w:val="20"/>
                <w:szCs w:val="20"/>
                <w:color w:val="auto"/>
              </w:rPr>
            </w:pPr>
            <w:r>
              <w:rPr>
                <w:rFonts w:ascii="Arial" w:cs="Arial" w:eastAsia="Arial" w:hAnsi="Arial"/>
                <w:sz w:val="11"/>
                <w:szCs w:val="11"/>
                <w:color w:val="auto"/>
              </w:rPr>
              <w:t>5.50 %</w:t>
            </w:r>
          </w:p>
        </w:tc>
        <w:tc>
          <w:tcPr>
            <w:tcW w:w="940" w:type="dxa"/>
            <w:vAlign w:val="bottom"/>
          </w:tcPr>
          <w:p>
            <w:pPr>
              <w:jc w:val="right"/>
              <w:spacing w:after="0"/>
              <w:rPr>
                <w:sz w:val="20"/>
                <w:szCs w:val="20"/>
                <w:color w:val="auto"/>
              </w:rPr>
            </w:pPr>
            <w:r>
              <w:rPr>
                <w:rFonts w:ascii="Arial" w:cs="Arial" w:eastAsia="Arial" w:hAnsi="Arial"/>
                <w:sz w:val="11"/>
                <w:szCs w:val="11"/>
                <w:color w:val="auto"/>
              </w:rPr>
              <w:t>1M L+450</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10,337</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10,313</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10,234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00" w:type="dxa"/>
            <w:vAlign w:val="bottom"/>
            <w:shd w:val="clear" w:color="auto" w:fill="CCECFF"/>
          </w:tcPr>
          <w:p>
            <w:pPr>
              <w:ind w:left="20"/>
              <w:spacing w:after="0"/>
              <w:rPr>
                <w:sz w:val="20"/>
                <w:szCs w:val="20"/>
                <w:color w:val="auto"/>
              </w:rPr>
            </w:pPr>
            <w:r>
              <w:rPr>
                <w:rFonts w:ascii="Arial" w:cs="Arial" w:eastAsia="Arial" w:hAnsi="Arial"/>
                <w:sz w:val="11"/>
                <w:szCs w:val="11"/>
                <w:color w:val="auto"/>
              </w:rPr>
              <w:t>Teneo Holdings LLC</w:t>
            </w:r>
          </w:p>
        </w:tc>
        <w:tc>
          <w:tcPr>
            <w:tcW w:w="8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07/18/2025</w:t>
            </w:r>
          </w:p>
        </w:tc>
        <w:tc>
          <w:tcPr>
            <w:tcW w:w="260" w:type="dxa"/>
            <w:vAlign w:val="bottom"/>
            <w:shd w:val="clear" w:color="auto" w:fill="CCECFF"/>
          </w:tcPr>
          <w:p>
            <w:pPr>
              <w:spacing w:after="0"/>
              <w:rPr>
                <w:sz w:val="11"/>
                <w:szCs w:val="11"/>
                <w:color w:val="auto"/>
              </w:rPr>
            </w:pPr>
          </w:p>
        </w:tc>
        <w:tc>
          <w:tcPr>
            <w:tcW w:w="23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Business Services</w:t>
            </w:r>
          </w:p>
        </w:tc>
        <w:tc>
          <w:tcPr>
            <w:tcW w:w="1020" w:type="dxa"/>
            <w:vAlign w:val="bottom"/>
            <w:gridSpan w:val="3"/>
            <w:shd w:val="clear" w:color="auto" w:fill="CCECFF"/>
          </w:tcPr>
          <w:p>
            <w:pPr>
              <w:jc w:val="right"/>
              <w:ind w:right="66"/>
              <w:spacing w:after="0"/>
              <w:rPr>
                <w:sz w:val="20"/>
                <w:szCs w:val="20"/>
                <w:color w:val="auto"/>
              </w:rPr>
            </w:pPr>
            <w:r>
              <w:rPr>
                <w:rFonts w:ascii="Arial" w:cs="Arial" w:eastAsia="Arial" w:hAnsi="Arial"/>
                <w:sz w:val="11"/>
                <w:szCs w:val="11"/>
                <w:color w:val="auto"/>
              </w:rPr>
              <w:t>6.25 %</w:t>
            </w:r>
          </w:p>
        </w:tc>
        <w:tc>
          <w:tcPr>
            <w:tcW w:w="9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L+525</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2,309</w:t>
            </w:r>
          </w:p>
        </w:tc>
        <w:tc>
          <w:tcPr>
            <w:tcW w:w="24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2,306</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2,297</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00" w:type="dxa"/>
            <w:vAlign w:val="bottom"/>
          </w:tcPr>
          <w:p>
            <w:pPr>
              <w:ind w:left="20"/>
              <w:spacing w:after="0"/>
              <w:rPr>
                <w:sz w:val="20"/>
                <w:szCs w:val="20"/>
                <w:color w:val="auto"/>
              </w:rPr>
            </w:pPr>
            <w:r>
              <w:rPr>
                <w:rFonts w:ascii="Arial" w:cs="Arial" w:eastAsia="Arial" w:hAnsi="Arial"/>
                <w:sz w:val="11"/>
                <w:szCs w:val="11"/>
                <w:color w:val="auto"/>
              </w:rPr>
              <w:t>The Aegis Technologies Group, LLC</w:t>
            </w:r>
          </w:p>
        </w:tc>
        <w:tc>
          <w:tcPr>
            <w:tcW w:w="8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10/31/2025</w:t>
            </w:r>
          </w:p>
        </w:tc>
        <w:tc>
          <w:tcPr>
            <w:tcW w:w="260" w:type="dxa"/>
            <w:vAlign w:val="bottom"/>
          </w:tcPr>
          <w:p>
            <w:pPr>
              <w:spacing w:after="0"/>
              <w:rPr>
                <w:sz w:val="11"/>
                <w:szCs w:val="11"/>
                <w:color w:val="auto"/>
              </w:rPr>
            </w:pPr>
          </w:p>
        </w:tc>
        <w:tc>
          <w:tcPr>
            <w:tcW w:w="2380" w:type="dxa"/>
            <w:vAlign w:val="bottom"/>
          </w:tcPr>
          <w:p>
            <w:pPr>
              <w:jc w:val="center"/>
              <w:spacing w:after="0"/>
              <w:rPr>
                <w:sz w:val="20"/>
                <w:szCs w:val="20"/>
                <w:color w:val="auto"/>
              </w:rPr>
            </w:pPr>
            <w:r>
              <w:rPr>
                <w:rFonts w:ascii="Arial" w:cs="Arial" w:eastAsia="Arial" w:hAnsi="Arial"/>
                <w:sz w:val="11"/>
                <w:szCs w:val="11"/>
                <w:color w:val="auto"/>
                <w:w w:val="86"/>
              </w:rPr>
              <w:t>Aerospace and Defense</w:t>
            </w:r>
          </w:p>
        </w:tc>
        <w:tc>
          <w:tcPr>
            <w:tcW w:w="1020" w:type="dxa"/>
            <w:vAlign w:val="bottom"/>
            <w:gridSpan w:val="3"/>
          </w:tcPr>
          <w:p>
            <w:pPr>
              <w:jc w:val="right"/>
              <w:ind w:right="66"/>
              <w:spacing w:after="0"/>
              <w:rPr>
                <w:sz w:val="20"/>
                <w:szCs w:val="20"/>
                <w:color w:val="auto"/>
              </w:rPr>
            </w:pPr>
            <w:r>
              <w:rPr>
                <w:rFonts w:ascii="Arial" w:cs="Arial" w:eastAsia="Arial" w:hAnsi="Arial"/>
                <w:sz w:val="11"/>
                <w:szCs w:val="11"/>
                <w:color w:val="auto"/>
              </w:rPr>
              <w:t>6.77 %</w:t>
            </w:r>
          </w:p>
        </w:tc>
        <w:tc>
          <w:tcPr>
            <w:tcW w:w="940" w:type="dxa"/>
            <w:vAlign w:val="bottom"/>
          </w:tcPr>
          <w:p>
            <w:pPr>
              <w:jc w:val="right"/>
              <w:spacing w:after="0"/>
              <w:rPr>
                <w:sz w:val="20"/>
                <w:szCs w:val="20"/>
                <w:color w:val="auto"/>
              </w:rPr>
            </w:pPr>
            <w:r>
              <w:rPr>
                <w:rFonts w:ascii="Arial" w:cs="Arial" w:eastAsia="Arial" w:hAnsi="Arial"/>
                <w:sz w:val="11"/>
                <w:szCs w:val="11"/>
                <w:color w:val="auto"/>
              </w:rPr>
              <w:t>3M L+550</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5,713</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5,634</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5,656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00" w:type="dxa"/>
            <w:vAlign w:val="bottom"/>
            <w:shd w:val="clear" w:color="auto" w:fill="CCECFF"/>
          </w:tcPr>
          <w:p>
            <w:pPr>
              <w:ind w:left="20"/>
              <w:spacing w:after="0"/>
              <w:rPr>
                <w:sz w:val="20"/>
                <w:szCs w:val="20"/>
                <w:color w:val="auto"/>
              </w:rPr>
            </w:pPr>
            <w:r>
              <w:rPr>
                <w:rFonts w:ascii="Arial" w:cs="Arial" w:eastAsia="Arial" w:hAnsi="Arial"/>
                <w:sz w:val="11"/>
                <w:szCs w:val="11"/>
                <w:color w:val="auto"/>
              </w:rPr>
              <w:t>The Bluebird Group LLC</w:t>
            </w:r>
          </w:p>
        </w:tc>
        <w:tc>
          <w:tcPr>
            <w:tcW w:w="8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07/27/2026</w:t>
            </w:r>
          </w:p>
        </w:tc>
        <w:tc>
          <w:tcPr>
            <w:tcW w:w="260" w:type="dxa"/>
            <w:vAlign w:val="bottom"/>
            <w:shd w:val="clear" w:color="auto" w:fill="CCECFF"/>
          </w:tcPr>
          <w:p>
            <w:pPr>
              <w:spacing w:after="0"/>
              <w:rPr>
                <w:sz w:val="11"/>
                <w:szCs w:val="11"/>
                <w:color w:val="auto"/>
              </w:rPr>
            </w:pPr>
          </w:p>
        </w:tc>
        <w:tc>
          <w:tcPr>
            <w:tcW w:w="23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Professional Services</w:t>
            </w:r>
          </w:p>
        </w:tc>
        <w:tc>
          <w:tcPr>
            <w:tcW w:w="1020" w:type="dxa"/>
            <w:vAlign w:val="bottom"/>
            <w:gridSpan w:val="3"/>
            <w:shd w:val="clear" w:color="auto" w:fill="CCECFF"/>
          </w:tcPr>
          <w:p>
            <w:pPr>
              <w:jc w:val="right"/>
              <w:ind w:right="66"/>
              <w:spacing w:after="0"/>
              <w:rPr>
                <w:sz w:val="20"/>
                <w:szCs w:val="20"/>
                <w:color w:val="auto"/>
              </w:rPr>
            </w:pPr>
            <w:r>
              <w:rPr>
                <w:rFonts w:ascii="Arial" w:cs="Arial" w:eastAsia="Arial" w:hAnsi="Arial"/>
                <w:sz w:val="11"/>
                <w:szCs w:val="11"/>
                <w:color w:val="auto"/>
              </w:rPr>
              <w:t>8.00 %</w:t>
            </w:r>
          </w:p>
        </w:tc>
        <w:tc>
          <w:tcPr>
            <w:tcW w:w="9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L+700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1,744</w:t>
            </w:r>
          </w:p>
        </w:tc>
        <w:tc>
          <w:tcPr>
            <w:tcW w:w="24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1,710</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1,733</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00" w:type="dxa"/>
            <w:vAlign w:val="bottom"/>
          </w:tcPr>
          <w:p>
            <w:pPr>
              <w:ind w:left="20"/>
              <w:spacing w:after="0"/>
              <w:rPr>
                <w:sz w:val="20"/>
                <w:szCs w:val="20"/>
                <w:color w:val="auto"/>
              </w:rPr>
            </w:pPr>
            <w:r>
              <w:rPr>
                <w:rFonts w:ascii="Arial" w:cs="Arial" w:eastAsia="Arial" w:hAnsi="Arial"/>
                <w:sz w:val="11"/>
                <w:szCs w:val="11"/>
                <w:color w:val="auto"/>
              </w:rPr>
              <w:t>The Infosoft Group, LLC</w:t>
            </w:r>
          </w:p>
        </w:tc>
        <w:tc>
          <w:tcPr>
            <w:tcW w:w="8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09/16/2024</w:t>
            </w:r>
          </w:p>
        </w:tc>
        <w:tc>
          <w:tcPr>
            <w:tcW w:w="260" w:type="dxa"/>
            <w:vAlign w:val="bottom"/>
          </w:tcPr>
          <w:p>
            <w:pPr>
              <w:spacing w:after="0"/>
              <w:rPr>
                <w:sz w:val="11"/>
                <w:szCs w:val="11"/>
                <w:color w:val="auto"/>
              </w:rPr>
            </w:pPr>
          </w:p>
        </w:tc>
        <w:tc>
          <w:tcPr>
            <w:tcW w:w="2380" w:type="dxa"/>
            <w:vAlign w:val="bottom"/>
          </w:tcPr>
          <w:p>
            <w:pPr>
              <w:jc w:val="center"/>
              <w:spacing w:after="0"/>
              <w:rPr>
                <w:sz w:val="20"/>
                <w:szCs w:val="20"/>
                <w:color w:val="auto"/>
              </w:rPr>
            </w:pPr>
            <w:r>
              <w:rPr>
                <w:rFonts w:ascii="Arial" w:cs="Arial" w:eastAsia="Arial" w:hAnsi="Arial"/>
                <w:sz w:val="11"/>
                <w:szCs w:val="11"/>
                <w:color w:val="auto"/>
                <w:w w:val="89"/>
              </w:rPr>
              <w:t>Media: Broadcasting and Subscription</w:t>
            </w:r>
          </w:p>
        </w:tc>
        <w:tc>
          <w:tcPr>
            <w:tcW w:w="1020" w:type="dxa"/>
            <w:vAlign w:val="bottom"/>
            <w:gridSpan w:val="3"/>
          </w:tcPr>
          <w:p>
            <w:pPr>
              <w:jc w:val="right"/>
              <w:ind w:right="66"/>
              <w:spacing w:after="0"/>
              <w:rPr>
                <w:sz w:val="20"/>
                <w:szCs w:val="20"/>
                <w:color w:val="auto"/>
              </w:rPr>
            </w:pPr>
            <w:r>
              <w:rPr>
                <w:rFonts w:ascii="Arial" w:cs="Arial" w:eastAsia="Arial" w:hAnsi="Arial"/>
                <w:sz w:val="11"/>
                <w:szCs w:val="11"/>
                <w:color w:val="auto"/>
              </w:rPr>
              <w:t>6.75 %</w:t>
            </w:r>
          </w:p>
        </w:tc>
        <w:tc>
          <w:tcPr>
            <w:tcW w:w="940" w:type="dxa"/>
            <w:vAlign w:val="bottom"/>
          </w:tcPr>
          <w:p>
            <w:pPr>
              <w:jc w:val="right"/>
              <w:spacing w:after="0"/>
              <w:rPr>
                <w:sz w:val="20"/>
                <w:szCs w:val="20"/>
                <w:color w:val="auto"/>
              </w:rPr>
            </w:pPr>
            <w:r>
              <w:rPr>
                <w:rFonts w:ascii="Arial" w:cs="Arial" w:eastAsia="Arial" w:hAnsi="Arial"/>
                <w:sz w:val="11"/>
                <w:szCs w:val="11"/>
                <w:color w:val="auto"/>
              </w:rPr>
              <w:t>6M L+575</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13,383</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13,376</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13,383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00" w:type="dxa"/>
            <w:vAlign w:val="bottom"/>
            <w:shd w:val="clear" w:color="auto" w:fill="CCECFF"/>
          </w:tcPr>
          <w:p>
            <w:pPr>
              <w:ind w:left="20"/>
              <w:spacing w:after="0"/>
              <w:rPr>
                <w:sz w:val="20"/>
                <w:szCs w:val="20"/>
                <w:color w:val="auto"/>
              </w:rPr>
            </w:pPr>
            <w:r>
              <w:rPr>
                <w:rFonts w:ascii="Arial" w:cs="Arial" w:eastAsia="Arial" w:hAnsi="Arial"/>
                <w:sz w:val="11"/>
                <w:szCs w:val="11"/>
                <w:color w:val="auto"/>
              </w:rPr>
              <w:t>The Vertex Companies, LLC</w:t>
            </w:r>
          </w:p>
        </w:tc>
        <w:tc>
          <w:tcPr>
            <w:tcW w:w="8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08/30/2027</w:t>
            </w:r>
          </w:p>
        </w:tc>
        <w:tc>
          <w:tcPr>
            <w:tcW w:w="260" w:type="dxa"/>
            <w:vAlign w:val="bottom"/>
            <w:shd w:val="clear" w:color="auto" w:fill="CCECFF"/>
          </w:tcPr>
          <w:p>
            <w:pPr>
              <w:spacing w:after="0"/>
              <w:rPr>
                <w:sz w:val="11"/>
                <w:szCs w:val="11"/>
                <w:color w:val="auto"/>
              </w:rPr>
            </w:pPr>
          </w:p>
        </w:tc>
        <w:tc>
          <w:tcPr>
            <w:tcW w:w="23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Construction and Engineering</w:t>
            </w:r>
          </w:p>
        </w:tc>
        <w:tc>
          <w:tcPr>
            <w:tcW w:w="1020" w:type="dxa"/>
            <w:vAlign w:val="bottom"/>
            <w:gridSpan w:val="3"/>
            <w:shd w:val="clear" w:color="auto" w:fill="CCECFF"/>
          </w:tcPr>
          <w:p>
            <w:pPr>
              <w:jc w:val="right"/>
              <w:ind w:right="66"/>
              <w:spacing w:after="0"/>
              <w:rPr>
                <w:sz w:val="20"/>
                <w:szCs w:val="20"/>
                <w:color w:val="auto"/>
              </w:rPr>
            </w:pPr>
            <w:r>
              <w:rPr>
                <w:rFonts w:ascii="Arial" w:cs="Arial" w:eastAsia="Arial" w:hAnsi="Arial"/>
                <w:sz w:val="11"/>
                <w:szCs w:val="11"/>
                <w:color w:val="auto"/>
              </w:rPr>
              <w:t>6.50 %</w:t>
            </w:r>
          </w:p>
        </w:tc>
        <w:tc>
          <w:tcPr>
            <w:tcW w:w="9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6M L+550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5,634</w:t>
            </w:r>
          </w:p>
        </w:tc>
        <w:tc>
          <w:tcPr>
            <w:tcW w:w="24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5,523</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5,529</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00" w:type="dxa"/>
            <w:vAlign w:val="bottom"/>
          </w:tcPr>
          <w:p>
            <w:pPr>
              <w:ind w:left="20"/>
              <w:spacing w:after="0"/>
              <w:rPr>
                <w:sz w:val="20"/>
                <w:szCs w:val="20"/>
                <w:color w:val="auto"/>
              </w:rPr>
            </w:pPr>
            <w:r>
              <w:rPr>
                <w:rFonts w:ascii="Arial" w:cs="Arial" w:eastAsia="Arial" w:hAnsi="Arial"/>
                <w:sz w:val="11"/>
                <w:szCs w:val="11"/>
                <w:color w:val="auto"/>
              </w:rPr>
              <w:t>TPC Canada Parent, Inc. and TPC US Parent, LLC</w:t>
            </w:r>
          </w:p>
        </w:tc>
        <w:tc>
          <w:tcPr>
            <w:tcW w:w="8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11/24/2025</w:t>
            </w:r>
          </w:p>
        </w:tc>
        <w:tc>
          <w:tcPr>
            <w:tcW w:w="260" w:type="dxa"/>
            <w:vAlign w:val="bottom"/>
          </w:tcPr>
          <w:p>
            <w:pPr>
              <w:spacing w:after="0"/>
              <w:rPr>
                <w:sz w:val="11"/>
                <w:szCs w:val="11"/>
                <w:color w:val="auto"/>
              </w:rPr>
            </w:pPr>
          </w:p>
        </w:tc>
        <w:tc>
          <w:tcPr>
            <w:tcW w:w="2380" w:type="dxa"/>
            <w:vAlign w:val="bottom"/>
          </w:tcPr>
          <w:p>
            <w:pPr>
              <w:jc w:val="center"/>
              <w:spacing w:after="0"/>
              <w:rPr>
                <w:sz w:val="20"/>
                <w:szCs w:val="20"/>
                <w:color w:val="auto"/>
              </w:rPr>
            </w:pPr>
            <w:r>
              <w:rPr>
                <w:rFonts w:ascii="Arial" w:cs="Arial" w:eastAsia="Arial" w:hAnsi="Arial"/>
                <w:sz w:val="11"/>
                <w:szCs w:val="11"/>
                <w:color w:val="auto"/>
                <w:w w:val="89"/>
              </w:rPr>
              <w:t>Consumer Goods: Non-Durable</w:t>
            </w:r>
          </w:p>
        </w:tc>
        <w:tc>
          <w:tcPr>
            <w:tcW w:w="1020" w:type="dxa"/>
            <w:vAlign w:val="bottom"/>
            <w:gridSpan w:val="3"/>
          </w:tcPr>
          <w:p>
            <w:pPr>
              <w:jc w:val="right"/>
              <w:ind w:right="66"/>
              <w:spacing w:after="0"/>
              <w:rPr>
                <w:sz w:val="20"/>
                <w:szCs w:val="20"/>
                <w:color w:val="auto"/>
              </w:rPr>
            </w:pPr>
            <w:r>
              <w:rPr>
                <w:rFonts w:ascii="Arial" w:cs="Arial" w:eastAsia="Arial" w:hAnsi="Arial"/>
                <w:sz w:val="11"/>
                <w:szCs w:val="11"/>
                <w:color w:val="auto"/>
              </w:rPr>
              <w:t>6.25 %</w:t>
            </w:r>
          </w:p>
        </w:tc>
        <w:tc>
          <w:tcPr>
            <w:tcW w:w="940" w:type="dxa"/>
            <w:vAlign w:val="bottom"/>
          </w:tcPr>
          <w:p>
            <w:pPr>
              <w:jc w:val="right"/>
              <w:spacing w:after="0"/>
              <w:rPr>
                <w:sz w:val="20"/>
                <w:szCs w:val="20"/>
                <w:color w:val="auto"/>
              </w:rPr>
            </w:pPr>
            <w:r>
              <w:rPr>
                <w:rFonts w:ascii="Arial" w:cs="Arial" w:eastAsia="Arial" w:hAnsi="Arial"/>
                <w:sz w:val="11"/>
                <w:szCs w:val="11"/>
                <w:color w:val="auto"/>
              </w:rPr>
              <w:t>3M L+525</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8,834</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8,655</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8,569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00" w:type="dxa"/>
            <w:vAlign w:val="bottom"/>
            <w:shd w:val="clear" w:color="auto" w:fill="CCECFF"/>
          </w:tcPr>
          <w:p>
            <w:pPr>
              <w:ind w:left="20"/>
              <w:spacing w:after="0"/>
              <w:rPr>
                <w:sz w:val="20"/>
                <w:szCs w:val="20"/>
                <w:color w:val="auto"/>
              </w:rPr>
            </w:pPr>
            <w:r>
              <w:rPr>
                <w:rFonts w:ascii="Arial" w:cs="Arial" w:eastAsia="Arial" w:hAnsi="Arial"/>
                <w:sz w:val="11"/>
                <w:szCs w:val="11"/>
                <w:color w:val="auto"/>
              </w:rPr>
              <w:t>TVC Enterprises, LLC</w:t>
            </w:r>
          </w:p>
        </w:tc>
        <w:tc>
          <w:tcPr>
            <w:tcW w:w="8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03/26/2026</w:t>
            </w:r>
          </w:p>
        </w:tc>
        <w:tc>
          <w:tcPr>
            <w:tcW w:w="260" w:type="dxa"/>
            <w:vAlign w:val="bottom"/>
            <w:shd w:val="clear" w:color="auto" w:fill="CCECFF"/>
          </w:tcPr>
          <w:p>
            <w:pPr>
              <w:spacing w:after="0"/>
              <w:rPr>
                <w:sz w:val="11"/>
                <w:szCs w:val="11"/>
                <w:color w:val="auto"/>
              </w:rPr>
            </w:pPr>
          </w:p>
        </w:tc>
        <w:tc>
          <w:tcPr>
            <w:tcW w:w="23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Diversified Consumer Services</w:t>
            </w:r>
          </w:p>
        </w:tc>
        <w:tc>
          <w:tcPr>
            <w:tcW w:w="1020" w:type="dxa"/>
            <w:vAlign w:val="bottom"/>
            <w:gridSpan w:val="3"/>
            <w:shd w:val="clear" w:color="auto" w:fill="CCECFF"/>
          </w:tcPr>
          <w:p>
            <w:pPr>
              <w:jc w:val="right"/>
              <w:ind w:right="66"/>
              <w:spacing w:after="0"/>
              <w:rPr>
                <w:sz w:val="20"/>
                <w:szCs w:val="20"/>
                <w:color w:val="auto"/>
              </w:rPr>
            </w:pPr>
            <w:r>
              <w:rPr>
                <w:rFonts w:ascii="Arial" w:cs="Arial" w:eastAsia="Arial" w:hAnsi="Arial"/>
                <w:sz w:val="11"/>
                <w:szCs w:val="11"/>
                <w:color w:val="auto"/>
              </w:rPr>
              <w:t>6.75 %</w:t>
            </w:r>
          </w:p>
        </w:tc>
        <w:tc>
          <w:tcPr>
            <w:tcW w:w="9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L+575</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8,558</w:t>
            </w:r>
          </w:p>
        </w:tc>
        <w:tc>
          <w:tcPr>
            <w:tcW w:w="24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8,593</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8,558</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00" w:type="dxa"/>
            <w:vAlign w:val="bottom"/>
          </w:tcPr>
          <w:p>
            <w:pPr>
              <w:ind w:left="20"/>
              <w:spacing w:after="0"/>
              <w:rPr>
                <w:sz w:val="20"/>
                <w:szCs w:val="20"/>
                <w:color w:val="auto"/>
              </w:rPr>
            </w:pPr>
            <w:r>
              <w:rPr>
                <w:rFonts w:ascii="Arial" w:cs="Arial" w:eastAsia="Arial" w:hAnsi="Arial"/>
                <w:sz w:val="11"/>
                <w:szCs w:val="11"/>
                <w:color w:val="auto"/>
              </w:rPr>
              <w:t>TWS Acquisition Corporation</w:t>
            </w:r>
          </w:p>
        </w:tc>
        <w:tc>
          <w:tcPr>
            <w:tcW w:w="8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06/16/2025</w:t>
            </w:r>
          </w:p>
        </w:tc>
        <w:tc>
          <w:tcPr>
            <w:tcW w:w="260" w:type="dxa"/>
            <w:vAlign w:val="bottom"/>
          </w:tcPr>
          <w:p>
            <w:pPr>
              <w:spacing w:after="0"/>
              <w:rPr>
                <w:sz w:val="11"/>
                <w:szCs w:val="11"/>
                <w:color w:val="auto"/>
              </w:rPr>
            </w:pPr>
          </w:p>
        </w:tc>
        <w:tc>
          <w:tcPr>
            <w:tcW w:w="2380" w:type="dxa"/>
            <w:vAlign w:val="bottom"/>
          </w:tcPr>
          <w:p>
            <w:pPr>
              <w:jc w:val="center"/>
              <w:spacing w:after="0"/>
              <w:rPr>
                <w:sz w:val="20"/>
                <w:szCs w:val="20"/>
                <w:color w:val="auto"/>
              </w:rPr>
            </w:pPr>
            <w:r>
              <w:rPr>
                <w:rFonts w:ascii="Arial" w:cs="Arial" w:eastAsia="Arial" w:hAnsi="Arial"/>
                <w:sz w:val="11"/>
                <w:szCs w:val="11"/>
                <w:color w:val="auto"/>
                <w:w w:val="89"/>
              </w:rPr>
              <w:t>Diversified Consumer Services</w:t>
            </w:r>
          </w:p>
        </w:tc>
        <w:tc>
          <w:tcPr>
            <w:tcW w:w="1020" w:type="dxa"/>
            <w:vAlign w:val="bottom"/>
            <w:gridSpan w:val="3"/>
          </w:tcPr>
          <w:p>
            <w:pPr>
              <w:jc w:val="right"/>
              <w:ind w:right="66"/>
              <w:spacing w:after="0"/>
              <w:rPr>
                <w:sz w:val="20"/>
                <w:szCs w:val="20"/>
                <w:color w:val="auto"/>
              </w:rPr>
            </w:pPr>
            <w:r>
              <w:rPr>
                <w:rFonts w:ascii="Arial" w:cs="Arial" w:eastAsia="Arial" w:hAnsi="Arial"/>
                <w:sz w:val="11"/>
                <w:szCs w:val="11"/>
                <w:color w:val="auto"/>
              </w:rPr>
              <w:t>7.25 %</w:t>
            </w:r>
          </w:p>
        </w:tc>
        <w:tc>
          <w:tcPr>
            <w:tcW w:w="940" w:type="dxa"/>
            <w:vAlign w:val="bottom"/>
          </w:tcPr>
          <w:p>
            <w:pPr>
              <w:jc w:val="right"/>
              <w:spacing w:after="0"/>
              <w:rPr>
                <w:sz w:val="20"/>
                <w:szCs w:val="20"/>
                <w:color w:val="auto"/>
              </w:rPr>
            </w:pPr>
            <w:r>
              <w:rPr>
                <w:rFonts w:ascii="Arial" w:cs="Arial" w:eastAsia="Arial" w:hAnsi="Arial"/>
                <w:sz w:val="11"/>
                <w:szCs w:val="11"/>
                <w:color w:val="auto"/>
              </w:rPr>
              <w:t>1M L+625</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6,636</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6,599</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6,636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00" w:type="dxa"/>
            <w:vAlign w:val="bottom"/>
            <w:shd w:val="clear" w:color="auto" w:fill="CCECFF"/>
          </w:tcPr>
          <w:p>
            <w:pPr>
              <w:ind w:left="20"/>
              <w:spacing w:after="0"/>
              <w:rPr>
                <w:sz w:val="20"/>
                <w:szCs w:val="20"/>
                <w:color w:val="auto"/>
              </w:rPr>
            </w:pPr>
            <w:r>
              <w:rPr>
                <w:rFonts w:ascii="Arial" w:cs="Arial" w:eastAsia="Arial" w:hAnsi="Arial"/>
                <w:sz w:val="11"/>
                <w:szCs w:val="11"/>
                <w:color w:val="auto"/>
              </w:rPr>
              <w:t>Tyto Athene, LLC</w:t>
            </w:r>
          </w:p>
        </w:tc>
        <w:tc>
          <w:tcPr>
            <w:tcW w:w="8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08/27/2024</w:t>
            </w:r>
          </w:p>
        </w:tc>
        <w:tc>
          <w:tcPr>
            <w:tcW w:w="260" w:type="dxa"/>
            <w:vAlign w:val="bottom"/>
            <w:shd w:val="clear" w:color="auto" w:fill="CCECFF"/>
          </w:tcPr>
          <w:p>
            <w:pPr>
              <w:spacing w:after="0"/>
              <w:rPr>
                <w:sz w:val="11"/>
                <w:szCs w:val="11"/>
                <w:color w:val="auto"/>
              </w:rPr>
            </w:pPr>
          </w:p>
        </w:tc>
        <w:tc>
          <w:tcPr>
            <w:tcW w:w="23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IT Services</w:t>
            </w:r>
          </w:p>
        </w:tc>
        <w:tc>
          <w:tcPr>
            <w:tcW w:w="1020" w:type="dxa"/>
            <w:vAlign w:val="bottom"/>
            <w:gridSpan w:val="3"/>
            <w:shd w:val="clear" w:color="auto" w:fill="CCECFF"/>
          </w:tcPr>
          <w:p>
            <w:pPr>
              <w:jc w:val="right"/>
              <w:ind w:right="66"/>
              <w:spacing w:after="0"/>
              <w:rPr>
                <w:sz w:val="20"/>
                <w:szCs w:val="20"/>
                <w:color w:val="auto"/>
              </w:rPr>
            </w:pPr>
            <w:r>
              <w:rPr>
                <w:rFonts w:ascii="Arial" w:cs="Arial" w:eastAsia="Arial" w:hAnsi="Arial"/>
                <w:sz w:val="11"/>
                <w:szCs w:val="11"/>
                <w:color w:val="auto"/>
              </w:rPr>
              <w:t>6.25 %</w:t>
            </w:r>
          </w:p>
        </w:tc>
        <w:tc>
          <w:tcPr>
            <w:tcW w:w="9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L+550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11,443</w:t>
            </w:r>
          </w:p>
        </w:tc>
        <w:tc>
          <w:tcPr>
            <w:tcW w:w="24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11,334</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11,443</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00" w:type="dxa"/>
            <w:vAlign w:val="bottom"/>
          </w:tcPr>
          <w:p>
            <w:pPr>
              <w:ind w:left="20"/>
              <w:spacing w:after="0"/>
              <w:rPr>
                <w:sz w:val="20"/>
                <w:szCs w:val="20"/>
                <w:color w:val="auto"/>
              </w:rPr>
            </w:pPr>
            <w:r>
              <w:rPr>
                <w:rFonts w:ascii="Arial" w:cs="Arial" w:eastAsia="Arial" w:hAnsi="Arial"/>
                <w:sz w:val="11"/>
                <w:szCs w:val="11"/>
                <w:color w:val="auto"/>
              </w:rPr>
              <w:t>UBEO, LLC</w:t>
            </w:r>
          </w:p>
        </w:tc>
        <w:tc>
          <w:tcPr>
            <w:tcW w:w="8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04/03/2024</w:t>
            </w:r>
          </w:p>
        </w:tc>
        <w:tc>
          <w:tcPr>
            <w:tcW w:w="260" w:type="dxa"/>
            <w:vAlign w:val="bottom"/>
          </w:tcPr>
          <w:p>
            <w:pPr>
              <w:spacing w:after="0"/>
              <w:rPr>
                <w:sz w:val="11"/>
                <w:szCs w:val="11"/>
                <w:color w:val="auto"/>
              </w:rPr>
            </w:pPr>
          </w:p>
        </w:tc>
        <w:tc>
          <w:tcPr>
            <w:tcW w:w="2380" w:type="dxa"/>
            <w:vAlign w:val="bottom"/>
          </w:tcPr>
          <w:p>
            <w:pPr>
              <w:jc w:val="center"/>
              <w:spacing w:after="0"/>
              <w:rPr>
                <w:sz w:val="20"/>
                <w:szCs w:val="20"/>
                <w:color w:val="auto"/>
              </w:rPr>
            </w:pPr>
            <w:r>
              <w:rPr>
                <w:rFonts w:ascii="Arial" w:cs="Arial" w:eastAsia="Arial" w:hAnsi="Arial"/>
                <w:sz w:val="11"/>
                <w:szCs w:val="11"/>
                <w:color w:val="auto"/>
                <w:w w:val="91"/>
              </w:rPr>
              <w:t>Capital Equipment</w:t>
            </w:r>
          </w:p>
        </w:tc>
        <w:tc>
          <w:tcPr>
            <w:tcW w:w="1020" w:type="dxa"/>
            <w:vAlign w:val="bottom"/>
            <w:gridSpan w:val="3"/>
          </w:tcPr>
          <w:p>
            <w:pPr>
              <w:jc w:val="right"/>
              <w:ind w:right="66"/>
              <w:spacing w:after="0"/>
              <w:rPr>
                <w:sz w:val="20"/>
                <w:szCs w:val="20"/>
                <w:color w:val="auto"/>
              </w:rPr>
            </w:pPr>
            <w:r>
              <w:rPr>
                <w:rFonts w:ascii="Arial" w:cs="Arial" w:eastAsia="Arial" w:hAnsi="Arial"/>
                <w:sz w:val="11"/>
                <w:szCs w:val="11"/>
                <w:color w:val="auto"/>
              </w:rPr>
              <w:t>5.50 %</w:t>
            </w:r>
          </w:p>
        </w:tc>
        <w:tc>
          <w:tcPr>
            <w:tcW w:w="940" w:type="dxa"/>
            <w:vAlign w:val="bottom"/>
          </w:tcPr>
          <w:p>
            <w:pPr>
              <w:jc w:val="right"/>
              <w:spacing w:after="0"/>
              <w:rPr>
                <w:sz w:val="20"/>
                <w:szCs w:val="20"/>
                <w:color w:val="auto"/>
              </w:rPr>
            </w:pPr>
            <w:r>
              <w:rPr>
                <w:rFonts w:ascii="Arial" w:cs="Arial" w:eastAsia="Arial" w:hAnsi="Arial"/>
                <w:sz w:val="11"/>
                <w:szCs w:val="11"/>
                <w:color w:val="auto"/>
              </w:rPr>
              <w:t>1M L+450</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17,571</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17,457</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17,483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00" w:type="dxa"/>
            <w:vAlign w:val="bottom"/>
            <w:shd w:val="clear" w:color="auto" w:fill="CCECFF"/>
          </w:tcPr>
          <w:p>
            <w:pPr>
              <w:ind w:left="20"/>
              <w:spacing w:after="0"/>
              <w:rPr>
                <w:sz w:val="20"/>
                <w:szCs w:val="20"/>
                <w:color w:val="auto"/>
              </w:rPr>
            </w:pPr>
            <w:r>
              <w:rPr>
                <w:rFonts w:ascii="Arial" w:cs="Arial" w:eastAsia="Arial" w:hAnsi="Arial"/>
                <w:sz w:val="11"/>
                <w:szCs w:val="11"/>
                <w:color w:val="auto"/>
              </w:rPr>
              <w:t>Urology Management Associates, LLC</w:t>
            </w:r>
          </w:p>
        </w:tc>
        <w:tc>
          <w:tcPr>
            <w:tcW w:w="8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08/30/2024</w:t>
            </w:r>
          </w:p>
        </w:tc>
        <w:tc>
          <w:tcPr>
            <w:tcW w:w="260" w:type="dxa"/>
            <w:vAlign w:val="bottom"/>
            <w:shd w:val="clear" w:color="auto" w:fill="CCECFF"/>
          </w:tcPr>
          <w:p>
            <w:pPr>
              <w:spacing w:after="0"/>
              <w:rPr>
                <w:sz w:val="11"/>
                <w:szCs w:val="11"/>
                <w:color w:val="auto"/>
              </w:rPr>
            </w:pPr>
          </w:p>
        </w:tc>
        <w:tc>
          <w:tcPr>
            <w:tcW w:w="23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Healthcare and Pharmaceuticals</w:t>
            </w:r>
          </w:p>
        </w:tc>
        <w:tc>
          <w:tcPr>
            <w:tcW w:w="1020" w:type="dxa"/>
            <w:vAlign w:val="bottom"/>
            <w:gridSpan w:val="3"/>
            <w:shd w:val="clear" w:color="auto" w:fill="CCECFF"/>
          </w:tcPr>
          <w:p>
            <w:pPr>
              <w:jc w:val="right"/>
              <w:ind w:right="66"/>
              <w:spacing w:after="0"/>
              <w:rPr>
                <w:sz w:val="20"/>
                <w:szCs w:val="20"/>
                <w:color w:val="auto"/>
              </w:rPr>
            </w:pPr>
            <w:r>
              <w:rPr>
                <w:rFonts w:ascii="Arial" w:cs="Arial" w:eastAsia="Arial" w:hAnsi="Arial"/>
                <w:sz w:val="11"/>
                <w:szCs w:val="11"/>
                <w:color w:val="auto"/>
              </w:rPr>
              <w:t>5.50 %</w:t>
            </w:r>
          </w:p>
        </w:tc>
        <w:tc>
          <w:tcPr>
            <w:tcW w:w="9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L+450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11,030</w:t>
            </w:r>
          </w:p>
        </w:tc>
        <w:tc>
          <w:tcPr>
            <w:tcW w:w="24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10,849</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10,975</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00" w:type="dxa"/>
            <w:vAlign w:val="bottom"/>
          </w:tcPr>
          <w:p>
            <w:pPr>
              <w:ind w:left="20"/>
              <w:spacing w:after="0"/>
              <w:rPr>
                <w:sz w:val="20"/>
                <w:szCs w:val="20"/>
                <w:color w:val="auto"/>
              </w:rPr>
            </w:pPr>
            <w:r>
              <w:rPr>
                <w:rFonts w:ascii="Arial" w:cs="Arial" w:eastAsia="Arial" w:hAnsi="Arial"/>
                <w:sz w:val="11"/>
                <w:szCs w:val="11"/>
                <w:color w:val="auto"/>
              </w:rPr>
              <w:t>Walker Edison Furniture Company LLC</w:t>
            </w:r>
          </w:p>
        </w:tc>
        <w:tc>
          <w:tcPr>
            <w:tcW w:w="8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03/31/2027</w:t>
            </w:r>
          </w:p>
        </w:tc>
        <w:tc>
          <w:tcPr>
            <w:tcW w:w="260" w:type="dxa"/>
            <w:vAlign w:val="bottom"/>
          </w:tcPr>
          <w:p>
            <w:pPr>
              <w:spacing w:after="0"/>
              <w:rPr>
                <w:sz w:val="11"/>
                <w:szCs w:val="11"/>
                <w:color w:val="auto"/>
              </w:rPr>
            </w:pPr>
          </w:p>
        </w:tc>
        <w:tc>
          <w:tcPr>
            <w:tcW w:w="2380" w:type="dxa"/>
            <w:vAlign w:val="bottom"/>
          </w:tcPr>
          <w:p>
            <w:pPr>
              <w:jc w:val="center"/>
              <w:spacing w:after="0"/>
              <w:rPr>
                <w:sz w:val="20"/>
                <w:szCs w:val="20"/>
                <w:color w:val="auto"/>
              </w:rPr>
            </w:pPr>
            <w:r>
              <w:rPr>
                <w:rFonts w:ascii="Arial" w:cs="Arial" w:eastAsia="Arial" w:hAnsi="Arial"/>
                <w:sz w:val="11"/>
                <w:szCs w:val="11"/>
                <w:color w:val="auto"/>
                <w:w w:val="89"/>
              </w:rPr>
              <w:t>Wholesale</w:t>
            </w:r>
          </w:p>
        </w:tc>
        <w:tc>
          <w:tcPr>
            <w:tcW w:w="1020" w:type="dxa"/>
            <w:vAlign w:val="bottom"/>
            <w:gridSpan w:val="3"/>
          </w:tcPr>
          <w:p>
            <w:pPr>
              <w:jc w:val="right"/>
              <w:ind w:right="66"/>
              <w:spacing w:after="0"/>
              <w:rPr>
                <w:sz w:val="20"/>
                <w:szCs w:val="20"/>
                <w:color w:val="auto"/>
              </w:rPr>
            </w:pPr>
            <w:r>
              <w:rPr>
                <w:rFonts w:ascii="Arial" w:cs="Arial" w:eastAsia="Arial" w:hAnsi="Arial"/>
                <w:sz w:val="11"/>
                <w:szCs w:val="11"/>
                <w:color w:val="auto"/>
              </w:rPr>
              <w:t>6.75 %</w:t>
            </w:r>
          </w:p>
        </w:tc>
        <w:tc>
          <w:tcPr>
            <w:tcW w:w="940" w:type="dxa"/>
            <w:vAlign w:val="bottom"/>
          </w:tcPr>
          <w:p>
            <w:pPr>
              <w:jc w:val="right"/>
              <w:spacing w:after="0"/>
              <w:rPr>
                <w:sz w:val="20"/>
                <w:szCs w:val="20"/>
                <w:color w:val="auto"/>
              </w:rPr>
            </w:pPr>
            <w:r>
              <w:rPr>
                <w:rFonts w:ascii="Arial" w:cs="Arial" w:eastAsia="Arial" w:hAnsi="Arial"/>
                <w:sz w:val="11"/>
                <w:szCs w:val="11"/>
                <w:color w:val="auto"/>
              </w:rPr>
              <w:t>1M L+575</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12,438</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12,142</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11,971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0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1"/>
                <w:szCs w:val="11"/>
                <w:color w:val="auto"/>
              </w:rPr>
              <w:t>Wildcat Buyerco, Inc.</w:t>
            </w:r>
          </w:p>
        </w:tc>
        <w:tc>
          <w:tcPr>
            <w:tcW w:w="840" w:type="dxa"/>
            <w:vAlign w:val="bottom"/>
            <w:tcBorders>
              <w:bottom w:val="single" w:sz="8" w:color="CCECFF"/>
            </w:tcBorders>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02/27/2026</w:t>
            </w:r>
          </w:p>
        </w:tc>
        <w:tc>
          <w:tcPr>
            <w:tcW w:w="260" w:type="dxa"/>
            <w:vAlign w:val="bottom"/>
            <w:tcBorders>
              <w:bottom w:val="single" w:sz="8" w:color="CCECFF"/>
            </w:tcBorders>
            <w:shd w:val="clear" w:color="auto" w:fill="CCECFF"/>
          </w:tcPr>
          <w:p>
            <w:pPr>
              <w:spacing w:after="0"/>
              <w:rPr>
                <w:sz w:val="11"/>
                <w:szCs w:val="11"/>
                <w:color w:val="auto"/>
              </w:rPr>
            </w:pPr>
          </w:p>
        </w:tc>
        <w:tc>
          <w:tcPr>
            <w:tcW w:w="2380" w:type="dxa"/>
            <w:vAlign w:val="bottom"/>
            <w:tcBorders>
              <w:bottom w:val="single" w:sz="8" w:color="CCECFF"/>
            </w:tcBorders>
            <w:shd w:val="clear" w:color="auto" w:fill="CCECFF"/>
          </w:tcPr>
          <w:p>
            <w:pPr>
              <w:jc w:val="center"/>
              <w:spacing w:after="0"/>
              <w:rPr>
                <w:sz w:val="20"/>
                <w:szCs w:val="20"/>
                <w:color w:val="auto"/>
              </w:rPr>
            </w:pPr>
            <w:r>
              <w:rPr>
                <w:rFonts w:ascii="Arial" w:cs="Arial" w:eastAsia="Arial" w:hAnsi="Arial"/>
                <w:sz w:val="11"/>
                <w:szCs w:val="11"/>
                <w:color w:val="auto"/>
                <w:w w:val="89"/>
              </w:rPr>
              <w:t>Electronic Equipment, Instruments, and Components</w:t>
            </w:r>
          </w:p>
        </w:tc>
        <w:tc>
          <w:tcPr>
            <w:tcW w:w="1020" w:type="dxa"/>
            <w:vAlign w:val="bottom"/>
            <w:tcBorders>
              <w:bottom w:val="single" w:sz="8" w:color="CCECFF"/>
            </w:tcBorders>
            <w:gridSpan w:val="3"/>
            <w:shd w:val="clear" w:color="auto" w:fill="CCECFF"/>
          </w:tcPr>
          <w:p>
            <w:pPr>
              <w:jc w:val="right"/>
              <w:ind w:right="66"/>
              <w:spacing w:after="0"/>
              <w:rPr>
                <w:sz w:val="20"/>
                <w:szCs w:val="20"/>
                <w:color w:val="auto"/>
              </w:rPr>
            </w:pPr>
            <w:r>
              <w:rPr>
                <w:rFonts w:ascii="Arial" w:cs="Arial" w:eastAsia="Arial" w:hAnsi="Arial"/>
                <w:sz w:val="11"/>
                <w:szCs w:val="11"/>
                <w:color w:val="auto"/>
              </w:rPr>
              <w:t>6.00 %</w:t>
            </w:r>
          </w:p>
        </w:tc>
        <w:tc>
          <w:tcPr>
            <w:tcW w:w="94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1"/>
                <w:szCs w:val="11"/>
                <w:color w:val="auto"/>
              </w:rPr>
              <w:t>3M L+500</w:t>
            </w:r>
          </w:p>
        </w:tc>
        <w:tc>
          <w:tcPr>
            <w:tcW w:w="940" w:type="dxa"/>
            <w:vAlign w:val="bottom"/>
            <w:tcBorders>
              <w:bottom w:val="single" w:sz="8" w:color="CCECFF"/>
            </w:tcBorders>
            <w:gridSpan w:val="2"/>
            <w:shd w:val="clear" w:color="auto" w:fill="CCECFF"/>
          </w:tcPr>
          <w:p>
            <w:pPr>
              <w:jc w:val="right"/>
              <w:spacing w:after="0"/>
              <w:rPr>
                <w:sz w:val="20"/>
                <w:szCs w:val="20"/>
                <w:color w:val="auto"/>
              </w:rPr>
            </w:pPr>
            <w:r>
              <w:rPr>
                <w:rFonts w:ascii="Arial" w:cs="Arial" w:eastAsia="Arial" w:hAnsi="Arial"/>
                <w:sz w:val="11"/>
                <w:szCs w:val="11"/>
                <w:color w:val="auto"/>
              </w:rPr>
              <w:t>5,706</w:t>
            </w:r>
          </w:p>
        </w:tc>
        <w:tc>
          <w:tcPr>
            <w:tcW w:w="24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auto"/>
            </w:tcBorders>
            <w:shd w:val="clear" w:color="auto" w:fill="CCECFF"/>
          </w:tcPr>
          <w:p>
            <w:pPr>
              <w:spacing w:after="0"/>
              <w:rPr>
                <w:sz w:val="11"/>
                <w:szCs w:val="11"/>
                <w:color w:val="auto"/>
              </w:rPr>
            </w:pPr>
          </w:p>
        </w:tc>
        <w:tc>
          <w:tcPr>
            <w:tcW w:w="5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5,656</w:t>
            </w:r>
          </w:p>
        </w:tc>
        <w:tc>
          <w:tcPr>
            <w:tcW w:w="22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bottom w:val="single" w:sz="8" w:color="auto"/>
            </w:tcBorders>
            <w:shd w:val="clear" w:color="auto" w:fill="CCECFF"/>
          </w:tcPr>
          <w:p>
            <w:pPr>
              <w:spacing w:after="0"/>
              <w:rPr>
                <w:sz w:val="11"/>
                <w:szCs w:val="11"/>
                <w:color w:val="auto"/>
              </w:rPr>
            </w:pPr>
          </w:p>
        </w:tc>
        <w:tc>
          <w:tcPr>
            <w:tcW w:w="5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5,678</w:t>
            </w:r>
          </w:p>
        </w:tc>
        <w:tc>
          <w:tcPr>
            <w:tcW w:w="10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00" w:type="dxa"/>
            <w:vAlign w:val="bottom"/>
          </w:tcPr>
          <w:p>
            <w:pPr>
              <w:ind w:left="20"/>
              <w:spacing w:after="0"/>
              <w:rPr>
                <w:sz w:val="20"/>
                <w:szCs w:val="20"/>
                <w:color w:val="auto"/>
              </w:rPr>
            </w:pPr>
            <w:r>
              <w:rPr>
                <w:rFonts w:ascii="Arial" w:cs="Arial" w:eastAsia="Arial" w:hAnsi="Arial"/>
                <w:sz w:val="11"/>
                <w:szCs w:val="11"/>
                <w:b w:val="1"/>
                <w:bCs w:val="1"/>
                <w:color w:val="auto"/>
              </w:rPr>
              <w:t>Total First Lien Secured Debt</w:t>
            </w: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558,880</w:t>
            </w:r>
          </w:p>
        </w:tc>
        <w:tc>
          <w:tcPr>
            <w:tcW w:w="2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557,732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900" w:type="dxa"/>
            <w:vAlign w:val="bottom"/>
          </w:tcPr>
          <w:p>
            <w:pPr>
              <w:ind w:left="20"/>
              <w:spacing w:after="0" w:line="99" w:lineRule="exact"/>
              <w:rPr>
                <w:sz w:val="20"/>
                <w:szCs w:val="20"/>
                <w:color w:val="auto"/>
              </w:rPr>
            </w:pPr>
            <w:r>
              <w:rPr>
                <w:rFonts w:ascii="Arial" w:cs="Arial" w:eastAsia="Arial" w:hAnsi="Arial"/>
                <w:sz w:val="11"/>
                <w:szCs w:val="11"/>
                <w:b w:val="1"/>
                <w:bCs w:val="1"/>
                <w:color w:val="auto"/>
              </w:rPr>
              <w:t>Second Lien Secured Debt - 10.5%</w:t>
            </w: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290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DBI Intermediate Holdco, LLC, Term Loan B </w:t>
            </w:r>
            <w:r>
              <w:rPr>
                <w:rFonts w:ascii="Arial" w:cs="Arial" w:eastAsia="Arial" w:hAnsi="Arial"/>
                <w:sz w:val="14"/>
                <w:szCs w:val="14"/>
                <w:color w:val="auto"/>
                <w:vertAlign w:val="superscript"/>
              </w:rPr>
              <w:t>(4)</w:t>
            </w:r>
          </w:p>
        </w:tc>
        <w:tc>
          <w:tcPr>
            <w:tcW w:w="8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02/02/2026</w:t>
            </w:r>
          </w:p>
        </w:tc>
        <w:tc>
          <w:tcPr>
            <w:tcW w:w="260" w:type="dxa"/>
            <w:vAlign w:val="bottom"/>
          </w:tcPr>
          <w:p>
            <w:pPr>
              <w:spacing w:after="0"/>
              <w:rPr>
                <w:sz w:val="13"/>
                <w:szCs w:val="13"/>
                <w:color w:val="auto"/>
              </w:rPr>
            </w:pPr>
          </w:p>
        </w:tc>
        <w:tc>
          <w:tcPr>
            <w:tcW w:w="2380" w:type="dxa"/>
            <w:vAlign w:val="bottom"/>
          </w:tcPr>
          <w:p>
            <w:pPr>
              <w:jc w:val="center"/>
              <w:spacing w:after="0"/>
              <w:rPr>
                <w:sz w:val="20"/>
                <w:szCs w:val="20"/>
                <w:color w:val="auto"/>
              </w:rPr>
            </w:pPr>
            <w:r>
              <w:rPr>
                <w:rFonts w:ascii="Arial" w:cs="Arial" w:eastAsia="Arial" w:hAnsi="Arial"/>
                <w:sz w:val="11"/>
                <w:szCs w:val="11"/>
                <w:color w:val="auto"/>
                <w:w w:val="86"/>
              </w:rPr>
              <w:t>Business Services</w:t>
            </w:r>
          </w:p>
        </w:tc>
        <w:tc>
          <w:tcPr>
            <w:tcW w:w="1020" w:type="dxa"/>
            <w:vAlign w:val="bottom"/>
            <w:gridSpan w:val="3"/>
          </w:tcPr>
          <w:p>
            <w:pPr>
              <w:jc w:val="right"/>
              <w:ind w:right="66"/>
              <w:spacing w:after="0"/>
              <w:rPr>
                <w:sz w:val="20"/>
                <w:szCs w:val="20"/>
                <w:color w:val="auto"/>
              </w:rPr>
            </w:pPr>
            <w:r>
              <w:rPr>
                <w:rFonts w:ascii="Arial" w:cs="Arial" w:eastAsia="Arial" w:hAnsi="Arial"/>
                <w:sz w:val="11"/>
                <w:szCs w:val="11"/>
                <w:color w:val="auto"/>
              </w:rPr>
              <w:t>11.00 %</w:t>
            </w:r>
          </w:p>
        </w:tc>
        <w:tc>
          <w:tcPr>
            <w:tcW w:w="94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2,434</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2,434</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2,434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gridSpan w:val="2"/>
          </w:tcPr>
          <w:p>
            <w:pPr>
              <w:jc w:val="right"/>
              <w:ind w:right="206"/>
              <w:spacing w:after="0" w:line="108" w:lineRule="exact"/>
              <w:rPr>
                <w:sz w:val="20"/>
                <w:szCs w:val="20"/>
                <w:color w:val="auto"/>
              </w:rPr>
            </w:pPr>
            <w:r>
              <w:rPr>
                <w:rFonts w:ascii="Arial" w:cs="Arial" w:eastAsia="Arial" w:hAnsi="Arial"/>
                <w:sz w:val="11"/>
                <w:szCs w:val="11"/>
                <w:color w:val="auto"/>
              </w:rPr>
              <w:t>P(IK</w:t>
            </w: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800" w:type="dxa"/>
            <w:vAlign w:val="bottom"/>
            <w:gridSpan w:val="2"/>
          </w:tcPr>
          <w:p>
            <w:pPr>
              <w:jc w:val="right"/>
              <w:spacing w:after="0"/>
              <w:rPr>
                <w:sz w:val="20"/>
                <w:szCs w:val="20"/>
                <w:color w:val="auto"/>
              </w:rPr>
            </w:pPr>
            <w:r>
              <w:rPr>
                <w:rFonts w:ascii="Arial" w:cs="Arial" w:eastAsia="Arial" w:hAnsi="Arial"/>
                <w:sz w:val="11"/>
                <w:szCs w:val="11"/>
                <w:color w:val="auto"/>
              </w:rPr>
              <w:t>9.00%)</w:t>
            </w: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90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1"/>
                <w:szCs w:val="11"/>
                <w:color w:val="auto"/>
              </w:rPr>
              <w:t>Inventus Power, Inc.</w:t>
            </w:r>
          </w:p>
        </w:tc>
        <w:tc>
          <w:tcPr>
            <w:tcW w:w="840" w:type="dxa"/>
            <w:vAlign w:val="bottom"/>
            <w:tcBorders>
              <w:bottom w:val="single" w:sz="8" w:color="CCECFF"/>
            </w:tcBorders>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09/29/2024</w:t>
            </w:r>
          </w:p>
        </w:tc>
        <w:tc>
          <w:tcPr>
            <w:tcW w:w="260" w:type="dxa"/>
            <w:vAlign w:val="bottom"/>
            <w:tcBorders>
              <w:bottom w:val="single" w:sz="8" w:color="CCECFF"/>
            </w:tcBorders>
            <w:shd w:val="clear" w:color="auto" w:fill="CCECFF"/>
          </w:tcPr>
          <w:p>
            <w:pPr>
              <w:spacing w:after="0"/>
              <w:rPr>
                <w:sz w:val="12"/>
                <w:szCs w:val="12"/>
                <w:color w:val="auto"/>
              </w:rPr>
            </w:pPr>
          </w:p>
        </w:tc>
        <w:tc>
          <w:tcPr>
            <w:tcW w:w="2380" w:type="dxa"/>
            <w:vAlign w:val="bottom"/>
            <w:tcBorders>
              <w:bottom w:val="single" w:sz="8" w:color="CCECFF"/>
            </w:tcBorders>
            <w:shd w:val="clear" w:color="auto" w:fill="CCECFF"/>
          </w:tcPr>
          <w:p>
            <w:pPr>
              <w:jc w:val="center"/>
              <w:spacing w:after="0"/>
              <w:rPr>
                <w:sz w:val="20"/>
                <w:szCs w:val="20"/>
                <w:color w:val="auto"/>
              </w:rPr>
            </w:pPr>
            <w:r>
              <w:rPr>
                <w:rFonts w:ascii="Arial" w:cs="Arial" w:eastAsia="Arial" w:hAnsi="Arial"/>
                <w:sz w:val="11"/>
                <w:szCs w:val="11"/>
                <w:color w:val="auto"/>
                <w:w w:val="88"/>
              </w:rPr>
              <w:t>Consumer Goods: Durable</w:t>
            </w:r>
          </w:p>
        </w:tc>
        <w:tc>
          <w:tcPr>
            <w:tcW w:w="1020" w:type="dxa"/>
            <w:vAlign w:val="bottom"/>
            <w:tcBorders>
              <w:bottom w:val="single" w:sz="8" w:color="CCECFF"/>
            </w:tcBorders>
            <w:gridSpan w:val="3"/>
            <w:shd w:val="clear" w:color="auto" w:fill="CCECFF"/>
          </w:tcPr>
          <w:p>
            <w:pPr>
              <w:jc w:val="right"/>
              <w:ind w:right="66"/>
              <w:spacing w:after="0"/>
              <w:rPr>
                <w:sz w:val="20"/>
                <w:szCs w:val="20"/>
                <w:color w:val="auto"/>
              </w:rPr>
            </w:pPr>
            <w:r>
              <w:rPr>
                <w:rFonts w:ascii="Arial" w:cs="Arial" w:eastAsia="Arial" w:hAnsi="Arial"/>
                <w:sz w:val="11"/>
                <w:szCs w:val="11"/>
                <w:color w:val="auto"/>
              </w:rPr>
              <w:t>9.50 %</w:t>
            </w:r>
          </w:p>
        </w:tc>
        <w:tc>
          <w:tcPr>
            <w:tcW w:w="94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1"/>
                <w:szCs w:val="11"/>
                <w:color w:val="auto"/>
              </w:rPr>
              <w:t>3M L+850</w:t>
            </w:r>
          </w:p>
        </w:tc>
        <w:tc>
          <w:tcPr>
            <w:tcW w:w="940" w:type="dxa"/>
            <w:vAlign w:val="bottom"/>
            <w:tcBorders>
              <w:bottom w:val="single" w:sz="8" w:color="CCECFF"/>
            </w:tcBorders>
            <w:gridSpan w:val="2"/>
            <w:shd w:val="clear" w:color="auto" w:fill="CCECFF"/>
          </w:tcPr>
          <w:p>
            <w:pPr>
              <w:jc w:val="right"/>
              <w:spacing w:after="0"/>
              <w:rPr>
                <w:sz w:val="20"/>
                <w:szCs w:val="20"/>
                <w:color w:val="auto"/>
              </w:rPr>
            </w:pPr>
            <w:r>
              <w:rPr>
                <w:rFonts w:ascii="Arial" w:cs="Arial" w:eastAsia="Arial" w:hAnsi="Arial"/>
                <w:sz w:val="11"/>
                <w:szCs w:val="11"/>
                <w:color w:val="auto"/>
              </w:rPr>
              <w:t>3,000</w:t>
            </w:r>
          </w:p>
        </w:tc>
        <w:tc>
          <w:tcPr>
            <w:tcW w:w="240" w:type="dxa"/>
            <w:vAlign w:val="bottom"/>
            <w:tcBorders>
              <w:bottom w:val="single" w:sz="8" w:color="CCECFF"/>
            </w:tcBorders>
            <w:shd w:val="clear" w:color="auto" w:fill="CCECFF"/>
          </w:tcPr>
          <w:p>
            <w:pPr>
              <w:spacing w:after="0"/>
              <w:rPr>
                <w:sz w:val="12"/>
                <w:szCs w:val="12"/>
                <w:color w:val="auto"/>
              </w:rPr>
            </w:pPr>
          </w:p>
        </w:tc>
        <w:tc>
          <w:tcPr>
            <w:tcW w:w="140" w:type="dxa"/>
            <w:vAlign w:val="bottom"/>
            <w:tcBorders>
              <w:bottom w:val="single" w:sz="8" w:color="auto"/>
            </w:tcBorders>
            <w:shd w:val="clear" w:color="auto" w:fill="CCECFF"/>
          </w:tcPr>
          <w:p>
            <w:pPr>
              <w:spacing w:after="0"/>
              <w:rPr>
                <w:sz w:val="12"/>
                <w:szCs w:val="12"/>
                <w:color w:val="auto"/>
              </w:rPr>
            </w:pPr>
          </w:p>
        </w:tc>
        <w:tc>
          <w:tcPr>
            <w:tcW w:w="5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2,947</w:t>
            </w:r>
          </w:p>
        </w:tc>
        <w:tc>
          <w:tcPr>
            <w:tcW w:w="220" w:type="dxa"/>
            <w:vAlign w:val="bottom"/>
            <w:tcBorders>
              <w:bottom w:val="single" w:sz="8" w:color="CCECFF"/>
            </w:tcBorders>
            <w:shd w:val="clear" w:color="auto" w:fill="CCECFF"/>
          </w:tcPr>
          <w:p>
            <w:pPr>
              <w:spacing w:after="0"/>
              <w:rPr>
                <w:sz w:val="12"/>
                <w:szCs w:val="12"/>
                <w:color w:val="auto"/>
              </w:rPr>
            </w:pPr>
          </w:p>
        </w:tc>
        <w:tc>
          <w:tcPr>
            <w:tcW w:w="180" w:type="dxa"/>
            <w:vAlign w:val="bottom"/>
            <w:tcBorders>
              <w:bottom w:val="single" w:sz="8" w:color="auto"/>
            </w:tcBorders>
            <w:shd w:val="clear" w:color="auto" w:fill="CCECFF"/>
          </w:tcPr>
          <w:p>
            <w:pPr>
              <w:spacing w:after="0"/>
              <w:rPr>
                <w:sz w:val="12"/>
                <w:szCs w:val="12"/>
                <w:color w:val="auto"/>
              </w:rPr>
            </w:pPr>
          </w:p>
        </w:tc>
        <w:tc>
          <w:tcPr>
            <w:tcW w:w="5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2,940</w:t>
            </w:r>
          </w:p>
        </w:tc>
        <w:tc>
          <w:tcPr>
            <w:tcW w:w="10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900" w:type="dxa"/>
            <w:vAlign w:val="bottom"/>
          </w:tcPr>
          <w:p>
            <w:pPr>
              <w:ind w:left="20"/>
              <w:spacing w:after="0"/>
              <w:rPr>
                <w:sz w:val="20"/>
                <w:szCs w:val="20"/>
                <w:color w:val="auto"/>
              </w:rPr>
            </w:pPr>
            <w:r>
              <w:rPr>
                <w:rFonts w:ascii="Arial" w:cs="Arial" w:eastAsia="Arial" w:hAnsi="Arial"/>
                <w:sz w:val="11"/>
                <w:szCs w:val="11"/>
                <w:b w:val="1"/>
                <w:bCs w:val="1"/>
                <w:color w:val="auto"/>
              </w:rPr>
              <w:t>Total Second Lien Secured Debt</w:t>
            </w: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5,381</w:t>
            </w:r>
          </w:p>
        </w:tc>
        <w:tc>
          <w:tcPr>
            <w:tcW w:w="2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5,374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900" w:type="dxa"/>
            <w:vAlign w:val="bottom"/>
          </w:tcPr>
          <w:p>
            <w:pPr>
              <w:ind w:left="20"/>
              <w:spacing w:after="0" w:line="99" w:lineRule="exact"/>
              <w:rPr>
                <w:sz w:val="20"/>
                <w:szCs w:val="20"/>
                <w:color w:val="auto"/>
              </w:rPr>
            </w:pPr>
            <w:r>
              <w:rPr>
                <w:rFonts w:ascii="Arial" w:cs="Arial" w:eastAsia="Arial" w:hAnsi="Arial"/>
                <w:sz w:val="11"/>
                <w:szCs w:val="11"/>
                <w:b w:val="1"/>
                <w:bCs w:val="1"/>
                <w:color w:val="auto"/>
              </w:rPr>
              <w:t>Equity Securities - 3.3%</w:t>
            </w: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90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DBI Intermediate Holdco, LLC, Series A-1 </w:t>
            </w:r>
            <w:r>
              <w:rPr>
                <w:rFonts w:ascii="Arial" w:cs="Arial" w:eastAsia="Arial" w:hAnsi="Arial"/>
                <w:sz w:val="14"/>
                <w:szCs w:val="14"/>
                <w:color w:val="auto"/>
                <w:vertAlign w:val="superscript"/>
              </w:rPr>
              <w:t>(4)</w:t>
            </w:r>
          </w:p>
        </w:tc>
        <w:tc>
          <w:tcPr>
            <w:tcW w:w="140" w:type="dxa"/>
            <w:vAlign w:val="bottom"/>
          </w:tcPr>
          <w:p>
            <w:pPr>
              <w:spacing w:after="0"/>
              <w:rPr>
                <w:sz w:val="11"/>
                <w:szCs w:val="11"/>
                <w:color w:val="auto"/>
              </w:rPr>
            </w:pPr>
          </w:p>
        </w:tc>
        <w:tc>
          <w:tcPr>
            <w:tcW w:w="700" w:type="dxa"/>
            <w:vAlign w:val="bottom"/>
          </w:tcPr>
          <w:p>
            <w:pPr>
              <w:ind w:left="58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1"/>
                <w:szCs w:val="11"/>
                <w:color w:val="auto"/>
              </w:rPr>
            </w:pPr>
          </w:p>
        </w:tc>
        <w:tc>
          <w:tcPr>
            <w:tcW w:w="2380" w:type="dxa"/>
            <w:vAlign w:val="bottom"/>
          </w:tcPr>
          <w:p>
            <w:pPr>
              <w:jc w:val="center"/>
              <w:spacing w:after="0"/>
              <w:rPr>
                <w:sz w:val="20"/>
                <w:szCs w:val="20"/>
                <w:color w:val="auto"/>
              </w:rPr>
            </w:pPr>
            <w:r>
              <w:rPr>
                <w:rFonts w:ascii="Arial" w:cs="Arial" w:eastAsia="Arial" w:hAnsi="Arial"/>
                <w:sz w:val="11"/>
                <w:szCs w:val="11"/>
                <w:color w:val="auto"/>
                <w:w w:val="86"/>
              </w:rPr>
              <w:t>Business Services</w:t>
            </w:r>
          </w:p>
        </w:tc>
        <w:tc>
          <w:tcPr>
            <w:tcW w:w="1020" w:type="dxa"/>
            <w:vAlign w:val="bottom"/>
            <w:gridSpan w:val="3"/>
          </w:tcPr>
          <w:p>
            <w:pPr>
              <w:jc w:val="right"/>
              <w:ind w:right="66"/>
              <w:spacing w:after="0"/>
              <w:rPr>
                <w:sz w:val="20"/>
                <w:szCs w:val="20"/>
                <w:color w:val="auto"/>
              </w:rPr>
            </w:pPr>
            <w:r>
              <w:rPr>
                <w:rFonts w:ascii="Arial" w:cs="Arial" w:eastAsia="Arial" w:hAnsi="Arial"/>
                <w:sz w:val="11"/>
                <w:szCs w:val="11"/>
                <w:color w:val="auto"/>
              </w:rPr>
              <w:t>13.00 %</w:t>
            </w:r>
          </w:p>
        </w:tc>
        <w:tc>
          <w:tcPr>
            <w:tcW w:w="94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7</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5,034</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gridSpan w:val="2"/>
          </w:tcPr>
          <w:p>
            <w:pPr>
              <w:jc w:val="right"/>
              <w:ind w:right="82"/>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290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DBI Intermediate Holdco, LLC, Series AA </w:t>
            </w:r>
            <w:r>
              <w:rPr>
                <w:rFonts w:ascii="Arial" w:cs="Arial" w:eastAsia="Arial" w:hAnsi="Arial"/>
                <w:sz w:val="14"/>
                <w:szCs w:val="14"/>
                <w:color w:val="auto"/>
                <w:vertAlign w:val="superscript"/>
              </w:rPr>
              <w:t>(4)</w:t>
            </w:r>
          </w:p>
        </w:tc>
        <w:tc>
          <w:tcPr>
            <w:tcW w:w="140" w:type="dxa"/>
            <w:vAlign w:val="bottom"/>
          </w:tcPr>
          <w:p>
            <w:pPr>
              <w:spacing w:after="0"/>
              <w:rPr>
                <w:sz w:val="11"/>
                <w:szCs w:val="11"/>
                <w:color w:val="auto"/>
              </w:rPr>
            </w:pPr>
          </w:p>
        </w:tc>
        <w:tc>
          <w:tcPr>
            <w:tcW w:w="700" w:type="dxa"/>
            <w:vAlign w:val="bottom"/>
          </w:tcPr>
          <w:p>
            <w:pPr>
              <w:ind w:left="58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1"/>
                <w:szCs w:val="11"/>
                <w:color w:val="auto"/>
              </w:rPr>
            </w:pPr>
          </w:p>
        </w:tc>
        <w:tc>
          <w:tcPr>
            <w:tcW w:w="2380" w:type="dxa"/>
            <w:vAlign w:val="bottom"/>
          </w:tcPr>
          <w:p>
            <w:pPr>
              <w:jc w:val="center"/>
              <w:spacing w:after="0"/>
              <w:rPr>
                <w:sz w:val="20"/>
                <w:szCs w:val="20"/>
                <w:color w:val="auto"/>
              </w:rPr>
            </w:pPr>
            <w:r>
              <w:rPr>
                <w:rFonts w:ascii="Arial" w:cs="Arial" w:eastAsia="Arial" w:hAnsi="Arial"/>
                <w:sz w:val="11"/>
                <w:szCs w:val="11"/>
                <w:color w:val="auto"/>
                <w:w w:val="86"/>
              </w:rPr>
              <w:t>Business Services</w:t>
            </w:r>
          </w:p>
        </w:tc>
        <w:tc>
          <w:tcPr>
            <w:tcW w:w="140" w:type="dxa"/>
            <w:vAlign w:val="bottom"/>
          </w:tcPr>
          <w:p>
            <w:pPr>
              <w:spacing w:after="0"/>
              <w:rPr>
                <w:sz w:val="11"/>
                <w:szCs w:val="11"/>
                <w:color w:val="auto"/>
              </w:rPr>
            </w:pPr>
          </w:p>
        </w:tc>
        <w:tc>
          <w:tcPr>
            <w:tcW w:w="880" w:type="dxa"/>
            <w:vAlign w:val="bottom"/>
            <w:gridSpan w:val="2"/>
          </w:tcPr>
          <w:p>
            <w:pPr>
              <w:jc w:val="right"/>
              <w:ind w:right="186"/>
              <w:spacing w:after="0"/>
              <w:rPr>
                <w:sz w:val="20"/>
                <w:szCs w:val="20"/>
                <w:color w:val="auto"/>
              </w:rPr>
            </w:pPr>
            <w:r>
              <w:rPr>
                <w:rFonts w:ascii="Arial" w:cs="Arial" w:eastAsia="Arial" w:hAnsi="Arial"/>
                <w:sz w:val="11"/>
                <w:szCs w:val="11"/>
                <w:color w:val="auto"/>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7</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6,731</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1,314.7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900" w:type="dxa"/>
            <w:vAlign w:val="bottom"/>
          </w:tcPr>
          <w:p>
            <w:pPr>
              <w:ind w:left="20"/>
              <w:spacing w:after="0"/>
              <w:rPr>
                <w:sz w:val="20"/>
                <w:szCs w:val="20"/>
                <w:color w:val="auto"/>
              </w:rPr>
            </w:pPr>
            <w:r>
              <w:rPr>
                <w:rFonts w:ascii="Arial" w:cs="Arial" w:eastAsia="Arial" w:hAnsi="Arial"/>
                <w:sz w:val="11"/>
                <w:szCs w:val="11"/>
                <w:color w:val="auto"/>
              </w:rPr>
              <w:t xml:space="preserve">DBI Intermediate Holdco, LLC, Series B </w:t>
            </w:r>
            <w:r>
              <w:rPr>
                <w:rFonts w:ascii="Arial" w:cs="Arial" w:eastAsia="Arial" w:hAnsi="Arial"/>
                <w:sz w:val="14"/>
                <w:szCs w:val="14"/>
                <w:color w:val="auto"/>
                <w:vertAlign w:val="superscript"/>
              </w:rPr>
              <w:t>(4)</w:t>
            </w:r>
          </w:p>
        </w:tc>
        <w:tc>
          <w:tcPr>
            <w:tcW w:w="140" w:type="dxa"/>
            <w:vAlign w:val="bottom"/>
          </w:tcPr>
          <w:p>
            <w:pPr>
              <w:spacing w:after="0"/>
              <w:rPr>
                <w:sz w:val="14"/>
                <w:szCs w:val="14"/>
                <w:color w:val="auto"/>
              </w:rPr>
            </w:pPr>
          </w:p>
        </w:tc>
        <w:tc>
          <w:tcPr>
            <w:tcW w:w="700" w:type="dxa"/>
            <w:vAlign w:val="bottom"/>
          </w:tcPr>
          <w:p>
            <w:pPr>
              <w:ind w:left="58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4"/>
                <w:szCs w:val="14"/>
                <w:color w:val="auto"/>
              </w:rPr>
            </w:pPr>
          </w:p>
        </w:tc>
        <w:tc>
          <w:tcPr>
            <w:tcW w:w="2380" w:type="dxa"/>
            <w:vAlign w:val="bottom"/>
          </w:tcPr>
          <w:p>
            <w:pPr>
              <w:jc w:val="center"/>
              <w:spacing w:after="0"/>
              <w:rPr>
                <w:sz w:val="20"/>
                <w:szCs w:val="20"/>
                <w:color w:val="auto"/>
              </w:rPr>
            </w:pPr>
            <w:r>
              <w:rPr>
                <w:rFonts w:ascii="Arial" w:cs="Arial" w:eastAsia="Arial" w:hAnsi="Arial"/>
                <w:sz w:val="11"/>
                <w:szCs w:val="11"/>
                <w:color w:val="auto"/>
                <w:w w:val="86"/>
              </w:rPr>
              <w:t>Business Services</w:t>
            </w:r>
          </w:p>
        </w:tc>
        <w:tc>
          <w:tcPr>
            <w:tcW w:w="140" w:type="dxa"/>
            <w:vAlign w:val="bottom"/>
          </w:tcPr>
          <w:p>
            <w:pPr>
              <w:spacing w:after="0"/>
              <w:rPr>
                <w:sz w:val="14"/>
                <w:szCs w:val="14"/>
                <w:color w:val="auto"/>
              </w:rPr>
            </w:pPr>
          </w:p>
        </w:tc>
        <w:tc>
          <w:tcPr>
            <w:tcW w:w="880" w:type="dxa"/>
            <w:vAlign w:val="bottom"/>
            <w:gridSpan w:val="2"/>
          </w:tcPr>
          <w:p>
            <w:pPr>
              <w:jc w:val="right"/>
              <w:ind w:right="186"/>
              <w:spacing w:after="0"/>
              <w:rPr>
                <w:sz w:val="20"/>
                <w:szCs w:val="20"/>
                <w:color w:val="auto"/>
              </w:rPr>
            </w:pPr>
            <w:r>
              <w:rPr>
                <w:rFonts w:ascii="Arial" w:cs="Arial" w:eastAsia="Arial" w:hAnsi="Arial"/>
                <w:sz w:val="11"/>
                <w:szCs w:val="11"/>
                <w:color w:val="auto"/>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1,065</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237</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gridSpan w:val="2"/>
          </w:tcPr>
          <w:p>
            <w:pPr>
              <w:jc w:val="right"/>
              <w:ind w:right="82"/>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290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1"/>
                <w:szCs w:val="11"/>
                <w:color w:val="auto"/>
              </w:rPr>
              <w:t>New MPE Holdings, LLC</w:t>
            </w:r>
          </w:p>
        </w:tc>
        <w:tc>
          <w:tcPr>
            <w:tcW w:w="140" w:type="dxa"/>
            <w:vAlign w:val="bottom"/>
            <w:tcBorders>
              <w:bottom w:val="single" w:sz="8" w:color="CCECFF"/>
            </w:tcBorders>
            <w:shd w:val="clear" w:color="auto" w:fill="CCECFF"/>
          </w:tcPr>
          <w:p>
            <w:pPr>
              <w:spacing w:after="0"/>
              <w:rPr>
                <w:sz w:val="11"/>
                <w:szCs w:val="11"/>
                <w:color w:val="auto"/>
              </w:rPr>
            </w:pPr>
          </w:p>
        </w:tc>
        <w:tc>
          <w:tcPr>
            <w:tcW w:w="700" w:type="dxa"/>
            <w:vAlign w:val="bottom"/>
            <w:tcBorders>
              <w:bottom w:val="single" w:sz="8" w:color="CCECFF"/>
            </w:tcBorders>
            <w:shd w:val="clear" w:color="auto" w:fill="CCECFF"/>
          </w:tcPr>
          <w:p>
            <w:pPr>
              <w:ind w:left="580"/>
              <w:spacing w:after="0"/>
              <w:rPr>
                <w:sz w:val="20"/>
                <w:szCs w:val="20"/>
                <w:color w:val="auto"/>
              </w:rPr>
            </w:pPr>
            <w:r>
              <w:rPr>
                <w:rFonts w:ascii="Arial" w:cs="Arial" w:eastAsia="Arial" w:hAnsi="Arial"/>
                <w:sz w:val="11"/>
                <w:szCs w:val="11"/>
                <w:color w:val="auto"/>
                <w:w w:val="90"/>
              </w:rPr>
              <w:t>—</w:t>
            </w:r>
          </w:p>
        </w:tc>
        <w:tc>
          <w:tcPr>
            <w:tcW w:w="260" w:type="dxa"/>
            <w:vAlign w:val="bottom"/>
            <w:tcBorders>
              <w:bottom w:val="single" w:sz="8" w:color="CCECFF"/>
            </w:tcBorders>
            <w:shd w:val="clear" w:color="auto" w:fill="CCECFF"/>
          </w:tcPr>
          <w:p>
            <w:pPr>
              <w:spacing w:after="0"/>
              <w:rPr>
                <w:sz w:val="11"/>
                <w:szCs w:val="11"/>
                <w:color w:val="auto"/>
              </w:rPr>
            </w:pPr>
          </w:p>
        </w:tc>
        <w:tc>
          <w:tcPr>
            <w:tcW w:w="2380" w:type="dxa"/>
            <w:vAlign w:val="bottom"/>
            <w:tcBorders>
              <w:bottom w:val="single" w:sz="8" w:color="CCECFF"/>
            </w:tcBorders>
            <w:shd w:val="clear" w:color="auto" w:fill="CCECFF"/>
          </w:tcPr>
          <w:p>
            <w:pPr>
              <w:jc w:val="center"/>
              <w:spacing w:after="0"/>
              <w:rPr>
                <w:sz w:val="20"/>
                <w:szCs w:val="20"/>
                <w:color w:val="auto"/>
              </w:rPr>
            </w:pPr>
            <w:r>
              <w:rPr>
                <w:rFonts w:ascii="Arial" w:cs="Arial" w:eastAsia="Arial" w:hAnsi="Arial"/>
                <w:sz w:val="11"/>
                <w:szCs w:val="11"/>
                <w:color w:val="auto"/>
                <w:w w:val="91"/>
              </w:rPr>
              <w:t>Media: Diversified and Production</w:t>
            </w:r>
          </w:p>
        </w:tc>
        <w:tc>
          <w:tcPr>
            <w:tcW w:w="140" w:type="dxa"/>
            <w:vAlign w:val="bottom"/>
            <w:tcBorders>
              <w:bottom w:val="single" w:sz="8" w:color="CCECFF"/>
            </w:tcBorders>
            <w:shd w:val="clear" w:color="auto" w:fill="CCECFF"/>
          </w:tcPr>
          <w:p>
            <w:pPr>
              <w:spacing w:after="0"/>
              <w:rPr>
                <w:sz w:val="11"/>
                <w:szCs w:val="11"/>
                <w:color w:val="auto"/>
              </w:rPr>
            </w:pPr>
          </w:p>
        </w:tc>
        <w:tc>
          <w:tcPr>
            <w:tcW w:w="880" w:type="dxa"/>
            <w:vAlign w:val="bottom"/>
            <w:tcBorders>
              <w:bottom w:val="single" w:sz="8" w:color="CCECFF"/>
            </w:tcBorders>
            <w:gridSpan w:val="2"/>
            <w:shd w:val="clear" w:color="auto" w:fill="CCECFF"/>
          </w:tcPr>
          <w:p>
            <w:pPr>
              <w:jc w:val="right"/>
              <w:ind w:right="186"/>
              <w:spacing w:after="0"/>
              <w:rPr>
                <w:sz w:val="20"/>
                <w:szCs w:val="20"/>
                <w:color w:val="auto"/>
              </w:rPr>
            </w:pPr>
            <w:r>
              <w:rPr>
                <w:rFonts w:ascii="Arial" w:cs="Arial" w:eastAsia="Arial" w:hAnsi="Arial"/>
                <w:sz w:val="11"/>
                <w:szCs w:val="11"/>
                <w:color w:val="auto"/>
              </w:rPr>
              <w:t>—</w:t>
            </w:r>
          </w:p>
        </w:tc>
        <w:tc>
          <w:tcPr>
            <w:tcW w:w="94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940" w:type="dxa"/>
            <w:vAlign w:val="bottom"/>
            <w:tcBorders>
              <w:bottom w:val="single" w:sz="8" w:color="CCECFF"/>
            </w:tcBorders>
            <w:gridSpan w:val="2"/>
            <w:shd w:val="clear" w:color="auto" w:fill="CCECFF"/>
          </w:tcPr>
          <w:p>
            <w:pPr>
              <w:jc w:val="right"/>
              <w:spacing w:after="0"/>
              <w:rPr>
                <w:sz w:val="20"/>
                <w:szCs w:val="20"/>
                <w:color w:val="auto"/>
              </w:rPr>
            </w:pPr>
            <w:r>
              <w:rPr>
                <w:rFonts w:ascii="Arial" w:cs="Arial" w:eastAsia="Arial" w:hAnsi="Arial"/>
                <w:sz w:val="11"/>
                <w:szCs w:val="11"/>
                <w:color w:val="auto"/>
              </w:rPr>
              <w:t>0</w:t>
            </w:r>
          </w:p>
        </w:tc>
        <w:tc>
          <w:tcPr>
            <w:tcW w:w="24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auto"/>
            </w:tcBorders>
            <w:shd w:val="clear" w:color="auto" w:fill="CCECFF"/>
          </w:tcPr>
          <w:p>
            <w:pPr>
              <w:spacing w:after="0"/>
              <w:rPr>
                <w:sz w:val="11"/>
                <w:szCs w:val="11"/>
                <w:color w:val="auto"/>
              </w:rPr>
            </w:pPr>
          </w:p>
        </w:tc>
        <w:tc>
          <w:tcPr>
            <w:tcW w:w="5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bottom w:val="single" w:sz="8" w:color="auto"/>
            </w:tcBorders>
            <w:shd w:val="clear" w:color="auto" w:fill="CCECFF"/>
          </w:tcPr>
          <w:p>
            <w:pPr>
              <w:spacing w:after="0"/>
              <w:rPr>
                <w:sz w:val="11"/>
                <w:szCs w:val="11"/>
                <w:color w:val="auto"/>
              </w:rPr>
            </w:pPr>
          </w:p>
        </w:tc>
        <w:tc>
          <w:tcPr>
            <w:tcW w:w="5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362.2</w:t>
            </w:r>
          </w:p>
        </w:tc>
        <w:tc>
          <w:tcPr>
            <w:tcW w:w="10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00" w:type="dxa"/>
            <w:vAlign w:val="bottom"/>
          </w:tcPr>
          <w:p>
            <w:pPr>
              <w:ind w:left="20"/>
              <w:spacing w:after="0"/>
              <w:rPr>
                <w:sz w:val="20"/>
                <w:szCs w:val="20"/>
                <w:color w:val="auto"/>
              </w:rPr>
            </w:pPr>
            <w:r>
              <w:rPr>
                <w:rFonts w:ascii="Arial" w:cs="Arial" w:eastAsia="Arial" w:hAnsi="Arial"/>
                <w:sz w:val="11"/>
                <w:szCs w:val="11"/>
                <w:b w:val="1"/>
                <w:bCs w:val="1"/>
                <w:color w:val="auto"/>
              </w:rPr>
              <w:t>Total Equity Securities</w:t>
            </w: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12,002</w:t>
            </w:r>
          </w:p>
        </w:tc>
        <w:tc>
          <w:tcPr>
            <w:tcW w:w="2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1,677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0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1"/>
                <w:szCs w:val="11"/>
                <w:b w:val="1"/>
                <w:bCs w:val="1"/>
                <w:color w:val="auto"/>
              </w:rPr>
              <w:t>Total Investments - 1101.7%</w:t>
            </w:r>
          </w:p>
        </w:tc>
        <w:tc>
          <w:tcPr>
            <w:tcW w:w="140" w:type="dxa"/>
            <w:vAlign w:val="bottom"/>
            <w:tcBorders>
              <w:bottom w:val="single" w:sz="8" w:color="CCECFF"/>
            </w:tcBorders>
            <w:shd w:val="clear" w:color="auto" w:fill="CCECFF"/>
          </w:tcPr>
          <w:p>
            <w:pPr>
              <w:spacing w:after="0"/>
              <w:rPr>
                <w:sz w:val="11"/>
                <w:szCs w:val="11"/>
                <w:color w:val="auto"/>
              </w:rPr>
            </w:pPr>
          </w:p>
        </w:tc>
        <w:tc>
          <w:tcPr>
            <w:tcW w:w="700" w:type="dxa"/>
            <w:vAlign w:val="bottom"/>
            <w:tcBorders>
              <w:bottom w:val="single" w:sz="8" w:color="CCECFF"/>
            </w:tcBorders>
            <w:shd w:val="clear" w:color="auto" w:fill="CCECFF"/>
          </w:tcPr>
          <w:p>
            <w:pPr>
              <w:spacing w:after="0"/>
              <w:rPr>
                <w:sz w:val="11"/>
                <w:szCs w:val="11"/>
                <w:color w:val="auto"/>
              </w:rPr>
            </w:pPr>
          </w:p>
        </w:tc>
        <w:tc>
          <w:tcPr>
            <w:tcW w:w="260" w:type="dxa"/>
            <w:vAlign w:val="bottom"/>
            <w:tcBorders>
              <w:bottom w:val="single" w:sz="8" w:color="CCECFF"/>
            </w:tcBorders>
            <w:shd w:val="clear" w:color="auto" w:fill="CCECFF"/>
          </w:tcPr>
          <w:p>
            <w:pPr>
              <w:spacing w:after="0"/>
              <w:rPr>
                <w:sz w:val="11"/>
                <w:szCs w:val="11"/>
                <w:color w:val="auto"/>
              </w:rPr>
            </w:pPr>
          </w:p>
        </w:tc>
        <w:tc>
          <w:tcPr>
            <w:tcW w:w="238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CCECFF"/>
            </w:tcBorders>
            <w:shd w:val="clear" w:color="auto" w:fill="CCECFF"/>
          </w:tcPr>
          <w:p>
            <w:pPr>
              <w:spacing w:after="0"/>
              <w:rPr>
                <w:sz w:val="11"/>
                <w:szCs w:val="11"/>
                <w:color w:val="auto"/>
              </w:rPr>
            </w:pPr>
          </w:p>
        </w:tc>
        <w:tc>
          <w:tcPr>
            <w:tcW w:w="66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94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720" w:type="dxa"/>
            <w:vAlign w:val="bottom"/>
            <w:tcBorders>
              <w:bottom w:val="single" w:sz="8" w:color="CCECFF"/>
            </w:tcBorders>
            <w:shd w:val="clear" w:color="auto" w:fill="CCECFF"/>
          </w:tcPr>
          <w:p>
            <w:pPr>
              <w:spacing w:after="0"/>
              <w:rPr>
                <w:sz w:val="11"/>
                <w:szCs w:val="11"/>
                <w:color w:val="auto"/>
              </w:rPr>
            </w:pPr>
          </w:p>
        </w:tc>
        <w:tc>
          <w:tcPr>
            <w:tcW w:w="24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auto"/>
            </w:tcBorders>
            <w:shd w:val="clear" w:color="auto" w:fill="CCECFF"/>
          </w:tcPr>
          <w:p>
            <w:pPr>
              <w:spacing w:after="0"/>
              <w:rPr>
                <w:sz w:val="11"/>
                <w:szCs w:val="11"/>
                <w:color w:val="auto"/>
              </w:rPr>
            </w:pPr>
          </w:p>
        </w:tc>
        <w:tc>
          <w:tcPr>
            <w:tcW w:w="5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576,263</w:t>
            </w:r>
          </w:p>
        </w:tc>
        <w:tc>
          <w:tcPr>
            <w:tcW w:w="22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bottom w:val="single" w:sz="8" w:color="auto"/>
            </w:tcBorders>
            <w:shd w:val="clear" w:color="auto" w:fill="CCECFF"/>
          </w:tcPr>
          <w:p>
            <w:pPr>
              <w:spacing w:after="0"/>
              <w:rPr>
                <w:sz w:val="11"/>
                <w:szCs w:val="11"/>
                <w:color w:val="auto"/>
              </w:rPr>
            </w:pPr>
          </w:p>
        </w:tc>
        <w:tc>
          <w:tcPr>
            <w:tcW w:w="5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564,783</w:t>
            </w:r>
          </w:p>
        </w:tc>
        <w:tc>
          <w:tcPr>
            <w:tcW w:w="10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00" w:type="dxa"/>
            <w:vAlign w:val="bottom"/>
          </w:tcPr>
          <w:p>
            <w:pPr>
              <w:ind w:left="20"/>
              <w:spacing w:after="0"/>
              <w:rPr>
                <w:sz w:val="20"/>
                <w:szCs w:val="20"/>
                <w:color w:val="auto"/>
              </w:rPr>
            </w:pPr>
            <w:r>
              <w:rPr>
                <w:rFonts w:ascii="Arial" w:cs="Arial" w:eastAsia="Arial" w:hAnsi="Arial"/>
                <w:sz w:val="11"/>
                <w:szCs w:val="11"/>
                <w:b w:val="1"/>
                <w:bCs w:val="1"/>
                <w:color w:val="auto"/>
              </w:rPr>
              <w:t>Cash and Cash Equivalents - 55.3%</w:t>
            </w: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00" w:type="dxa"/>
            <w:vAlign w:val="bottom"/>
            <w:shd w:val="clear" w:color="auto" w:fill="CCECFF"/>
          </w:tcPr>
          <w:p>
            <w:pPr>
              <w:ind w:left="20"/>
              <w:spacing w:after="0"/>
              <w:rPr>
                <w:sz w:val="20"/>
                <w:szCs w:val="20"/>
                <w:color w:val="auto"/>
              </w:rPr>
            </w:pPr>
            <w:r>
              <w:rPr>
                <w:rFonts w:ascii="Arial" w:cs="Arial" w:eastAsia="Arial" w:hAnsi="Arial"/>
                <w:sz w:val="11"/>
                <w:szCs w:val="11"/>
                <w:color w:val="auto"/>
              </w:rPr>
              <w:t>BlackRock Federal FD Institutional 30</w:t>
            </w:r>
          </w:p>
        </w:tc>
        <w:tc>
          <w:tcPr>
            <w:tcW w:w="14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238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9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28,191</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28,191</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00" w:type="dxa"/>
            <w:vAlign w:val="bottom"/>
          </w:tcPr>
          <w:p>
            <w:pPr>
              <w:ind w:left="20"/>
              <w:spacing w:after="0"/>
              <w:rPr>
                <w:sz w:val="20"/>
                <w:szCs w:val="20"/>
                <w:color w:val="auto"/>
              </w:rPr>
            </w:pPr>
            <w:r>
              <w:rPr>
                <w:rFonts w:ascii="Arial" w:cs="Arial" w:eastAsia="Arial" w:hAnsi="Arial"/>
                <w:sz w:val="11"/>
                <w:szCs w:val="11"/>
                <w:color w:val="auto"/>
              </w:rPr>
              <w:t>US Bank Cash</w:t>
            </w: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196</w:t>
            </w:r>
          </w:p>
        </w:tc>
        <w:tc>
          <w:tcPr>
            <w:tcW w:w="2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0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1"/>
                <w:szCs w:val="11"/>
                <w:b w:val="1"/>
                <w:bCs w:val="1"/>
                <w:color w:val="auto"/>
              </w:rPr>
              <w:t>Total Cash and Cash Equivalents</w:t>
            </w:r>
          </w:p>
        </w:tc>
        <w:tc>
          <w:tcPr>
            <w:tcW w:w="140" w:type="dxa"/>
            <w:vAlign w:val="bottom"/>
            <w:tcBorders>
              <w:bottom w:val="single" w:sz="8" w:color="CCECFF"/>
            </w:tcBorders>
            <w:shd w:val="clear" w:color="auto" w:fill="CCECFF"/>
          </w:tcPr>
          <w:p>
            <w:pPr>
              <w:spacing w:after="0"/>
              <w:rPr>
                <w:sz w:val="11"/>
                <w:szCs w:val="11"/>
                <w:color w:val="auto"/>
              </w:rPr>
            </w:pPr>
          </w:p>
        </w:tc>
        <w:tc>
          <w:tcPr>
            <w:tcW w:w="700" w:type="dxa"/>
            <w:vAlign w:val="bottom"/>
            <w:tcBorders>
              <w:bottom w:val="single" w:sz="8" w:color="CCECFF"/>
            </w:tcBorders>
            <w:shd w:val="clear" w:color="auto" w:fill="CCECFF"/>
          </w:tcPr>
          <w:p>
            <w:pPr>
              <w:spacing w:after="0"/>
              <w:rPr>
                <w:sz w:val="11"/>
                <w:szCs w:val="11"/>
                <w:color w:val="auto"/>
              </w:rPr>
            </w:pPr>
          </w:p>
        </w:tc>
        <w:tc>
          <w:tcPr>
            <w:tcW w:w="260" w:type="dxa"/>
            <w:vAlign w:val="bottom"/>
            <w:tcBorders>
              <w:bottom w:val="single" w:sz="8" w:color="CCECFF"/>
            </w:tcBorders>
            <w:shd w:val="clear" w:color="auto" w:fill="CCECFF"/>
          </w:tcPr>
          <w:p>
            <w:pPr>
              <w:spacing w:after="0"/>
              <w:rPr>
                <w:sz w:val="11"/>
                <w:szCs w:val="11"/>
                <w:color w:val="auto"/>
              </w:rPr>
            </w:pPr>
          </w:p>
        </w:tc>
        <w:tc>
          <w:tcPr>
            <w:tcW w:w="238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CCECFF"/>
            </w:tcBorders>
            <w:shd w:val="clear" w:color="auto" w:fill="CCECFF"/>
          </w:tcPr>
          <w:p>
            <w:pPr>
              <w:spacing w:after="0"/>
              <w:rPr>
                <w:sz w:val="11"/>
                <w:szCs w:val="11"/>
                <w:color w:val="auto"/>
              </w:rPr>
            </w:pPr>
          </w:p>
        </w:tc>
        <w:tc>
          <w:tcPr>
            <w:tcW w:w="66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94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720" w:type="dxa"/>
            <w:vAlign w:val="bottom"/>
            <w:tcBorders>
              <w:bottom w:val="single" w:sz="8" w:color="CCECFF"/>
            </w:tcBorders>
            <w:shd w:val="clear" w:color="auto" w:fill="CCECFF"/>
          </w:tcPr>
          <w:p>
            <w:pPr>
              <w:spacing w:after="0"/>
              <w:rPr>
                <w:sz w:val="11"/>
                <w:szCs w:val="11"/>
                <w:color w:val="auto"/>
              </w:rPr>
            </w:pPr>
          </w:p>
        </w:tc>
        <w:tc>
          <w:tcPr>
            <w:tcW w:w="24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auto"/>
            </w:tcBorders>
            <w:shd w:val="clear" w:color="auto" w:fill="CCECFF"/>
          </w:tcPr>
          <w:p>
            <w:pPr>
              <w:spacing w:after="0"/>
              <w:rPr>
                <w:sz w:val="11"/>
                <w:szCs w:val="11"/>
                <w:color w:val="auto"/>
              </w:rPr>
            </w:pPr>
          </w:p>
        </w:tc>
        <w:tc>
          <w:tcPr>
            <w:tcW w:w="5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28,387</w:t>
            </w:r>
          </w:p>
        </w:tc>
        <w:tc>
          <w:tcPr>
            <w:tcW w:w="22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bottom w:val="single" w:sz="8" w:color="auto"/>
            </w:tcBorders>
            <w:shd w:val="clear" w:color="auto" w:fill="CCECFF"/>
          </w:tcPr>
          <w:p>
            <w:pPr>
              <w:spacing w:after="0"/>
              <w:rPr>
                <w:sz w:val="11"/>
                <w:szCs w:val="11"/>
                <w:color w:val="auto"/>
              </w:rPr>
            </w:pPr>
          </w:p>
        </w:tc>
        <w:tc>
          <w:tcPr>
            <w:tcW w:w="5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28,374</w:t>
            </w:r>
          </w:p>
        </w:tc>
        <w:tc>
          <w:tcPr>
            <w:tcW w:w="10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900" w:type="dxa"/>
            <w:vAlign w:val="bottom"/>
          </w:tcPr>
          <w:p>
            <w:pPr>
              <w:ind w:left="20"/>
              <w:spacing w:after="0"/>
              <w:rPr>
                <w:sz w:val="20"/>
                <w:szCs w:val="20"/>
                <w:color w:val="auto"/>
              </w:rPr>
            </w:pPr>
            <w:r>
              <w:rPr>
                <w:rFonts w:ascii="Arial" w:cs="Arial" w:eastAsia="Arial" w:hAnsi="Arial"/>
                <w:sz w:val="11"/>
                <w:szCs w:val="11"/>
                <w:b w:val="1"/>
                <w:bCs w:val="1"/>
                <w:color w:val="auto"/>
              </w:rPr>
              <w:t>Total Investments and Cash Equivalents —1,157.1%</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80" w:type="dxa"/>
            <w:vAlign w:val="bottom"/>
            <w:gridSpan w:val="3"/>
          </w:tcPr>
          <w:p>
            <w:pPr>
              <w:spacing w:after="0"/>
              <w:rPr>
                <w:sz w:val="12"/>
                <w:szCs w:val="12"/>
                <w:color w:val="auto"/>
              </w:rPr>
            </w:pPr>
          </w:p>
        </w:tc>
        <w:tc>
          <w:tcPr>
            <w:tcW w:w="14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604,650</w:t>
            </w:r>
          </w:p>
        </w:tc>
        <w:tc>
          <w:tcPr>
            <w:tcW w:w="220" w:type="dxa"/>
            <w:vAlign w:val="bottom"/>
          </w:tcPr>
          <w:p>
            <w:pPr>
              <w:spacing w:after="0"/>
              <w:rPr>
                <w:sz w:val="12"/>
                <w:szCs w:val="12"/>
                <w:color w:val="auto"/>
              </w:rPr>
            </w:pPr>
          </w:p>
        </w:tc>
        <w:tc>
          <w:tcPr>
            <w:tcW w:w="18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w w:val="97"/>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593,157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900" w:type="dxa"/>
            <w:vAlign w:val="bottom"/>
            <w:tcBorders>
              <w:bottom w:val="single" w:sz="8" w:color="CCECFF"/>
            </w:tcBorders>
            <w:shd w:val="clear" w:color="auto" w:fill="CCECFF"/>
          </w:tcPr>
          <w:p>
            <w:pPr>
              <w:ind w:left="20"/>
              <w:spacing w:after="0" w:line="102" w:lineRule="exact"/>
              <w:rPr>
                <w:sz w:val="20"/>
                <w:szCs w:val="20"/>
                <w:color w:val="auto"/>
              </w:rPr>
            </w:pPr>
            <w:r>
              <w:rPr>
                <w:rFonts w:ascii="Arial" w:cs="Arial" w:eastAsia="Arial" w:hAnsi="Arial"/>
                <w:sz w:val="11"/>
                <w:szCs w:val="11"/>
                <w:b w:val="1"/>
                <w:bCs w:val="1"/>
                <w:color w:val="auto"/>
              </w:rPr>
              <w:t>Liabilities in Excess of Other Assets — (1057.1)%</w:t>
            </w:r>
          </w:p>
        </w:tc>
        <w:tc>
          <w:tcPr>
            <w:tcW w:w="140" w:type="dxa"/>
            <w:vAlign w:val="bottom"/>
            <w:tcBorders>
              <w:bottom w:val="single" w:sz="8" w:color="CCECFF"/>
            </w:tcBorders>
            <w:shd w:val="clear" w:color="auto" w:fill="CCECFF"/>
          </w:tcPr>
          <w:p>
            <w:pPr>
              <w:spacing w:after="0"/>
              <w:rPr>
                <w:sz w:val="8"/>
                <w:szCs w:val="8"/>
                <w:color w:val="auto"/>
              </w:rPr>
            </w:pPr>
          </w:p>
        </w:tc>
        <w:tc>
          <w:tcPr>
            <w:tcW w:w="700" w:type="dxa"/>
            <w:vAlign w:val="bottom"/>
            <w:tcBorders>
              <w:bottom w:val="single" w:sz="8" w:color="CCECFF"/>
            </w:tcBorders>
            <w:shd w:val="clear" w:color="auto" w:fill="CCECFF"/>
          </w:tcPr>
          <w:p>
            <w:pPr>
              <w:spacing w:after="0"/>
              <w:rPr>
                <w:sz w:val="8"/>
                <w:szCs w:val="8"/>
                <w:color w:val="auto"/>
              </w:rPr>
            </w:pPr>
          </w:p>
        </w:tc>
        <w:tc>
          <w:tcPr>
            <w:tcW w:w="260" w:type="dxa"/>
            <w:vAlign w:val="bottom"/>
            <w:tcBorders>
              <w:bottom w:val="single" w:sz="8" w:color="CCECFF"/>
            </w:tcBorders>
            <w:shd w:val="clear" w:color="auto" w:fill="CCECFF"/>
          </w:tcPr>
          <w:p>
            <w:pPr>
              <w:spacing w:after="0"/>
              <w:rPr>
                <w:sz w:val="8"/>
                <w:szCs w:val="8"/>
                <w:color w:val="auto"/>
              </w:rPr>
            </w:pPr>
          </w:p>
        </w:tc>
        <w:tc>
          <w:tcPr>
            <w:tcW w:w="2380" w:type="dxa"/>
            <w:vAlign w:val="bottom"/>
            <w:tcBorders>
              <w:bottom w:val="single" w:sz="8" w:color="CCECFF"/>
            </w:tcBorders>
            <w:shd w:val="clear" w:color="auto" w:fill="CCECFF"/>
          </w:tcPr>
          <w:p>
            <w:pPr>
              <w:spacing w:after="0"/>
              <w:rPr>
                <w:sz w:val="8"/>
                <w:szCs w:val="8"/>
                <w:color w:val="auto"/>
              </w:rPr>
            </w:pPr>
          </w:p>
        </w:tc>
        <w:tc>
          <w:tcPr>
            <w:tcW w:w="140" w:type="dxa"/>
            <w:vAlign w:val="bottom"/>
            <w:tcBorders>
              <w:bottom w:val="single" w:sz="8" w:color="CCECFF"/>
            </w:tcBorders>
            <w:shd w:val="clear" w:color="auto" w:fill="CCECFF"/>
          </w:tcPr>
          <w:p>
            <w:pPr>
              <w:spacing w:after="0"/>
              <w:rPr>
                <w:sz w:val="8"/>
                <w:szCs w:val="8"/>
                <w:color w:val="auto"/>
              </w:rPr>
            </w:pPr>
          </w:p>
        </w:tc>
        <w:tc>
          <w:tcPr>
            <w:tcW w:w="660" w:type="dxa"/>
            <w:vAlign w:val="bottom"/>
            <w:tcBorders>
              <w:bottom w:val="single" w:sz="8" w:color="CCECFF"/>
            </w:tcBorders>
            <w:shd w:val="clear" w:color="auto" w:fill="CCECFF"/>
          </w:tcPr>
          <w:p>
            <w:pPr>
              <w:spacing w:after="0"/>
              <w:rPr>
                <w:sz w:val="8"/>
                <w:szCs w:val="8"/>
                <w:color w:val="auto"/>
              </w:rPr>
            </w:pPr>
          </w:p>
        </w:tc>
        <w:tc>
          <w:tcPr>
            <w:tcW w:w="220" w:type="dxa"/>
            <w:vAlign w:val="bottom"/>
            <w:tcBorders>
              <w:bottom w:val="single" w:sz="8" w:color="CCECFF"/>
            </w:tcBorders>
            <w:shd w:val="clear" w:color="auto" w:fill="CCECFF"/>
          </w:tcPr>
          <w:p>
            <w:pPr>
              <w:spacing w:after="0"/>
              <w:rPr>
                <w:sz w:val="8"/>
                <w:szCs w:val="8"/>
                <w:color w:val="auto"/>
              </w:rPr>
            </w:pPr>
          </w:p>
        </w:tc>
        <w:tc>
          <w:tcPr>
            <w:tcW w:w="940" w:type="dxa"/>
            <w:vAlign w:val="bottom"/>
            <w:tcBorders>
              <w:bottom w:val="single" w:sz="8" w:color="CCECFF"/>
            </w:tcBorders>
            <w:shd w:val="clear" w:color="auto" w:fill="CCECFF"/>
          </w:tcPr>
          <w:p>
            <w:pPr>
              <w:spacing w:after="0"/>
              <w:rPr>
                <w:sz w:val="8"/>
                <w:szCs w:val="8"/>
                <w:color w:val="auto"/>
              </w:rPr>
            </w:pPr>
          </w:p>
        </w:tc>
        <w:tc>
          <w:tcPr>
            <w:tcW w:w="220" w:type="dxa"/>
            <w:vAlign w:val="bottom"/>
            <w:tcBorders>
              <w:bottom w:val="single" w:sz="8" w:color="CCECFF"/>
            </w:tcBorders>
            <w:shd w:val="clear" w:color="auto" w:fill="CCECFF"/>
          </w:tcPr>
          <w:p>
            <w:pPr>
              <w:spacing w:after="0"/>
              <w:rPr>
                <w:sz w:val="8"/>
                <w:szCs w:val="8"/>
                <w:color w:val="auto"/>
              </w:rPr>
            </w:pPr>
          </w:p>
        </w:tc>
        <w:tc>
          <w:tcPr>
            <w:tcW w:w="720" w:type="dxa"/>
            <w:vAlign w:val="bottom"/>
            <w:tcBorders>
              <w:bottom w:val="single" w:sz="8" w:color="CCECFF"/>
            </w:tcBorders>
            <w:shd w:val="clear" w:color="auto" w:fill="CCECFF"/>
          </w:tcPr>
          <w:p>
            <w:pPr>
              <w:spacing w:after="0"/>
              <w:rPr>
                <w:sz w:val="8"/>
                <w:szCs w:val="8"/>
                <w:color w:val="auto"/>
              </w:rPr>
            </w:pPr>
          </w:p>
        </w:tc>
        <w:tc>
          <w:tcPr>
            <w:tcW w:w="240" w:type="dxa"/>
            <w:vAlign w:val="bottom"/>
            <w:tcBorders>
              <w:bottom w:val="single" w:sz="8" w:color="CCECFF"/>
            </w:tcBorders>
            <w:shd w:val="clear" w:color="auto" w:fill="CCECFF"/>
          </w:tcPr>
          <w:p>
            <w:pPr>
              <w:spacing w:after="0"/>
              <w:rPr>
                <w:sz w:val="8"/>
                <w:szCs w:val="8"/>
                <w:color w:val="auto"/>
              </w:rPr>
            </w:pPr>
          </w:p>
        </w:tc>
        <w:tc>
          <w:tcPr>
            <w:tcW w:w="140" w:type="dxa"/>
            <w:vAlign w:val="bottom"/>
            <w:tcBorders>
              <w:top w:val="single" w:sz="8" w:color="auto"/>
              <w:bottom w:val="single" w:sz="8" w:color="CCECFF"/>
            </w:tcBorders>
            <w:shd w:val="clear" w:color="auto" w:fill="CCECFF"/>
          </w:tcPr>
          <w:p>
            <w:pPr>
              <w:spacing w:after="0"/>
              <w:rPr>
                <w:sz w:val="8"/>
                <w:szCs w:val="8"/>
                <w:color w:val="auto"/>
              </w:rPr>
            </w:pPr>
          </w:p>
        </w:tc>
        <w:tc>
          <w:tcPr>
            <w:tcW w:w="560" w:type="dxa"/>
            <w:vAlign w:val="bottom"/>
            <w:tcBorders>
              <w:top w:val="single" w:sz="8" w:color="auto"/>
              <w:bottom w:val="single" w:sz="8" w:color="CCECFF"/>
            </w:tcBorders>
            <w:shd w:val="clear" w:color="auto" w:fill="CCECFF"/>
          </w:tcPr>
          <w:p>
            <w:pPr>
              <w:spacing w:after="0"/>
              <w:rPr>
                <w:sz w:val="8"/>
                <w:szCs w:val="8"/>
                <w:color w:val="auto"/>
              </w:rPr>
            </w:pPr>
          </w:p>
        </w:tc>
        <w:tc>
          <w:tcPr>
            <w:tcW w:w="220" w:type="dxa"/>
            <w:vAlign w:val="bottom"/>
            <w:tcBorders>
              <w:bottom w:val="single" w:sz="8" w:color="CCECFF"/>
            </w:tcBorders>
            <w:shd w:val="clear" w:color="auto" w:fill="CCECFF"/>
          </w:tcPr>
          <w:p>
            <w:pPr>
              <w:spacing w:after="0"/>
              <w:rPr>
                <w:sz w:val="8"/>
                <w:szCs w:val="8"/>
                <w:color w:val="auto"/>
              </w:rPr>
            </w:pPr>
          </w:p>
        </w:tc>
        <w:tc>
          <w:tcPr>
            <w:tcW w:w="180" w:type="dxa"/>
            <w:vAlign w:val="bottom"/>
            <w:tcBorders>
              <w:top w:val="single" w:sz="8" w:color="auto"/>
              <w:bottom w:val="single" w:sz="8" w:color="auto"/>
            </w:tcBorders>
            <w:shd w:val="clear" w:color="auto" w:fill="CCECFF"/>
          </w:tcPr>
          <w:p>
            <w:pPr>
              <w:spacing w:after="0"/>
              <w:rPr>
                <w:sz w:val="8"/>
                <w:szCs w:val="8"/>
                <w:color w:val="auto"/>
              </w:rPr>
            </w:pPr>
          </w:p>
        </w:tc>
        <w:tc>
          <w:tcPr>
            <w:tcW w:w="520" w:type="dxa"/>
            <w:vAlign w:val="bottom"/>
            <w:tcBorders>
              <w:top w:val="single" w:sz="8" w:color="auto"/>
              <w:bottom w:val="single" w:sz="8" w:color="auto"/>
            </w:tcBorders>
            <w:shd w:val="clear" w:color="auto" w:fill="CCECFF"/>
          </w:tcPr>
          <w:p>
            <w:pPr>
              <w:jc w:val="right"/>
              <w:spacing w:after="0" w:line="102" w:lineRule="exact"/>
              <w:rPr>
                <w:sz w:val="20"/>
                <w:szCs w:val="20"/>
                <w:color w:val="auto"/>
              </w:rPr>
            </w:pPr>
            <w:r>
              <w:rPr>
                <w:rFonts w:ascii="Arial" w:cs="Arial" w:eastAsia="Arial" w:hAnsi="Arial"/>
                <w:sz w:val="11"/>
                <w:szCs w:val="11"/>
                <w:color w:val="auto"/>
              </w:rPr>
              <w:t>(541,893</w:t>
            </w:r>
          </w:p>
        </w:tc>
        <w:tc>
          <w:tcPr>
            <w:tcW w:w="100" w:type="dxa"/>
            <w:vAlign w:val="bottom"/>
            <w:tcBorders>
              <w:bottom w:val="single" w:sz="8" w:color="CCECFF"/>
            </w:tcBorders>
            <w:shd w:val="clear" w:color="auto" w:fill="CCECFF"/>
          </w:tcPr>
          <w:p>
            <w:pPr>
              <w:jc w:val="right"/>
              <w:ind w:right="22"/>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42"/>
        </w:trPr>
        <w:tc>
          <w:tcPr>
            <w:tcW w:w="2900" w:type="dxa"/>
            <w:vAlign w:val="bottom"/>
          </w:tcPr>
          <w:p>
            <w:pPr>
              <w:ind w:left="20"/>
              <w:spacing w:after="0"/>
              <w:rPr>
                <w:sz w:val="20"/>
                <w:szCs w:val="20"/>
                <w:color w:val="auto"/>
              </w:rPr>
            </w:pPr>
            <w:r>
              <w:rPr>
                <w:rFonts w:ascii="Arial" w:cs="Arial" w:eastAsia="Arial" w:hAnsi="Arial"/>
                <w:sz w:val="11"/>
                <w:szCs w:val="11"/>
                <w:b w:val="1"/>
                <w:bCs w:val="1"/>
                <w:color w:val="auto"/>
              </w:rPr>
              <w:t>Members' Equity—100.0%</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gridSpan w:val="2"/>
          </w:tcPr>
          <w:p>
            <w:pPr>
              <w:jc w:val="right"/>
              <w:ind w:right="46"/>
              <w:spacing w:after="0"/>
              <w:rPr>
                <w:sz w:val="20"/>
                <w:szCs w:val="20"/>
                <w:color w:val="auto"/>
              </w:rPr>
            </w:pPr>
            <w:r>
              <w:rPr>
                <w:rFonts w:ascii="Arial" w:cs="Arial" w:eastAsia="Arial" w:hAnsi="Arial"/>
                <w:sz w:val="11"/>
                <w:szCs w:val="11"/>
                <w:color w:val="auto"/>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51,264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6485890</wp:posOffset>
            </wp:positionH>
            <wp:positionV relativeFrom="paragraph">
              <wp:posOffset>-1916430</wp:posOffset>
            </wp:positionV>
            <wp:extent cx="68580" cy="571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-1916430</wp:posOffset>
            </wp:positionV>
            <wp:extent cx="68580" cy="571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-1816735</wp:posOffset>
            </wp:positionV>
            <wp:extent cx="7132320" cy="8572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-1402080</wp:posOffset>
            </wp:positionV>
            <wp:extent cx="68580" cy="571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-1402080</wp:posOffset>
            </wp:positionV>
            <wp:extent cx="68580" cy="571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-1302385</wp:posOffset>
            </wp:positionV>
            <wp:extent cx="7132320" cy="8572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-1130935</wp:posOffset>
            </wp:positionV>
            <wp:extent cx="7132320" cy="8572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-870585</wp:posOffset>
            </wp:positionV>
            <wp:extent cx="68580" cy="571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-870585</wp:posOffset>
            </wp:positionV>
            <wp:extent cx="68580" cy="571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-681990</wp:posOffset>
            </wp:positionV>
            <wp:extent cx="68580" cy="571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-681990</wp:posOffset>
            </wp:positionV>
            <wp:extent cx="68580" cy="571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-321945</wp:posOffset>
            </wp:positionV>
            <wp:extent cx="68580" cy="571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-321945</wp:posOffset>
            </wp:positionV>
            <wp:extent cx="68580" cy="571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-116205</wp:posOffset>
            </wp:positionV>
            <wp:extent cx="68580" cy="571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1" w:lineRule="exact"/>
        <w:rPr>
          <w:sz w:val="20"/>
          <w:szCs w:val="20"/>
          <w:color w:val="auto"/>
        </w:rPr>
      </w:pPr>
    </w:p>
    <w:p>
      <w:pPr>
        <w:ind w:left="380" w:right="20" w:hanging="372"/>
        <w:spacing w:after="0" w:line="215" w:lineRule="auto"/>
        <w:tabs>
          <w:tab w:leader="none" w:pos="380" w:val="left"/>
        </w:tabs>
        <w:numPr>
          <w:ilvl w:val="0"/>
          <w:numId w:val="25"/>
        </w:numPr>
        <w:rPr>
          <w:rFonts w:ascii="Arial" w:cs="Arial" w:eastAsia="Arial" w:hAnsi="Arial"/>
          <w:sz w:val="14"/>
          <w:szCs w:val="14"/>
          <w:color w:val="auto"/>
          <w:vertAlign w:val="superscript"/>
        </w:rPr>
      </w:pPr>
      <w:r>
        <w:rPr>
          <w:rFonts w:ascii="Arial" w:cs="Arial" w:eastAsia="Arial" w:hAnsi="Arial"/>
          <w:sz w:val="11"/>
          <w:szCs w:val="11"/>
          <w:color w:val="auto"/>
        </w:rPr>
        <w:t>Represents floating rate instruments that accrue interest at a predetermined spread relative to an index, typically the applicable LIBOR or “L” or Prime rate or “P”. The spread may change based on the type of rate used. The terms in the Schedule of Investments disclose the actual interest rate in effect as of the reporting period. LIBOR loans are typically indexed to a 30-day, 60-day, 90-day or 180-day LIBOR rate (1M L, 2M L, 3M L, or 6M L, respectively), at the borrower’s option. All securities are subject to a LIBOR or Prime rate floor where a spread is provided, unless noted. The spread provided includes PIK interest and other fee rates, if any.</w:t>
      </w:r>
    </w:p>
    <w:p>
      <w:pPr>
        <w:spacing w:after="0" w:line="1" w:lineRule="exact"/>
        <w:rPr>
          <w:rFonts w:ascii="Arial" w:cs="Arial" w:eastAsia="Arial" w:hAnsi="Arial"/>
          <w:sz w:val="14"/>
          <w:szCs w:val="14"/>
          <w:color w:val="auto"/>
          <w:vertAlign w:val="superscript"/>
        </w:rPr>
      </w:pPr>
    </w:p>
    <w:p>
      <w:pPr>
        <w:ind w:left="380" w:hanging="372"/>
        <w:spacing w:after="0" w:line="181" w:lineRule="auto"/>
        <w:tabs>
          <w:tab w:leader="none" w:pos="380" w:val="left"/>
        </w:tabs>
        <w:numPr>
          <w:ilvl w:val="0"/>
          <w:numId w:val="25"/>
        </w:numPr>
        <w:rPr>
          <w:rFonts w:ascii="Arial" w:cs="Arial" w:eastAsia="Arial" w:hAnsi="Arial"/>
          <w:sz w:val="14"/>
          <w:szCs w:val="14"/>
          <w:color w:val="auto"/>
          <w:vertAlign w:val="superscript"/>
        </w:rPr>
      </w:pPr>
      <w:r>
        <w:rPr>
          <w:rFonts w:ascii="Arial" w:cs="Arial" w:eastAsia="Arial" w:hAnsi="Arial"/>
          <w:sz w:val="11"/>
          <w:szCs w:val="11"/>
          <w:color w:val="auto"/>
        </w:rPr>
        <w:t>Valued based on PSSL’s accounting policy.</w:t>
      </w:r>
    </w:p>
    <w:p>
      <w:pPr>
        <w:ind w:left="380" w:hanging="372"/>
        <w:spacing w:after="0" w:line="181" w:lineRule="auto"/>
        <w:tabs>
          <w:tab w:leader="none" w:pos="380" w:val="left"/>
        </w:tabs>
        <w:numPr>
          <w:ilvl w:val="0"/>
          <w:numId w:val="25"/>
        </w:numPr>
        <w:rPr>
          <w:rFonts w:ascii="Arial" w:cs="Arial" w:eastAsia="Arial" w:hAnsi="Arial"/>
          <w:sz w:val="14"/>
          <w:szCs w:val="14"/>
          <w:color w:val="auto"/>
          <w:vertAlign w:val="superscript"/>
        </w:rPr>
      </w:pPr>
      <w:r>
        <w:rPr>
          <w:rFonts w:ascii="Arial" w:cs="Arial" w:eastAsia="Arial" w:hAnsi="Arial"/>
          <w:sz w:val="11"/>
          <w:szCs w:val="11"/>
          <w:color w:val="auto"/>
        </w:rPr>
        <w:t>Non-U.S. company or principal place of business outside the United States.</w:t>
      </w:r>
    </w:p>
    <w:p>
      <w:pPr>
        <w:ind w:left="380" w:hanging="372"/>
        <w:spacing w:after="0" w:line="191" w:lineRule="auto"/>
        <w:tabs>
          <w:tab w:leader="none" w:pos="380" w:val="left"/>
        </w:tabs>
        <w:numPr>
          <w:ilvl w:val="0"/>
          <w:numId w:val="25"/>
        </w:numPr>
        <w:rPr>
          <w:rFonts w:ascii="Arial" w:cs="Arial" w:eastAsia="Arial" w:hAnsi="Arial"/>
          <w:sz w:val="14"/>
          <w:szCs w:val="14"/>
          <w:color w:val="auto"/>
          <w:vertAlign w:val="superscript"/>
        </w:rPr>
      </w:pPr>
      <w:r>
        <w:rPr>
          <w:rFonts w:ascii="Arial" w:cs="Arial" w:eastAsia="Arial" w:hAnsi="Arial"/>
          <w:sz w:val="11"/>
          <w:szCs w:val="11"/>
          <w:color w:val="auto"/>
        </w:rPr>
        <w:t>Non-income producing security.</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Below are the consolidated statements of assets and liabilities for PSSL ($ in thousands):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8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60" w:type="dxa"/>
            <w:vAlign w:val="bottom"/>
          </w:tcPr>
          <w:p>
            <w:pPr>
              <w:jc w:val="right"/>
              <w:ind w:right="348"/>
              <w:spacing w:after="0"/>
              <w:rPr>
                <w:sz w:val="20"/>
                <w:szCs w:val="20"/>
                <w:color w:val="auto"/>
              </w:rPr>
            </w:pPr>
            <w:r>
              <w:rPr>
                <w:rFonts w:ascii="Arial" w:cs="Arial" w:eastAsia="Arial" w:hAnsi="Arial"/>
                <w:sz w:val="14"/>
                <w:szCs w:val="14"/>
                <w:b w:val="1"/>
                <w:bCs w:val="1"/>
                <w:color w:val="auto"/>
              </w:rPr>
              <w:t>June 30, 2022</w:t>
            </w: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8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(Unaudited)</w:t>
            </w: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September 30, 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840" w:type="dxa"/>
            <w:vAlign w:val="bottom"/>
            <w:shd w:val="clear" w:color="auto" w:fill="CCECFF"/>
          </w:tcPr>
          <w:p>
            <w:pPr>
              <w:ind w:left="20"/>
              <w:spacing w:after="0"/>
              <w:rPr>
                <w:sz w:val="20"/>
                <w:szCs w:val="20"/>
                <w:color w:val="auto"/>
              </w:rPr>
            </w:pPr>
            <w:r>
              <w:rPr>
                <w:rFonts w:ascii="Arial" w:cs="Arial" w:eastAsia="Arial" w:hAnsi="Arial"/>
                <w:sz w:val="14"/>
                <w:szCs w:val="14"/>
                <w:b w:val="1"/>
                <w:bCs w:val="1"/>
                <w:color w:val="auto"/>
              </w:rPr>
              <w:t>Assets</w:t>
            </w:r>
          </w:p>
        </w:tc>
        <w:tc>
          <w:tcPr>
            <w:tcW w:w="172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1660" w:type="dxa"/>
            <w:vAlign w:val="bottom"/>
            <w:shd w:val="clear" w:color="auto" w:fill="CCECFF"/>
          </w:tcPr>
          <w:p>
            <w:pPr>
              <w:spacing w:after="0"/>
              <w:rPr>
                <w:sz w:val="14"/>
                <w:szCs w:val="14"/>
                <w:color w:val="auto"/>
              </w:rPr>
            </w:pPr>
          </w:p>
        </w:tc>
        <w:tc>
          <w:tcPr>
            <w:tcW w:w="3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21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840" w:type="dxa"/>
            <w:vAlign w:val="bottom"/>
          </w:tcPr>
          <w:p>
            <w:pPr>
              <w:ind w:left="20"/>
              <w:spacing w:after="0"/>
              <w:rPr>
                <w:sz w:val="20"/>
                <w:szCs w:val="20"/>
                <w:color w:val="auto"/>
              </w:rPr>
            </w:pPr>
            <w:r>
              <w:rPr>
                <w:rFonts w:ascii="Arial" w:cs="Arial" w:eastAsia="Arial" w:hAnsi="Arial"/>
                <w:sz w:val="14"/>
                <w:szCs w:val="14"/>
                <w:color w:val="auto"/>
              </w:rPr>
              <w:t>Investments at fair value (cost—$752,368 and $576,263, respectively)</w:t>
            </w:r>
          </w:p>
        </w:tc>
        <w:tc>
          <w:tcPr>
            <w:tcW w:w="19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660" w:type="dxa"/>
            <w:vAlign w:val="bottom"/>
          </w:tcPr>
          <w:p>
            <w:pPr>
              <w:jc w:val="right"/>
              <w:spacing w:after="0"/>
              <w:rPr>
                <w:sz w:val="20"/>
                <w:szCs w:val="20"/>
                <w:color w:val="auto"/>
              </w:rPr>
            </w:pPr>
            <w:r>
              <w:rPr>
                <w:rFonts w:ascii="Arial" w:cs="Arial" w:eastAsia="Arial" w:hAnsi="Arial"/>
                <w:sz w:val="14"/>
                <w:szCs w:val="14"/>
                <w:color w:val="auto"/>
              </w:rPr>
              <w:t>746,819</w:t>
            </w: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2100" w:type="dxa"/>
            <w:vAlign w:val="bottom"/>
          </w:tcPr>
          <w:p>
            <w:pPr>
              <w:jc w:val="right"/>
              <w:spacing w:after="0"/>
              <w:rPr>
                <w:sz w:val="20"/>
                <w:szCs w:val="20"/>
                <w:color w:val="auto"/>
              </w:rPr>
            </w:pPr>
            <w:r>
              <w:rPr>
                <w:rFonts w:ascii="Arial" w:cs="Arial" w:eastAsia="Arial" w:hAnsi="Arial"/>
                <w:sz w:val="14"/>
                <w:szCs w:val="14"/>
                <w:color w:val="auto"/>
              </w:rPr>
              <w:t>564,783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40" w:type="dxa"/>
            <w:vAlign w:val="bottom"/>
            <w:shd w:val="clear" w:color="auto" w:fill="CCECFF"/>
          </w:tcPr>
          <w:p>
            <w:pPr>
              <w:ind w:left="20"/>
              <w:spacing w:after="0"/>
              <w:rPr>
                <w:sz w:val="20"/>
                <w:szCs w:val="20"/>
                <w:color w:val="auto"/>
              </w:rPr>
            </w:pPr>
            <w:r>
              <w:rPr>
                <w:rFonts w:ascii="Arial" w:cs="Arial" w:eastAsia="Arial" w:hAnsi="Arial"/>
                <w:sz w:val="14"/>
                <w:szCs w:val="14"/>
                <w:color w:val="auto"/>
              </w:rPr>
              <w:t>Cash and cash equivalents (cost—$39,197 and $28,387, respectively)</w:t>
            </w:r>
          </w:p>
        </w:tc>
        <w:tc>
          <w:tcPr>
            <w:tcW w:w="172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16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39,190</w:t>
            </w:r>
          </w:p>
        </w:tc>
        <w:tc>
          <w:tcPr>
            <w:tcW w:w="32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21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28,374</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40" w:type="dxa"/>
            <w:vAlign w:val="bottom"/>
          </w:tcPr>
          <w:p>
            <w:pPr>
              <w:ind w:left="20"/>
              <w:spacing w:after="0"/>
              <w:rPr>
                <w:sz w:val="20"/>
                <w:szCs w:val="20"/>
                <w:color w:val="auto"/>
              </w:rPr>
            </w:pPr>
            <w:r>
              <w:rPr>
                <w:rFonts w:ascii="Arial" w:cs="Arial" w:eastAsia="Arial" w:hAnsi="Arial"/>
                <w:sz w:val="14"/>
                <w:szCs w:val="14"/>
                <w:color w:val="auto"/>
              </w:rPr>
              <w:t>Interest receivable</w:t>
            </w:r>
          </w:p>
        </w:tc>
        <w:tc>
          <w:tcPr>
            <w:tcW w:w="1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2,282</w:t>
            </w: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00" w:type="dxa"/>
            <w:vAlign w:val="bottom"/>
          </w:tcPr>
          <w:p>
            <w:pPr>
              <w:jc w:val="right"/>
              <w:spacing w:after="0"/>
              <w:rPr>
                <w:sz w:val="20"/>
                <w:szCs w:val="20"/>
                <w:color w:val="auto"/>
              </w:rPr>
            </w:pPr>
            <w:r>
              <w:rPr>
                <w:rFonts w:ascii="Arial" w:cs="Arial" w:eastAsia="Arial" w:hAnsi="Arial"/>
                <w:sz w:val="14"/>
                <w:szCs w:val="14"/>
                <w:color w:val="auto"/>
              </w:rPr>
              <w:t>1,414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40" w:type="dxa"/>
            <w:vAlign w:val="bottom"/>
            <w:shd w:val="clear" w:color="auto" w:fill="CCECFF"/>
          </w:tcPr>
          <w:p>
            <w:pPr>
              <w:ind w:left="20"/>
              <w:spacing w:after="0"/>
              <w:rPr>
                <w:sz w:val="20"/>
                <w:szCs w:val="20"/>
                <w:color w:val="auto"/>
              </w:rPr>
            </w:pPr>
            <w:r>
              <w:rPr>
                <w:rFonts w:ascii="Arial" w:cs="Arial" w:eastAsia="Arial" w:hAnsi="Arial"/>
                <w:sz w:val="14"/>
                <w:szCs w:val="14"/>
                <w:color w:val="auto"/>
              </w:rPr>
              <w:t>Receivable for investment sold</w:t>
            </w:r>
          </w:p>
        </w:tc>
        <w:tc>
          <w:tcPr>
            <w:tcW w:w="172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16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21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7,323</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40" w:type="dxa"/>
            <w:vAlign w:val="bottom"/>
          </w:tcPr>
          <w:p>
            <w:pPr>
              <w:ind w:left="20"/>
              <w:spacing w:after="0"/>
              <w:rPr>
                <w:sz w:val="20"/>
                <w:szCs w:val="20"/>
                <w:color w:val="auto"/>
              </w:rPr>
            </w:pPr>
            <w:r>
              <w:rPr>
                <w:rFonts w:ascii="Arial" w:cs="Arial" w:eastAsia="Arial" w:hAnsi="Arial"/>
                <w:sz w:val="14"/>
                <w:szCs w:val="14"/>
                <w:color w:val="auto"/>
              </w:rPr>
              <w:t>Prepaid expenses and other assets</w:t>
            </w:r>
          </w:p>
        </w:tc>
        <w:tc>
          <w:tcPr>
            <w:tcW w:w="17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2,038</w:t>
            </w:r>
          </w:p>
        </w:tc>
        <w:tc>
          <w:tcPr>
            <w:tcW w:w="3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1,665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840" w:type="dxa"/>
            <w:vAlign w:val="bottom"/>
            <w:tcBorders>
              <w:bottom w:val="single" w:sz="8" w:color="CCECFF"/>
            </w:tcBorders>
            <w:shd w:val="clear" w:color="auto" w:fill="CCECFF"/>
          </w:tcPr>
          <w:p>
            <w:pPr>
              <w:ind w:left="560"/>
              <w:spacing w:after="0"/>
              <w:rPr>
                <w:sz w:val="20"/>
                <w:szCs w:val="20"/>
                <w:color w:val="auto"/>
              </w:rPr>
            </w:pPr>
            <w:r>
              <w:rPr>
                <w:rFonts w:ascii="Arial" w:cs="Arial" w:eastAsia="Arial" w:hAnsi="Arial"/>
                <w:sz w:val="14"/>
                <w:szCs w:val="14"/>
                <w:b w:val="1"/>
                <w:bCs w:val="1"/>
                <w:color w:val="auto"/>
              </w:rPr>
              <w:t>Total assets</w:t>
            </w:r>
          </w:p>
        </w:tc>
        <w:tc>
          <w:tcPr>
            <w:tcW w:w="1720" w:type="dxa"/>
            <w:vAlign w:val="bottom"/>
            <w:tcBorders>
              <w:bottom w:val="single" w:sz="8" w:color="CCECFF"/>
            </w:tcBorders>
            <w:shd w:val="clear" w:color="auto" w:fill="CCECFF"/>
          </w:tcPr>
          <w:p>
            <w:pPr>
              <w:spacing w:after="0"/>
              <w:rPr>
                <w:sz w:val="14"/>
                <w:szCs w:val="14"/>
                <w:color w:val="auto"/>
              </w:rPr>
            </w:pPr>
          </w:p>
        </w:tc>
        <w:tc>
          <w:tcPr>
            <w:tcW w:w="260" w:type="dxa"/>
            <w:vAlign w:val="bottom"/>
            <w:tcBorders>
              <w:bottom w:val="single" w:sz="8" w:color="auto"/>
            </w:tcBorders>
            <w:shd w:val="clear" w:color="auto" w:fill="CCECFF"/>
          </w:tcPr>
          <w:p>
            <w:pPr>
              <w:spacing w:after="0"/>
              <w:rPr>
                <w:sz w:val="14"/>
                <w:szCs w:val="14"/>
                <w:color w:val="auto"/>
              </w:rPr>
            </w:pPr>
          </w:p>
        </w:tc>
        <w:tc>
          <w:tcPr>
            <w:tcW w:w="1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790,328</w:t>
            </w:r>
          </w:p>
        </w:tc>
        <w:tc>
          <w:tcPr>
            <w:tcW w:w="320" w:type="dxa"/>
            <w:vAlign w:val="bottom"/>
            <w:tcBorders>
              <w:bottom w:val="single" w:sz="8" w:color="CCECFF"/>
            </w:tcBorders>
            <w:shd w:val="clear" w:color="auto" w:fill="CCECFF"/>
          </w:tcPr>
          <w:p>
            <w:pPr>
              <w:spacing w:after="0"/>
              <w:rPr>
                <w:sz w:val="14"/>
                <w:szCs w:val="14"/>
                <w:color w:val="auto"/>
              </w:rPr>
            </w:pPr>
          </w:p>
        </w:tc>
        <w:tc>
          <w:tcPr>
            <w:tcW w:w="240" w:type="dxa"/>
            <w:vAlign w:val="bottom"/>
            <w:tcBorders>
              <w:bottom w:val="single" w:sz="8" w:color="auto"/>
            </w:tcBorders>
            <w:shd w:val="clear" w:color="auto" w:fill="CCECFF"/>
          </w:tcPr>
          <w:p>
            <w:pPr>
              <w:spacing w:after="0"/>
              <w:rPr>
                <w:sz w:val="14"/>
                <w:szCs w:val="14"/>
                <w:color w:val="auto"/>
              </w:rPr>
            </w:pPr>
          </w:p>
        </w:tc>
        <w:tc>
          <w:tcPr>
            <w:tcW w:w="21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603,559</w:t>
            </w:r>
          </w:p>
        </w:tc>
        <w:tc>
          <w:tcPr>
            <w:tcW w:w="100" w:type="dxa"/>
            <w:vAlign w:val="bottom"/>
            <w:tcBorders>
              <w:bottom w:val="single" w:sz="8" w:color="CCECFF"/>
            </w:tcBorders>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840" w:type="dxa"/>
            <w:vAlign w:val="bottom"/>
          </w:tcPr>
          <w:p>
            <w:pPr>
              <w:ind w:left="20"/>
              <w:spacing w:after="0"/>
              <w:rPr>
                <w:sz w:val="20"/>
                <w:szCs w:val="20"/>
                <w:color w:val="auto"/>
              </w:rPr>
            </w:pPr>
            <w:r>
              <w:rPr>
                <w:rFonts w:ascii="Arial" w:cs="Arial" w:eastAsia="Arial" w:hAnsi="Arial"/>
                <w:sz w:val="14"/>
                <w:szCs w:val="14"/>
                <w:b w:val="1"/>
                <w:bCs w:val="1"/>
                <w:color w:val="auto"/>
              </w:rPr>
              <w:t>Liabilities</w:t>
            </w:r>
          </w:p>
        </w:tc>
        <w:tc>
          <w:tcPr>
            <w:tcW w:w="1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840" w:type="dxa"/>
            <w:vAlign w:val="bottom"/>
            <w:shd w:val="clear" w:color="auto" w:fill="CCECFF"/>
          </w:tcPr>
          <w:p>
            <w:pPr>
              <w:ind w:left="20"/>
              <w:spacing w:after="0"/>
              <w:rPr>
                <w:sz w:val="20"/>
                <w:szCs w:val="20"/>
                <w:color w:val="auto"/>
              </w:rPr>
            </w:pPr>
            <w:r>
              <w:rPr>
                <w:rFonts w:ascii="Arial" w:cs="Arial" w:eastAsia="Arial" w:hAnsi="Arial"/>
                <w:sz w:val="14"/>
                <w:szCs w:val="14"/>
                <w:color w:val="auto"/>
              </w:rPr>
              <w:t>Payable for investments purchased</w:t>
            </w:r>
          </w:p>
        </w:tc>
        <w:tc>
          <w:tcPr>
            <w:tcW w:w="172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16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6,609</w:t>
            </w:r>
          </w:p>
        </w:tc>
        <w:tc>
          <w:tcPr>
            <w:tcW w:w="32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21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31,963</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40" w:type="dxa"/>
            <w:vAlign w:val="bottom"/>
          </w:tcPr>
          <w:p>
            <w:pPr>
              <w:ind w:left="20"/>
              <w:spacing w:after="0"/>
              <w:rPr>
                <w:sz w:val="20"/>
                <w:szCs w:val="20"/>
                <w:color w:val="auto"/>
              </w:rPr>
            </w:pPr>
            <w:r>
              <w:rPr>
                <w:rFonts w:ascii="Arial" w:cs="Arial" w:eastAsia="Arial" w:hAnsi="Arial"/>
                <w:sz w:val="14"/>
                <w:szCs w:val="14"/>
                <w:color w:val="auto"/>
              </w:rPr>
              <w:t>Credit facility payable</w:t>
            </w:r>
          </w:p>
        </w:tc>
        <w:tc>
          <w:tcPr>
            <w:tcW w:w="1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249,500</w:t>
            </w: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00" w:type="dxa"/>
            <w:vAlign w:val="bottom"/>
          </w:tcPr>
          <w:p>
            <w:pPr>
              <w:jc w:val="right"/>
              <w:spacing w:after="0"/>
              <w:rPr>
                <w:sz w:val="20"/>
                <w:szCs w:val="20"/>
                <w:color w:val="auto"/>
              </w:rPr>
            </w:pPr>
            <w:r>
              <w:rPr>
                <w:rFonts w:ascii="Arial" w:cs="Arial" w:eastAsia="Arial" w:hAnsi="Arial"/>
                <w:sz w:val="14"/>
                <w:szCs w:val="14"/>
                <w:color w:val="auto"/>
              </w:rPr>
              <w:t>112,000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40" w:type="dxa"/>
            <w:vAlign w:val="bottom"/>
            <w:shd w:val="clear" w:color="auto" w:fill="CCECFF"/>
          </w:tcPr>
          <w:p>
            <w:pPr>
              <w:ind w:left="20"/>
              <w:spacing w:after="0"/>
              <w:rPr>
                <w:sz w:val="20"/>
                <w:szCs w:val="20"/>
                <w:color w:val="auto"/>
              </w:rPr>
            </w:pPr>
            <w:r>
              <w:rPr>
                <w:rFonts w:ascii="Arial" w:cs="Arial" w:eastAsia="Arial" w:hAnsi="Arial"/>
                <w:sz w:val="14"/>
                <w:szCs w:val="14"/>
                <w:color w:val="auto"/>
              </w:rPr>
              <w:t>2032 Asset-backed debt, net (par—$246,000)</w:t>
            </w:r>
          </w:p>
        </w:tc>
        <w:tc>
          <w:tcPr>
            <w:tcW w:w="172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16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243,213</w:t>
            </w:r>
          </w:p>
        </w:tc>
        <w:tc>
          <w:tcPr>
            <w:tcW w:w="32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21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242,757</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40" w:type="dxa"/>
            <w:vAlign w:val="bottom"/>
          </w:tcPr>
          <w:p>
            <w:pPr>
              <w:ind w:left="20"/>
              <w:spacing w:after="0"/>
              <w:rPr>
                <w:sz w:val="20"/>
                <w:szCs w:val="20"/>
                <w:color w:val="auto"/>
              </w:rPr>
            </w:pPr>
            <w:r>
              <w:rPr>
                <w:rFonts w:ascii="Arial" w:cs="Arial" w:eastAsia="Arial" w:hAnsi="Arial"/>
                <w:sz w:val="14"/>
                <w:szCs w:val="14"/>
                <w:color w:val="auto"/>
              </w:rPr>
              <w:t>Notes payable to members</w:t>
            </w:r>
          </w:p>
        </w:tc>
        <w:tc>
          <w:tcPr>
            <w:tcW w:w="1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217,350</w:t>
            </w: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00" w:type="dxa"/>
            <w:vAlign w:val="bottom"/>
          </w:tcPr>
          <w:p>
            <w:pPr>
              <w:jc w:val="right"/>
              <w:spacing w:after="0"/>
              <w:rPr>
                <w:sz w:val="20"/>
                <w:szCs w:val="20"/>
                <w:color w:val="auto"/>
              </w:rPr>
            </w:pPr>
            <w:r>
              <w:rPr>
                <w:rFonts w:ascii="Arial" w:cs="Arial" w:eastAsia="Arial" w:hAnsi="Arial"/>
                <w:sz w:val="14"/>
                <w:szCs w:val="14"/>
                <w:color w:val="auto"/>
              </w:rPr>
              <w:t>161,000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40" w:type="dxa"/>
            <w:vAlign w:val="bottom"/>
            <w:shd w:val="clear" w:color="auto" w:fill="CCECFF"/>
          </w:tcPr>
          <w:p>
            <w:pPr>
              <w:ind w:left="20"/>
              <w:spacing w:after="0"/>
              <w:rPr>
                <w:sz w:val="20"/>
                <w:szCs w:val="20"/>
                <w:color w:val="auto"/>
              </w:rPr>
            </w:pPr>
            <w:r>
              <w:rPr>
                <w:rFonts w:ascii="Arial" w:cs="Arial" w:eastAsia="Arial" w:hAnsi="Arial"/>
                <w:sz w:val="14"/>
                <w:szCs w:val="14"/>
                <w:color w:val="auto"/>
              </w:rPr>
              <w:t>Interest payable on Credit Facility</w:t>
            </w:r>
          </w:p>
        </w:tc>
        <w:tc>
          <w:tcPr>
            <w:tcW w:w="172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16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2,662</w:t>
            </w:r>
          </w:p>
        </w:tc>
        <w:tc>
          <w:tcPr>
            <w:tcW w:w="32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21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1,741</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40" w:type="dxa"/>
            <w:vAlign w:val="bottom"/>
          </w:tcPr>
          <w:p>
            <w:pPr>
              <w:ind w:left="20"/>
              <w:spacing w:after="0"/>
              <w:rPr>
                <w:sz w:val="20"/>
                <w:szCs w:val="20"/>
                <w:color w:val="auto"/>
              </w:rPr>
            </w:pPr>
            <w:r>
              <w:rPr>
                <w:rFonts w:ascii="Arial" w:cs="Arial" w:eastAsia="Arial" w:hAnsi="Arial"/>
                <w:sz w:val="14"/>
                <w:szCs w:val="14"/>
                <w:color w:val="auto"/>
              </w:rPr>
              <w:t>Interest payable on notes to members</w:t>
            </w:r>
          </w:p>
        </w:tc>
        <w:tc>
          <w:tcPr>
            <w:tcW w:w="1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3,662</w:t>
            </w: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00" w:type="dxa"/>
            <w:vAlign w:val="bottom"/>
          </w:tcPr>
          <w:p>
            <w:pPr>
              <w:jc w:val="right"/>
              <w:spacing w:after="0"/>
              <w:rPr>
                <w:sz w:val="20"/>
                <w:szCs w:val="20"/>
                <w:color w:val="auto"/>
              </w:rPr>
            </w:pPr>
            <w:r>
              <w:rPr>
                <w:rFonts w:ascii="Arial" w:cs="Arial" w:eastAsia="Arial" w:hAnsi="Arial"/>
                <w:sz w:val="14"/>
                <w:szCs w:val="14"/>
                <w:color w:val="auto"/>
              </w:rPr>
              <w:t>2,656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4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4"/>
                <w:szCs w:val="14"/>
                <w:color w:val="auto"/>
              </w:rPr>
              <w:t>Accrued other expenses</w:t>
            </w:r>
          </w:p>
        </w:tc>
        <w:tc>
          <w:tcPr>
            <w:tcW w:w="1720" w:type="dxa"/>
            <w:vAlign w:val="bottom"/>
            <w:tcBorders>
              <w:bottom w:val="single" w:sz="8" w:color="CCECFF"/>
            </w:tcBorders>
            <w:shd w:val="clear" w:color="auto" w:fill="CCECFF"/>
          </w:tcPr>
          <w:p>
            <w:pPr>
              <w:spacing w:after="0"/>
              <w:rPr>
                <w:sz w:val="15"/>
                <w:szCs w:val="15"/>
                <w:color w:val="auto"/>
              </w:rPr>
            </w:pPr>
          </w:p>
        </w:tc>
        <w:tc>
          <w:tcPr>
            <w:tcW w:w="260" w:type="dxa"/>
            <w:vAlign w:val="bottom"/>
            <w:tcBorders>
              <w:bottom w:val="single" w:sz="8" w:color="auto"/>
            </w:tcBorders>
            <w:shd w:val="clear" w:color="auto" w:fill="CCECFF"/>
          </w:tcPr>
          <w:p>
            <w:pPr>
              <w:spacing w:after="0"/>
              <w:rPr>
                <w:sz w:val="15"/>
                <w:szCs w:val="15"/>
                <w:color w:val="auto"/>
              </w:rPr>
            </w:pPr>
          </w:p>
        </w:tc>
        <w:tc>
          <w:tcPr>
            <w:tcW w:w="1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183</w:t>
            </w:r>
          </w:p>
        </w:tc>
        <w:tc>
          <w:tcPr>
            <w:tcW w:w="320" w:type="dxa"/>
            <w:vAlign w:val="bottom"/>
            <w:tcBorders>
              <w:bottom w:val="single" w:sz="8" w:color="CCECFF"/>
            </w:tcBorders>
            <w:shd w:val="clear" w:color="auto" w:fill="CCECFF"/>
          </w:tcPr>
          <w:p>
            <w:pPr>
              <w:spacing w:after="0"/>
              <w:rPr>
                <w:sz w:val="15"/>
                <w:szCs w:val="15"/>
                <w:color w:val="auto"/>
              </w:rPr>
            </w:pPr>
          </w:p>
        </w:tc>
        <w:tc>
          <w:tcPr>
            <w:tcW w:w="240" w:type="dxa"/>
            <w:vAlign w:val="bottom"/>
            <w:tcBorders>
              <w:bottom w:val="single" w:sz="8" w:color="auto"/>
            </w:tcBorders>
            <w:shd w:val="clear" w:color="auto" w:fill="CCECFF"/>
          </w:tcPr>
          <w:p>
            <w:pPr>
              <w:spacing w:after="0"/>
              <w:rPr>
                <w:sz w:val="15"/>
                <w:szCs w:val="15"/>
                <w:color w:val="auto"/>
              </w:rPr>
            </w:pPr>
          </w:p>
        </w:tc>
        <w:tc>
          <w:tcPr>
            <w:tcW w:w="21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178</w:t>
            </w:r>
          </w:p>
        </w:tc>
        <w:tc>
          <w:tcPr>
            <w:tcW w:w="100" w:type="dxa"/>
            <w:vAlign w:val="bottom"/>
            <w:tcBorders>
              <w:bottom w:val="single" w:sz="8" w:color="CCECFF"/>
            </w:tcBorders>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840" w:type="dxa"/>
            <w:vAlign w:val="bottom"/>
          </w:tcPr>
          <w:p>
            <w:pPr>
              <w:ind w:left="560"/>
              <w:spacing w:after="0"/>
              <w:rPr>
                <w:sz w:val="20"/>
                <w:szCs w:val="20"/>
                <w:color w:val="auto"/>
              </w:rPr>
            </w:pPr>
            <w:r>
              <w:rPr>
                <w:rFonts w:ascii="Arial" w:cs="Arial" w:eastAsia="Arial" w:hAnsi="Arial"/>
                <w:sz w:val="14"/>
                <w:szCs w:val="14"/>
                <w:b w:val="1"/>
                <w:bCs w:val="1"/>
                <w:color w:val="auto"/>
              </w:rPr>
              <w:t>Total liabilities</w:t>
            </w:r>
          </w:p>
        </w:tc>
        <w:tc>
          <w:tcPr>
            <w:tcW w:w="17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723,179</w:t>
            </w:r>
          </w:p>
        </w:tc>
        <w:tc>
          <w:tcPr>
            <w:tcW w:w="3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552,295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840" w:type="dxa"/>
            <w:vAlign w:val="bottom"/>
            <w:tcBorders>
              <w:bottom w:val="single" w:sz="8" w:color="CCECFF"/>
            </w:tcBorders>
            <w:shd w:val="clear" w:color="auto" w:fill="CCECFF"/>
          </w:tcPr>
          <w:p>
            <w:pPr>
              <w:ind w:left="560"/>
              <w:spacing w:after="0"/>
              <w:rPr>
                <w:sz w:val="20"/>
                <w:szCs w:val="20"/>
                <w:color w:val="auto"/>
              </w:rPr>
            </w:pPr>
            <w:r>
              <w:rPr>
                <w:rFonts w:ascii="Arial" w:cs="Arial" w:eastAsia="Arial" w:hAnsi="Arial"/>
                <w:sz w:val="14"/>
                <w:szCs w:val="14"/>
                <w:b w:val="1"/>
                <w:bCs w:val="1"/>
                <w:color w:val="auto"/>
              </w:rPr>
              <w:t>Members' equity</w:t>
            </w:r>
          </w:p>
        </w:tc>
        <w:tc>
          <w:tcPr>
            <w:tcW w:w="1720" w:type="dxa"/>
            <w:vAlign w:val="bottom"/>
            <w:tcBorders>
              <w:bottom w:val="single" w:sz="8" w:color="CCECFF"/>
            </w:tcBorders>
            <w:shd w:val="clear" w:color="auto" w:fill="CCECFF"/>
          </w:tcPr>
          <w:p>
            <w:pPr>
              <w:spacing w:after="0"/>
              <w:rPr>
                <w:sz w:val="14"/>
                <w:szCs w:val="14"/>
                <w:color w:val="auto"/>
              </w:rPr>
            </w:pPr>
          </w:p>
        </w:tc>
        <w:tc>
          <w:tcPr>
            <w:tcW w:w="260" w:type="dxa"/>
            <w:vAlign w:val="bottom"/>
            <w:tcBorders>
              <w:bottom w:val="single" w:sz="8" w:color="auto"/>
            </w:tcBorders>
            <w:shd w:val="clear" w:color="auto" w:fill="CCECFF"/>
          </w:tcPr>
          <w:p>
            <w:pPr>
              <w:spacing w:after="0"/>
              <w:rPr>
                <w:sz w:val="14"/>
                <w:szCs w:val="14"/>
                <w:color w:val="auto"/>
              </w:rPr>
            </w:pPr>
          </w:p>
        </w:tc>
        <w:tc>
          <w:tcPr>
            <w:tcW w:w="1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67,149</w:t>
            </w:r>
          </w:p>
        </w:tc>
        <w:tc>
          <w:tcPr>
            <w:tcW w:w="320" w:type="dxa"/>
            <w:vAlign w:val="bottom"/>
            <w:tcBorders>
              <w:bottom w:val="single" w:sz="8" w:color="CCECFF"/>
            </w:tcBorders>
            <w:shd w:val="clear" w:color="auto" w:fill="CCECFF"/>
          </w:tcPr>
          <w:p>
            <w:pPr>
              <w:spacing w:after="0"/>
              <w:rPr>
                <w:sz w:val="14"/>
                <w:szCs w:val="14"/>
                <w:color w:val="auto"/>
              </w:rPr>
            </w:pPr>
          </w:p>
        </w:tc>
        <w:tc>
          <w:tcPr>
            <w:tcW w:w="240" w:type="dxa"/>
            <w:vAlign w:val="bottom"/>
            <w:tcBorders>
              <w:bottom w:val="single" w:sz="8" w:color="auto"/>
            </w:tcBorders>
            <w:shd w:val="clear" w:color="auto" w:fill="CCECFF"/>
          </w:tcPr>
          <w:p>
            <w:pPr>
              <w:spacing w:after="0"/>
              <w:rPr>
                <w:sz w:val="14"/>
                <w:szCs w:val="14"/>
                <w:color w:val="auto"/>
              </w:rPr>
            </w:pPr>
          </w:p>
        </w:tc>
        <w:tc>
          <w:tcPr>
            <w:tcW w:w="21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51,263</w:t>
            </w:r>
          </w:p>
        </w:tc>
        <w:tc>
          <w:tcPr>
            <w:tcW w:w="100" w:type="dxa"/>
            <w:vAlign w:val="bottom"/>
            <w:tcBorders>
              <w:bottom w:val="single" w:sz="8" w:color="CCECFF"/>
            </w:tcBorders>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840" w:type="dxa"/>
            <w:vAlign w:val="bottom"/>
          </w:tcPr>
          <w:p>
            <w:pPr>
              <w:ind w:left="560"/>
              <w:spacing w:after="0"/>
              <w:rPr>
                <w:sz w:val="20"/>
                <w:szCs w:val="20"/>
                <w:color w:val="auto"/>
              </w:rPr>
            </w:pPr>
            <w:r>
              <w:rPr>
                <w:rFonts w:ascii="Arial" w:cs="Arial" w:eastAsia="Arial" w:hAnsi="Arial"/>
                <w:sz w:val="14"/>
                <w:szCs w:val="14"/>
                <w:b w:val="1"/>
                <w:bCs w:val="1"/>
                <w:color w:val="auto"/>
              </w:rPr>
              <w:t>Total liabilities and members' equity</w:t>
            </w:r>
          </w:p>
        </w:tc>
        <w:tc>
          <w:tcPr>
            <w:tcW w:w="19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660" w:type="dxa"/>
            <w:vAlign w:val="bottom"/>
          </w:tcPr>
          <w:p>
            <w:pPr>
              <w:jc w:val="right"/>
              <w:spacing w:after="0"/>
              <w:rPr>
                <w:sz w:val="20"/>
                <w:szCs w:val="20"/>
                <w:color w:val="auto"/>
              </w:rPr>
            </w:pPr>
            <w:r>
              <w:rPr>
                <w:rFonts w:ascii="Arial" w:cs="Arial" w:eastAsia="Arial" w:hAnsi="Arial"/>
                <w:sz w:val="14"/>
                <w:szCs w:val="14"/>
                <w:color w:val="auto"/>
              </w:rPr>
              <w:t>790,328</w:t>
            </w: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2100" w:type="dxa"/>
            <w:vAlign w:val="bottom"/>
          </w:tcPr>
          <w:p>
            <w:pPr>
              <w:jc w:val="right"/>
              <w:spacing w:after="0"/>
              <w:rPr>
                <w:sz w:val="20"/>
                <w:szCs w:val="20"/>
                <w:color w:val="auto"/>
              </w:rPr>
            </w:pPr>
            <w:r>
              <w:rPr>
                <w:rFonts w:ascii="Arial" w:cs="Arial" w:eastAsia="Arial" w:hAnsi="Arial"/>
                <w:sz w:val="14"/>
                <w:szCs w:val="14"/>
                <w:color w:val="auto"/>
              </w:rPr>
              <w:t>603,559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1720" w:type="dxa"/>
            <w:vAlign w:val="bottom"/>
            <w:vMerge w:val="restart"/>
          </w:tcPr>
          <w:p>
            <w:pPr>
              <w:jc w:val="right"/>
              <w:ind w:right="788"/>
              <w:spacing w:after="0"/>
              <w:rPr>
                <w:sz w:val="20"/>
                <w:szCs w:val="20"/>
                <w:color w:val="auto"/>
              </w:rPr>
            </w:pPr>
            <w:r>
              <w:rPr>
                <w:rFonts w:ascii="Arial" w:cs="Arial" w:eastAsia="Arial" w:hAnsi="Arial"/>
                <w:sz w:val="14"/>
                <w:szCs w:val="14"/>
                <w:color w:val="auto"/>
              </w:rPr>
              <w:t>52</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4840" w:type="dxa"/>
            <w:vAlign w:val="bottom"/>
          </w:tcPr>
          <w:p>
            <w:pPr>
              <w:spacing w:after="0"/>
              <w:rPr>
                <w:sz w:val="24"/>
                <w:szCs w:val="24"/>
                <w:color w:val="auto"/>
              </w:rPr>
            </w:pPr>
          </w:p>
        </w:tc>
        <w:tc>
          <w:tcPr>
            <w:tcW w:w="17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4840" w:type="dxa"/>
            <w:vAlign w:val="bottom"/>
            <w:tcBorders>
              <w:bottom w:val="single" w:sz="8" w:color="9A9A9A"/>
            </w:tcBorders>
          </w:tcPr>
          <w:p>
            <w:pPr>
              <w:spacing w:after="0"/>
              <w:rPr>
                <w:sz w:val="9"/>
                <w:szCs w:val="9"/>
                <w:color w:val="auto"/>
              </w:rPr>
            </w:pPr>
          </w:p>
        </w:tc>
        <w:tc>
          <w:tcPr>
            <w:tcW w:w="17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66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-1599565</wp:posOffset>
            </wp:positionV>
            <wp:extent cx="68580" cy="571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-1599565</wp:posOffset>
            </wp:positionV>
            <wp:extent cx="68580" cy="571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-699135</wp:posOffset>
            </wp:positionV>
            <wp:extent cx="68580" cy="571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-699135</wp:posOffset>
            </wp:positionV>
            <wp:extent cx="68580" cy="571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-459105</wp:posOffset>
            </wp:positionV>
            <wp:extent cx="68580" cy="571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-459105</wp:posOffset>
            </wp:positionV>
            <wp:extent cx="68580" cy="571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52" w:name="page53"/>
    <w:bookmarkEnd w:id="52"/>
    <w:p>
      <w:pPr>
        <w:ind w:left="160" w:hanging="152"/>
        <w:spacing w:after="0"/>
        <w:tabs>
          <w:tab w:leader="none" w:pos="160" w:val="left"/>
        </w:tabs>
        <w:numPr>
          <w:ilvl w:val="0"/>
          <w:numId w:val="26"/>
        </w:numPr>
        <w:rPr>
          <w:rFonts w:ascii="Arial" w:cs="Arial" w:eastAsia="Arial" w:hAnsi="Arial"/>
          <w:sz w:val="14"/>
          <w:szCs w:val="14"/>
          <w:b w:val="1"/>
          <w:bCs w:val="1"/>
          <w:color w:val="auto"/>
          <w:vertAlign w:val="superscript"/>
        </w:rPr>
      </w:pPr>
      <w:r>
        <w:rPr>
          <w:rFonts w:ascii="Arial" w:cs="Arial" w:eastAsia="Arial" w:hAnsi="Arial"/>
          <w:sz w:val="11"/>
          <w:szCs w:val="11"/>
          <w:color w:val="auto"/>
        </w:rPr>
        <w:t>As of June 30, 2022 and September 30, 2021, PSSL had unfunded commitments to fund investments of $0.6 million and $0.6 million, respectively.</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440" w:type="dxa"/>
            <w:vAlign w:val="bottom"/>
          </w:tcPr>
          <w:p>
            <w:pPr>
              <w:ind w:left="460"/>
              <w:spacing w:after="0"/>
              <w:rPr>
                <w:sz w:val="20"/>
                <w:szCs w:val="20"/>
                <w:color w:val="auto"/>
              </w:rPr>
            </w:pPr>
            <w:r>
              <w:rPr>
                <w:rFonts w:ascii="Arial" w:cs="Arial" w:eastAsia="Arial" w:hAnsi="Arial"/>
                <w:sz w:val="14"/>
                <w:szCs w:val="14"/>
                <w:color w:val="auto"/>
              </w:rPr>
              <w:t>Below are the consolidated statements of operations for PSSL ($ in thousands):</w:t>
            </w:r>
          </w:p>
        </w:tc>
        <w:tc>
          <w:tcPr>
            <w:tcW w:w="180" w:type="dxa"/>
            <w:vAlign w:val="bottom"/>
          </w:tcPr>
          <w:p>
            <w:pPr>
              <w:spacing w:after="0"/>
              <w:rPr>
                <w:sz w:val="15"/>
                <w:szCs w:val="15"/>
                <w:color w:val="auto"/>
              </w:rPr>
            </w:pPr>
          </w:p>
        </w:tc>
        <w:tc>
          <w:tcPr>
            <w:tcW w:w="2660" w:type="dxa"/>
            <w:vAlign w:val="bottom"/>
            <w:gridSpan w:val="5"/>
            <w:vMerge w:val="restart"/>
          </w:tcPr>
          <w:p>
            <w:pPr>
              <w:jc w:val="right"/>
              <w:ind w:right="540"/>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Pr>
          <w:p>
            <w:pPr>
              <w:spacing w:after="0"/>
              <w:rPr>
                <w:sz w:val="15"/>
                <w:szCs w:val="15"/>
                <w:color w:val="auto"/>
              </w:rPr>
            </w:pPr>
          </w:p>
        </w:tc>
        <w:tc>
          <w:tcPr>
            <w:tcW w:w="2660" w:type="dxa"/>
            <w:vAlign w:val="bottom"/>
            <w:gridSpan w:val="5"/>
            <w:vMerge w:val="restart"/>
          </w:tcPr>
          <w:p>
            <w:pPr>
              <w:jc w:val="right"/>
              <w:ind w:right="640"/>
              <w:spacing w:after="0"/>
              <w:rPr>
                <w:sz w:val="20"/>
                <w:szCs w:val="20"/>
                <w:color w:val="auto"/>
              </w:rPr>
            </w:pPr>
            <w:r>
              <w:rPr>
                <w:rFonts w:ascii="Arial" w:cs="Arial" w:eastAsia="Arial" w:hAnsi="Arial"/>
                <w:sz w:val="14"/>
                <w:szCs w:val="14"/>
                <w:b w:val="1"/>
                <w:bCs w:val="1"/>
                <w:color w:val="auto"/>
              </w:rPr>
              <w:t>Nine Months Ended June 30,</w:t>
            </w:r>
          </w:p>
        </w:tc>
        <w:tc>
          <w:tcPr>
            <w:tcW w:w="0" w:type="dxa"/>
            <w:vAlign w:val="bottom"/>
          </w:tcPr>
          <w:p>
            <w:pPr>
              <w:spacing w:after="0"/>
              <w:rPr>
                <w:sz w:val="1"/>
                <w:szCs w:val="1"/>
                <w:color w:val="auto"/>
              </w:rPr>
            </w:pPr>
          </w:p>
        </w:tc>
      </w:tr>
      <w:tr>
        <w:trPr>
          <w:trHeight w:val="165"/>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60" w:type="dxa"/>
            <w:vAlign w:val="bottom"/>
            <w:gridSpan w:val="5"/>
            <w:vMerge w:val="continue"/>
          </w:tcPr>
          <w:p>
            <w:pPr>
              <w:spacing w:after="0"/>
              <w:rPr>
                <w:sz w:val="14"/>
                <w:szCs w:val="14"/>
                <w:color w:val="auto"/>
              </w:rPr>
            </w:pPr>
          </w:p>
        </w:tc>
        <w:tc>
          <w:tcPr>
            <w:tcW w:w="300" w:type="dxa"/>
            <w:vAlign w:val="bottom"/>
          </w:tcPr>
          <w:p>
            <w:pPr>
              <w:spacing w:after="0"/>
              <w:rPr>
                <w:sz w:val="14"/>
                <w:szCs w:val="14"/>
                <w:color w:val="auto"/>
              </w:rPr>
            </w:pPr>
          </w:p>
        </w:tc>
        <w:tc>
          <w:tcPr>
            <w:tcW w:w="266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440" w:type="dxa"/>
            <w:vAlign w:val="bottom"/>
            <w:shd w:val="clear" w:color="auto" w:fill="CCECFF"/>
          </w:tcPr>
          <w:p>
            <w:pPr>
              <w:ind w:left="20"/>
              <w:spacing w:after="0"/>
              <w:rPr>
                <w:sz w:val="20"/>
                <w:szCs w:val="20"/>
                <w:color w:val="auto"/>
              </w:rPr>
            </w:pPr>
            <w:r>
              <w:rPr>
                <w:rFonts w:ascii="Arial" w:cs="Arial" w:eastAsia="Arial" w:hAnsi="Arial"/>
                <w:sz w:val="14"/>
                <w:szCs w:val="14"/>
                <w:b w:val="1"/>
                <w:bCs w:val="1"/>
                <w:color w:val="auto"/>
              </w:rPr>
              <w:t>Investment income:</w:t>
            </w:r>
          </w:p>
        </w:tc>
        <w:tc>
          <w:tcPr>
            <w:tcW w:w="180" w:type="dxa"/>
            <w:vAlign w:val="bottom"/>
            <w:shd w:val="clear" w:color="auto" w:fill="CCECFF"/>
          </w:tcPr>
          <w:p>
            <w:pPr>
              <w:spacing w:after="0"/>
              <w:rPr>
                <w:sz w:val="14"/>
                <w:szCs w:val="14"/>
                <w:color w:val="auto"/>
              </w:rPr>
            </w:pPr>
          </w:p>
        </w:tc>
        <w:tc>
          <w:tcPr>
            <w:tcW w:w="9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08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98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440" w:type="dxa"/>
            <w:vAlign w:val="bottom"/>
          </w:tcPr>
          <w:p>
            <w:pPr>
              <w:ind w:left="200"/>
              <w:spacing w:after="0"/>
              <w:rPr>
                <w:sz w:val="20"/>
                <w:szCs w:val="20"/>
                <w:color w:val="auto"/>
              </w:rPr>
            </w:pPr>
            <w:r>
              <w:rPr>
                <w:rFonts w:ascii="Arial" w:cs="Arial" w:eastAsia="Arial" w:hAnsi="Arial"/>
                <w:sz w:val="14"/>
                <w:szCs w:val="14"/>
                <w:color w:val="auto"/>
              </w:rPr>
              <w:t>Interest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13,535</w:t>
            </w:r>
          </w:p>
        </w:tc>
        <w:tc>
          <w:tcPr>
            <w:tcW w:w="24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8,688</w:t>
            </w:r>
          </w:p>
        </w:tc>
        <w:tc>
          <w:tcPr>
            <w:tcW w:w="260" w:type="dxa"/>
            <w:vAlign w:val="bottom"/>
          </w:tcPr>
          <w:p>
            <w:pPr>
              <w:spacing w:after="0"/>
              <w:rPr>
                <w:sz w:val="15"/>
                <w:szCs w:val="15"/>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36,467</w:t>
            </w:r>
          </w:p>
        </w:tc>
        <w:tc>
          <w:tcPr>
            <w:tcW w:w="260" w:type="dxa"/>
            <w:vAlign w:val="bottom"/>
          </w:tcPr>
          <w:p>
            <w:pPr>
              <w:spacing w:after="0"/>
              <w:rPr>
                <w:sz w:val="15"/>
                <w:szCs w:val="15"/>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23,741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440" w:type="dxa"/>
            <w:vAlign w:val="bottom"/>
            <w:tcBorders>
              <w:bottom w:val="single" w:sz="8" w:color="CCECFF"/>
            </w:tcBorders>
            <w:shd w:val="clear" w:color="auto" w:fill="CCECFF"/>
          </w:tcPr>
          <w:p>
            <w:pPr>
              <w:ind w:left="200"/>
              <w:spacing w:after="0"/>
              <w:rPr>
                <w:sz w:val="20"/>
                <w:szCs w:val="20"/>
                <w:color w:val="auto"/>
              </w:rPr>
            </w:pPr>
            <w:r>
              <w:rPr>
                <w:rFonts w:ascii="Arial" w:cs="Arial" w:eastAsia="Arial" w:hAnsi="Arial"/>
                <w:sz w:val="14"/>
                <w:szCs w:val="14"/>
                <w:color w:val="auto"/>
              </w:rPr>
              <w:t>Other income</w:t>
            </w:r>
          </w:p>
        </w:tc>
        <w:tc>
          <w:tcPr>
            <w:tcW w:w="180" w:type="dxa"/>
            <w:vAlign w:val="bottom"/>
            <w:tcBorders>
              <w:bottom w:val="single" w:sz="8" w:color="CCECFF"/>
            </w:tcBorders>
            <w:shd w:val="clear" w:color="auto" w:fill="CCECFF"/>
          </w:tcPr>
          <w:p>
            <w:pPr>
              <w:spacing w:after="0"/>
              <w:rPr>
                <w:sz w:val="15"/>
                <w:szCs w:val="15"/>
                <w:color w:val="auto"/>
              </w:rPr>
            </w:pPr>
          </w:p>
        </w:tc>
        <w:tc>
          <w:tcPr>
            <w:tcW w:w="9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65</w:t>
            </w:r>
          </w:p>
        </w:tc>
        <w:tc>
          <w:tcPr>
            <w:tcW w:w="240" w:type="dxa"/>
            <w:vAlign w:val="bottom"/>
            <w:tcBorders>
              <w:bottom w:val="single" w:sz="8" w:color="CCECFF"/>
            </w:tcBorders>
            <w:shd w:val="clear" w:color="auto" w:fill="CCECFF"/>
          </w:tcPr>
          <w:p>
            <w:pPr>
              <w:spacing w:after="0"/>
              <w:rPr>
                <w:sz w:val="15"/>
                <w:szCs w:val="15"/>
                <w:color w:val="auto"/>
              </w:rPr>
            </w:pPr>
          </w:p>
        </w:tc>
        <w:tc>
          <w:tcPr>
            <w:tcW w:w="160" w:type="dxa"/>
            <w:vAlign w:val="bottom"/>
            <w:tcBorders>
              <w:bottom w:val="single" w:sz="8" w:color="CCECFF"/>
            </w:tcBorders>
            <w:shd w:val="clear" w:color="auto" w:fill="CCECFF"/>
          </w:tcPr>
          <w:p>
            <w:pPr>
              <w:spacing w:after="0"/>
              <w:rPr>
                <w:sz w:val="15"/>
                <w:szCs w:val="15"/>
                <w:color w:val="auto"/>
              </w:rPr>
            </w:pPr>
          </w:p>
        </w:tc>
        <w:tc>
          <w:tcPr>
            <w:tcW w:w="10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506</w:t>
            </w:r>
          </w:p>
        </w:tc>
        <w:tc>
          <w:tcPr>
            <w:tcW w:w="260" w:type="dxa"/>
            <w:vAlign w:val="bottom"/>
            <w:tcBorders>
              <w:bottom w:val="single" w:sz="8" w:color="CCECFF"/>
            </w:tcBorders>
            <w:shd w:val="clear" w:color="auto" w:fill="CCECFF"/>
          </w:tcPr>
          <w:p>
            <w:pPr>
              <w:spacing w:after="0"/>
              <w:rPr>
                <w:sz w:val="15"/>
                <w:szCs w:val="15"/>
                <w:color w:val="auto"/>
              </w:rPr>
            </w:pPr>
          </w:p>
        </w:tc>
        <w:tc>
          <w:tcPr>
            <w:tcW w:w="300" w:type="dxa"/>
            <w:vAlign w:val="bottom"/>
            <w:tcBorders>
              <w:bottom w:val="single" w:sz="8" w:color="auto"/>
            </w:tcBorders>
            <w:shd w:val="clear" w:color="auto" w:fill="CCECFF"/>
          </w:tcPr>
          <w:p>
            <w:pPr>
              <w:spacing w:after="0"/>
              <w:rPr>
                <w:sz w:val="15"/>
                <w:szCs w:val="15"/>
                <w:color w:val="auto"/>
              </w:rPr>
            </w:pPr>
          </w:p>
        </w:tc>
        <w:tc>
          <w:tcPr>
            <w:tcW w:w="9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1,084</w:t>
            </w:r>
          </w:p>
        </w:tc>
        <w:tc>
          <w:tcPr>
            <w:tcW w:w="260" w:type="dxa"/>
            <w:vAlign w:val="bottom"/>
            <w:tcBorders>
              <w:bottom w:val="single" w:sz="8" w:color="CCECFF"/>
            </w:tcBorders>
            <w:shd w:val="clear" w:color="auto" w:fill="CCECFF"/>
          </w:tcPr>
          <w:p>
            <w:pPr>
              <w:spacing w:after="0"/>
              <w:rPr>
                <w:sz w:val="15"/>
                <w:szCs w:val="15"/>
                <w:color w:val="auto"/>
              </w:rPr>
            </w:pPr>
          </w:p>
        </w:tc>
        <w:tc>
          <w:tcPr>
            <w:tcW w:w="300" w:type="dxa"/>
            <w:vAlign w:val="bottom"/>
            <w:tcBorders>
              <w:bottom w:val="single" w:sz="8" w:color="auto"/>
            </w:tcBorders>
            <w:shd w:val="clear" w:color="auto" w:fill="CCECFF"/>
          </w:tcPr>
          <w:p>
            <w:pPr>
              <w:spacing w:after="0"/>
              <w:rPr>
                <w:sz w:val="15"/>
                <w:szCs w:val="15"/>
                <w:color w:val="auto"/>
              </w:rPr>
            </w:pPr>
          </w:p>
        </w:tc>
        <w:tc>
          <w:tcPr>
            <w:tcW w:w="10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757</w:t>
            </w:r>
          </w:p>
        </w:tc>
        <w:tc>
          <w:tcPr>
            <w:tcW w:w="100" w:type="dxa"/>
            <w:vAlign w:val="bottom"/>
            <w:tcBorders>
              <w:bottom w:val="single" w:sz="8" w:color="CCECFF"/>
            </w:tcBorders>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440" w:type="dxa"/>
            <w:vAlign w:val="bottom"/>
          </w:tcPr>
          <w:p>
            <w:pPr>
              <w:ind w:left="200"/>
              <w:spacing w:after="0"/>
              <w:rPr>
                <w:sz w:val="20"/>
                <w:szCs w:val="20"/>
                <w:color w:val="auto"/>
              </w:rPr>
            </w:pPr>
            <w:r>
              <w:rPr>
                <w:rFonts w:ascii="Arial" w:cs="Arial" w:eastAsia="Arial" w:hAnsi="Arial"/>
                <w:sz w:val="14"/>
                <w:szCs w:val="14"/>
                <w:b w:val="1"/>
                <w:bCs w:val="1"/>
                <w:color w:val="auto"/>
              </w:rPr>
              <w:t>Total investment income</w:t>
            </w:r>
          </w:p>
        </w:tc>
        <w:tc>
          <w:tcPr>
            <w:tcW w:w="18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13,600</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9,194</w:t>
            </w:r>
          </w:p>
        </w:tc>
        <w:tc>
          <w:tcPr>
            <w:tcW w:w="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37,551</w:t>
            </w:r>
          </w:p>
        </w:tc>
        <w:tc>
          <w:tcPr>
            <w:tcW w:w="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24,498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440" w:type="dxa"/>
            <w:vAlign w:val="bottom"/>
            <w:shd w:val="clear" w:color="auto" w:fill="CCECFF"/>
          </w:tcPr>
          <w:p>
            <w:pPr>
              <w:ind w:left="20"/>
              <w:spacing w:after="0"/>
              <w:rPr>
                <w:sz w:val="20"/>
                <w:szCs w:val="20"/>
                <w:color w:val="auto"/>
              </w:rPr>
            </w:pPr>
            <w:r>
              <w:rPr>
                <w:rFonts w:ascii="Arial" w:cs="Arial" w:eastAsia="Arial" w:hAnsi="Arial"/>
                <w:sz w:val="14"/>
                <w:szCs w:val="14"/>
                <w:b w:val="1"/>
                <w:bCs w:val="1"/>
                <w:color w:val="auto"/>
              </w:rPr>
              <w:t>Expenses:</w:t>
            </w:r>
          </w:p>
        </w:tc>
        <w:tc>
          <w:tcPr>
            <w:tcW w:w="180" w:type="dxa"/>
            <w:vAlign w:val="bottom"/>
            <w:shd w:val="clear" w:color="auto" w:fill="CCECFF"/>
          </w:tcPr>
          <w:p>
            <w:pPr>
              <w:spacing w:after="0"/>
              <w:rPr>
                <w:sz w:val="14"/>
                <w:szCs w:val="14"/>
                <w:color w:val="auto"/>
              </w:rPr>
            </w:pPr>
          </w:p>
        </w:tc>
        <w:tc>
          <w:tcPr>
            <w:tcW w:w="9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08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98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440" w:type="dxa"/>
            <w:vAlign w:val="bottom"/>
          </w:tcPr>
          <w:p>
            <w:pPr>
              <w:ind w:left="200"/>
              <w:spacing w:after="0"/>
              <w:rPr>
                <w:sz w:val="20"/>
                <w:szCs w:val="20"/>
                <w:color w:val="auto"/>
              </w:rPr>
            </w:pPr>
            <w:r>
              <w:rPr>
                <w:rFonts w:ascii="Arial" w:cs="Arial" w:eastAsia="Arial" w:hAnsi="Arial"/>
                <w:sz w:val="14"/>
                <w:szCs w:val="14"/>
                <w:color w:val="auto"/>
              </w:rPr>
              <w:t>Interest and expense on credit facility and asset-backed debt</w:t>
            </w:r>
          </w:p>
        </w:tc>
        <w:tc>
          <w:tcPr>
            <w:tcW w:w="1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4,667</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2,623</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11,514</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6,589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440" w:type="dxa"/>
            <w:vAlign w:val="bottom"/>
            <w:shd w:val="clear" w:color="auto" w:fill="CCECFF"/>
          </w:tcPr>
          <w:p>
            <w:pPr>
              <w:ind w:left="200"/>
              <w:spacing w:after="0"/>
              <w:rPr>
                <w:sz w:val="20"/>
                <w:szCs w:val="20"/>
                <w:color w:val="auto"/>
              </w:rPr>
            </w:pPr>
            <w:r>
              <w:rPr>
                <w:rFonts w:ascii="Arial" w:cs="Arial" w:eastAsia="Arial" w:hAnsi="Arial"/>
                <w:sz w:val="14"/>
                <w:szCs w:val="14"/>
                <w:color w:val="auto"/>
              </w:rPr>
              <w:t>Interest expense on notes to members</w:t>
            </w:r>
          </w:p>
        </w:tc>
        <w:tc>
          <w:tcPr>
            <w:tcW w:w="180" w:type="dxa"/>
            <w:vAlign w:val="bottom"/>
            <w:shd w:val="clear" w:color="auto" w:fill="CCECFF"/>
          </w:tcPr>
          <w:p>
            <w:pPr>
              <w:spacing w:after="0"/>
              <w:rPr>
                <w:sz w:val="15"/>
                <w:szCs w:val="15"/>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4,510</w:t>
            </w:r>
          </w:p>
        </w:tc>
        <w:tc>
          <w:tcPr>
            <w:tcW w:w="24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10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3,289</w:t>
            </w:r>
          </w:p>
        </w:tc>
        <w:tc>
          <w:tcPr>
            <w:tcW w:w="260" w:type="dxa"/>
            <w:vAlign w:val="bottom"/>
            <w:shd w:val="clear" w:color="auto" w:fill="CCECFF"/>
          </w:tcPr>
          <w:p>
            <w:pPr>
              <w:spacing w:after="0"/>
              <w:rPr>
                <w:sz w:val="15"/>
                <w:szCs w:val="15"/>
                <w:color w:val="auto"/>
              </w:rPr>
            </w:pPr>
          </w:p>
        </w:tc>
        <w:tc>
          <w:tcPr>
            <w:tcW w:w="300" w:type="dxa"/>
            <w:vAlign w:val="bottom"/>
            <w:shd w:val="clear" w:color="auto" w:fill="CCECFF"/>
          </w:tcPr>
          <w:p>
            <w:pPr>
              <w:spacing w:after="0"/>
              <w:rPr>
                <w:sz w:val="15"/>
                <w:szCs w:val="15"/>
                <w:color w:val="auto"/>
              </w:rPr>
            </w:pPr>
          </w:p>
        </w:tc>
        <w:tc>
          <w:tcPr>
            <w:tcW w:w="9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11,704</w:t>
            </w:r>
          </w:p>
        </w:tc>
        <w:tc>
          <w:tcPr>
            <w:tcW w:w="260" w:type="dxa"/>
            <w:vAlign w:val="bottom"/>
            <w:shd w:val="clear" w:color="auto" w:fill="CCECFF"/>
          </w:tcPr>
          <w:p>
            <w:pPr>
              <w:spacing w:after="0"/>
              <w:rPr>
                <w:sz w:val="15"/>
                <w:szCs w:val="15"/>
                <w:color w:val="auto"/>
              </w:rPr>
            </w:pPr>
          </w:p>
        </w:tc>
        <w:tc>
          <w:tcPr>
            <w:tcW w:w="300" w:type="dxa"/>
            <w:vAlign w:val="bottom"/>
            <w:shd w:val="clear" w:color="auto" w:fill="CCECFF"/>
          </w:tcPr>
          <w:p>
            <w:pPr>
              <w:spacing w:after="0"/>
              <w:rPr>
                <w:sz w:val="15"/>
                <w:szCs w:val="15"/>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9,283</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440" w:type="dxa"/>
            <w:vAlign w:val="bottom"/>
          </w:tcPr>
          <w:p>
            <w:pPr>
              <w:ind w:left="200"/>
              <w:spacing w:after="0"/>
              <w:rPr>
                <w:sz w:val="20"/>
                <w:szCs w:val="20"/>
                <w:color w:val="auto"/>
              </w:rPr>
            </w:pPr>
            <w:r>
              <w:rPr>
                <w:rFonts w:ascii="Arial" w:cs="Arial" w:eastAsia="Arial" w:hAnsi="Arial"/>
                <w:sz w:val="14"/>
                <w:szCs w:val="14"/>
                <w:color w:val="auto"/>
              </w:rPr>
              <w:t>Administrative services expenses</w:t>
            </w:r>
          </w:p>
        </w:tc>
        <w:tc>
          <w:tcPr>
            <w:tcW w:w="1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300</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300</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900</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440" w:type="dxa"/>
            <w:vAlign w:val="bottom"/>
            <w:tcBorders>
              <w:bottom w:val="single" w:sz="8" w:color="CCECFF"/>
            </w:tcBorders>
            <w:shd w:val="clear" w:color="auto" w:fill="CCECFF"/>
          </w:tcPr>
          <w:p>
            <w:pPr>
              <w:ind w:left="200"/>
              <w:spacing w:after="0"/>
              <w:rPr>
                <w:sz w:val="20"/>
                <w:szCs w:val="20"/>
                <w:color w:val="auto"/>
              </w:rPr>
            </w:pPr>
            <w:r>
              <w:rPr>
                <w:rFonts w:ascii="Arial" w:cs="Arial" w:eastAsia="Arial" w:hAnsi="Arial"/>
                <w:sz w:val="14"/>
                <w:szCs w:val="14"/>
                <w:color w:val="auto"/>
              </w:rPr>
              <w:t>Other general and administrative expenses</w:t>
            </w:r>
          </w:p>
        </w:tc>
        <w:tc>
          <w:tcPr>
            <w:tcW w:w="180" w:type="dxa"/>
            <w:vAlign w:val="bottom"/>
            <w:tcBorders>
              <w:bottom w:val="single" w:sz="8" w:color="CCECFF"/>
            </w:tcBorders>
            <w:shd w:val="clear" w:color="auto" w:fill="CCECFF"/>
          </w:tcPr>
          <w:p>
            <w:pPr>
              <w:spacing w:after="0"/>
              <w:rPr>
                <w:sz w:val="15"/>
                <w:szCs w:val="15"/>
                <w:color w:val="auto"/>
              </w:rPr>
            </w:pPr>
          </w:p>
        </w:tc>
        <w:tc>
          <w:tcPr>
            <w:tcW w:w="9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289</w:t>
            </w:r>
          </w:p>
        </w:tc>
        <w:tc>
          <w:tcPr>
            <w:tcW w:w="240" w:type="dxa"/>
            <w:vAlign w:val="bottom"/>
            <w:tcBorders>
              <w:bottom w:val="single" w:sz="8" w:color="CCECFF"/>
            </w:tcBorders>
            <w:shd w:val="clear" w:color="auto" w:fill="CCECFF"/>
          </w:tcPr>
          <w:p>
            <w:pPr>
              <w:spacing w:after="0"/>
              <w:rPr>
                <w:sz w:val="15"/>
                <w:szCs w:val="15"/>
                <w:color w:val="auto"/>
              </w:rPr>
            </w:pPr>
          </w:p>
        </w:tc>
        <w:tc>
          <w:tcPr>
            <w:tcW w:w="160" w:type="dxa"/>
            <w:vAlign w:val="bottom"/>
            <w:tcBorders>
              <w:bottom w:val="single" w:sz="8" w:color="CCECFF"/>
            </w:tcBorders>
            <w:shd w:val="clear" w:color="auto" w:fill="CCECFF"/>
          </w:tcPr>
          <w:p>
            <w:pPr>
              <w:spacing w:after="0"/>
              <w:rPr>
                <w:sz w:val="15"/>
                <w:szCs w:val="15"/>
                <w:color w:val="auto"/>
              </w:rPr>
            </w:pPr>
          </w:p>
        </w:tc>
        <w:tc>
          <w:tcPr>
            <w:tcW w:w="10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227</w:t>
            </w:r>
          </w:p>
        </w:tc>
        <w:tc>
          <w:tcPr>
            <w:tcW w:w="260" w:type="dxa"/>
            <w:vAlign w:val="bottom"/>
            <w:tcBorders>
              <w:bottom w:val="single" w:sz="8" w:color="CCECFF"/>
            </w:tcBorders>
            <w:shd w:val="clear" w:color="auto" w:fill="CCECFF"/>
          </w:tcPr>
          <w:p>
            <w:pPr>
              <w:spacing w:after="0"/>
              <w:rPr>
                <w:sz w:val="15"/>
                <w:szCs w:val="15"/>
                <w:color w:val="auto"/>
              </w:rPr>
            </w:pPr>
          </w:p>
        </w:tc>
        <w:tc>
          <w:tcPr>
            <w:tcW w:w="300" w:type="dxa"/>
            <w:vAlign w:val="bottom"/>
            <w:tcBorders>
              <w:bottom w:val="single" w:sz="8" w:color="auto"/>
            </w:tcBorders>
            <w:shd w:val="clear" w:color="auto" w:fill="CCECFF"/>
          </w:tcPr>
          <w:p>
            <w:pPr>
              <w:spacing w:after="0"/>
              <w:rPr>
                <w:sz w:val="15"/>
                <w:szCs w:val="15"/>
                <w:color w:val="auto"/>
              </w:rPr>
            </w:pPr>
          </w:p>
        </w:tc>
        <w:tc>
          <w:tcPr>
            <w:tcW w:w="9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867</w:t>
            </w:r>
          </w:p>
        </w:tc>
        <w:tc>
          <w:tcPr>
            <w:tcW w:w="260" w:type="dxa"/>
            <w:vAlign w:val="bottom"/>
            <w:tcBorders>
              <w:bottom w:val="single" w:sz="8" w:color="CCECFF"/>
            </w:tcBorders>
            <w:shd w:val="clear" w:color="auto" w:fill="CCECFF"/>
          </w:tcPr>
          <w:p>
            <w:pPr>
              <w:spacing w:after="0"/>
              <w:rPr>
                <w:sz w:val="15"/>
                <w:szCs w:val="15"/>
                <w:color w:val="auto"/>
              </w:rPr>
            </w:pPr>
          </w:p>
        </w:tc>
        <w:tc>
          <w:tcPr>
            <w:tcW w:w="300" w:type="dxa"/>
            <w:vAlign w:val="bottom"/>
            <w:tcBorders>
              <w:bottom w:val="single" w:sz="8" w:color="auto"/>
            </w:tcBorders>
            <w:shd w:val="clear" w:color="auto" w:fill="CCECFF"/>
          </w:tcPr>
          <w:p>
            <w:pPr>
              <w:spacing w:after="0"/>
              <w:rPr>
                <w:sz w:val="15"/>
                <w:szCs w:val="15"/>
                <w:color w:val="auto"/>
              </w:rPr>
            </w:pPr>
          </w:p>
        </w:tc>
        <w:tc>
          <w:tcPr>
            <w:tcW w:w="10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617</w:t>
            </w:r>
          </w:p>
        </w:tc>
        <w:tc>
          <w:tcPr>
            <w:tcW w:w="100" w:type="dxa"/>
            <w:vAlign w:val="bottom"/>
            <w:tcBorders>
              <w:bottom w:val="single" w:sz="8" w:color="CCECFF"/>
            </w:tcBorders>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440" w:type="dxa"/>
            <w:vAlign w:val="bottom"/>
          </w:tcPr>
          <w:p>
            <w:pPr>
              <w:ind w:left="200"/>
              <w:spacing w:after="0"/>
              <w:rPr>
                <w:sz w:val="20"/>
                <w:szCs w:val="20"/>
                <w:color w:val="auto"/>
              </w:rPr>
            </w:pPr>
            <w:r>
              <w:rPr>
                <w:rFonts w:ascii="Arial" w:cs="Arial" w:eastAsia="Arial" w:hAnsi="Arial"/>
                <w:sz w:val="14"/>
                <w:szCs w:val="14"/>
                <w:b w:val="1"/>
                <w:bCs w:val="1"/>
                <w:color w:val="auto"/>
              </w:rPr>
              <w:t>Total expenses</w:t>
            </w:r>
          </w:p>
        </w:tc>
        <w:tc>
          <w:tcPr>
            <w:tcW w:w="18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9,766</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6,439</w:t>
            </w:r>
          </w:p>
        </w:tc>
        <w:tc>
          <w:tcPr>
            <w:tcW w:w="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24,985</w:t>
            </w:r>
          </w:p>
        </w:tc>
        <w:tc>
          <w:tcPr>
            <w:tcW w:w="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17,389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440" w:type="dxa"/>
            <w:vAlign w:val="bottom"/>
            <w:tcBorders>
              <w:bottom w:val="single" w:sz="8" w:color="CCECFF"/>
            </w:tcBorders>
            <w:shd w:val="clear" w:color="auto" w:fill="CCECFF"/>
          </w:tcPr>
          <w:p>
            <w:pPr>
              <w:ind w:left="200"/>
              <w:spacing w:after="0"/>
              <w:rPr>
                <w:sz w:val="20"/>
                <w:szCs w:val="20"/>
                <w:color w:val="auto"/>
              </w:rPr>
            </w:pPr>
            <w:r>
              <w:rPr>
                <w:rFonts w:ascii="Arial" w:cs="Arial" w:eastAsia="Arial" w:hAnsi="Arial"/>
                <w:sz w:val="14"/>
                <w:szCs w:val="14"/>
                <w:b w:val="1"/>
                <w:bCs w:val="1"/>
                <w:color w:val="auto"/>
              </w:rPr>
              <w:t>Net investment income</w:t>
            </w:r>
          </w:p>
        </w:tc>
        <w:tc>
          <w:tcPr>
            <w:tcW w:w="180" w:type="dxa"/>
            <w:vAlign w:val="bottom"/>
            <w:tcBorders>
              <w:bottom w:val="single" w:sz="8" w:color="CCECFF"/>
            </w:tcBorders>
            <w:shd w:val="clear" w:color="auto" w:fill="CCECFF"/>
          </w:tcPr>
          <w:p>
            <w:pPr>
              <w:spacing w:after="0"/>
              <w:rPr>
                <w:sz w:val="14"/>
                <w:szCs w:val="14"/>
                <w:color w:val="auto"/>
              </w:rPr>
            </w:pPr>
          </w:p>
        </w:tc>
        <w:tc>
          <w:tcPr>
            <w:tcW w:w="9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3,834</w:t>
            </w:r>
          </w:p>
        </w:tc>
        <w:tc>
          <w:tcPr>
            <w:tcW w:w="240" w:type="dxa"/>
            <w:vAlign w:val="bottom"/>
            <w:tcBorders>
              <w:bottom w:val="single" w:sz="8" w:color="CCECFF"/>
            </w:tcBorders>
            <w:shd w:val="clear" w:color="auto" w:fill="CCECFF"/>
          </w:tcPr>
          <w:p>
            <w:pPr>
              <w:spacing w:after="0"/>
              <w:rPr>
                <w:sz w:val="14"/>
                <w:szCs w:val="14"/>
                <w:color w:val="auto"/>
              </w:rPr>
            </w:pPr>
          </w:p>
        </w:tc>
        <w:tc>
          <w:tcPr>
            <w:tcW w:w="160" w:type="dxa"/>
            <w:vAlign w:val="bottom"/>
            <w:tcBorders>
              <w:bottom w:val="single" w:sz="8" w:color="CCECFF"/>
            </w:tcBorders>
            <w:shd w:val="clear" w:color="auto" w:fill="CCECFF"/>
          </w:tcPr>
          <w:p>
            <w:pPr>
              <w:spacing w:after="0"/>
              <w:rPr>
                <w:sz w:val="14"/>
                <w:szCs w:val="14"/>
                <w:color w:val="auto"/>
              </w:rPr>
            </w:pPr>
          </w:p>
        </w:tc>
        <w:tc>
          <w:tcPr>
            <w:tcW w:w="10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2,755</w:t>
            </w:r>
          </w:p>
        </w:tc>
        <w:tc>
          <w:tcPr>
            <w:tcW w:w="260" w:type="dxa"/>
            <w:vAlign w:val="bottom"/>
            <w:tcBorders>
              <w:bottom w:val="single" w:sz="8" w:color="CCECFF"/>
            </w:tcBorders>
            <w:shd w:val="clear" w:color="auto" w:fill="CCECFF"/>
          </w:tcPr>
          <w:p>
            <w:pPr>
              <w:spacing w:after="0"/>
              <w:rPr>
                <w:sz w:val="14"/>
                <w:szCs w:val="14"/>
                <w:color w:val="auto"/>
              </w:rPr>
            </w:pPr>
          </w:p>
        </w:tc>
        <w:tc>
          <w:tcPr>
            <w:tcW w:w="300" w:type="dxa"/>
            <w:vAlign w:val="bottom"/>
            <w:tcBorders>
              <w:bottom w:val="single" w:sz="8" w:color="auto"/>
            </w:tcBorders>
            <w:shd w:val="clear" w:color="auto" w:fill="CCECFF"/>
          </w:tcPr>
          <w:p>
            <w:pPr>
              <w:spacing w:after="0"/>
              <w:rPr>
                <w:sz w:val="14"/>
                <w:szCs w:val="14"/>
                <w:color w:val="auto"/>
              </w:rPr>
            </w:pPr>
          </w:p>
        </w:tc>
        <w:tc>
          <w:tcPr>
            <w:tcW w:w="9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12,566</w:t>
            </w:r>
          </w:p>
        </w:tc>
        <w:tc>
          <w:tcPr>
            <w:tcW w:w="260" w:type="dxa"/>
            <w:vAlign w:val="bottom"/>
            <w:tcBorders>
              <w:bottom w:val="single" w:sz="8" w:color="CCECFF"/>
            </w:tcBorders>
            <w:shd w:val="clear" w:color="auto" w:fill="CCECFF"/>
          </w:tcPr>
          <w:p>
            <w:pPr>
              <w:spacing w:after="0"/>
              <w:rPr>
                <w:sz w:val="14"/>
                <w:szCs w:val="14"/>
                <w:color w:val="auto"/>
              </w:rPr>
            </w:pPr>
          </w:p>
        </w:tc>
        <w:tc>
          <w:tcPr>
            <w:tcW w:w="300" w:type="dxa"/>
            <w:vAlign w:val="bottom"/>
            <w:tcBorders>
              <w:bottom w:val="single" w:sz="8" w:color="auto"/>
            </w:tcBorders>
            <w:shd w:val="clear" w:color="auto" w:fill="CCECFF"/>
          </w:tcPr>
          <w:p>
            <w:pPr>
              <w:spacing w:after="0"/>
              <w:rPr>
                <w:sz w:val="14"/>
                <w:szCs w:val="14"/>
                <w:color w:val="auto"/>
              </w:rPr>
            </w:pPr>
          </w:p>
        </w:tc>
        <w:tc>
          <w:tcPr>
            <w:tcW w:w="10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7,109</w:t>
            </w:r>
          </w:p>
        </w:tc>
        <w:tc>
          <w:tcPr>
            <w:tcW w:w="100" w:type="dxa"/>
            <w:vAlign w:val="bottom"/>
            <w:tcBorders>
              <w:bottom w:val="single" w:sz="8" w:color="CCECFF"/>
            </w:tcBorders>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440" w:type="dxa"/>
            <w:vAlign w:val="bottom"/>
          </w:tcPr>
          <w:p>
            <w:pPr>
              <w:ind w:left="20"/>
              <w:spacing w:after="0" w:line="133" w:lineRule="exact"/>
              <w:rPr>
                <w:sz w:val="20"/>
                <w:szCs w:val="20"/>
                <w:color w:val="auto"/>
              </w:rPr>
            </w:pPr>
            <w:r>
              <w:rPr>
                <w:rFonts w:ascii="Arial" w:cs="Arial" w:eastAsia="Arial" w:hAnsi="Arial"/>
                <w:sz w:val="14"/>
                <w:szCs w:val="14"/>
                <w:b w:val="1"/>
                <w:bCs w:val="1"/>
                <w:color w:val="auto"/>
                <w:w w:val="94"/>
              </w:rPr>
              <w:t>Realized and unrealized (loss) gain on investments and credit facility foreign currency</w:t>
            </w: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5440" w:type="dxa"/>
            <w:vAlign w:val="bottom"/>
          </w:tcPr>
          <w:p>
            <w:pPr>
              <w:ind w:left="20"/>
              <w:spacing w:after="0"/>
              <w:rPr>
                <w:sz w:val="20"/>
                <w:szCs w:val="20"/>
                <w:color w:val="auto"/>
              </w:rPr>
            </w:pPr>
            <w:r>
              <w:rPr>
                <w:rFonts w:ascii="Arial" w:cs="Arial" w:eastAsia="Arial" w:hAnsi="Arial"/>
                <w:sz w:val="14"/>
                <w:szCs w:val="14"/>
                <w:b w:val="1"/>
                <w:bCs w:val="1"/>
                <w:color w:val="auto"/>
              </w:rPr>
              <w:t>translation currency translations:</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440" w:type="dxa"/>
            <w:vAlign w:val="bottom"/>
            <w:shd w:val="clear" w:color="auto" w:fill="CCECFF"/>
          </w:tcPr>
          <w:p>
            <w:pPr>
              <w:ind w:left="20"/>
              <w:spacing w:after="0"/>
              <w:rPr>
                <w:sz w:val="20"/>
                <w:szCs w:val="20"/>
                <w:color w:val="auto"/>
              </w:rPr>
            </w:pPr>
            <w:r>
              <w:rPr>
                <w:rFonts w:ascii="Arial" w:cs="Arial" w:eastAsia="Arial" w:hAnsi="Arial"/>
                <w:sz w:val="14"/>
                <w:szCs w:val="14"/>
                <w:color w:val="auto"/>
              </w:rPr>
              <w:t>Net realized loss on investments</w:t>
            </w:r>
          </w:p>
        </w:tc>
        <w:tc>
          <w:tcPr>
            <w:tcW w:w="180" w:type="dxa"/>
            <w:vAlign w:val="bottom"/>
            <w:shd w:val="clear" w:color="auto" w:fill="CCECFF"/>
          </w:tcPr>
          <w:p>
            <w:pPr>
              <w:spacing w:after="0"/>
              <w:rPr>
                <w:sz w:val="15"/>
                <w:szCs w:val="15"/>
                <w:color w:val="auto"/>
              </w:rPr>
            </w:pPr>
          </w:p>
        </w:tc>
        <w:tc>
          <w:tcPr>
            <w:tcW w:w="1160" w:type="dxa"/>
            <w:vAlign w:val="bottom"/>
            <w:gridSpan w:val="2"/>
            <w:shd w:val="clear" w:color="auto" w:fill="CCECFF"/>
          </w:tcPr>
          <w:p>
            <w:pPr>
              <w:jc w:val="right"/>
              <w:ind w:right="108"/>
              <w:spacing w:after="0"/>
              <w:rPr>
                <w:sz w:val="20"/>
                <w:szCs w:val="20"/>
                <w:color w:val="auto"/>
              </w:rPr>
            </w:pPr>
            <w:r>
              <w:rPr>
                <w:rFonts w:ascii="Arial" w:cs="Arial" w:eastAsia="Arial" w:hAnsi="Arial"/>
                <w:sz w:val="14"/>
                <w:szCs w:val="14"/>
                <w:color w:val="auto"/>
              </w:rPr>
              <w:t>(24 )</w:t>
            </w:r>
          </w:p>
        </w:tc>
        <w:tc>
          <w:tcPr>
            <w:tcW w:w="160" w:type="dxa"/>
            <w:vAlign w:val="bottom"/>
            <w:shd w:val="clear" w:color="auto" w:fill="CCECFF"/>
          </w:tcPr>
          <w:p>
            <w:pPr>
              <w:spacing w:after="0"/>
              <w:rPr>
                <w:sz w:val="15"/>
                <w:szCs w:val="15"/>
                <w:color w:val="auto"/>
              </w:rPr>
            </w:pPr>
          </w:p>
        </w:tc>
        <w:tc>
          <w:tcPr>
            <w:tcW w:w="134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(3,403 )</w:t>
            </w:r>
          </w:p>
        </w:tc>
        <w:tc>
          <w:tcPr>
            <w:tcW w:w="300" w:type="dxa"/>
            <w:vAlign w:val="bottom"/>
            <w:shd w:val="clear" w:color="auto" w:fill="CCECFF"/>
          </w:tcPr>
          <w:p>
            <w:pPr>
              <w:spacing w:after="0"/>
              <w:rPr>
                <w:sz w:val="15"/>
                <w:szCs w:val="15"/>
                <w:color w:val="auto"/>
              </w:rPr>
            </w:pPr>
          </w:p>
        </w:tc>
        <w:tc>
          <w:tcPr>
            <w:tcW w:w="124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(14,956 )</w:t>
            </w:r>
          </w:p>
        </w:tc>
        <w:tc>
          <w:tcPr>
            <w:tcW w:w="300" w:type="dxa"/>
            <w:vAlign w:val="bottom"/>
            <w:shd w:val="clear" w:color="auto" w:fill="CCECFF"/>
          </w:tcPr>
          <w:p>
            <w:pPr>
              <w:spacing w:after="0"/>
              <w:rPr>
                <w:sz w:val="15"/>
                <w:szCs w:val="15"/>
                <w:color w:val="auto"/>
              </w:rPr>
            </w:pPr>
          </w:p>
        </w:tc>
        <w:tc>
          <w:tcPr>
            <w:tcW w:w="1120" w:type="dxa"/>
            <w:vAlign w:val="bottom"/>
            <w:gridSpan w:val="2"/>
            <w:shd w:val="clear" w:color="auto" w:fill="CCECFF"/>
          </w:tcPr>
          <w:p>
            <w:pPr>
              <w:jc w:val="right"/>
              <w:ind w:right="40"/>
              <w:spacing w:after="0"/>
              <w:rPr>
                <w:sz w:val="20"/>
                <w:szCs w:val="20"/>
                <w:color w:val="auto"/>
              </w:rPr>
            </w:pPr>
            <w:r>
              <w:rPr>
                <w:rFonts w:ascii="Arial" w:cs="Arial" w:eastAsia="Arial" w:hAnsi="Arial"/>
                <w:sz w:val="14"/>
                <w:szCs w:val="14"/>
                <w:color w:val="auto"/>
              </w:rPr>
              <w:t>(4,679 )</w:t>
            </w:r>
          </w:p>
        </w:tc>
        <w:tc>
          <w:tcPr>
            <w:tcW w:w="0" w:type="dxa"/>
            <w:vAlign w:val="bottom"/>
          </w:tcPr>
          <w:p>
            <w:pPr>
              <w:spacing w:after="0"/>
              <w:rPr>
                <w:sz w:val="1"/>
                <w:szCs w:val="1"/>
                <w:color w:val="auto"/>
              </w:rPr>
            </w:pPr>
          </w:p>
        </w:tc>
      </w:tr>
      <w:tr>
        <w:trPr>
          <w:trHeight w:val="175"/>
        </w:trPr>
        <w:tc>
          <w:tcPr>
            <w:tcW w:w="5440" w:type="dxa"/>
            <w:vAlign w:val="bottom"/>
          </w:tcPr>
          <w:p>
            <w:pPr>
              <w:ind w:left="20"/>
              <w:spacing w:after="0"/>
              <w:rPr>
                <w:sz w:val="20"/>
                <w:szCs w:val="20"/>
                <w:color w:val="auto"/>
              </w:rPr>
            </w:pPr>
            <w:r>
              <w:rPr>
                <w:rFonts w:ascii="Arial" w:cs="Arial" w:eastAsia="Arial" w:hAnsi="Arial"/>
                <w:sz w:val="14"/>
                <w:szCs w:val="14"/>
                <w:color w:val="auto"/>
              </w:rPr>
              <w:t>Net change in unrealized appreciation (depreciation) on:</w:t>
            </w: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440" w:type="dxa"/>
            <w:vAlign w:val="bottom"/>
            <w:shd w:val="clear" w:color="auto" w:fill="CCECFF"/>
          </w:tcPr>
          <w:p>
            <w:pPr>
              <w:ind w:left="200"/>
              <w:spacing w:after="0"/>
              <w:rPr>
                <w:sz w:val="20"/>
                <w:szCs w:val="20"/>
                <w:color w:val="auto"/>
              </w:rPr>
            </w:pPr>
            <w:r>
              <w:rPr>
                <w:rFonts w:ascii="Arial" w:cs="Arial" w:eastAsia="Arial" w:hAnsi="Arial"/>
                <w:sz w:val="14"/>
                <w:szCs w:val="14"/>
                <w:color w:val="auto"/>
              </w:rPr>
              <w:t>Investments</w:t>
            </w:r>
          </w:p>
        </w:tc>
        <w:tc>
          <w:tcPr>
            <w:tcW w:w="180" w:type="dxa"/>
            <w:vAlign w:val="bottom"/>
            <w:shd w:val="clear" w:color="auto" w:fill="CCECFF"/>
          </w:tcPr>
          <w:p>
            <w:pPr>
              <w:spacing w:after="0"/>
              <w:rPr>
                <w:sz w:val="15"/>
                <w:szCs w:val="15"/>
                <w:color w:val="auto"/>
              </w:rPr>
            </w:pPr>
          </w:p>
        </w:tc>
        <w:tc>
          <w:tcPr>
            <w:tcW w:w="1160" w:type="dxa"/>
            <w:vAlign w:val="bottom"/>
            <w:gridSpan w:val="2"/>
            <w:shd w:val="clear" w:color="auto" w:fill="CCECFF"/>
          </w:tcPr>
          <w:p>
            <w:pPr>
              <w:jc w:val="right"/>
              <w:ind w:right="108"/>
              <w:spacing w:after="0"/>
              <w:rPr>
                <w:sz w:val="20"/>
                <w:szCs w:val="20"/>
                <w:color w:val="auto"/>
              </w:rPr>
            </w:pPr>
            <w:r>
              <w:rPr>
                <w:rFonts w:ascii="Arial" w:cs="Arial" w:eastAsia="Arial" w:hAnsi="Arial"/>
                <w:sz w:val="14"/>
                <w:szCs w:val="14"/>
                <w:color w:val="auto"/>
              </w:rPr>
              <w:t>(5,232 )</w:t>
            </w:r>
          </w:p>
        </w:tc>
        <w:tc>
          <w:tcPr>
            <w:tcW w:w="160" w:type="dxa"/>
            <w:vAlign w:val="bottom"/>
            <w:shd w:val="clear" w:color="auto" w:fill="CCECFF"/>
          </w:tcPr>
          <w:p>
            <w:pPr>
              <w:spacing w:after="0"/>
              <w:rPr>
                <w:sz w:val="15"/>
                <w:szCs w:val="15"/>
                <w:color w:val="auto"/>
              </w:rPr>
            </w:pPr>
          </w:p>
        </w:tc>
        <w:tc>
          <w:tcPr>
            <w:tcW w:w="10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1,920</w:t>
            </w:r>
          </w:p>
        </w:tc>
        <w:tc>
          <w:tcPr>
            <w:tcW w:w="260" w:type="dxa"/>
            <w:vAlign w:val="bottom"/>
            <w:shd w:val="clear" w:color="auto" w:fill="CCECFF"/>
          </w:tcPr>
          <w:p>
            <w:pPr>
              <w:spacing w:after="0"/>
              <w:rPr>
                <w:sz w:val="15"/>
                <w:szCs w:val="15"/>
                <w:color w:val="auto"/>
              </w:rPr>
            </w:pPr>
          </w:p>
        </w:tc>
        <w:tc>
          <w:tcPr>
            <w:tcW w:w="300" w:type="dxa"/>
            <w:vAlign w:val="bottom"/>
            <w:shd w:val="clear" w:color="auto" w:fill="CCECFF"/>
          </w:tcPr>
          <w:p>
            <w:pPr>
              <w:spacing w:after="0"/>
              <w:rPr>
                <w:sz w:val="15"/>
                <w:szCs w:val="15"/>
                <w:color w:val="auto"/>
              </w:rPr>
            </w:pPr>
          </w:p>
        </w:tc>
        <w:tc>
          <w:tcPr>
            <w:tcW w:w="9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6,325</w:t>
            </w:r>
          </w:p>
        </w:tc>
        <w:tc>
          <w:tcPr>
            <w:tcW w:w="260" w:type="dxa"/>
            <w:vAlign w:val="bottom"/>
            <w:shd w:val="clear" w:color="auto" w:fill="CCECFF"/>
          </w:tcPr>
          <w:p>
            <w:pPr>
              <w:spacing w:after="0"/>
              <w:rPr>
                <w:sz w:val="15"/>
                <w:szCs w:val="15"/>
                <w:color w:val="auto"/>
              </w:rPr>
            </w:pPr>
          </w:p>
        </w:tc>
        <w:tc>
          <w:tcPr>
            <w:tcW w:w="300" w:type="dxa"/>
            <w:vAlign w:val="bottom"/>
            <w:shd w:val="clear" w:color="auto" w:fill="CCECFF"/>
          </w:tcPr>
          <w:p>
            <w:pPr>
              <w:spacing w:after="0"/>
              <w:rPr>
                <w:sz w:val="15"/>
                <w:szCs w:val="15"/>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9,584</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440" w:type="dxa"/>
            <w:vAlign w:val="bottom"/>
          </w:tcPr>
          <w:p>
            <w:pPr>
              <w:ind w:left="200"/>
              <w:spacing w:after="0"/>
              <w:rPr>
                <w:sz w:val="20"/>
                <w:szCs w:val="20"/>
                <w:color w:val="auto"/>
              </w:rPr>
            </w:pPr>
            <w:r>
              <w:rPr>
                <w:rFonts w:ascii="Arial" w:cs="Arial" w:eastAsia="Arial" w:hAnsi="Arial"/>
                <w:sz w:val="14"/>
                <w:szCs w:val="14"/>
                <w:color w:val="auto"/>
              </w:rPr>
              <w:t>Credit facility foreign currency translation</w:t>
            </w:r>
          </w:p>
        </w:tc>
        <w:tc>
          <w:tcPr>
            <w:tcW w:w="1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4"/>
                <w:szCs w:val="14"/>
                <w:color w:val="auto"/>
              </w:rPr>
              <w:t>(489 )</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5440" w:type="dxa"/>
            <w:vAlign w:val="bottom"/>
            <w:shd w:val="clear" w:color="auto" w:fill="CCECFF"/>
          </w:tcPr>
          <w:p>
            <w:pPr>
              <w:ind w:left="200"/>
              <w:spacing w:after="0" w:line="133" w:lineRule="exact"/>
              <w:rPr>
                <w:sz w:val="20"/>
                <w:szCs w:val="20"/>
                <w:color w:val="auto"/>
              </w:rPr>
            </w:pPr>
            <w:r>
              <w:rPr>
                <w:rFonts w:ascii="Arial" w:cs="Arial" w:eastAsia="Arial" w:hAnsi="Arial"/>
                <w:sz w:val="14"/>
                <w:szCs w:val="14"/>
                <w:b w:val="1"/>
                <w:bCs w:val="1"/>
                <w:color w:val="auto"/>
                <w:w w:val="99"/>
              </w:rPr>
              <w:t>Net change in unrealized appreciation (depreciation) on investments and credit</w:t>
            </w:r>
          </w:p>
        </w:tc>
        <w:tc>
          <w:tcPr>
            <w:tcW w:w="180" w:type="dxa"/>
            <w:vAlign w:val="bottom"/>
            <w:shd w:val="clear" w:color="auto" w:fill="CCECFF"/>
          </w:tcPr>
          <w:p>
            <w:pPr>
              <w:spacing w:after="0"/>
              <w:rPr>
                <w:sz w:val="11"/>
                <w:szCs w:val="11"/>
                <w:color w:val="auto"/>
              </w:rPr>
            </w:pPr>
          </w:p>
        </w:tc>
        <w:tc>
          <w:tcPr>
            <w:tcW w:w="1160" w:type="dxa"/>
            <w:vAlign w:val="bottom"/>
            <w:gridSpan w:val="2"/>
            <w:vMerge w:val="restart"/>
            <w:shd w:val="clear" w:color="auto" w:fill="CCECFF"/>
          </w:tcPr>
          <w:p>
            <w:pPr>
              <w:jc w:val="right"/>
              <w:ind w:right="108"/>
              <w:spacing w:after="0"/>
              <w:rPr>
                <w:sz w:val="20"/>
                <w:szCs w:val="20"/>
                <w:color w:val="auto"/>
              </w:rPr>
            </w:pPr>
            <w:r>
              <w:rPr>
                <w:rFonts w:ascii="Arial" w:cs="Arial" w:eastAsia="Arial" w:hAnsi="Arial"/>
                <w:sz w:val="14"/>
                <w:szCs w:val="14"/>
                <w:color w:val="auto"/>
              </w:rPr>
              <w:t>(5,232 )</w:t>
            </w:r>
          </w:p>
        </w:tc>
        <w:tc>
          <w:tcPr>
            <w:tcW w:w="160" w:type="dxa"/>
            <w:vAlign w:val="bottom"/>
            <w:shd w:val="clear" w:color="auto" w:fill="CCECFF"/>
          </w:tcPr>
          <w:p>
            <w:pPr>
              <w:spacing w:after="0"/>
              <w:rPr>
                <w:sz w:val="11"/>
                <w:szCs w:val="11"/>
                <w:color w:val="auto"/>
              </w:rPr>
            </w:pPr>
          </w:p>
        </w:tc>
        <w:tc>
          <w:tcPr>
            <w:tcW w:w="1080" w:type="dxa"/>
            <w:vAlign w:val="bottom"/>
            <w:vMerge w:val="restart"/>
            <w:shd w:val="clear" w:color="auto" w:fill="CCECFF"/>
          </w:tcPr>
          <w:p>
            <w:pPr>
              <w:jc w:val="right"/>
              <w:spacing w:after="0"/>
              <w:rPr>
                <w:sz w:val="20"/>
                <w:szCs w:val="20"/>
                <w:color w:val="auto"/>
              </w:rPr>
            </w:pPr>
            <w:r>
              <w:rPr>
                <w:rFonts w:ascii="Arial" w:cs="Arial" w:eastAsia="Arial" w:hAnsi="Arial"/>
                <w:sz w:val="14"/>
                <w:szCs w:val="14"/>
                <w:color w:val="auto"/>
              </w:rPr>
              <w:t>1,920</w:t>
            </w:r>
          </w:p>
        </w:tc>
        <w:tc>
          <w:tcPr>
            <w:tcW w:w="260" w:type="dxa"/>
            <w:vAlign w:val="bottom"/>
            <w:shd w:val="clear" w:color="auto" w:fill="CCECFF"/>
          </w:tcPr>
          <w:p>
            <w:pPr>
              <w:spacing w:after="0"/>
              <w:rPr>
                <w:sz w:val="11"/>
                <w:szCs w:val="11"/>
                <w:color w:val="auto"/>
              </w:rPr>
            </w:pPr>
          </w:p>
        </w:tc>
        <w:tc>
          <w:tcPr>
            <w:tcW w:w="300" w:type="dxa"/>
            <w:vAlign w:val="bottom"/>
            <w:shd w:val="clear" w:color="auto" w:fill="CCECFF"/>
          </w:tcPr>
          <w:p>
            <w:pPr>
              <w:spacing w:after="0"/>
              <w:rPr>
                <w:sz w:val="11"/>
                <w:szCs w:val="11"/>
                <w:color w:val="auto"/>
              </w:rPr>
            </w:pPr>
          </w:p>
        </w:tc>
        <w:tc>
          <w:tcPr>
            <w:tcW w:w="980" w:type="dxa"/>
            <w:vAlign w:val="bottom"/>
            <w:vMerge w:val="restart"/>
            <w:shd w:val="clear" w:color="auto" w:fill="CCECFF"/>
          </w:tcPr>
          <w:p>
            <w:pPr>
              <w:jc w:val="right"/>
              <w:spacing w:after="0"/>
              <w:rPr>
                <w:sz w:val="20"/>
                <w:szCs w:val="20"/>
                <w:color w:val="auto"/>
              </w:rPr>
            </w:pPr>
            <w:r>
              <w:rPr>
                <w:rFonts w:ascii="Arial" w:cs="Arial" w:eastAsia="Arial" w:hAnsi="Arial"/>
                <w:sz w:val="14"/>
                <w:szCs w:val="14"/>
                <w:color w:val="auto"/>
              </w:rPr>
              <w:t>6,325</w:t>
            </w:r>
          </w:p>
        </w:tc>
        <w:tc>
          <w:tcPr>
            <w:tcW w:w="260" w:type="dxa"/>
            <w:vAlign w:val="bottom"/>
            <w:shd w:val="clear" w:color="auto" w:fill="CCECFF"/>
          </w:tcPr>
          <w:p>
            <w:pPr>
              <w:spacing w:after="0"/>
              <w:rPr>
                <w:sz w:val="11"/>
                <w:szCs w:val="11"/>
                <w:color w:val="auto"/>
              </w:rPr>
            </w:pPr>
          </w:p>
        </w:tc>
        <w:tc>
          <w:tcPr>
            <w:tcW w:w="300" w:type="dxa"/>
            <w:vAlign w:val="bottom"/>
            <w:shd w:val="clear" w:color="auto" w:fill="CCECFF"/>
          </w:tcPr>
          <w:p>
            <w:pPr>
              <w:spacing w:after="0"/>
              <w:rPr>
                <w:sz w:val="11"/>
                <w:szCs w:val="11"/>
                <w:color w:val="auto"/>
              </w:rPr>
            </w:pPr>
          </w:p>
        </w:tc>
        <w:tc>
          <w:tcPr>
            <w:tcW w:w="1020" w:type="dxa"/>
            <w:vAlign w:val="bottom"/>
            <w:vMerge w:val="restart"/>
            <w:shd w:val="clear" w:color="auto" w:fill="CCECFF"/>
          </w:tcPr>
          <w:p>
            <w:pPr>
              <w:jc w:val="right"/>
              <w:spacing w:after="0"/>
              <w:rPr>
                <w:sz w:val="20"/>
                <w:szCs w:val="20"/>
                <w:color w:val="auto"/>
              </w:rPr>
            </w:pPr>
            <w:r>
              <w:rPr>
                <w:rFonts w:ascii="Arial" w:cs="Arial" w:eastAsia="Arial" w:hAnsi="Arial"/>
                <w:sz w:val="14"/>
                <w:szCs w:val="14"/>
                <w:color w:val="auto"/>
              </w:rPr>
              <w:t>9,095</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440" w:type="dxa"/>
            <w:vAlign w:val="bottom"/>
            <w:shd w:val="clear" w:color="auto" w:fill="CCECFF"/>
          </w:tcPr>
          <w:p>
            <w:pPr>
              <w:ind w:left="200"/>
              <w:spacing w:after="0"/>
              <w:rPr>
                <w:sz w:val="20"/>
                <w:szCs w:val="20"/>
                <w:color w:val="auto"/>
              </w:rPr>
            </w:pPr>
            <w:r>
              <w:rPr>
                <w:rFonts w:ascii="Arial" w:cs="Arial" w:eastAsia="Arial" w:hAnsi="Arial"/>
                <w:sz w:val="14"/>
                <w:szCs w:val="14"/>
                <w:b w:val="1"/>
                <w:bCs w:val="1"/>
                <w:color w:val="auto"/>
              </w:rPr>
              <w:t>facility foreign currency translations</w:t>
            </w:r>
          </w:p>
        </w:tc>
        <w:tc>
          <w:tcPr>
            <w:tcW w:w="180" w:type="dxa"/>
            <w:vAlign w:val="bottom"/>
            <w:shd w:val="clear" w:color="auto" w:fill="CCECFF"/>
          </w:tcPr>
          <w:p>
            <w:pPr>
              <w:spacing w:after="0"/>
              <w:rPr>
                <w:sz w:val="14"/>
                <w:szCs w:val="14"/>
                <w:color w:val="auto"/>
              </w:rPr>
            </w:pPr>
          </w:p>
        </w:tc>
        <w:tc>
          <w:tcPr>
            <w:tcW w:w="1160" w:type="dxa"/>
            <w:vAlign w:val="bottom"/>
            <w:gridSpan w:val="2"/>
            <w:vMerge w:val="continue"/>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080" w:type="dxa"/>
            <w:vAlign w:val="bottom"/>
            <w:vMerge w:val="continue"/>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980" w:type="dxa"/>
            <w:vAlign w:val="bottom"/>
            <w:vMerge w:val="continue"/>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20" w:type="dxa"/>
            <w:vAlign w:val="bottom"/>
            <w:vMerge w:val="continue"/>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440" w:type="dxa"/>
            <w:vAlign w:val="bottom"/>
            <w:shd w:val="clear" w:color="auto" w:fill="CCECFF"/>
          </w:tcPr>
          <w:p>
            <w:pPr>
              <w:spacing w:after="0" w:line="20" w:lineRule="exact"/>
              <w:rPr>
                <w:sz w:val="1"/>
                <w:szCs w:val="1"/>
                <w:color w:val="auto"/>
              </w:rPr>
            </w:pPr>
          </w:p>
        </w:tc>
        <w:tc>
          <w:tcPr>
            <w:tcW w:w="180" w:type="dxa"/>
            <w:vAlign w:val="bottom"/>
            <w:shd w:val="clear" w:color="auto" w:fill="CCEC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CECFF"/>
          </w:tcPr>
          <w:p>
            <w:pPr>
              <w:spacing w:after="0" w:line="20" w:lineRule="exact"/>
              <w:rPr>
                <w:sz w:val="1"/>
                <w:szCs w:val="1"/>
                <w:color w:val="auto"/>
              </w:rPr>
            </w:pPr>
          </w:p>
        </w:tc>
        <w:tc>
          <w:tcPr>
            <w:tcW w:w="160" w:type="dxa"/>
            <w:vAlign w:val="bottom"/>
            <w:shd w:val="clear" w:color="auto" w:fill="CCEC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shd w:val="clear" w:color="auto" w:fill="CCEC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CEC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5440" w:type="dxa"/>
            <w:vAlign w:val="bottom"/>
          </w:tcPr>
          <w:p>
            <w:pPr>
              <w:ind w:left="200"/>
              <w:spacing w:after="0" w:line="133" w:lineRule="exact"/>
              <w:rPr>
                <w:sz w:val="20"/>
                <w:szCs w:val="20"/>
                <w:color w:val="auto"/>
              </w:rPr>
            </w:pPr>
            <w:r>
              <w:rPr>
                <w:rFonts w:ascii="Arial" w:cs="Arial" w:eastAsia="Arial" w:hAnsi="Arial"/>
                <w:sz w:val="14"/>
                <w:szCs w:val="14"/>
                <w:b w:val="1"/>
                <w:bCs w:val="1"/>
                <w:color w:val="auto"/>
                <w:w w:val="95"/>
              </w:rPr>
              <w:t>Net realized and unrealized gain (loss) from investments and credit facility foreign</w:t>
            </w:r>
          </w:p>
        </w:tc>
        <w:tc>
          <w:tcPr>
            <w:tcW w:w="180" w:type="dxa"/>
            <w:vAlign w:val="bottom"/>
          </w:tcPr>
          <w:p>
            <w:pPr>
              <w:spacing w:after="0"/>
              <w:rPr>
                <w:sz w:val="11"/>
                <w:szCs w:val="11"/>
                <w:color w:val="auto"/>
              </w:rPr>
            </w:pPr>
          </w:p>
        </w:tc>
        <w:tc>
          <w:tcPr>
            <w:tcW w:w="1160" w:type="dxa"/>
            <w:vAlign w:val="bottom"/>
            <w:gridSpan w:val="2"/>
            <w:vMerge w:val="restart"/>
          </w:tcPr>
          <w:p>
            <w:pPr>
              <w:jc w:val="right"/>
              <w:ind w:right="108"/>
              <w:spacing w:after="0"/>
              <w:rPr>
                <w:sz w:val="20"/>
                <w:szCs w:val="20"/>
                <w:color w:val="auto"/>
              </w:rPr>
            </w:pPr>
            <w:r>
              <w:rPr>
                <w:rFonts w:ascii="Arial" w:cs="Arial" w:eastAsia="Arial" w:hAnsi="Arial"/>
                <w:sz w:val="14"/>
                <w:szCs w:val="14"/>
                <w:color w:val="auto"/>
              </w:rPr>
              <w:t>(5,256 )</w:t>
            </w:r>
          </w:p>
        </w:tc>
        <w:tc>
          <w:tcPr>
            <w:tcW w:w="160" w:type="dxa"/>
            <w:vAlign w:val="bottom"/>
          </w:tcPr>
          <w:p>
            <w:pPr>
              <w:spacing w:after="0"/>
              <w:rPr>
                <w:sz w:val="11"/>
                <w:szCs w:val="11"/>
                <w:color w:val="auto"/>
              </w:rPr>
            </w:pPr>
          </w:p>
        </w:tc>
        <w:tc>
          <w:tcPr>
            <w:tcW w:w="13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(1,483 )</w:t>
            </w:r>
          </w:p>
        </w:tc>
        <w:tc>
          <w:tcPr>
            <w:tcW w:w="300" w:type="dxa"/>
            <w:vAlign w:val="bottom"/>
          </w:tcPr>
          <w:p>
            <w:pPr>
              <w:spacing w:after="0"/>
              <w:rPr>
                <w:sz w:val="11"/>
                <w:szCs w:val="11"/>
                <w:color w:val="auto"/>
              </w:rPr>
            </w:pPr>
          </w:p>
        </w:tc>
        <w:tc>
          <w:tcPr>
            <w:tcW w:w="12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(8,631 )</w:t>
            </w:r>
          </w:p>
        </w:tc>
        <w:tc>
          <w:tcPr>
            <w:tcW w:w="30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4,416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440" w:type="dxa"/>
            <w:vAlign w:val="bottom"/>
          </w:tcPr>
          <w:p>
            <w:pPr>
              <w:ind w:left="200"/>
              <w:spacing w:after="0"/>
              <w:rPr>
                <w:sz w:val="20"/>
                <w:szCs w:val="20"/>
                <w:color w:val="auto"/>
              </w:rPr>
            </w:pPr>
            <w:r>
              <w:rPr>
                <w:rFonts w:ascii="Arial" w:cs="Arial" w:eastAsia="Arial" w:hAnsi="Arial"/>
                <w:sz w:val="14"/>
                <w:szCs w:val="14"/>
                <w:b w:val="1"/>
                <w:bCs w:val="1"/>
                <w:color w:val="auto"/>
              </w:rPr>
              <w:t>currency translations</w:t>
            </w:r>
          </w:p>
        </w:tc>
        <w:tc>
          <w:tcPr>
            <w:tcW w:w="18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440" w:type="dxa"/>
            <w:vAlign w:val="bottom"/>
          </w:tcPr>
          <w:p>
            <w:pPr>
              <w:ind w:left="20"/>
              <w:spacing w:after="0"/>
              <w:rPr>
                <w:sz w:val="20"/>
                <w:szCs w:val="20"/>
                <w:color w:val="auto"/>
              </w:rPr>
            </w:pPr>
            <w:r>
              <w:rPr>
                <w:rFonts w:ascii="Arial" w:cs="Arial" w:eastAsia="Arial" w:hAnsi="Arial"/>
                <w:sz w:val="14"/>
                <w:szCs w:val="14"/>
                <w:b w:val="1"/>
                <w:bCs w:val="1"/>
                <w:color w:val="auto"/>
              </w:rPr>
              <w:t>Net increase (decrease) in members' equity resulting from operations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(1,422</w:t>
            </w:r>
          </w:p>
        </w:tc>
        <w:tc>
          <w:tcPr>
            <w:tcW w:w="240" w:type="dxa"/>
            <w:vAlign w:val="bottom"/>
          </w:tcPr>
          <w:p>
            <w:pPr>
              <w:jc w:val="right"/>
              <w:ind w:right="108"/>
              <w:spacing w:after="0"/>
              <w:rPr>
                <w:sz w:val="20"/>
                <w:szCs w:val="20"/>
                <w:color w:val="auto"/>
              </w:rPr>
            </w:pPr>
            <w:r>
              <w:rPr>
                <w:rFonts w:ascii="Arial" w:cs="Arial" w:eastAsia="Arial" w:hAnsi="Arial"/>
                <w:sz w:val="14"/>
                <w:szCs w:val="14"/>
                <w:color w:val="auto"/>
                <w:w w:val="84"/>
              </w:rPr>
              <w:t>)</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1,272</w:t>
            </w:r>
          </w:p>
        </w:tc>
        <w:tc>
          <w:tcPr>
            <w:tcW w:w="260" w:type="dxa"/>
            <w:vAlign w:val="bottom"/>
          </w:tcPr>
          <w:p>
            <w:pPr>
              <w:spacing w:after="0"/>
              <w:rPr>
                <w:sz w:val="15"/>
                <w:szCs w:val="15"/>
                <w:color w:val="auto"/>
              </w:rPr>
            </w:pPr>
          </w:p>
        </w:tc>
        <w:tc>
          <w:tcPr>
            <w:tcW w:w="30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3,935</w:t>
            </w:r>
          </w:p>
        </w:tc>
        <w:tc>
          <w:tcPr>
            <w:tcW w:w="260" w:type="dxa"/>
            <w:vAlign w:val="bottom"/>
          </w:tcPr>
          <w:p>
            <w:pPr>
              <w:spacing w:after="0"/>
              <w:rPr>
                <w:sz w:val="15"/>
                <w:szCs w:val="15"/>
                <w:color w:val="auto"/>
              </w:rPr>
            </w:pPr>
          </w:p>
        </w:tc>
        <w:tc>
          <w:tcPr>
            <w:tcW w:w="30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11,525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-2118360</wp:posOffset>
            </wp:positionV>
            <wp:extent cx="76835" cy="571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-2118360</wp:posOffset>
            </wp:positionV>
            <wp:extent cx="68580" cy="571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-2118360</wp:posOffset>
            </wp:positionV>
            <wp:extent cx="68580" cy="571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-2118360</wp:posOffset>
            </wp:positionV>
            <wp:extent cx="68580" cy="571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-1432560</wp:posOffset>
            </wp:positionV>
            <wp:extent cx="76835" cy="571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-1432560</wp:posOffset>
            </wp:positionV>
            <wp:extent cx="68580" cy="571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-1432560</wp:posOffset>
            </wp:positionV>
            <wp:extent cx="68580" cy="571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-1432560</wp:posOffset>
            </wp:positionV>
            <wp:extent cx="68580" cy="571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-1192530</wp:posOffset>
            </wp:positionV>
            <wp:extent cx="76835" cy="571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-1192530</wp:posOffset>
            </wp:positionV>
            <wp:extent cx="68580" cy="571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-1192530</wp:posOffset>
            </wp:positionV>
            <wp:extent cx="68580" cy="571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-1192530</wp:posOffset>
            </wp:positionV>
            <wp:extent cx="68580" cy="571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-326390</wp:posOffset>
            </wp:positionV>
            <wp:extent cx="76835" cy="571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-326390</wp:posOffset>
            </wp:positionV>
            <wp:extent cx="68580" cy="571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-326390</wp:posOffset>
            </wp:positionV>
            <wp:extent cx="68580" cy="571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-326390</wp:posOffset>
            </wp:positionV>
            <wp:extent cx="68580" cy="571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13716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380" w:hanging="372"/>
        <w:spacing w:after="0"/>
        <w:tabs>
          <w:tab w:leader="none" w:pos="380" w:val="left"/>
        </w:tabs>
        <w:numPr>
          <w:ilvl w:val="0"/>
          <w:numId w:val="27"/>
        </w:numPr>
        <w:rPr>
          <w:rFonts w:ascii="Arial" w:cs="Arial" w:eastAsia="Arial" w:hAnsi="Arial"/>
          <w:sz w:val="14"/>
          <w:szCs w:val="14"/>
          <w:color w:val="auto"/>
          <w:vertAlign w:val="superscript"/>
        </w:rPr>
      </w:pPr>
      <w:r>
        <w:rPr>
          <w:rFonts w:ascii="Arial" w:cs="Arial" w:eastAsia="Arial" w:hAnsi="Arial"/>
          <w:sz w:val="11"/>
          <w:szCs w:val="11"/>
          <w:color w:val="auto"/>
        </w:rPr>
        <w:t>Currently, no management or incentive fees are payable by PSSL. If any fees were to be charged, they would be separately disclosed in the Statements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Off-Balance Sheet Arrangements</w:t>
      </w:r>
    </w:p>
    <w:p>
      <w:pPr>
        <w:spacing w:after="0" w:line="204"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We currently engage in no off-balance sheet arrangements other than our funding requirements for the unfunded investments described above.</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Distributions</w:t>
      </w:r>
    </w:p>
    <w:p>
      <w:pPr>
        <w:spacing w:after="0" w:line="204" w:lineRule="exact"/>
        <w:rPr>
          <w:sz w:val="20"/>
          <w:szCs w:val="20"/>
          <w:color w:val="auto"/>
        </w:rPr>
      </w:pPr>
    </w:p>
    <w:p>
      <w:pPr>
        <w:jc w:val="both"/>
        <w:ind w:firstLine="449"/>
        <w:spacing w:after="0" w:line="257" w:lineRule="auto"/>
        <w:rPr>
          <w:sz w:val="20"/>
          <w:szCs w:val="20"/>
          <w:color w:val="auto"/>
        </w:rPr>
      </w:pPr>
      <w:r>
        <w:rPr>
          <w:rFonts w:ascii="Arial" w:cs="Arial" w:eastAsia="Arial" w:hAnsi="Arial"/>
          <w:sz w:val="14"/>
          <w:szCs w:val="14"/>
          <w:color w:val="auto"/>
        </w:rPr>
        <w:t>In order to be treated as a RIC for federal income tax purposes and to not be subject to corporate-level tax on undistributed income or gains, we are required, under Subchapter M of the Code, to annually distribute dividends for U.S. federal income tax purposes to our stockholders out of the assets legally available for distribution of an amount generally at least equal to 90% of our investment company taxable income, determined without regard to any deduction for dividends paid.</w:t>
      </w:r>
    </w:p>
    <w:p>
      <w:pPr>
        <w:spacing w:after="0" w:line="171" w:lineRule="exact"/>
        <w:rPr>
          <w:sz w:val="20"/>
          <w:szCs w:val="20"/>
          <w:color w:val="auto"/>
        </w:rPr>
      </w:pPr>
    </w:p>
    <w:p>
      <w:pPr>
        <w:jc w:val="both"/>
        <w:ind w:firstLine="449"/>
        <w:spacing w:after="0" w:line="249" w:lineRule="auto"/>
        <w:rPr>
          <w:sz w:val="20"/>
          <w:szCs w:val="20"/>
          <w:color w:val="auto"/>
        </w:rPr>
      </w:pPr>
      <w:r>
        <w:rPr>
          <w:rFonts w:ascii="Arial" w:cs="Arial" w:eastAsia="Arial" w:hAnsi="Arial"/>
          <w:sz w:val="14"/>
          <w:szCs w:val="14"/>
          <w:color w:val="auto"/>
        </w:rPr>
        <w:t>Although not required for us to maintain our RIC tax status, in order to preclude the imposition of a 4% nondeductible federal excise tax imposed on RICs, we must distribute dividends for federal income tax purposes to our stockholders in respect of each calendar year of an amount at least equal to the Excise Tax Avoidance Requirement. In addition, although we may distribute realized net capital gains (i.e., net long-term capital gains in excess of net short-term capital losses), if any, at least annually, out of the assets legally available for such distributions in the manner described above, we have retained and may continue to retain such net capital gains or investment company taxable income, subject to maintaining our ability to be taxed as a RIC, in order to provide us with additional liquidity.</w:t>
      </w:r>
    </w:p>
    <w:p>
      <w:pPr>
        <w:spacing w:after="0" w:line="177" w:lineRule="exact"/>
        <w:rPr>
          <w:sz w:val="20"/>
          <w:szCs w:val="20"/>
          <w:color w:val="auto"/>
        </w:rPr>
      </w:pPr>
    </w:p>
    <w:p>
      <w:pPr>
        <w:jc w:val="both"/>
        <w:ind w:firstLine="449"/>
        <w:spacing w:after="0" w:line="273" w:lineRule="auto"/>
        <w:rPr>
          <w:sz w:val="20"/>
          <w:szCs w:val="20"/>
          <w:color w:val="auto"/>
        </w:rPr>
      </w:pPr>
      <w:r>
        <w:rPr>
          <w:rFonts w:ascii="Arial" w:cs="Arial" w:eastAsia="Arial" w:hAnsi="Arial"/>
          <w:sz w:val="13"/>
          <w:szCs w:val="13"/>
          <w:color w:val="auto"/>
        </w:rPr>
        <w:t>During the three and nine months ended June 30, 2022, we declared distributions of $0.285 and $0.855 per share, respectively, for total distributions of $11.8 and $34.1 million, respectively. During the three and nine months ended June 30, 2021, we declared distributions of $0.285 and $0.855 per share, respectively, for total distributions of $11.1 and $33.2 million, respectively. We monitor available net investment income to determine if a return of capital for tax purposes may occur for the fiscal year. To the extent our taxable earnings fall below the total amount of our distributions for any given fiscal year, stockholders will be notified of the portion of those distributions deemed to be a tax return of capital. Tax characteristics of all distributions will be reported to stockholders subject to information reporting on Form 1099-DIV after the end of each calendar year and in our periodic reports filed with the SEC.</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We intend to continue to make monthly distributions to our stockholders. Our monthly distributions, if any, are determined by our board of directors quarterly.</w:t>
      </w:r>
    </w:p>
    <w:p>
      <w:pPr>
        <w:spacing w:after="0" w:line="204" w:lineRule="exact"/>
        <w:rPr>
          <w:sz w:val="20"/>
          <w:szCs w:val="20"/>
          <w:color w:val="auto"/>
        </w:rPr>
      </w:pPr>
    </w:p>
    <w:p>
      <w:pPr>
        <w:jc w:val="both"/>
        <w:ind w:firstLine="449"/>
        <w:spacing w:after="0" w:line="252" w:lineRule="auto"/>
        <w:rPr>
          <w:sz w:val="20"/>
          <w:szCs w:val="20"/>
          <w:color w:val="auto"/>
        </w:rPr>
      </w:pPr>
      <w:r>
        <w:rPr>
          <w:rFonts w:ascii="Arial" w:cs="Arial" w:eastAsia="Arial" w:hAnsi="Arial"/>
          <w:sz w:val="14"/>
          <w:szCs w:val="14"/>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ratio for borrowings applicable to us as a BDC under the 1940 Act and due to provisions in future credit facilities. If we do not distribute at least a certain percentage of our income annually, we could suffer adverse tax consequences, including possible loss of our ability to be subject to tax as a RIC. We cannot assure stockholders that they will receive any distributions at a particular level.</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Recent Accounting Pronouncements</w:t>
      </w:r>
    </w:p>
    <w:p>
      <w:pPr>
        <w:spacing w:after="0" w:line="204" w:lineRule="exact"/>
        <w:rPr>
          <w:sz w:val="20"/>
          <w:szCs w:val="20"/>
          <w:color w:val="auto"/>
        </w:rPr>
      </w:pPr>
    </w:p>
    <w:p>
      <w:pPr>
        <w:jc w:val="both"/>
        <w:ind w:firstLine="449"/>
        <w:spacing w:after="0" w:line="249" w:lineRule="auto"/>
        <w:rPr>
          <w:sz w:val="20"/>
          <w:szCs w:val="20"/>
          <w:color w:val="auto"/>
        </w:rPr>
      </w:pPr>
      <w:r>
        <w:rPr>
          <w:rFonts w:ascii="Arial" w:cs="Arial" w:eastAsia="Arial" w:hAnsi="Arial"/>
          <w:sz w:val="14"/>
          <w:szCs w:val="14"/>
          <w:color w:val="auto"/>
        </w:rPr>
        <w:t>In March 2020, the FASB issued Accounting Standards Update No. 2020-04, “Reference Rate Reform (Topic 848): Facilitation of the Effects of Reference Rate Reform on Financial Reporting.” The guidance provides optional expedients and exceptions for applying GAAP to contract modifications, hedging relationships and other transactions, subject to meeting certain criteria, that reference LIBOR or another reference rate expected to be discontinued because of the reference rate reform. ASU 2020-04 is effective for all entities as of March 12, 2020 through December 31, 2022. The Company is currently evaluating the impact the adoption of this new accounting standard will have on its consolidated financial statements, but the impact of the adoption is not expected to be material.</w:t>
      </w:r>
    </w:p>
    <w:p>
      <w:pPr>
        <w:spacing w:after="0" w:line="177" w:lineRule="exact"/>
        <w:rPr>
          <w:sz w:val="20"/>
          <w:szCs w:val="20"/>
          <w:color w:val="auto"/>
        </w:rPr>
      </w:pPr>
    </w:p>
    <w:p>
      <w:pPr>
        <w:jc w:val="both"/>
        <w:ind w:firstLine="449"/>
        <w:spacing w:after="0" w:line="247" w:lineRule="auto"/>
        <w:rPr>
          <w:sz w:val="20"/>
          <w:szCs w:val="20"/>
          <w:color w:val="auto"/>
        </w:rPr>
      </w:pPr>
      <w:r>
        <w:rPr>
          <w:rFonts w:ascii="Arial" w:cs="Arial" w:eastAsia="Arial" w:hAnsi="Arial"/>
          <w:sz w:val="14"/>
          <w:szCs w:val="14"/>
          <w:color w:val="auto"/>
        </w:rPr>
        <w:t>In June 2022, the FASB issued Accounting Standards Update, or ASU, 2022-03, Fair Value Measurement (Topic 820): Fair Value Measurement of Equity Securities Subject to Contractual Sale Restrictions, or ASU 2022-03, which changed the fair value measurement disclosure requirements of ASC Topic 820, Fair Value Measurements and Disclosures, or ASC 820. The amendments clarify that a contractual restriction on the sale of an equity security is not considered part of the unit of account of the equity security and, therefore, is not considered in measuring fair value. The amendments also clarify that an entity cannot, as a separate unit of account, recognize and measure a contractual sale restriction. The new guidance is effective for fiscal years beginning after December 15, 2023, including interim periods therein. Early application is permitted. The Company is currently evaluating the impact the adoption of this new accounting standard will have on its consolidated financial statements, but the impact of the adoption is not expected to be material.</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53" w:name="page54"/>
    <w:bookmarkEnd w:id="53"/>
    <w:p>
      <w:pPr>
        <w:spacing w:after="0"/>
        <w:rPr>
          <w:sz w:val="20"/>
          <w:szCs w:val="20"/>
          <w:color w:val="auto"/>
        </w:rPr>
      </w:pPr>
      <w:r>
        <w:rPr>
          <w:rFonts w:ascii="Arial" w:cs="Arial" w:eastAsia="Arial" w:hAnsi="Arial"/>
          <w:sz w:val="14"/>
          <w:szCs w:val="14"/>
          <w:b w:val="1"/>
          <w:bCs w:val="1"/>
          <w:color w:val="auto"/>
        </w:rPr>
        <w:t>Item 3. Quantitative and Qualitative Disclosures About Market Risk</w:t>
      </w:r>
    </w:p>
    <w:p>
      <w:pPr>
        <w:spacing w:after="0" w:line="208" w:lineRule="exact"/>
        <w:rPr>
          <w:sz w:val="20"/>
          <w:szCs w:val="20"/>
          <w:color w:val="auto"/>
        </w:rPr>
      </w:pPr>
    </w:p>
    <w:p>
      <w:pPr>
        <w:jc w:val="both"/>
        <w:ind w:firstLine="449"/>
        <w:spacing w:after="0" w:line="249" w:lineRule="auto"/>
        <w:rPr>
          <w:sz w:val="20"/>
          <w:szCs w:val="20"/>
          <w:color w:val="auto"/>
        </w:rPr>
      </w:pPr>
      <w:r>
        <w:rPr>
          <w:rFonts w:ascii="Arial" w:cs="Arial" w:eastAsia="Arial" w:hAnsi="Arial"/>
          <w:sz w:val="14"/>
          <w:szCs w:val="14"/>
          <w:color w:val="auto"/>
        </w:rPr>
        <w:t>We are subject to financial market risks, including changes in interest rates. As of June 30, 2022, our debt portfolio consisted of 100% variable-rate investments. The variable-rate loans are usually based on a LIBOR (or an alternative risk-free floating interest rate index) rate and typically have durations of three months, after which they reset to current market interest rates. Variable-rate investments subject to a floor generally reset by reference to the current market index after one to nine months only if the index exceeds the floor. In regards to variable-rate instruments with a floor, we do not benefit from increases in interest rates until such rates exceed the floor and thereafter benefit from market rates above any such floor. In contrast, our cost of funds, to the extent it is not fixed, will fluctuate with changes in interest rates since it has no floor.</w:t>
      </w:r>
    </w:p>
    <w:p>
      <w:pPr>
        <w:spacing w:after="0" w:line="177" w:lineRule="exact"/>
        <w:rPr>
          <w:sz w:val="20"/>
          <w:szCs w:val="20"/>
          <w:color w:val="auto"/>
        </w:rPr>
      </w:pPr>
    </w:p>
    <w:p>
      <w:pPr>
        <w:jc w:val="both"/>
        <w:ind w:right="20" w:firstLine="449"/>
        <w:spacing w:after="0" w:line="273" w:lineRule="auto"/>
        <w:rPr>
          <w:sz w:val="20"/>
          <w:szCs w:val="20"/>
          <w:color w:val="auto"/>
        </w:rPr>
      </w:pPr>
      <w:r>
        <w:rPr>
          <w:rFonts w:ascii="Arial" w:cs="Arial" w:eastAsia="Arial" w:hAnsi="Arial"/>
          <w:sz w:val="14"/>
          <w:szCs w:val="14"/>
          <w:color w:val="auto"/>
        </w:rPr>
        <w:t>Assuming that the most recent Consolidated Statements of Assets and Liabilities was to remain constant, and no actions were taken to alter the existing interest rate sensitivity, the following table shows the annualized impact of hypothetical base rate changes in interest rates: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40" w:type="dxa"/>
            <w:vAlign w:val="bottom"/>
          </w:tcPr>
          <w:p>
            <w:pPr>
              <w:jc w:val="center"/>
              <w:ind w:left="588"/>
              <w:spacing w:after="0"/>
              <w:rPr>
                <w:sz w:val="20"/>
                <w:szCs w:val="20"/>
                <w:color w:val="auto"/>
              </w:rPr>
            </w:pPr>
            <w:r>
              <w:rPr>
                <w:rFonts w:ascii="Arial" w:cs="Arial" w:eastAsia="Arial" w:hAnsi="Arial"/>
                <w:sz w:val="14"/>
                <w:szCs w:val="14"/>
                <w:b w:val="1"/>
                <w:bCs w:val="1"/>
                <w:color w:val="auto"/>
                <w:w w:val="92"/>
              </w:rPr>
              <w:t>Change in Interest Income,</w:t>
            </w: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80" w:type="dxa"/>
            <w:vAlign w:val="bottom"/>
            <w:gridSpan w:val="2"/>
          </w:tcPr>
          <w:p>
            <w:pPr>
              <w:jc w:val="center"/>
              <w:ind w:right="528"/>
              <w:spacing w:after="0"/>
              <w:rPr>
                <w:sz w:val="20"/>
                <w:szCs w:val="20"/>
                <w:color w:val="auto"/>
              </w:rPr>
            </w:pPr>
            <w:r>
              <w:rPr>
                <w:rFonts w:ascii="Arial" w:cs="Arial" w:eastAsia="Arial" w:hAnsi="Arial"/>
                <w:sz w:val="14"/>
                <w:szCs w:val="14"/>
                <w:b w:val="1"/>
                <w:bCs w:val="1"/>
                <w:color w:val="auto"/>
                <w:w w:val="93"/>
              </w:rPr>
              <w:t>Change in Interest Income,</w:t>
            </w:r>
          </w:p>
        </w:tc>
        <w:tc>
          <w:tcPr>
            <w:tcW w:w="0" w:type="dxa"/>
            <w:vAlign w:val="bottom"/>
          </w:tcPr>
          <w:p>
            <w:pPr>
              <w:spacing w:after="0"/>
              <w:rPr>
                <w:sz w:val="1"/>
                <w:szCs w:val="1"/>
                <w:color w:val="auto"/>
              </w:rPr>
            </w:pPr>
          </w:p>
        </w:tc>
      </w:tr>
      <w:tr>
        <w:trPr>
          <w:trHeight w:val="148"/>
        </w:trPr>
        <w:tc>
          <w:tcPr>
            <w:tcW w:w="3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Change in Interest Rates</w:t>
            </w:r>
          </w:p>
        </w:tc>
        <w:tc>
          <w:tcPr>
            <w:tcW w:w="260" w:type="dxa"/>
            <w:vAlign w:val="bottom"/>
          </w:tcPr>
          <w:p>
            <w:pPr>
              <w:spacing w:after="0"/>
              <w:rPr>
                <w:sz w:val="12"/>
                <w:szCs w:val="12"/>
                <w:color w:val="auto"/>
              </w:rPr>
            </w:pPr>
          </w:p>
        </w:tc>
        <w:tc>
          <w:tcPr>
            <w:tcW w:w="2840" w:type="dxa"/>
            <w:vAlign w:val="bottom"/>
          </w:tcPr>
          <w:p>
            <w:pPr>
              <w:jc w:val="center"/>
              <w:ind w:left="608"/>
              <w:spacing w:after="0" w:line="149" w:lineRule="exact"/>
              <w:rPr>
                <w:sz w:val="20"/>
                <w:szCs w:val="20"/>
                <w:color w:val="auto"/>
              </w:rPr>
            </w:pPr>
            <w:r>
              <w:rPr>
                <w:rFonts w:ascii="Arial" w:cs="Arial" w:eastAsia="Arial" w:hAnsi="Arial"/>
                <w:sz w:val="14"/>
                <w:szCs w:val="14"/>
                <w:b w:val="1"/>
                <w:bCs w:val="1"/>
                <w:color w:val="auto"/>
                <w:w w:val="92"/>
              </w:rPr>
              <w:t>Net of Interest Expense</w:t>
            </w: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80" w:type="dxa"/>
            <w:vAlign w:val="bottom"/>
            <w:gridSpan w:val="2"/>
          </w:tcPr>
          <w:p>
            <w:pPr>
              <w:jc w:val="center"/>
              <w:ind w:right="528"/>
              <w:spacing w:after="0" w:line="149" w:lineRule="exact"/>
              <w:rPr>
                <w:sz w:val="20"/>
                <w:szCs w:val="20"/>
                <w:color w:val="auto"/>
              </w:rPr>
            </w:pPr>
            <w:r>
              <w:rPr>
                <w:rFonts w:ascii="Arial" w:cs="Arial" w:eastAsia="Arial" w:hAnsi="Arial"/>
                <w:sz w:val="14"/>
                <w:szCs w:val="14"/>
                <w:b w:val="1"/>
                <w:bCs w:val="1"/>
                <w:color w:val="auto"/>
                <w:w w:val="93"/>
              </w:rPr>
              <w:t>Net of Interest</w:t>
            </w:r>
          </w:p>
        </w:tc>
        <w:tc>
          <w:tcPr>
            <w:tcW w:w="0" w:type="dxa"/>
            <w:vAlign w:val="bottom"/>
          </w:tcPr>
          <w:p>
            <w:pPr>
              <w:spacing w:after="0"/>
              <w:rPr>
                <w:sz w:val="1"/>
                <w:szCs w:val="1"/>
                <w:color w:val="auto"/>
              </w:rPr>
            </w:pPr>
          </w:p>
        </w:tc>
      </w:tr>
      <w:tr>
        <w:trPr>
          <w:trHeight w:val="185"/>
        </w:trPr>
        <w:tc>
          <w:tcPr>
            <w:tcW w:w="35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2840" w:type="dxa"/>
            <w:vAlign w:val="bottom"/>
          </w:tcPr>
          <w:p>
            <w:pPr>
              <w:jc w:val="center"/>
              <w:ind w:left="608"/>
              <w:spacing w:after="0"/>
              <w:rPr>
                <w:sz w:val="20"/>
                <w:szCs w:val="20"/>
                <w:color w:val="auto"/>
              </w:rPr>
            </w:pPr>
            <w:r>
              <w:rPr>
                <w:rFonts w:ascii="Arial" w:cs="Arial" w:eastAsia="Arial" w:hAnsi="Arial"/>
                <w:sz w:val="14"/>
                <w:szCs w:val="14"/>
                <w:b w:val="1"/>
                <w:bCs w:val="1"/>
                <w:color w:val="auto"/>
                <w:w w:val="91"/>
              </w:rPr>
              <w:t>(in thousands)</w:t>
            </w:r>
          </w:p>
        </w:tc>
        <w:tc>
          <w:tcPr>
            <w:tcW w:w="6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80" w:type="dxa"/>
            <w:vAlign w:val="bottom"/>
            <w:gridSpan w:val="2"/>
          </w:tcPr>
          <w:p>
            <w:pPr>
              <w:jc w:val="center"/>
              <w:ind w:right="528"/>
              <w:spacing w:after="0"/>
              <w:rPr>
                <w:sz w:val="20"/>
                <w:szCs w:val="20"/>
                <w:color w:val="auto"/>
              </w:rPr>
            </w:pPr>
            <w:r>
              <w:rPr>
                <w:rFonts w:ascii="Arial" w:cs="Arial" w:eastAsia="Arial" w:hAnsi="Arial"/>
                <w:sz w:val="14"/>
                <w:szCs w:val="14"/>
                <w:b w:val="1"/>
                <w:bCs w:val="1"/>
                <w:color w:val="auto"/>
                <w:w w:val="91"/>
              </w:rPr>
              <w:t>Expense Per Share</w:t>
            </w:r>
          </w:p>
        </w:tc>
        <w:tc>
          <w:tcPr>
            <w:tcW w:w="0" w:type="dxa"/>
            <w:vAlign w:val="bottom"/>
          </w:tcPr>
          <w:p>
            <w:pPr>
              <w:spacing w:after="0"/>
              <w:rPr>
                <w:sz w:val="1"/>
                <w:szCs w:val="1"/>
                <w:color w:val="auto"/>
              </w:rPr>
            </w:pPr>
          </w:p>
        </w:tc>
      </w:tr>
      <w:tr>
        <w:trPr>
          <w:trHeight w:val="169"/>
        </w:trPr>
        <w:tc>
          <w:tcPr>
            <w:tcW w:w="3520" w:type="dxa"/>
            <w:vAlign w:val="bottom"/>
            <w:tcBorders>
              <w:top w:val="single" w:sz="8" w:color="auto"/>
            </w:tcBorders>
            <w:shd w:val="clear" w:color="auto" w:fill="CCECFF"/>
          </w:tcPr>
          <w:p>
            <w:pPr>
              <w:jc w:val="center"/>
              <w:spacing w:after="0"/>
              <w:rPr>
                <w:sz w:val="20"/>
                <w:szCs w:val="20"/>
                <w:color w:val="auto"/>
              </w:rPr>
            </w:pPr>
            <w:r>
              <w:rPr>
                <w:rFonts w:ascii="Arial" w:cs="Arial" w:eastAsia="Arial" w:hAnsi="Arial"/>
                <w:sz w:val="14"/>
                <w:szCs w:val="14"/>
                <w:color w:val="auto"/>
                <w:w w:val="96"/>
              </w:rPr>
              <w:t>Down 1%</w:t>
            </w:r>
          </w:p>
        </w:tc>
        <w:tc>
          <w:tcPr>
            <w:tcW w:w="260" w:type="dxa"/>
            <w:vAlign w:val="bottom"/>
            <w:shd w:val="clear" w:color="auto" w:fill="CCECFF"/>
          </w:tcPr>
          <w:p>
            <w:pPr>
              <w:spacing w:after="0"/>
              <w:rPr>
                <w:sz w:val="14"/>
                <w:szCs w:val="14"/>
                <w:color w:val="auto"/>
              </w:rPr>
            </w:pPr>
          </w:p>
        </w:tc>
        <w:tc>
          <w:tcPr>
            <w:tcW w:w="2840" w:type="dxa"/>
            <w:vAlign w:val="bottom"/>
            <w:tcBorders>
              <w:top w:val="single" w:sz="8" w:color="auto"/>
            </w:tcBorders>
            <w:shd w:val="clear" w:color="auto" w:fill="CCECFF"/>
          </w:tcPr>
          <w:p>
            <w:pPr>
              <w:jc w:val="right"/>
              <w:ind w:right="266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(4,460</w:t>
            </w:r>
          </w:p>
        </w:tc>
        <w:tc>
          <w:tcPr>
            <w:tcW w:w="360" w:type="dxa"/>
            <w:vAlign w:val="bottom"/>
            <w:shd w:val="clear" w:color="auto" w:fill="CCECFF"/>
          </w:tcPr>
          <w:p>
            <w:pPr>
              <w:jc w:val="right"/>
              <w:ind w:right="228"/>
              <w:spacing w:after="0"/>
              <w:rPr>
                <w:sz w:val="20"/>
                <w:szCs w:val="20"/>
                <w:color w:val="auto"/>
              </w:rPr>
            </w:pPr>
            <w:r>
              <w:rPr>
                <w:rFonts w:ascii="Arial" w:cs="Arial" w:eastAsia="Arial" w:hAnsi="Arial"/>
                <w:sz w:val="14"/>
                <w:szCs w:val="14"/>
                <w:color w:val="auto"/>
                <w:w w:val="84"/>
              </w:rPr>
              <w:t>)</w:t>
            </w:r>
          </w:p>
        </w:tc>
        <w:tc>
          <w:tcPr>
            <w:tcW w:w="500" w:type="dxa"/>
            <w:vAlign w:val="bottom"/>
            <w:tcBorders>
              <w:top w:val="single" w:sz="8" w:color="auto"/>
            </w:tcBorders>
            <w:shd w:val="clear" w:color="auto" w:fill="CCECFF"/>
          </w:tcPr>
          <w:p>
            <w:pPr>
              <w:jc w:val="right"/>
              <w:ind w:right="348"/>
              <w:spacing w:after="0"/>
              <w:rPr>
                <w:sz w:val="20"/>
                <w:szCs w:val="20"/>
                <w:color w:val="auto"/>
              </w:rPr>
            </w:pPr>
            <w:r>
              <w:rPr>
                <w:rFonts w:ascii="Arial" w:cs="Arial" w:eastAsia="Arial" w:hAnsi="Arial"/>
                <w:sz w:val="14"/>
                <w:szCs w:val="14"/>
                <w:color w:val="auto"/>
                <w:w w:val="76"/>
              </w:rPr>
              <w:t>$</w:t>
            </w:r>
          </w:p>
        </w:tc>
        <w:tc>
          <w:tcPr>
            <w:tcW w:w="29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(0.11</w:t>
            </w:r>
          </w:p>
        </w:tc>
        <w:tc>
          <w:tcPr>
            <w:tcW w:w="100" w:type="dxa"/>
            <w:vAlign w:val="bottom"/>
            <w:shd w:val="clear" w:color="auto" w:fill="CCECFF"/>
          </w:tcPr>
          <w:p>
            <w:pPr>
              <w:jc w:val="right"/>
              <w:spacing w:after="0"/>
              <w:rPr>
                <w:sz w:val="20"/>
                <w:szCs w:val="20"/>
                <w:color w:val="auto"/>
              </w:rPr>
            </w:pPr>
            <w:r>
              <w:rPr>
                <w:rFonts w:ascii="Arial" w:cs="Arial" w:eastAsia="Arial" w:hAnsi="Arial"/>
                <w:sz w:val="14"/>
                <w:szCs w:val="14"/>
                <w:color w:val="auto"/>
                <w:w w:val="84"/>
              </w:rPr>
              <w:t>)</w:t>
            </w:r>
          </w:p>
        </w:tc>
        <w:tc>
          <w:tcPr>
            <w:tcW w:w="0" w:type="dxa"/>
            <w:vAlign w:val="bottom"/>
          </w:tcPr>
          <w:p>
            <w:pPr>
              <w:spacing w:after="0"/>
              <w:rPr>
                <w:sz w:val="1"/>
                <w:szCs w:val="1"/>
                <w:color w:val="auto"/>
              </w:rPr>
            </w:pPr>
          </w:p>
        </w:tc>
      </w:tr>
      <w:tr>
        <w:trPr>
          <w:trHeight w:val="176"/>
        </w:trPr>
        <w:tc>
          <w:tcPr>
            <w:tcW w:w="3520" w:type="dxa"/>
            <w:vAlign w:val="bottom"/>
          </w:tcPr>
          <w:p>
            <w:pPr>
              <w:jc w:val="center"/>
              <w:spacing w:after="0"/>
              <w:rPr>
                <w:sz w:val="20"/>
                <w:szCs w:val="20"/>
                <w:color w:val="auto"/>
              </w:rPr>
            </w:pPr>
            <w:r>
              <w:rPr>
                <w:rFonts w:ascii="Arial" w:cs="Arial" w:eastAsia="Arial" w:hAnsi="Arial"/>
                <w:sz w:val="14"/>
                <w:szCs w:val="14"/>
                <w:color w:val="auto"/>
                <w:w w:val="95"/>
              </w:rPr>
              <w:t>Up 1%</w:t>
            </w:r>
          </w:p>
        </w:tc>
        <w:tc>
          <w:tcPr>
            <w:tcW w:w="26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6,966</w:t>
            </w: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980" w:type="dxa"/>
            <w:vAlign w:val="bottom"/>
          </w:tcPr>
          <w:p>
            <w:pPr>
              <w:jc w:val="right"/>
              <w:spacing w:after="0"/>
              <w:rPr>
                <w:sz w:val="20"/>
                <w:szCs w:val="20"/>
                <w:color w:val="auto"/>
              </w:rPr>
            </w:pPr>
            <w:r>
              <w:rPr>
                <w:rFonts w:ascii="Arial" w:cs="Arial" w:eastAsia="Arial" w:hAnsi="Arial"/>
                <w:sz w:val="14"/>
                <w:szCs w:val="14"/>
                <w:color w:val="auto"/>
              </w:rPr>
              <w:t>0.17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20" w:type="dxa"/>
            <w:vAlign w:val="bottom"/>
            <w:shd w:val="clear" w:color="auto" w:fill="CCECFF"/>
          </w:tcPr>
          <w:p>
            <w:pPr>
              <w:jc w:val="center"/>
              <w:spacing w:after="0"/>
              <w:rPr>
                <w:sz w:val="20"/>
                <w:szCs w:val="20"/>
                <w:color w:val="auto"/>
              </w:rPr>
            </w:pPr>
            <w:r>
              <w:rPr>
                <w:rFonts w:ascii="Arial" w:cs="Arial" w:eastAsia="Arial" w:hAnsi="Arial"/>
                <w:sz w:val="14"/>
                <w:szCs w:val="14"/>
                <w:color w:val="auto"/>
                <w:w w:val="95"/>
              </w:rPr>
              <w:t>Up 2%</w:t>
            </w:r>
          </w:p>
        </w:tc>
        <w:tc>
          <w:tcPr>
            <w:tcW w:w="260" w:type="dxa"/>
            <w:vAlign w:val="bottom"/>
            <w:shd w:val="clear" w:color="auto" w:fill="CCECFF"/>
          </w:tcPr>
          <w:p>
            <w:pPr>
              <w:spacing w:after="0"/>
              <w:rPr>
                <w:sz w:val="15"/>
                <w:szCs w:val="15"/>
                <w:color w:val="auto"/>
              </w:rPr>
            </w:pPr>
          </w:p>
        </w:tc>
        <w:tc>
          <w:tcPr>
            <w:tcW w:w="2840" w:type="dxa"/>
            <w:vAlign w:val="bottom"/>
            <w:shd w:val="clear" w:color="auto" w:fill="CCECFF"/>
          </w:tcPr>
          <w:p>
            <w:pPr>
              <w:spacing w:after="0"/>
              <w:rPr>
                <w:sz w:val="15"/>
                <w:szCs w:val="15"/>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13,281</w:t>
            </w:r>
          </w:p>
        </w:tc>
        <w:tc>
          <w:tcPr>
            <w:tcW w:w="360" w:type="dxa"/>
            <w:vAlign w:val="bottom"/>
            <w:shd w:val="clear" w:color="auto" w:fill="CCECFF"/>
          </w:tcPr>
          <w:p>
            <w:pPr>
              <w:spacing w:after="0"/>
              <w:rPr>
                <w:sz w:val="15"/>
                <w:szCs w:val="15"/>
                <w:color w:val="auto"/>
              </w:rPr>
            </w:pPr>
          </w:p>
        </w:tc>
        <w:tc>
          <w:tcPr>
            <w:tcW w:w="500" w:type="dxa"/>
            <w:vAlign w:val="bottom"/>
            <w:shd w:val="clear" w:color="auto" w:fill="CCECFF"/>
          </w:tcPr>
          <w:p>
            <w:pPr>
              <w:spacing w:after="0"/>
              <w:rPr>
                <w:sz w:val="15"/>
                <w:szCs w:val="15"/>
                <w:color w:val="auto"/>
              </w:rPr>
            </w:pPr>
          </w:p>
        </w:tc>
        <w:tc>
          <w:tcPr>
            <w:tcW w:w="29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0.32</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20" w:type="dxa"/>
            <w:vAlign w:val="bottom"/>
          </w:tcPr>
          <w:p>
            <w:pPr>
              <w:jc w:val="center"/>
              <w:spacing w:after="0"/>
              <w:rPr>
                <w:sz w:val="20"/>
                <w:szCs w:val="20"/>
                <w:color w:val="auto"/>
              </w:rPr>
            </w:pPr>
            <w:r>
              <w:rPr>
                <w:rFonts w:ascii="Arial" w:cs="Arial" w:eastAsia="Arial" w:hAnsi="Arial"/>
                <w:sz w:val="14"/>
                <w:szCs w:val="14"/>
                <w:color w:val="auto"/>
                <w:w w:val="95"/>
              </w:rPr>
              <w:t>Up 3%</w:t>
            </w:r>
          </w:p>
        </w:tc>
        <w:tc>
          <w:tcPr>
            <w:tcW w:w="26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19,596</w:t>
            </w: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980" w:type="dxa"/>
            <w:vAlign w:val="bottom"/>
          </w:tcPr>
          <w:p>
            <w:pPr>
              <w:jc w:val="right"/>
              <w:spacing w:after="0"/>
              <w:rPr>
                <w:sz w:val="20"/>
                <w:szCs w:val="20"/>
                <w:color w:val="auto"/>
              </w:rPr>
            </w:pPr>
            <w:r>
              <w:rPr>
                <w:rFonts w:ascii="Arial" w:cs="Arial" w:eastAsia="Arial" w:hAnsi="Arial"/>
                <w:sz w:val="14"/>
                <w:szCs w:val="14"/>
                <w:color w:val="auto"/>
              </w:rPr>
              <w:t>0.47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20" w:type="dxa"/>
            <w:vAlign w:val="bottom"/>
            <w:shd w:val="clear" w:color="auto" w:fill="CCECFF"/>
          </w:tcPr>
          <w:p>
            <w:pPr>
              <w:jc w:val="center"/>
              <w:spacing w:after="0"/>
              <w:rPr>
                <w:sz w:val="20"/>
                <w:szCs w:val="20"/>
                <w:color w:val="auto"/>
              </w:rPr>
            </w:pPr>
            <w:r>
              <w:rPr>
                <w:rFonts w:ascii="Arial" w:cs="Arial" w:eastAsia="Arial" w:hAnsi="Arial"/>
                <w:sz w:val="14"/>
                <w:szCs w:val="14"/>
                <w:color w:val="auto"/>
                <w:w w:val="95"/>
              </w:rPr>
              <w:t>Up 4%</w:t>
            </w:r>
          </w:p>
        </w:tc>
        <w:tc>
          <w:tcPr>
            <w:tcW w:w="3100" w:type="dxa"/>
            <w:vAlign w:val="bottom"/>
            <w:gridSpan w:val="2"/>
            <w:shd w:val="clear" w:color="auto" w:fill="CCECFF"/>
          </w:tcPr>
          <w:p>
            <w:pPr>
              <w:jc w:val="right"/>
              <w:ind w:right="266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25,911</w:t>
            </w:r>
          </w:p>
        </w:tc>
        <w:tc>
          <w:tcPr>
            <w:tcW w:w="360" w:type="dxa"/>
            <w:vAlign w:val="bottom"/>
            <w:shd w:val="clear" w:color="auto" w:fill="CCECFF"/>
          </w:tcPr>
          <w:p>
            <w:pPr>
              <w:spacing w:after="0"/>
              <w:rPr>
                <w:sz w:val="15"/>
                <w:szCs w:val="15"/>
                <w:color w:val="auto"/>
              </w:rPr>
            </w:pPr>
          </w:p>
        </w:tc>
        <w:tc>
          <w:tcPr>
            <w:tcW w:w="500" w:type="dxa"/>
            <w:vAlign w:val="bottom"/>
            <w:shd w:val="clear" w:color="auto" w:fill="CCECFF"/>
          </w:tcPr>
          <w:p>
            <w:pPr>
              <w:jc w:val="right"/>
              <w:ind w:right="348"/>
              <w:spacing w:after="0"/>
              <w:rPr>
                <w:sz w:val="20"/>
                <w:szCs w:val="20"/>
                <w:color w:val="auto"/>
              </w:rPr>
            </w:pPr>
            <w:r>
              <w:rPr>
                <w:rFonts w:ascii="Arial" w:cs="Arial" w:eastAsia="Arial" w:hAnsi="Arial"/>
                <w:sz w:val="14"/>
                <w:szCs w:val="14"/>
                <w:color w:val="auto"/>
                <w:w w:val="76"/>
              </w:rPr>
              <w:t>$</w:t>
            </w:r>
          </w:p>
        </w:tc>
        <w:tc>
          <w:tcPr>
            <w:tcW w:w="29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0.63</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firstLine="449"/>
        <w:spacing w:after="0" w:line="257" w:lineRule="auto"/>
        <w:rPr>
          <w:sz w:val="20"/>
          <w:szCs w:val="20"/>
          <w:color w:val="auto"/>
        </w:rPr>
      </w:pPr>
      <w:r>
        <w:rPr>
          <w:rFonts w:ascii="Arial" w:cs="Arial" w:eastAsia="Arial" w:hAnsi="Arial"/>
          <w:sz w:val="14"/>
          <w:szCs w:val="14"/>
          <w:color w:val="auto"/>
        </w:rPr>
        <w:t>Although management believes that this measure is indicative of our sensitivity to interest rate changes, it does not adjust for potential changes in the credit market, credit quality, size and composition of the assets on the Consolidated Statements of Assets and Liabilities and other business developments that could affect net increase in net assets resulting from operations or net investment income. Accordingly, no assurances can be given that actual results would not differ materially from those shown above.</w:t>
      </w:r>
    </w:p>
    <w:p>
      <w:pPr>
        <w:spacing w:after="0" w:line="171" w:lineRule="exact"/>
        <w:rPr>
          <w:sz w:val="20"/>
          <w:szCs w:val="20"/>
          <w:color w:val="auto"/>
        </w:rPr>
      </w:pPr>
    </w:p>
    <w:p>
      <w:pPr>
        <w:jc w:val="both"/>
        <w:ind w:firstLine="449"/>
        <w:spacing w:after="0" w:line="257" w:lineRule="auto"/>
        <w:rPr>
          <w:sz w:val="20"/>
          <w:szCs w:val="20"/>
          <w:color w:val="auto"/>
        </w:rPr>
      </w:pPr>
      <w:r>
        <w:rPr>
          <w:rFonts w:ascii="Arial" w:cs="Arial" w:eastAsia="Arial" w:hAnsi="Arial"/>
          <w:sz w:val="14"/>
          <w:szCs w:val="14"/>
          <w:color w:val="auto"/>
        </w:rPr>
        <w:t>Because we borrow money to make investments, our net investment income is dependent upon the difference between the rate at which we borrow funds and the rate at which we invest these funds, as well as our level of leverage. As a result, there can be no assurance that a significant change in market interest rates will not have a material adverse effect on our net investment income or net assets.</w:t>
      </w:r>
    </w:p>
    <w:p>
      <w:pPr>
        <w:spacing w:after="0" w:line="171" w:lineRule="exact"/>
        <w:rPr>
          <w:sz w:val="20"/>
          <w:szCs w:val="20"/>
          <w:color w:val="auto"/>
        </w:rPr>
      </w:pPr>
    </w:p>
    <w:p>
      <w:pPr>
        <w:jc w:val="both"/>
        <w:ind w:firstLine="449"/>
        <w:spacing w:after="0" w:line="277" w:lineRule="auto"/>
        <w:rPr>
          <w:sz w:val="20"/>
          <w:szCs w:val="20"/>
          <w:color w:val="auto"/>
        </w:rPr>
      </w:pPr>
      <w:r>
        <w:rPr>
          <w:rFonts w:ascii="Arial" w:cs="Arial" w:eastAsia="Arial" w:hAnsi="Arial"/>
          <w:sz w:val="13"/>
          <w:szCs w:val="13"/>
          <w:color w:val="auto"/>
        </w:rPr>
        <w:t>We may hedge against interest rate and foreign currency fluctuations by using standard hedging instruments such as futures, options and forward contracts or our Credit Facility subject to the requirements of the 1940 Act and applicable commodities laws. While hedging activities may insulate us against adverse changes in interest rates and foreign currencies, they may also limit our ability to participate in benefits of lower interest rates or higher exchange rates with respect to our portfolio of investments with fixed interest rates or investments denominated in foreign currencies. During the periods covered by this Report, we did not engage in interest rate hedging activities or foreign currency derivatives hedging activities.</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4. Controls and Procedures</w:t>
      </w:r>
    </w:p>
    <w:p>
      <w:pPr>
        <w:spacing w:after="0" w:line="208" w:lineRule="exact"/>
        <w:rPr>
          <w:sz w:val="20"/>
          <w:szCs w:val="20"/>
          <w:color w:val="auto"/>
        </w:rPr>
      </w:pPr>
    </w:p>
    <w:p>
      <w:pPr>
        <w:jc w:val="both"/>
        <w:ind w:firstLine="449"/>
        <w:spacing w:after="0" w:line="268" w:lineRule="auto"/>
        <w:rPr>
          <w:sz w:val="20"/>
          <w:szCs w:val="20"/>
          <w:color w:val="auto"/>
        </w:rPr>
      </w:pPr>
      <w:r>
        <w:rPr>
          <w:rFonts w:ascii="Arial" w:cs="Arial" w:eastAsia="Arial" w:hAnsi="Arial"/>
          <w:sz w:val="13"/>
          <w:szCs w:val="13"/>
          <w:color w:val="auto"/>
        </w:rPr>
        <w:t>As of the period covered by this Report, we, including our Chief Executive Officer and Chief Financial Officer, evaluated the effectiveness of the design and operation of our disclosure controls and procedures (as defined in Rule 13a-15(e) under the Exchange Act). Based on that evaluation, our management, including the Chief Executive Officer and Chief Financial Officer, concluded that our disclosure controls and procedures were effective and provided reasonable assurance that information required to be disclosed in our periodic filings with the SEC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such possible controls and procedures.</w:t>
      </w:r>
    </w:p>
    <w:p>
      <w:pPr>
        <w:spacing w:after="0" w:line="168" w:lineRule="exact"/>
        <w:rPr>
          <w:sz w:val="20"/>
          <w:szCs w:val="20"/>
          <w:color w:val="auto"/>
        </w:rPr>
      </w:pPr>
    </w:p>
    <w:p>
      <w:pPr>
        <w:jc w:val="both"/>
        <w:ind w:firstLine="449"/>
        <w:spacing w:after="0" w:line="273" w:lineRule="auto"/>
        <w:rPr>
          <w:sz w:val="20"/>
          <w:szCs w:val="20"/>
          <w:color w:val="auto"/>
        </w:rPr>
      </w:pPr>
      <w:r>
        <w:rPr>
          <w:rFonts w:ascii="Arial" w:cs="Arial" w:eastAsia="Arial" w:hAnsi="Arial"/>
          <w:sz w:val="14"/>
          <w:szCs w:val="14"/>
          <w:color w:val="auto"/>
        </w:rPr>
        <w:t>There have been no changes in our internal control over financial reporting that occurred during the quarter ended June 30, 2022 that have materially affected, or are reasonably likely to materially affect, our internal control over financial reporting.</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54" w:name="page55"/>
    <w:bookmarkEnd w:id="54"/>
    <w:p>
      <w:pPr>
        <w:spacing w:after="0"/>
        <w:rPr>
          <w:sz w:val="20"/>
          <w:szCs w:val="20"/>
          <w:color w:val="auto"/>
        </w:rPr>
      </w:pPr>
      <w:r>
        <w:rPr>
          <w:rFonts w:ascii="Arial" w:cs="Arial" w:eastAsia="Arial" w:hAnsi="Arial"/>
          <w:sz w:val="14"/>
          <w:szCs w:val="14"/>
          <w:b w:val="1"/>
          <w:bCs w:val="1"/>
          <w:color w:val="auto"/>
        </w:rPr>
        <w:t>PART II – OTHER INFORMATION</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 Legal Proceedings</w:t>
      </w:r>
    </w:p>
    <w:p>
      <w:pPr>
        <w:spacing w:after="0" w:line="208" w:lineRule="exact"/>
        <w:rPr>
          <w:sz w:val="20"/>
          <w:szCs w:val="20"/>
          <w:color w:val="auto"/>
        </w:rPr>
      </w:pPr>
    </w:p>
    <w:p>
      <w:pPr>
        <w:ind w:right="60" w:firstLine="449"/>
        <w:spacing w:after="0" w:line="252" w:lineRule="auto"/>
        <w:rPr>
          <w:sz w:val="20"/>
          <w:szCs w:val="20"/>
          <w:color w:val="auto"/>
        </w:rPr>
      </w:pPr>
      <w:r>
        <w:rPr>
          <w:rFonts w:ascii="Arial" w:cs="Arial" w:eastAsia="Arial" w:hAnsi="Arial"/>
          <w:sz w:val="14"/>
          <w:szCs w:val="14"/>
          <w:color w:val="auto"/>
        </w:rPr>
        <w:t>None of us, our Investment Adviser or our Administrator, is currently subject to any material legal proceedings, nor, to our knowledge, is any material legal proceeding threatened against us, or against our Investment Adviser or Administrator. From time to time, we, our Investment Adviser or Administrator, may be a party to certain legal proceedings, including proceedings relating to the enforcement of our rights under contracts with our portfolio companies. While the outcome of these and any future legal proceedings cannot be predicted with certainty, we do not expect that these proceedings will have a material effect upon our financial condition or results of operations.</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1A. Risk Factors</w:t>
      </w:r>
    </w:p>
    <w:p>
      <w:pPr>
        <w:spacing w:after="0" w:line="208" w:lineRule="exact"/>
        <w:rPr>
          <w:sz w:val="20"/>
          <w:szCs w:val="20"/>
          <w:color w:val="auto"/>
        </w:rPr>
      </w:pPr>
    </w:p>
    <w:p>
      <w:pPr>
        <w:jc w:val="both"/>
        <w:ind w:right="20" w:firstLine="449"/>
        <w:spacing w:after="0" w:line="252" w:lineRule="auto"/>
        <w:rPr>
          <w:sz w:val="20"/>
          <w:szCs w:val="20"/>
          <w:color w:val="auto"/>
        </w:rPr>
      </w:pPr>
      <w:r>
        <w:rPr>
          <w:rFonts w:ascii="Arial" w:cs="Arial" w:eastAsia="Arial" w:hAnsi="Arial"/>
          <w:sz w:val="14"/>
          <w:szCs w:val="14"/>
          <w:color w:val="auto"/>
        </w:rPr>
        <w:t>In addition to the other information set forth in this Report, you should consider carefully the factors discussed below, as well as in Part I “Item 1A. Risk Factors” in our Annual Report on Form 10-K for the fiscal year ended September 30, 2021 filed on November 17, 2021, which could materially affect our business, financial condition and/or operating results. The risks described below, as well as in our Annual Report on Form 10-K are not the only risks facing PennantPark Floating Rate Capital Ltd. Additional risks and uncertainties not currently known to us or that we currently deem to be immaterial also may materially and adversely affect our business, financial condition and/or operating results.</w:t>
      </w:r>
    </w:p>
    <w:p>
      <w:pPr>
        <w:spacing w:after="0" w:line="174" w:lineRule="exact"/>
        <w:rPr>
          <w:sz w:val="20"/>
          <w:szCs w:val="20"/>
          <w:color w:val="auto"/>
        </w:rPr>
      </w:pPr>
    </w:p>
    <w:p>
      <w:pPr>
        <w:ind w:right="280" w:firstLine="449"/>
        <w:spacing w:after="0" w:line="273" w:lineRule="auto"/>
        <w:rPr>
          <w:sz w:val="20"/>
          <w:szCs w:val="20"/>
          <w:color w:val="auto"/>
        </w:rPr>
      </w:pPr>
      <w:r>
        <w:rPr>
          <w:rFonts w:ascii="Arial" w:cs="Arial" w:eastAsia="Arial" w:hAnsi="Arial"/>
          <w:sz w:val="14"/>
          <w:szCs w:val="14"/>
          <w:b w:val="1"/>
          <w:bCs w:val="1"/>
          <w:i w:val="1"/>
          <w:iCs w:val="1"/>
          <w:color w:val="auto"/>
        </w:rPr>
        <w:t>The ongoing invasion of Ukraine by Russia and related sanctions have increased global political and economic uncertainty, which may have a material impact on the Company's portfolio and the value of your investment in the Company.</w:t>
      </w:r>
    </w:p>
    <w:p>
      <w:pPr>
        <w:spacing w:after="0" w:line="160" w:lineRule="exact"/>
        <w:rPr>
          <w:sz w:val="20"/>
          <w:szCs w:val="20"/>
          <w:color w:val="auto"/>
        </w:rPr>
      </w:pPr>
    </w:p>
    <w:p>
      <w:pPr>
        <w:ind w:right="160" w:firstLine="449"/>
        <w:spacing w:after="0" w:line="270" w:lineRule="auto"/>
        <w:rPr>
          <w:sz w:val="20"/>
          <w:szCs w:val="20"/>
          <w:color w:val="auto"/>
        </w:rPr>
      </w:pPr>
      <w:r>
        <w:rPr>
          <w:rFonts w:ascii="Arial" w:cs="Arial" w:eastAsia="Arial" w:hAnsi="Arial"/>
          <w:sz w:val="13"/>
          <w:szCs w:val="13"/>
          <w:color w:val="auto"/>
        </w:rPr>
        <w:t>The ongoing invasion of Ukraine by Russia and related sanctions have increased global political and economic uncertainty. In February 2022. Russia invaded Ukraine and, in response, the United States and many other countries placed economic sanction on certain Russian entities and individuals. Because Russia is a major exporter of oil and natural gas, the invasion and related sanctions have reduced the supply, and increased the price, of energy, which is accelerating inflation and may exacerbate ongoing supply chain issues. There is also the risk of retaliatory actions by Russia against countries which have enacted sanctions, including cyberattacks against financial and governmental institutions, which could result in business disruptions and further economic turbulence. Although the Company has no direct exposure to Russia or Ukraine, the broader consequences of the invasion may have a material adverse impact on the Company's portfolio and the value of your investment in the Company. Because this is an uncertain and evolving situation, its full impact is unknown at this time.</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Inflation may adversely affect the business, results of operations and financial condition of our portfolio companies.</w:t>
      </w:r>
    </w:p>
    <w:p>
      <w:pPr>
        <w:spacing w:after="0" w:line="204" w:lineRule="exact"/>
        <w:rPr>
          <w:sz w:val="20"/>
          <w:szCs w:val="20"/>
          <w:color w:val="auto"/>
        </w:rPr>
      </w:pPr>
    </w:p>
    <w:p>
      <w:pPr>
        <w:ind w:right="40" w:firstLine="449"/>
        <w:spacing w:after="0" w:line="252" w:lineRule="auto"/>
        <w:rPr>
          <w:sz w:val="20"/>
          <w:szCs w:val="20"/>
          <w:color w:val="auto"/>
        </w:rPr>
      </w:pPr>
      <w:r>
        <w:rPr>
          <w:rFonts w:ascii="Arial" w:cs="Arial" w:eastAsia="Arial" w:hAnsi="Arial"/>
          <w:sz w:val="14"/>
          <w:szCs w:val="14"/>
          <w:color w:val="auto"/>
        </w:rPr>
        <w:t>Certain of our portfolio companies are in industries that may be impacted by inflation. If such portfolio companies are unable to pass any increases in their costs of operations along to their customers, it could adversely affect their operating results and impact their ability to pay interest and principal on our loans, particularly if interest rates rise in response to inflation. In addition, any projected future decreases in our portfolio companies’ operating results due to inflation could adversely impact the fair value of those investments. Any decreases in the fair value of our investments could result in future realized or unrealized losses and therefore reduce our net assets resulting from operations.</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Legislation enacted in 2018 allows us to incur additional leverage.</w:t>
      </w:r>
    </w:p>
    <w:p>
      <w:pPr>
        <w:spacing w:after="0" w:line="204" w:lineRule="exact"/>
        <w:rPr>
          <w:sz w:val="20"/>
          <w:szCs w:val="20"/>
          <w:color w:val="auto"/>
        </w:rPr>
      </w:pPr>
    </w:p>
    <w:p>
      <w:pPr>
        <w:ind w:firstLine="449"/>
        <w:spacing w:after="0" w:line="245" w:lineRule="auto"/>
        <w:rPr>
          <w:sz w:val="20"/>
          <w:szCs w:val="20"/>
          <w:color w:val="auto"/>
        </w:rPr>
      </w:pPr>
      <w:r>
        <w:rPr>
          <w:rFonts w:ascii="Arial" w:cs="Arial" w:eastAsia="Arial" w:hAnsi="Arial"/>
          <w:sz w:val="14"/>
          <w:szCs w:val="14"/>
          <w:color w:val="auto"/>
        </w:rPr>
        <w:t>A BDC has historically been able to issue “senior securities,” including borrowing money from banks or other financial institutions, only in amounts such that its asset coverage, as defined in Section 61(a)(2) of the 1940 Act, equals at least 200% after such incurrence or issuance. In March 2018, the Consolidated Appropriations Act of 2018 (which includes the SBCAA) was enacted which amended the 1940 Act to decrease this percentage from 200% (i.e., $1 of debt outstanding for each $1 of equity) to 150% (i.e., $2 of debt outstanding for each $1 of equity) for a BDC that has received either stockholder approval or approval of a “required majority” (as defined in Section 57(o) of the 1940 Act) of its board of directors of the application of such lower asset coverage ratio to the BDC. On April 5, 2018, our board of directors approved such reduction. As of April 5, 2019, we are able to incur additional indebtedness so long as we comply with the applicable disclosure requirement, which may increase the risk of investing in us. Under the 200% minimum asset coverage ratio, we were permitted to borrow up to one dollar for investment purposes for every one dollar of investor equity and, under the 150% minimum asset coverage ratio, we are permitted to borrow up to two dollars for investment purposes for every one dollar of investor equity. In other words, Section 61(a)(2) of the 1940 Act permits BDCs to potentially increase their debt-to-equity ratio from a maximum of 1-to-1 to a maximum of 2-to-1. In addition, since our base management fee is determined and payable based upon our average adjusted gross assets, which includes any borrowings for investment purposes, our base management fee expense may increase if we incur additional leverage.</w:t>
      </w:r>
    </w:p>
    <w:p>
      <w:pPr>
        <w:spacing w:after="0" w:line="179" w:lineRule="exact"/>
        <w:rPr>
          <w:sz w:val="20"/>
          <w:szCs w:val="20"/>
          <w:color w:val="auto"/>
        </w:rPr>
      </w:pPr>
    </w:p>
    <w:p>
      <w:pPr>
        <w:ind w:right="340" w:firstLine="449"/>
        <w:spacing w:after="0" w:line="273" w:lineRule="auto"/>
        <w:rPr>
          <w:sz w:val="20"/>
          <w:szCs w:val="20"/>
          <w:color w:val="auto"/>
        </w:rPr>
      </w:pPr>
      <w:r>
        <w:rPr>
          <w:rFonts w:ascii="Arial" w:cs="Arial" w:eastAsia="Arial" w:hAnsi="Arial"/>
          <w:sz w:val="14"/>
          <w:szCs w:val="14"/>
          <w:b w:val="1"/>
          <w:bCs w:val="1"/>
          <w:i w:val="1"/>
          <w:iCs w:val="1"/>
          <w:color w:val="auto"/>
        </w:rPr>
        <w:t>Because we intend to distribute substantially all of our income to our stockholders to maintain our ability to be subject to tax as a RIC, we may need to raise additional capital to finance our growth. If funds are not available to us, we may need to curtail new investments, and our common stock value could decline.</w:t>
      </w:r>
    </w:p>
    <w:p>
      <w:pPr>
        <w:spacing w:after="0" w:line="160" w:lineRule="exact"/>
        <w:rPr>
          <w:sz w:val="20"/>
          <w:szCs w:val="20"/>
          <w:color w:val="auto"/>
        </w:rPr>
      </w:pPr>
    </w:p>
    <w:p>
      <w:pPr>
        <w:jc w:val="both"/>
        <w:ind w:right="100" w:firstLine="449"/>
        <w:spacing w:after="0" w:line="257" w:lineRule="auto"/>
        <w:rPr>
          <w:sz w:val="20"/>
          <w:szCs w:val="20"/>
          <w:color w:val="auto"/>
        </w:rPr>
      </w:pPr>
      <w:r>
        <w:rPr>
          <w:rFonts w:ascii="Arial" w:cs="Arial" w:eastAsia="Arial" w:hAnsi="Arial"/>
          <w:sz w:val="14"/>
          <w:szCs w:val="14"/>
          <w:color w:val="auto"/>
        </w:rPr>
        <w:t>In connection with satisfying the requirements to be subject to tax as a RIC for federal income tax purposes, we intend to distribute to our stockholders substantially all of our investment company taxable income and net capital gains each taxable year. However, we may retain all or a portion of our net capital gains and incur applicable income taxes with respect thereto and elect to treat such retained net capital gains as deemed dividend distributions to our stockholders.</w:t>
      </w:r>
    </w:p>
    <w:p>
      <w:pPr>
        <w:spacing w:after="0" w:line="171" w:lineRule="exact"/>
        <w:rPr>
          <w:sz w:val="20"/>
          <w:szCs w:val="20"/>
          <w:color w:val="auto"/>
        </w:rPr>
      </w:pPr>
    </w:p>
    <w:p>
      <w:pPr>
        <w:ind w:right="80" w:firstLine="449"/>
        <w:spacing w:after="0" w:line="247" w:lineRule="auto"/>
        <w:rPr>
          <w:sz w:val="20"/>
          <w:szCs w:val="20"/>
          <w:color w:val="auto"/>
        </w:rPr>
      </w:pPr>
      <w:r>
        <w:rPr>
          <w:rFonts w:ascii="Arial" w:cs="Arial" w:eastAsia="Arial" w:hAnsi="Arial"/>
          <w:sz w:val="14"/>
          <w:szCs w:val="14"/>
          <w:color w:val="auto"/>
        </w:rPr>
        <w:t>As noted above, on April 5, 2018, our board of directors, including a “required majority” (as such term is defined in Section 57(o) of the 1940 Act), approved a reduction of our asset coverage ratio from 200% to 150%. As a result, as of April 5, 2019, the asset coverage requirement applicable to us for senior securities was reduced from 200% (i.e., $1 of debt outstanding for each $1 of equity) to 150% (i.e., $2 of debt outstanding for each $1 of equity). If we incur additional indebtedness under this provision, the risk of investing in us will increase. If the value of our assets declines, we may be unable to satisfy this asset coverage test. If that happens, we may be required to sell a portion of our investments or sell additional common stock and, depending on the nature of our leverage, to repay a portion of our indebtedness at a time when such sales and repayments may be disadvantageous. In addition, the issuance of additional securities could dilute the percentage ownership of our current stockholders in us.</w:t>
      </w:r>
    </w:p>
    <w:p>
      <w:pPr>
        <w:spacing w:after="0" w:line="180" w:lineRule="exact"/>
        <w:rPr>
          <w:sz w:val="20"/>
          <w:szCs w:val="20"/>
          <w:color w:val="auto"/>
        </w:rPr>
      </w:pPr>
    </w:p>
    <w:p>
      <w:pPr>
        <w:jc w:val="both"/>
        <w:ind w:right="60" w:firstLine="449"/>
        <w:spacing w:after="0" w:line="252" w:lineRule="auto"/>
        <w:rPr>
          <w:sz w:val="20"/>
          <w:szCs w:val="20"/>
          <w:color w:val="auto"/>
        </w:rPr>
      </w:pPr>
      <w:r>
        <w:rPr>
          <w:rFonts w:ascii="Arial" w:cs="Arial" w:eastAsia="Arial" w:hAnsi="Arial"/>
          <w:sz w:val="14"/>
          <w:szCs w:val="14"/>
          <w:color w:val="auto"/>
        </w:rPr>
        <w:t>We are partially dependent on our subsidiary, Funding I, for cash distributions to enable us to meet the distribution requirements in order to permit us to be subject to tax as a RIC. In this regard, Funding I is limited by its covenants from making certain distributions to us that may be necessary to fulfill our requirements to be subject to tax as a RIC. In such case, we would need to request a waiver of these covenants’ restrictions for Funding I to make certain distributions to enable us to be subject to tax as a RIC. We cannot assure you that Funding I will be granted such a waiver, and if Funding I is unable to obtain a waiver, compliance with the covenants may cause us to incur a corporate-level income tax.</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If we incur additional debt, it could increase the risk of investing in our shares.</w:t>
      </w:r>
    </w:p>
    <w:p>
      <w:pPr>
        <w:spacing w:after="0" w:line="204" w:lineRule="exact"/>
        <w:rPr>
          <w:sz w:val="20"/>
          <w:szCs w:val="20"/>
          <w:color w:val="auto"/>
        </w:rPr>
      </w:pPr>
    </w:p>
    <w:p>
      <w:pPr>
        <w:ind w:right="140" w:firstLine="449"/>
        <w:spacing w:after="0" w:line="250" w:lineRule="auto"/>
        <w:rPr>
          <w:sz w:val="20"/>
          <w:szCs w:val="20"/>
          <w:color w:val="auto"/>
        </w:rPr>
      </w:pPr>
      <w:r>
        <w:rPr>
          <w:rFonts w:ascii="Arial" w:cs="Arial" w:eastAsia="Arial" w:hAnsi="Arial"/>
          <w:sz w:val="14"/>
          <w:szCs w:val="14"/>
          <w:color w:val="auto"/>
        </w:rPr>
        <w:t>We have indebtedness outstanding pursuant to our Credit Facility, 2023 Notes, 2026 Notes and the 2031 Asset-Backed Debt and expect in the future to borrow additional amounts under our Credit Facility or other debt securities, subject to market availability, and, may increase the size of our Credit Facility. We cannot assure you</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55" w:name="page56"/>
    <w:bookmarkEnd w:id="55"/>
    <w:p>
      <w:pPr>
        <w:spacing w:after="0" w:line="267" w:lineRule="auto"/>
        <w:rPr>
          <w:sz w:val="20"/>
          <w:szCs w:val="20"/>
          <w:color w:val="auto"/>
        </w:rPr>
      </w:pPr>
      <w:r>
        <w:rPr>
          <w:rFonts w:ascii="Arial" w:cs="Arial" w:eastAsia="Arial" w:hAnsi="Arial"/>
          <w:sz w:val="13"/>
          <w:szCs w:val="13"/>
          <w:color w:val="auto"/>
        </w:rPr>
        <w:t>that our leverage will remain at current levels. The amount of leverage that we employ will depend upon our assessment of the market and other factors at the time of any proposed borrowing. Lenders have fixed dollar claims on our assets that are superior to the claims of our common stockholders or preferred stockholders, if any, and we have granted a security interest in Funding I’s assets in connection with our Credit Facility borrowings. In the case of a liquidation event, those lenders would receive proceeds before our stockholders. Any future debt issuance will increase our leverage and may be subordinate to our Credit Facility. In addition, borrowings or debt issuances, also known as leverage, magnify the potential for loss or gain on amounts invested and, therefore, increase the risks associated with investing in our securities. Leverage is generally considered a speculative investment technique. If the value of our assets decreases, then the use of leverage would cause the net asset value attributable to our common stock to decline more than it otherwise would have had we not utilized leverage. Similarly, any decrease in our revenue would cause our net income to decline more than it would have had we not borrowed funds and could negatively affect our ability to make distributions on our common or preferred stock. Our ability to service any debt that we incur depends largely on our financial performance and is subject to prevailing economic conditions and competitive pressures.</w:t>
      </w:r>
    </w:p>
    <w:p>
      <w:pPr>
        <w:spacing w:after="0" w:line="168" w:lineRule="exact"/>
        <w:rPr>
          <w:sz w:val="20"/>
          <w:szCs w:val="20"/>
          <w:color w:val="auto"/>
        </w:rPr>
      </w:pPr>
    </w:p>
    <w:p>
      <w:pPr>
        <w:ind w:right="320" w:firstLine="449"/>
        <w:spacing w:after="0" w:line="257" w:lineRule="auto"/>
        <w:rPr>
          <w:sz w:val="20"/>
          <w:szCs w:val="20"/>
          <w:color w:val="auto"/>
        </w:rPr>
      </w:pPr>
      <w:r>
        <w:rPr>
          <w:rFonts w:ascii="Arial" w:cs="Arial" w:eastAsia="Arial" w:hAnsi="Arial"/>
          <w:sz w:val="14"/>
          <w:szCs w:val="14"/>
          <w:color w:val="auto"/>
        </w:rPr>
        <w:t>As noted above, on April 5, 2018, our board of directors, including a “required majority” (as such term is defined in Section 57(o) of the 1940 Act), approved a reduction of our asset coverage ratio. As a result, as of April 5, 2019, the asset coverage requirement applicable to us for senior securities was reduced from 200% to 150%. As of such date, we are able to incur additional indebtedness so long as we comply with the applicable disclosure requirements, which may increase the risk of investing in us.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56" w:name="page57"/>
    <w:bookmarkEnd w:id="56"/>
    <w:p>
      <w:pPr>
        <w:spacing w:after="0"/>
        <w:rPr>
          <w:sz w:val="20"/>
          <w:szCs w:val="20"/>
          <w:color w:val="auto"/>
        </w:rPr>
      </w:pPr>
      <w:r>
        <w:rPr>
          <w:rFonts w:ascii="Arial" w:cs="Arial" w:eastAsia="Arial" w:hAnsi="Arial"/>
          <w:sz w:val="14"/>
          <w:szCs w:val="14"/>
          <w:b w:val="1"/>
          <w:bCs w:val="1"/>
          <w:color w:val="auto"/>
        </w:rPr>
        <w:t>Item 2. Unregistered Sales of Equity Securities and Use of Proceeds</w:t>
      </w:r>
    </w:p>
    <w:p>
      <w:pPr>
        <w:spacing w:after="0" w:line="208" w:lineRule="exact"/>
        <w:rPr>
          <w:sz w:val="20"/>
          <w:szCs w:val="20"/>
          <w:color w:val="auto"/>
        </w:rPr>
      </w:pPr>
    </w:p>
    <w:p>
      <w:pPr>
        <w:ind w:left="460"/>
        <w:spacing w:after="0"/>
        <w:rPr>
          <w:sz w:val="20"/>
          <w:szCs w:val="20"/>
          <w:color w:val="auto"/>
        </w:rPr>
      </w:pPr>
      <w:r>
        <w:rPr>
          <w:rFonts w:ascii="Arial" w:cs="Arial" w:eastAsia="Arial" w:hAnsi="Arial"/>
          <w:sz w:val="14"/>
          <w:szCs w:val="14"/>
          <w:color w:val="auto"/>
        </w:rPr>
        <w:t>None.</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3. Defaults Upon Senior Securities</w:t>
      </w:r>
    </w:p>
    <w:p>
      <w:pPr>
        <w:spacing w:after="0" w:line="208" w:lineRule="exact"/>
        <w:rPr>
          <w:sz w:val="20"/>
          <w:szCs w:val="20"/>
          <w:color w:val="auto"/>
        </w:rPr>
      </w:pPr>
    </w:p>
    <w:p>
      <w:pPr>
        <w:ind w:left="460"/>
        <w:spacing w:after="0"/>
        <w:rPr>
          <w:sz w:val="20"/>
          <w:szCs w:val="20"/>
          <w:color w:val="auto"/>
        </w:rPr>
      </w:pPr>
      <w:r>
        <w:rPr>
          <w:rFonts w:ascii="Arial" w:cs="Arial" w:eastAsia="Arial" w:hAnsi="Arial"/>
          <w:sz w:val="14"/>
          <w:szCs w:val="14"/>
          <w:color w:val="auto"/>
        </w:rPr>
        <w:t>None.</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4. Mine Safety Disclosures</w:t>
      </w:r>
    </w:p>
    <w:p>
      <w:pPr>
        <w:spacing w:after="0" w:line="208" w:lineRule="exact"/>
        <w:rPr>
          <w:sz w:val="20"/>
          <w:szCs w:val="20"/>
          <w:color w:val="auto"/>
        </w:rPr>
      </w:pPr>
    </w:p>
    <w:p>
      <w:pPr>
        <w:ind w:left="460"/>
        <w:spacing w:after="0"/>
        <w:rPr>
          <w:sz w:val="20"/>
          <w:szCs w:val="20"/>
          <w:color w:val="auto"/>
        </w:rPr>
      </w:pPr>
      <w:r>
        <w:rPr>
          <w:rFonts w:ascii="Arial" w:cs="Arial" w:eastAsia="Arial" w:hAnsi="Arial"/>
          <w:sz w:val="14"/>
          <w:szCs w:val="14"/>
          <w:color w:val="auto"/>
        </w:rPr>
        <w:t>Not applicable.</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5. Other Information</w:t>
      </w:r>
    </w:p>
    <w:p>
      <w:pPr>
        <w:spacing w:after="0" w:line="208" w:lineRule="exact"/>
        <w:rPr>
          <w:sz w:val="20"/>
          <w:szCs w:val="20"/>
          <w:color w:val="auto"/>
        </w:rPr>
      </w:pPr>
    </w:p>
    <w:p>
      <w:pPr>
        <w:ind w:left="460"/>
        <w:spacing w:after="0"/>
        <w:rPr>
          <w:sz w:val="20"/>
          <w:szCs w:val="20"/>
          <w:color w:val="auto"/>
        </w:rPr>
      </w:pPr>
      <w:r>
        <w:rPr>
          <w:rFonts w:ascii="Arial" w:cs="Arial" w:eastAsia="Arial" w:hAnsi="Arial"/>
          <w:sz w:val="14"/>
          <w:szCs w:val="14"/>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right"/>
        <w:ind w:right="4439"/>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19" w:right="1440" w:bottom="1440" w:gutter="0" w:footer="0" w:header="0"/>
        </w:sectPr>
      </w:pPr>
    </w:p>
    <w:bookmarkStart w:id="57" w:name="page58"/>
    <w:bookmarkEnd w:id="57"/>
    <w:p>
      <w:pPr>
        <w:spacing w:after="0"/>
        <w:rPr>
          <w:sz w:val="20"/>
          <w:szCs w:val="20"/>
          <w:color w:val="auto"/>
        </w:rPr>
      </w:pPr>
      <w:r>
        <w:rPr>
          <w:rFonts w:ascii="Arial" w:cs="Arial" w:eastAsia="Arial" w:hAnsi="Arial"/>
          <w:sz w:val="14"/>
          <w:szCs w:val="14"/>
          <w:b w:val="1"/>
          <w:bCs w:val="1"/>
          <w:color w:val="auto"/>
        </w:rPr>
        <w:t>Item 6. Exhibits</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4"/>
          <w:szCs w:val="14"/>
          <w:color w:val="auto"/>
        </w:rPr>
        <w:t>Unless specifically indicated otherwise, the following exhibits are incorporated by reference to exhibits previously filed with the SEC:</w:t>
      </w:r>
    </w:p>
    <w:p>
      <w:pPr>
        <w:spacing w:after="0" w:line="217" w:lineRule="exact"/>
        <w:rPr>
          <w:sz w:val="20"/>
          <w:szCs w:val="20"/>
          <w:color w:val="auto"/>
        </w:rPr>
      </w:pPr>
    </w:p>
    <w:p>
      <w:pPr>
        <w:ind w:left="600" w:hanging="508"/>
        <w:spacing w:after="0" w:line="253" w:lineRule="auto"/>
        <w:tabs>
          <w:tab w:leader="none" w:pos="580" w:val="left"/>
        </w:tabs>
        <w:rPr>
          <w:rFonts w:ascii="Arial" w:cs="Arial" w:eastAsia="Arial" w:hAnsi="Arial"/>
          <w:sz w:val="14"/>
          <w:szCs w:val="14"/>
          <w:u w:val="single" w:color="auto"/>
          <w:color w:val="0000FF"/>
        </w:rPr>
      </w:pPr>
      <w:r>
        <w:rPr>
          <w:rFonts w:ascii="Arial" w:cs="Arial" w:eastAsia="Arial" w:hAnsi="Arial"/>
          <w:sz w:val="14"/>
          <w:szCs w:val="14"/>
          <w:color w:val="auto"/>
        </w:rPr>
        <w:t>3.1</w:t>
      </w:r>
      <w:r>
        <w:rPr>
          <w:sz w:val="20"/>
          <w:szCs w:val="20"/>
          <w:color w:val="auto"/>
        </w:rPr>
        <w:tab/>
      </w:r>
      <w:hyperlink r:id="rId656">
        <w:r>
          <w:rPr>
            <w:rFonts w:ascii="Arial" w:cs="Arial" w:eastAsia="Arial" w:hAnsi="Arial"/>
            <w:sz w:val="14"/>
            <w:szCs w:val="14"/>
            <w:u w:val="single" w:color="auto"/>
            <w:color w:val="0000FF"/>
          </w:rPr>
          <w:t>Articles of Amendment and Restatement of the Registrant (Incorporated by reference to Exhibit 99(A) to the Registrant's Pre-Effective Amendment No. 3 to the Registration Statement</w:t>
        </w:r>
      </w:hyperlink>
      <w:r>
        <w:rPr>
          <w:rFonts w:ascii="Arial" w:cs="Arial" w:eastAsia="Arial" w:hAnsi="Arial"/>
          <w:sz w:val="14"/>
          <w:szCs w:val="14"/>
          <w:u w:val="single" w:color="auto"/>
          <w:color w:val="0000FF"/>
        </w:rPr>
        <w:t xml:space="preserve"> </w:t>
      </w:r>
      <w:hyperlink r:id="rId656">
        <w:r>
          <w:rPr>
            <w:rFonts w:ascii="Arial" w:cs="Arial" w:eastAsia="Arial" w:hAnsi="Arial"/>
            <w:sz w:val="14"/>
            <w:szCs w:val="14"/>
            <w:u w:val="single" w:color="auto"/>
            <w:color w:val="0000FF"/>
          </w:rPr>
          <w:t>on Form N-2 (File No. 333-170243), filed on March 29, 2011).</w:t>
        </w:r>
      </w:hyperlink>
    </w:p>
    <w:p>
      <w:pPr>
        <w:spacing w:after="0" w:line="120" w:lineRule="exact"/>
        <w:rPr>
          <w:sz w:val="20"/>
          <w:szCs w:val="20"/>
          <w:color w:val="auto"/>
        </w:rPr>
      </w:pPr>
    </w:p>
    <w:p>
      <w:pPr>
        <w:ind w:left="600" w:right="200" w:hanging="508"/>
        <w:spacing w:after="0" w:line="253" w:lineRule="auto"/>
        <w:tabs>
          <w:tab w:leader="none" w:pos="580" w:val="left"/>
        </w:tabs>
        <w:rPr>
          <w:rFonts w:ascii="Arial" w:cs="Arial" w:eastAsia="Arial" w:hAnsi="Arial"/>
          <w:sz w:val="14"/>
          <w:szCs w:val="14"/>
          <w:u w:val="single" w:color="auto"/>
          <w:color w:val="0000FF"/>
        </w:rPr>
      </w:pPr>
      <w:r>
        <w:rPr>
          <w:rFonts w:ascii="Arial" w:cs="Arial" w:eastAsia="Arial" w:hAnsi="Arial"/>
          <w:sz w:val="14"/>
          <w:szCs w:val="14"/>
          <w:color w:val="auto"/>
        </w:rPr>
        <w:t>3.2</w:t>
      </w:r>
      <w:r>
        <w:rPr>
          <w:sz w:val="20"/>
          <w:szCs w:val="20"/>
          <w:color w:val="auto"/>
        </w:rPr>
        <w:tab/>
      </w:r>
      <w:hyperlink r:id="rId657">
        <w:r>
          <w:rPr>
            <w:rFonts w:ascii="Arial" w:cs="Arial" w:eastAsia="Arial" w:hAnsi="Arial"/>
            <w:sz w:val="14"/>
            <w:szCs w:val="14"/>
            <w:u w:val="single" w:color="auto"/>
            <w:color w:val="0000FF"/>
          </w:rPr>
          <w:t>Second Amended and Restated Bylaws of the Registrant (Incorporated by reference to Exhibit 3.2 to the Registrant's Quarterly Report on Form 10-Q (File No. 814-00891), filed on</w:t>
        </w:r>
      </w:hyperlink>
      <w:r>
        <w:rPr>
          <w:rFonts w:ascii="Arial" w:cs="Arial" w:eastAsia="Arial" w:hAnsi="Arial"/>
          <w:sz w:val="14"/>
          <w:szCs w:val="14"/>
          <w:u w:val="single" w:color="auto"/>
          <w:color w:val="0000FF"/>
        </w:rPr>
        <w:t xml:space="preserve"> </w:t>
      </w:r>
      <w:hyperlink r:id="rId657">
        <w:r>
          <w:rPr>
            <w:rFonts w:ascii="Arial" w:cs="Arial" w:eastAsia="Arial" w:hAnsi="Arial"/>
            <w:sz w:val="14"/>
            <w:szCs w:val="14"/>
            <w:u w:val="single" w:color="auto"/>
            <w:color w:val="0000FF"/>
          </w:rPr>
          <w:t>May 11, 2020).</w:t>
        </w:r>
      </w:hyperlink>
    </w:p>
    <w:p>
      <w:pPr>
        <w:spacing w:after="0" w:line="119" w:lineRule="exact"/>
        <w:rPr>
          <w:sz w:val="20"/>
          <w:szCs w:val="20"/>
          <w:color w:val="auto"/>
        </w:rPr>
      </w:pPr>
    </w:p>
    <w:p>
      <w:pPr>
        <w:ind w:left="100"/>
        <w:spacing w:after="0"/>
        <w:tabs>
          <w:tab w:leader="none" w:pos="580" w:val="left"/>
        </w:tabs>
        <w:rPr>
          <w:rFonts w:ascii="Arial" w:cs="Arial" w:eastAsia="Arial" w:hAnsi="Arial"/>
          <w:sz w:val="13"/>
          <w:szCs w:val="13"/>
          <w:u w:val="single" w:color="auto"/>
          <w:color w:val="0000FF"/>
        </w:rPr>
      </w:pPr>
      <w:r>
        <w:rPr>
          <w:rFonts w:ascii="Arial" w:cs="Arial" w:eastAsia="Arial" w:hAnsi="Arial"/>
          <w:sz w:val="14"/>
          <w:szCs w:val="14"/>
          <w:color w:val="auto"/>
        </w:rPr>
        <w:t>4.1</w:t>
      </w:r>
      <w:r>
        <w:rPr>
          <w:sz w:val="20"/>
          <w:szCs w:val="20"/>
          <w:color w:val="auto"/>
        </w:rPr>
        <w:tab/>
      </w:r>
      <w:hyperlink r:id="rId658">
        <w:r>
          <w:rPr>
            <w:rFonts w:ascii="Arial" w:cs="Arial" w:eastAsia="Arial" w:hAnsi="Arial"/>
            <w:sz w:val="13"/>
            <w:szCs w:val="13"/>
            <w:u w:val="single" w:color="auto"/>
            <w:color w:val="0000FF"/>
          </w:rPr>
          <w:t>Form of Share Certificate (Incorporated by reference to Exhibit 99(D) to the Registrant's Pre-Effective Amendment No. 5 to the Registration Statement on Form N-2 (File No. 333-</w:t>
        </w:r>
      </w:hyperlink>
    </w:p>
    <w:p>
      <w:pPr>
        <w:ind w:left="600"/>
        <w:spacing w:after="0"/>
        <w:rPr>
          <w:rFonts w:ascii="Arial" w:cs="Arial" w:eastAsia="Arial" w:hAnsi="Arial"/>
          <w:sz w:val="14"/>
          <w:szCs w:val="14"/>
          <w:u w:val="single" w:color="auto"/>
          <w:color w:val="0000FF"/>
        </w:rPr>
      </w:pPr>
      <w:hyperlink r:id="rId658">
        <w:r>
          <w:rPr>
            <w:rFonts w:ascii="Arial" w:cs="Arial" w:eastAsia="Arial" w:hAnsi="Arial"/>
            <w:sz w:val="14"/>
            <w:szCs w:val="14"/>
            <w:u w:val="single" w:color="auto"/>
            <w:color w:val="0000FF"/>
          </w:rPr>
          <w:t>170243), filed on April 5, 2011).</w:t>
        </w:r>
      </w:hyperlink>
    </w:p>
    <w:p>
      <w:pPr>
        <w:spacing w:after="0" w:line="178" w:lineRule="exact"/>
        <w:rPr>
          <w:sz w:val="20"/>
          <w:szCs w:val="20"/>
          <w:color w:val="auto"/>
        </w:rPr>
      </w:pPr>
    </w:p>
    <w:p>
      <w:pPr>
        <w:ind w:left="20"/>
        <w:spacing w:after="0"/>
        <w:tabs>
          <w:tab w:leader="none" w:pos="580" w:val="left"/>
        </w:tabs>
        <w:rPr>
          <w:rFonts w:ascii="Arial" w:cs="Arial" w:eastAsia="Arial" w:hAnsi="Arial"/>
          <w:sz w:val="13"/>
          <w:szCs w:val="13"/>
          <w:u w:val="single" w:color="auto"/>
          <w:color w:val="0000FF"/>
        </w:rPr>
      </w:pPr>
      <w:r>
        <w:rPr>
          <w:rFonts w:ascii="Arial" w:cs="Arial" w:eastAsia="Arial" w:hAnsi="Arial"/>
          <w:sz w:val="14"/>
          <w:szCs w:val="14"/>
          <w:color w:val="auto"/>
        </w:rPr>
        <w:t>10.1*</w:t>
      </w:r>
      <w:r>
        <w:rPr>
          <w:sz w:val="20"/>
          <w:szCs w:val="20"/>
          <w:color w:val="auto"/>
        </w:rPr>
        <w:tab/>
      </w:r>
      <w:hyperlink w:anchor="page60">
        <w:r>
          <w:rPr>
            <w:rFonts w:ascii="Arial" w:cs="Arial" w:eastAsia="Arial" w:hAnsi="Arial"/>
            <w:sz w:val="13"/>
            <w:szCs w:val="13"/>
            <w:u w:val="single" w:color="auto"/>
            <w:color w:val="0000FF"/>
          </w:rPr>
          <w:t>Amended and Restated Administration Agreement between the Registrant and PennantPark Investment Administration LLC, dated July 1, 2022</w:t>
        </w:r>
      </w:hyperlink>
    </w:p>
    <w:p>
      <w:pPr>
        <w:spacing w:after="0" w:line="190" w:lineRule="exact"/>
        <w:rPr>
          <w:sz w:val="20"/>
          <w:szCs w:val="20"/>
          <w:color w:val="auto"/>
        </w:rPr>
      </w:pPr>
    </w:p>
    <w:p>
      <w:pPr>
        <w:ind w:left="20"/>
        <w:spacing w:after="0"/>
        <w:tabs>
          <w:tab w:leader="none" w:pos="580" w:val="left"/>
        </w:tabs>
        <w:rPr>
          <w:rFonts w:ascii="Arial" w:cs="Arial" w:eastAsia="Arial" w:hAnsi="Arial"/>
          <w:sz w:val="13"/>
          <w:szCs w:val="13"/>
          <w:u w:val="single" w:color="auto"/>
          <w:color w:val="0000FF"/>
        </w:rPr>
      </w:pPr>
      <w:r>
        <w:rPr>
          <w:rFonts w:ascii="Arial" w:cs="Arial" w:eastAsia="Arial" w:hAnsi="Arial"/>
          <w:sz w:val="14"/>
          <w:szCs w:val="14"/>
          <w:color w:val="auto"/>
        </w:rPr>
        <w:t>10.2*</w:t>
      </w:r>
      <w:r>
        <w:rPr>
          <w:sz w:val="20"/>
          <w:szCs w:val="20"/>
          <w:color w:val="auto"/>
        </w:rPr>
        <w:tab/>
      </w:r>
      <w:hyperlink w:anchor="page66">
        <w:r>
          <w:rPr>
            <w:rFonts w:ascii="Arial" w:cs="Arial" w:eastAsia="Arial" w:hAnsi="Arial"/>
            <w:sz w:val="13"/>
            <w:szCs w:val="13"/>
            <w:u w:val="single" w:color="auto"/>
            <w:color w:val="0000FF"/>
          </w:rPr>
          <w:t>Equity Distribution Agreement – JMP Securities LLC</w:t>
        </w:r>
      </w:hyperlink>
    </w:p>
    <w:p>
      <w:pPr>
        <w:spacing w:after="0" w:line="190" w:lineRule="exact"/>
        <w:rPr>
          <w:sz w:val="20"/>
          <w:szCs w:val="20"/>
          <w:color w:val="auto"/>
        </w:rPr>
      </w:pPr>
    </w:p>
    <w:p>
      <w:pPr>
        <w:ind w:left="20"/>
        <w:spacing w:after="0"/>
        <w:tabs>
          <w:tab w:leader="none" w:pos="580" w:val="left"/>
        </w:tabs>
        <w:rPr>
          <w:rFonts w:ascii="Arial" w:cs="Arial" w:eastAsia="Arial" w:hAnsi="Arial"/>
          <w:sz w:val="13"/>
          <w:szCs w:val="13"/>
          <w:u w:val="single" w:color="auto"/>
          <w:color w:val="0000FF"/>
        </w:rPr>
      </w:pPr>
      <w:r>
        <w:rPr>
          <w:rFonts w:ascii="Arial" w:cs="Arial" w:eastAsia="Arial" w:hAnsi="Arial"/>
          <w:sz w:val="14"/>
          <w:szCs w:val="14"/>
          <w:color w:val="auto"/>
        </w:rPr>
        <w:t>10.3*</w:t>
      </w:r>
      <w:r>
        <w:rPr>
          <w:sz w:val="20"/>
          <w:szCs w:val="20"/>
          <w:color w:val="auto"/>
        </w:rPr>
        <w:tab/>
      </w:r>
      <w:hyperlink w:anchor="page106">
        <w:r>
          <w:rPr>
            <w:rFonts w:ascii="Arial" w:cs="Arial" w:eastAsia="Arial" w:hAnsi="Arial"/>
            <w:sz w:val="13"/>
            <w:szCs w:val="13"/>
            <w:u w:val="single" w:color="auto"/>
            <w:color w:val="0000FF"/>
          </w:rPr>
          <w:t>Equity Distribution Agreement – Raymond James &amp; Associates, Inc.</w:t>
        </w:r>
      </w:hyperlink>
    </w:p>
    <w:p>
      <w:pPr>
        <w:spacing w:after="0" w:line="190" w:lineRule="exact"/>
        <w:rPr>
          <w:sz w:val="20"/>
          <w:szCs w:val="20"/>
          <w:color w:val="auto"/>
        </w:rPr>
      </w:pPr>
    </w:p>
    <w:p>
      <w:pPr>
        <w:ind w:left="20"/>
        <w:spacing w:after="0"/>
        <w:tabs>
          <w:tab w:leader="none" w:pos="580" w:val="left"/>
        </w:tabs>
        <w:rPr>
          <w:rFonts w:ascii="Arial" w:cs="Arial" w:eastAsia="Arial" w:hAnsi="Arial"/>
          <w:sz w:val="13"/>
          <w:szCs w:val="13"/>
          <w:u w:val="single" w:color="auto"/>
          <w:color w:val="0000FF"/>
        </w:rPr>
      </w:pPr>
      <w:r>
        <w:rPr>
          <w:rFonts w:ascii="Arial" w:cs="Arial" w:eastAsia="Arial" w:hAnsi="Arial"/>
          <w:sz w:val="14"/>
          <w:szCs w:val="14"/>
          <w:color w:val="auto"/>
        </w:rPr>
        <w:t>31.1*</w:t>
      </w:r>
      <w:r>
        <w:rPr>
          <w:sz w:val="20"/>
          <w:szCs w:val="20"/>
          <w:color w:val="auto"/>
        </w:rPr>
        <w:tab/>
      </w:r>
      <w:hyperlink w:anchor="page147">
        <w:r>
          <w:rPr>
            <w:rFonts w:ascii="Arial" w:cs="Arial" w:eastAsia="Arial" w:hAnsi="Arial"/>
            <w:sz w:val="13"/>
            <w:szCs w:val="13"/>
            <w:u w:val="single" w:color="auto"/>
            <w:color w:val="0000FF"/>
          </w:rPr>
          <w:t>Certification of Chief Executive Officer pursuant to Rule 13a-14 of the Securities Exchange Act of 1934, as amended.</w:t>
        </w:r>
      </w:hyperlink>
    </w:p>
    <w:p>
      <w:pPr>
        <w:spacing w:after="0" w:line="150" w:lineRule="exact"/>
        <w:rPr>
          <w:sz w:val="20"/>
          <w:szCs w:val="20"/>
          <w:color w:val="auto"/>
        </w:rPr>
      </w:pPr>
    </w:p>
    <w:p>
      <w:pPr>
        <w:ind w:left="20"/>
        <w:spacing w:after="0"/>
        <w:tabs>
          <w:tab w:leader="none" w:pos="580" w:val="left"/>
        </w:tabs>
        <w:rPr>
          <w:rFonts w:ascii="Arial" w:cs="Arial" w:eastAsia="Arial" w:hAnsi="Arial"/>
          <w:sz w:val="13"/>
          <w:szCs w:val="13"/>
          <w:u w:val="single" w:color="auto"/>
          <w:color w:val="0000FF"/>
        </w:rPr>
      </w:pPr>
      <w:r>
        <w:rPr>
          <w:rFonts w:ascii="Arial" w:cs="Arial" w:eastAsia="Arial" w:hAnsi="Arial"/>
          <w:sz w:val="14"/>
          <w:szCs w:val="14"/>
          <w:color w:val="auto"/>
        </w:rPr>
        <w:t>31.2*</w:t>
      </w:r>
      <w:r>
        <w:rPr>
          <w:sz w:val="20"/>
          <w:szCs w:val="20"/>
          <w:color w:val="auto"/>
        </w:rPr>
        <w:tab/>
      </w:r>
      <w:hyperlink w:anchor="page148">
        <w:r>
          <w:rPr>
            <w:rFonts w:ascii="Arial" w:cs="Arial" w:eastAsia="Arial" w:hAnsi="Arial"/>
            <w:sz w:val="13"/>
            <w:szCs w:val="13"/>
            <w:u w:val="single" w:color="auto"/>
            <w:color w:val="0000FF"/>
          </w:rPr>
          <w:t>Certification of Chief Financial Officer pursuant to Rule 13a-14 of the Securities Exchange Act of 1934, as amended.</w:t>
        </w:r>
      </w:hyperlink>
    </w:p>
    <w:p>
      <w:pPr>
        <w:spacing w:after="0" w:line="150" w:lineRule="exact"/>
        <w:rPr>
          <w:sz w:val="20"/>
          <w:szCs w:val="20"/>
          <w:color w:val="auto"/>
        </w:rPr>
      </w:pPr>
    </w:p>
    <w:p>
      <w:pPr>
        <w:ind w:left="20"/>
        <w:spacing w:after="0"/>
        <w:tabs>
          <w:tab w:leader="none" w:pos="580" w:val="left"/>
        </w:tabs>
        <w:rPr>
          <w:rFonts w:ascii="Arial" w:cs="Arial" w:eastAsia="Arial" w:hAnsi="Arial"/>
          <w:sz w:val="13"/>
          <w:szCs w:val="13"/>
          <w:u w:val="single" w:color="auto"/>
          <w:color w:val="0000FF"/>
        </w:rPr>
      </w:pPr>
      <w:r>
        <w:rPr>
          <w:rFonts w:ascii="Arial" w:cs="Arial" w:eastAsia="Arial" w:hAnsi="Arial"/>
          <w:sz w:val="14"/>
          <w:szCs w:val="14"/>
          <w:color w:val="auto"/>
        </w:rPr>
        <w:t>32.1*</w:t>
      </w:r>
      <w:r>
        <w:rPr>
          <w:sz w:val="20"/>
          <w:szCs w:val="20"/>
          <w:color w:val="auto"/>
        </w:rPr>
        <w:tab/>
      </w:r>
      <w:hyperlink w:anchor="page149">
        <w:r>
          <w:rPr>
            <w:rFonts w:ascii="Arial" w:cs="Arial" w:eastAsia="Arial" w:hAnsi="Arial"/>
            <w:sz w:val="13"/>
            <w:szCs w:val="13"/>
            <w:u w:val="single" w:color="auto"/>
            <w:color w:val="0000FF"/>
          </w:rPr>
          <w:t>Certification of Chief Executive Officer pursuant to section 906 of The Sarbanes-Oxley Act of 2002.</w:t>
        </w:r>
      </w:hyperlink>
    </w:p>
    <w:p>
      <w:pPr>
        <w:spacing w:after="0" w:line="150" w:lineRule="exact"/>
        <w:rPr>
          <w:sz w:val="20"/>
          <w:szCs w:val="20"/>
          <w:color w:val="auto"/>
        </w:rPr>
      </w:pPr>
    </w:p>
    <w:p>
      <w:pPr>
        <w:ind w:left="20"/>
        <w:spacing w:after="0"/>
        <w:tabs>
          <w:tab w:leader="none" w:pos="580" w:val="left"/>
        </w:tabs>
        <w:rPr>
          <w:rFonts w:ascii="Arial" w:cs="Arial" w:eastAsia="Arial" w:hAnsi="Arial"/>
          <w:sz w:val="13"/>
          <w:szCs w:val="13"/>
          <w:u w:val="single" w:color="auto"/>
          <w:color w:val="0000FF"/>
        </w:rPr>
      </w:pPr>
      <w:r>
        <w:rPr>
          <w:rFonts w:ascii="Arial" w:cs="Arial" w:eastAsia="Arial" w:hAnsi="Arial"/>
          <w:sz w:val="14"/>
          <w:szCs w:val="14"/>
          <w:color w:val="auto"/>
        </w:rPr>
        <w:t>32.2*</w:t>
      </w:r>
      <w:r>
        <w:rPr>
          <w:sz w:val="20"/>
          <w:szCs w:val="20"/>
          <w:color w:val="auto"/>
        </w:rPr>
        <w:tab/>
      </w:r>
      <w:hyperlink w:anchor="page150">
        <w:r>
          <w:rPr>
            <w:rFonts w:ascii="Arial" w:cs="Arial" w:eastAsia="Arial" w:hAnsi="Arial"/>
            <w:sz w:val="13"/>
            <w:szCs w:val="13"/>
            <w:u w:val="single" w:color="auto"/>
            <w:color w:val="0000FF"/>
          </w:rPr>
          <w:t>Certification of Chief Financial Officer pursuant to section 906 of The Sarbanes-Oxley Act of 2002.</w:t>
        </w:r>
      </w:hyperlink>
    </w:p>
    <w:p>
      <w:pPr>
        <w:spacing w:after="0" w:line="150" w:lineRule="exact"/>
        <w:rPr>
          <w:sz w:val="20"/>
          <w:szCs w:val="20"/>
          <w:color w:val="auto"/>
        </w:rPr>
      </w:pPr>
    </w:p>
    <w:p>
      <w:pPr>
        <w:ind w:left="20"/>
        <w:spacing w:after="0"/>
        <w:tabs>
          <w:tab w:leader="none" w:pos="580" w:val="left"/>
        </w:tabs>
        <w:rPr>
          <w:rFonts w:ascii="Arial" w:cs="Arial" w:eastAsia="Arial" w:hAnsi="Arial"/>
          <w:sz w:val="13"/>
          <w:szCs w:val="13"/>
          <w:u w:val="single" w:color="auto"/>
          <w:color w:val="0000FF"/>
        </w:rPr>
      </w:pPr>
      <w:r>
        <w:rPr>
          <w:rFonts w:ascii="Arial" w:cs="Arial" w:eastAsia="Arial" w:hAnsi="Arial"/>
          <w:sz w:val="14"/>
          <w:szCs w:val="14"/>
          <w:color w:val="auto"/>
        </w:rPr>
        <w:t>99.1</w:t>
      </w:r>
      <w:r>
        <w:rPr>
          <w:sz w:val="20"/>
          <w:szCs w:val="20"/>
          <w:color w:val="auto"/>
        </w:rPr>
        <w:tab/>
      </w:r>
      <w:hyperlink r:id="rId659">
        <w:r>
          <w:rPr>
            <w:rFonts w:ascii="Arial" w:cs="Arial" w:eastAsia="Arial" w:hAnsi="Arial"/>
            <w:sz w:val="13"/>
            <w:szCs w:val="13"/>
            <w:u w:val="single" w:color="auto"/>
            <w:color w:val="0000FF"/>
          </w:rPr>
          <w:t>Privacy Policy of the Registrant (Incorporated by reference to Exhibit 99.1 to the Registrant’s Annual Report on Form 10-K (File No. 814-00891), filed on November 17, 2011).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1714500" cy="825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60">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38" w:lineRule="exact"/>
        <w:rPr>
          <w:sz w:val="20"/>
          <w:szCs w:val="20"/>
          <w:color w:val="auto"/>
        </w:rPr>
      </w:pPr>
    </w:p>
    <w:p>
      <w:pPr>
        <w:spacing w:after="0"/>
        <w:rPr>
          <w:sz w:val="20"/>
          <w:szCs w:val="20"/>
          <w:color w:val="auto"/>
        </w:rPr>
      </w:pPr>
      <w:r>
        <w:rPr>
          <w:rFonts w:ascii="Arial" w:cs="Arial" w:eastAsia="Arial" w:hAnsi="Arial"/>
          <w:sz w:val="14"/>
          <w:szCs w:val="14"/>
          <w:color w:val="auto"/>
        </w:rPr>
        <w:t>* Filed herewith.</w:t>
      </w: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19" w:right="399" w:bottom="1440" w:gutter="0" w:footer="0" w:header="0"/>
        </w:sectPr>
      </w:pPr>
    </w:p>
    <w:bookmarkStart w:id="58" w:name="page59"/>
    <w:bookmarkEnd w:id="58"/>
    <w:p>
      <w:pPr>
        <w:jc w:val="center"/>
        <w:ind w:right="-19"/>
        <w:spacing w:after="0"/>
        <w:rPr>
          <w:sz w:val="20"/>
          <w:szCs w:val="20"/>
          <w:color w:val="auto"/>
        </w:rPr>
      </w:pPr>
      <w:r>
        <w:rPr>
          <w:rFonts w:ascii="Arial" w:cs="Arial" w:eastAsia="Arial" w:hAnsi="Arial"/>
          <w:sz w:val="14"/>
          <w:szCs w:val="14"/>
          <w:b w:val="1"/>
          <w:bCs w:val="1"/>
          <w:color w:val="auto"/>
        </w:rPr>
        <w:t>SIGNATURES</w:t>
      </w:r>
    </w:p>
    <w:p>
      <w:pPr>
        <w:spacing w:after="0" w:line="289" w:lineRule="exact"/>
        <w:rPr>
          <w:sz w:val="20"/>
          <w:szCs w:val="20"/>
          <w:color w:val="auto"/>
        </w:rPr>
      </w:pPr>
    </w:p>
    <w:p>
      <w:pPr>
        <w:ind w:firstLine="449"/>
        <w:spacing w:after="0" w:line="273" w:lineRule="auto"/>
        <w:rPr>
          <w:sz w:val="20"/>
          <w:szCs w:val="20"/>
          <w:color w:val="auto"/>
        </w:rPr>
      </w:pPr>
      <w:r>
        <w:rPr>
          <w:rFonts w:ascii="Arial" w:cs="Arial" w:eastAsia="Arial" w:hAnsi="Arial"/>
          <w:sz w:val="14"/>
          <w:szCs w:val="14"/>
          <w:color w:val="auto"/>
        </w:rPr>
        <w:t>Pursuant to the requirements of the Securities Exchange Act of 1934, the registrant has duly caused this Report on Form 10-Q to be signed on its behalf by the undersigned, thereunto duly authorized.</w:t>
      </w:r>
    </w:p>
    <w:p>
      <w:pPr>
        <w:sectPr>
          <w:pgSz w:w="11900" w:h="16838" w:orient="portrait"/>
          <w:cols w:equalWidth="0" w:num="1">
            <w:col w:w="11220"/>
          </w:cols>
          <w:pgMar w:left="320" w:top="31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20"/>
        <w:spacing w:after="0"/>
        <w:rPr>
          <w:sz w:val="20"/>
          <w:szCs w:val="20"/>
          <w:color w:val="auto"/>
        </w:rPr>
      </w:pPr>
      <w:r>
        <w:rPr>
          <w:rFonts w:ascii="Arial" w:cs="Arial" w:eastAsia="Arial" w:hAnsi="Arial"/>
          <w:sz w:val="13"/>
          <w:szCs w:val="13"/>
          <w:color w:val="auto"/>
        </w:rPr>
        <w:t>Date: August 3, 2022</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Arial" w:cs="Arial" w:eastAsia="Arial" w:hAnsi="Arial"/>
          <w:sz w:val="13"/>
          <w:szCs w:val="13"/>
          <w:color w:val="auto"/>
        </w:rPr>
        <w:t>Date: August 3, 2022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3"/>
          <w:szCs w:val="13"/>
          <w:color w:val="auto"/>
        </w:rPr>
        <w:t>By:</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ind w:left="220"/>
        <w:spacing w:after="0"/>
        <w:rPr>
          <w:sz w:val="20"/>
          <w:szCs w:val="20"/>
          <w:color w:val="auto"/>
        </w:rPr>
      </w:pPr>
      <w:r>
        <w:rPr>
          <w:rFonts w:ascii="Arial" w:cs="Arial" w:eastAsia="Arial" w:hAnsi="Arial"/>
          <w:sz w:val="14"/>
          <w:szCs w:val="14"/>
          <w:color w:val="auto"/>
        </w:rPr>
        <w:t>PENNANTPARK FLOATING RATE CAPITAL LTD.</w:t>
      </w:r>
    </w:p>
    <w:p>
      <w:pPr>
        <w:spacing w:after="0" w:line="231" w:lineRule="exact"/>
        <w:rPr>
          <w:sz w:val="20"/>
          <w:szCs w:val="20"/>
          <w:color w:val="auto"/>
        </w:rPr>
      </w:pPr>
    </w:p>
    <w:p>
      <w:pPr>
        <w:ind w:left="1440"/>
        <w:spacing w:after="0"/>
        <w:rPr>
          <w:sz w:val="20"/>
          <w:szCs w:val="20"/>
          <w:color w:val="auto"/>
        </w:rPr>
      </w:pPr>
      <w:r>
        <w:rPr>
          <w:rFonts w:ascii="Arial" w:cs="Arial" w:eastAsia="Arial" w:hAnsi="Arial"/>
          <w:sz w:val="14"/>
          <w:szCs w:val="14"/>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3810</wp:posOffset>
            </wp:positionV>
            <wp:extent cx="3223260" cy="825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62">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4" w:lineRule="exact"/>
        <w:rPr>
          <w:sz w:val="20"/>
          <w:szCs w:val="20"/>
          <w:color w:val="auto"/>
        </w:rPr>
      </w:pPr>
    </w:p>
    <w:p>
      <w:pPr>
        <w:ind w:left="1480"/>
        <w:spacing w:after="0"/>
        <w:rPr>
          <w:sz w:val="20"/>
          <w:szCs w:val="20"/>
          <w:color w:val="auto"/>
        </w:rPr>
      </w:pPr>
      <w:r>
        <w:rPr>
          <w:rFonts w:ascii="Arial" w:cs="Arial" w:eastAsia="Arial" w:hAnsi="Arial"/>
          <w:sz w:val="14"/>
          <w:szCs w:val="14"/>
          <w:b w:val="1"/>
          <w:bCs w:val="1"/>
          <w:color w:val="auto"/>
        </w:rPr>
        <w:t>Arthur H. Penn</w:t>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Chief Executive Officer and Chairman of the Board of Directors</w:t>
      </w:r>
    </w:p>
    <w:p>
      <w:pPr>
        <w:spacing w:after="0" w:line="4" w:lineRule="exact"/>
        <w:rPr>
          <w:sz w:val="20"/>
          <w:szCs w:val="20"/>
          <w:color w:val="auto"/>
        </w:rPr>
      </w:pPr>
    </w:p>
    <w:p>
      <w:pPr>
        <w:jc w:val="center"/>
        <w:ind w:right="560"/>
        <w:spacing w:after="0"/>
        <w:rPr>
          <w:sz w:val="20"/>
          <w:szCs w:val="20"/>
          <w:color w:val="auto"/>
        </w:rPr>
      </w:pPr>
      <w:r>
        <w:rPr>
          <w:rFonts w:ascii="Arial" w:cs="Arial" w:eastAsia="Arial" w:hAnsi="Arial"/>
          <w:sz w:val="14"/>
          <w:szCs w:val="14"/>
          <w:b w:val="1"/>
          <w:bCs w:val="1"/>
          <w:color w:val="auto"/>
        </w:rPr>
        <w:t>(Principal Executive Officer)</w:t>
      </w:r>
    </w:p>
    <w:p>
      <w:pPr>
        <w:spacing w:after="0" w:line="232"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/s/ Richard T. Allorto,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3810</wp:posOffset>
            </wp:positionV>
            <wp:extent cx="3223260" cy="889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63">
                      <a:extLst>
                        <a:ext uri="{28A0092B-C50C-407E-A947-70E740481C1C}"/>
                      </a:extLst>
                    </a:blip>
                    <a:srcRect/>
                    <a:stretch>
                      <a:fillRect/>
                    </a:stretch>
                  </pic:blipFill>
                  <pic:spPr bwMode="auto">
                    <a:xfrm>
                      <a:off x="0" y="0"/>
                      <a:ext cx="3223260" cy="8890"/>
                    </a:xfrm>
                    <a:prstGeom prst="rect">
                      <a:avLst/>
                    </a:prstGeom>
                    <a:noFill/>
                  </pic:spPr>
                </pic:pic>
              </a:graphicData>
            </a:graphic>
          </wp:anchor>
        </w:drawing>
      </w:r>
    </w:p>
    <w:p>
      <w:pPr>
        <w:spacing w:after="0" w:line="4" w:lineRule="exact"/>
        <w:rPr>
          <w:sz w:val="20"/>
          <w:szCs w:val="20"/>
          <w:color w:val="auto"/>
        </w:rPr>
      </w:pPr>
    </w:p>
    <w:p>
      <w:pPr>
        <w:ind w:left="1280"/>
        <w:spacing w:after="0"/>
        <w:rPr>
          <w:sz w:val="20"/>
          <w:szCs w:val="20"/>
          <w:color w:val="auto"/>
        </w:rPr>
      </w:pPr>
      <w:r>
        <w:rPr>
          <w:rFonts w:ascii="Arial" w:cs="Arial" w:eastAsia="Arial" w:hAnsi="Arial"/>
          <w:sz w:val="14"/>
          <w:szCs w:val="14"/>
          <w:b w:val="1"/>
          <w:bCs w:val="1"/>
          <w:color w:val="auto"/>
        </w:rPr>
        <w:t>Richard T. Allorto, Jr.</w:t>
      </w:r>
    </w:p>
    <w:p>
      <w:pPr>
        <w:spacing w:after="0" w:line="18" w:lineRule="exact"/>
        <w:rPr>
          <w:sz w:val="20"/>
          <w:szCs w:val="20"/>
          <w:color w:val="auto"/>
        </w:rPr>
      </w:pPr>
    </w:p>
    <w:p>
      <w:pPr>
        <w:jc w:val="center"/>
        <w:ind w:right="560"/>
        <w:spacing w:after="0"/>
        <w:rPr>
          <w:sz w:val="20"/>
          <w:szCs w:val="20"/>
          <w:color w:val="auto"/>
        </w:rPr>
      </w:pPr>
      <w:r>
        <w:rPr>
          <w:rFonts w:ascii="Arial" w:cs="Arial" w:eastAsia="Arial" w:hAnsi="Arial"/>
          <w:sz w:val="14"/>
          <w:szCs w:val="14"/>
          <w:b w:val="1"/>
          <w:bCs w:val="1"/>
          <w:color w:val="auto"/>
        </w:rPr>
        <w:t>Chief Financial Officer and Treasurer</w:t>
      </w:r>
    </w:p>
    <w:p>
      <w:pPr>
        <w:jc w:val="center"/>
        <w:ind w:right="560"/>
        <w:spacing w:after="0"/>
        <w:rPr>
          <w:sz w:val="20"/>
          <w:szCs w:val="20"/>
          <w:color w:val="auto"/>
        </w:rPr>
      </w:pPr>
      <w:r>
        <w:rPr>
          <w:rFonts w:ascii="Arial" w:cs="Arial" w:eastAsia="Arial" w:hAnsi="Arial"/>
          <w:sz w:val="14"/>
          <w:szCs w:val="14"/>
          <w:b w:val="1"/>
          <w:bCs w:val="1"/>
          <w:color w:val="auto"/>
        </w:rPr>
        <w:t>(Principal Financial and Accounting Officer)</w:t>
      </w:r>
    </w:p>
    <w:p>
      <w:pPr>
        <w:spacing w:after="0" w:line="200" w:lineRule="exact"/>
        <w:rPr>
          <w:sz w:val="20"/>
          <w:szCs w:val="20"/>
          <w:color w:val="auto"/>
        </w:rPr>
      </w:pPr>
    </w:p>
    <w:p>
      <w:pPr>
        <w:sectPr>
          <w:pgSz w:w="11900" w:h="16838" w:orient="portrait"/>
          <w:cols w:equalWidth="0" w:num="3">
            <w:col w:w="5100" w:space="720"/>
            <w:col w:w="200" w:space="700"/>
            <w:col w:w="4500"/>
          </w:cols>
          <w:pgMar w:left="320" w:top="319" w:right="359" w:bottom="1440" w:gutter="0" w:footer="0" w:header="0"/>
          <w:type w:val="continuous"/>
        </w:sectPr>
      </w:pPr>
    </w:p>
    <w:p>
      <w:pPr>
        <w:spacing w:after="0" w:line="59"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57720" cy="4254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19" w:right="359" w:bottom="1440" w:gutter="0" w:footer="0" w:header="0"/>
          <w:type w:val="continuous"/>
        </w:sectPr>
      </w:pPr>
    </w:p>
    <w:bookmarkStart w:id="59" w:name="page60"/>
    <w:bookmarkEnd w:id="59"/>
    <w:p>
      <w:pPr>
        <w:jc w:val="right"/>
        <w:spacing w:after="0"/>
        <w:rPr>
          <w:sz w:val="20"/>
          <w:szCs w:val="20"/>
          <w:color w:val="auto"/>
        </w:rPr>
      </w:pPr>
      <w:r>
        <w:rPr>
          <w:rFonts w:ascii="Arial" w:cs="Arial" w:eastAsia="Arial" w:hAnsi="Arial"/>
          <w:sz w:val="22"/>
          <w:szCs w:val="22"/>
          <w:b w:val="1"/>
          <w:bCs w:val="1"/>
          <w:u w:val="single" w:color="auto"/>
          <w:color w:val="auto"/>
        </w:rPr>
        <w:t>Exhibit 10.1</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AMENDED AND RESTATED ADMINISTRATION AGREEMENT</w:t>
      </w:r>
    </w:p>
    <w:p>
      <w:pPr>
        <w:spacing w:after="0" w:line="212" w:lineRule="exact"/>
        <w:rPr>
          <w:sz w:val="20"/>
          <w:szCs w:val="20"/>
          <w:color w:val="auto"/>
        </w:rPr>
      </w:pPr>
    </w:p>
    <w:p>
      <w:pPr>
        <w:jc w:val="both"/>
        <w:ind w:firstLine="509"/>
        <w:spacing w:after="0"/>
        <w:rPr>
          <w:sz w:val="20"/>
          <w:szCs w:val="20"/>
          <w:color w:val="auto"/>
        </w:rPr>
      </w:pPr>
      <w:r>
        <w:rPr>
          <w:rFonts w:ascii="Arial" w:cs="Arial" w:eastAsia="Arial" w:hAnsi="Arial"/>
          <w:sz w:val="22"/>
          <w:szCs w:val="22"/>
          <w:color w:val="auto"/>
        </w:rPr>
        <w:t>AGREEMENT (this “Agreement”) made as of July 1, 2022 by and between PennantPark Floating Rate Capital Ltd., a Maryland corporation (hereinafter referred to as the “Corporation”), and PennantPark Investment Administration, LLC, a Delaware limited liability company, (hereinafter referred to as the “Administrator”).</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W I T N E S S E T H:</w:t>
      </w:r>
    </w:p>
    <w:p>
      <w:pPr>
        <w:spacing w:after="0" w:line="212" w:lineRule="exact"/>
        <w:rPr>
          <w:sz w:val="20"/>
          <w:szCs w:val="20"/>
          <w:color w:val="auto"/>
        </w:rPr>
      </w:pPr>
    </w:p>
    <w:p>
      <w:pPr>
        <w:jc w:val="both"/>
        <w:ind w:firstLine="509"/>
        <w:spacing w:after="0"/>
        <w:rPr>
          <w:sz w:val="20"/>
          <w:szCs w:val="20"/>
          <w:color w:val="auto"/>
        </w:rPr>
      </w:pPr>
      <w:r>
        <w:rPr>
          <w:rFonts w:ascii="Arial" w:cs="Arial" w:eastAsia="Arial" w:hAnsi="Arial"/>
          <w:sz w:val="22"/>
          <w:szCs w:val="22"/>
          <w:color w:val="auto"/>
        </w:rPr>
        <w:t>WHEREAS, the Corporation is a closed-end non-diversified management investment company that has filed a notice with the Securities and Exchange Commission that it intends to elect to treated as a business development company under the Investment Company Act of 1940, as amended (hereinafter referred to as the “1940 Act”);</w:t>
      </w:r>
    </w:p>
    <w:p>
      <w:pPr>
        <w:spacing w:after="0" w:line="186" w:lineRule="exact"/>
        <w:rPr>
          <w:sz w:val="20"/>
          <w:szCs w:val="20"/>
          <w:color w:val="auto"/>
        </w:rPr>
      </w:pPr>
    </w:p>
    <w:p>
      <w:pPr>
        <w:jc w:val="both"/>
        <w:ind w:firstLine="509"/>
        <w:spacing w:after="0" w:line="328" w:lineRule="auto"/>
        <w:rPr>
          <w:sz w:val="20"/>
          <w:szCs w:val="20"/>
          <w:color w:val="auto"/>
        </w:rPr>
      </w:pPr>
      <w:r>
        <w:rPr>
          <w:rFonts w:ascii="Arial" w:cs="Arial" w:eastAsia="Arial" w:hAnsi="Arial"/>
          <w:sz w:val="19"/>
          <w:szCs w:val="19"/>
          <w:color w:val="auto"/>
        </w:rPr>
        <w:t>WHEREAS, the Corporation has engaged the Administrator to provide administrative services to the Corporation under that Administration Agreement, most recently re-approved by the Board of Directors of the Corporation in February 2022; and</w:t>
      </w:r>
    </w:p>
    <w:p>
      <w:pPr>
        <w:spacing w:after="0" w:line="105" w:lineRule="exact"/>
        <w:rPr>
          <w:sz w:val="20"/>
          <w:szCs w:val="20"/>
          <w:color w:val="auto"/>
        </w:rPr>
      </w:pPr>
    </w:p>
    <w:p>
      <w:pPr>
        <w:jc w:val="both"/>
        <w:ind w:firstLine="509"/>
        <w:spacing w:after="0" w:line="250" w:lineRule="auto"/>
        <w:rPr>
          <w:sz w:val="20"/>
          <w:szCs w:val="20"/>
          <w:color w:val="auto"/>
        </w:rPr>
      </w:pPr>
      <w:r>
        <w:rPr>
          <w:rFonts w:ascii="Arial" w:cs="Arial" w:eastAsia="Arial" w:hAnsi="Arial"/>
          <w:sz w:val="22"/>
          <w:szCs w:val="22"/>
          <w:color w:val="auto"/>
        </w:rPr>
        <w:t>WHEREAS, the Corporation and the Administrator wish to make certain amendments to the Administration Agreement, as reflected in this Agreement.</w:t>
      </w:r>
    </w:p>
    <w:p>
      <w:pPr>
        <w:spacing w:after="0" w:line="121" w:lineRule="exact"/>
        <w:rPr>
          <w:sz w:val="20"/>
          <w:szCs w:val="20"/>
          <w:color w:val="auto"/>
        </w:rPr>
      </w:pPr>
    </w:p>
    <w:p>
      <w:pPr>
        <w:jc w:val="both"/>
        <w:ind w:firstLine="509"/>
        <w:spacing w:after="0"/>
        <w:rPr>
          <w:sz w:val="20"/>
          <w:szCs w:val="20"/>
          <w:color w:val="auto"/>
        </w:rPr>
      </w:pPr>
      <w:r>
        <w:rPr>
          <w:rFonts w:ascii="Arial" w:cs="Arial" w:eastAsia="Arial" w:hAnsi="Arial"/>
          <w:sz w:val="22"/>
          <w:szCs w:val="22"/>
          <w:color w:val="auto"/>
        </w:rPr>
        <w:t>NOW, THEREFORE, in consideration of the premises and the covenants hereinafter contained and for other good and valuable consideration, the receipt and adequacy of which is hereby acknowledged, the Corporation and the Administrator hereby agree as follows:</w:t>
      </w:r>
    </w:p>
    <w:p>
      <w:pPr>
        <w:spacing w:after="0" w:line="213" w:lineRule="exact"/>
        <w:rPr>
          <w:sz w:val="20"/>
          <w:szCs w:val="20"/>
          <w:color w:val="auto"/>
        </w:rPr>
      </w:pPr>
    </w:p>
    <w:p>
      <w:pPr>
        <w:ind w:left="480" w:hanging="459"/>
        <w:spacing w:after="0"/>
        <w:tabs>
          <w:tab w:leader="none" w:pos="480" w:val="left"/>
        </w:tabs>
        <w:numPr>
          <w:ilvl w:val="0"/>
          <w:numId w:val="28"/>
        </w:numPr>
        <w:rPr>
          <w:rFonts w:ascii="Arial" w:cs="Arial" w:eastAsia="Arial" w:hAnsi="Arial"/>
          <w:sz w:val="22"/>
          <w:szCs w:val="22"/>
          <w:color w:val="auto"/>
        </w:rPr>
      </w:pPr>
      <w:r>
        <w:rPr>
          <w:rFonts w:ascii="Arial" w:cs="Arial" w:eastAsia="Arial" w:hAnsi="Arial"/>
          <w:sz w:val="22"/>
          <w:szCs w:val="22"/>
          <w:u w:val="single" w:color="auto"/>
          <w:color w:val="auto"/>
        </w:rPr>
        <w:t>Duties of the Administrator</w:t>
      </w:r>
    </w:p>
    <w:p>
      <w:pPr>
        <w:spacing w:after="0" w:line="206" w:lineRule="exact"/>
        <w:rPr>
          <w:rFonts w:ascii="Arial" w:cs="Arial" w:eastAsia="Arial" w:hAnsi="Arial"/>
          <w:sz w:val="22"/>
          <w:szCs w:val="22"/>
          <w:color w:val="auto"/>
        </w:rPr>
      </w:pPr>
    </w:p>
    <w:p>
      <w:pPr>
        <w:jc w:val="both"/>
        <w:ind w:firstLine="517"/>
        <w:spacing w:after="0" w:line="275" w:lineRule="auto"/>
        <w:tabs>
          <w:tab w:leader="none" w:pos="843" w:val="left"/>
        </w:tabs>
        <w:numPr>
          <w:ilvl w:val="1"/>
          <w:numId w:val="28"/>
        </w:numPr>
        <w:rPr>
          <w:rFonts w:ascii="Arial" w:cs="Arial" w:eastAsia="Arial" w:hAnsi="Arial"/>
          <w:sz w:val="19"/>
          <w:szCs w:val="19"/>
          <w:color w:val="auto"/>
        </w:rPr>
      </w:pPr>
      <w:r>
        <w:rPr>
          <w:rFonts w:ascii="Arial" w:cs="Arial" w:eastAsia="Arial" w:hAnsi="Arial"/>
          <w:sz w:val="19"/>
          <w:szCs w:val="19"/>
          <w:u w:val="single" w:color="auto"/>
          <w:color w:val="auto"/>
        </w:rPr>
        <w:t>Employment of Administrator</w:t>
      </w:r>
      <w:r>
        <w:rPr>
          <w:rFonts w:ascii="Arial" w:cs="Arial" w:eastAsia="Arial" w:hAnsi="Arial"/>
          <w:sz w:val="19"/>
          <w:szCs w:val="19"/>
          <w:color w:val="auto"/>
        </w:rPr>
        <w:t>. The Corporation hereby employs the Administrator to act as administrator of the Corporation, and to furnish, or arrange for others to furnish, the administrative services, personnel and facilities described below, subject to review by and the overall control of the Board of Directors of the Corporation, for the period and on the terms and conditions set forth in this Agreement. The Administrator hereby accepts such employment and agrees during such period to render, or arrange for the rendering of, such services and to assume the obligations herein set forth subject to the reimbursement of costs and expenses provided for below. The Administrator and such others shall for all purposes herein be deemed to be independent contractors and shall, unless otherwise expressly provided or authorized herein, have no authority to act for or represent the Corporation in any way or otherwise be deemed agents of the Corporation.</w:t>
      </w:r>
    </w:p>
    <w:p>
      <w:pPr>
        <w:spacing w:after="0" w:line="157" w:lineRule="exact"/>
        <w:rPr>
          <w:rFonts w:ascii="Arial" w:cs="Arial" w:eastAsia="Arial" w:hAnsi="Arial"/>
          <w:sz w:val="19"/>
          <w:szCs w:val="19"/>
          <w:color w:val="auto"/>
        </w:rPr>
      </w:pPr>
    </w:p>
    <w:p>
      <w:pPr>
        <w:jc w:val="both"/>
        <w:ind w:firstLine="517"/>
        <w:spacing w:after="0" w:line="245" w:lineRule="auto"/>
        <w:tabs>
          <w:tab w:leader="none" w:pos="828" w:val="left"/>
        </w:tabs>
        <w:numPr>
          <w:ilvl w:val="1"/>
          <w:numId w:val="28"/>
        </w:numPr>
        <w:rPr>
          <w:rFonts w:ascii="Arial" w:cs="Arial" w:eastAsia="Arial" w:hAnsi="Arial"/>
          <w:sz w:val="21"/>
          <w:szCs w:val="21"/>
          <w:color w:val="auto"/>
        </w:rPr>
      </w:pPr>
      <w:r>
        <w:rPr>
          <w:rFonts w:ascii="Arial" w:cs="Arial" w:eastAsia="Arial" w:hAnsi="Arial"/>
          <w:sz w:val="21"/>
          <w:szCs w:val="21"/>
          <w:u w:val="single" w:color="auto"/>
          <w:color w:val="auto"/>
        </w:rPr>
        <w:t>Services</w:t>
      </w:r>
      <w:r>
        <w:rPr>
          <w:rFonts w:ascii="Arial" w:cs="Arial" w:eastAsia="Arial" w:hAnsi="Arial"/>
          <w:sz w:val="21"/>
          <w:szCs w:val="21"/>
          <w:color w:val="auto"/>
        </w:rPr>
        <w:t>. The Administrator shall perform (or oversee, or arrange for, the performance of) the administrative services necessary for the operation of the Corporation. Without limiting the generality of the foregoing, the Administrator shall provide the Corporation with office facilities, equipment, clerical, bookkeeping and record keeping services at such facilities and such other services as the Administrator, subject to review by the Board of Directors of the Corporation, shall from time to time determine to be necessary or useful to perform its obligations under this</w:t>
      </w: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0" w:name="page61"/>
    <w:bookmarkEnd w:id="60"/>
    <w:p>
      <w:pPr>
        <w:jc w:val="both"/>
        <w:spacing w:after="0" w:line="271" w:lineRule="auto"/>
        <w:rPr>
          <w:sz w:val="20"/>
          <w:szCs w:val="20"/>
          <w:color w:val="auto"/>
        </w:rPr>
      </w:pPr>
      <w:r>
        <w:rPr>
          <w:rFonts w:ascii="Arial" w:cs="Arial" w:eastAsia="Arial" w:hAnsi="Arial"/>
          <w:sz w:val="19"/>
          <w:szCs w:val="19"/>
          <w:color w:val="auto"/>
        </w:rPr>
        <w:t>Agreement. The Administrator shall also, on behalf of the Corporation, conduct relations with custodians, depositories, transfer agents, dividend disbursing agents, other stockholder servicing agents, accountants, attorneys, underwriters, brokers and dealers, corporate fiduciaries, insurers, banks and such other persons in any such other capacity deemed to be necessary or desirable. The Administrator shall make reports to the Directors of its performance of obligations hereunder and furnish advice and recommendations with respect to such other aspects of the business and affairs of the Corporation as it shall determine to be desirable; provided that nothing herein shall be construed to require the Administrator to, and the Administrator shall not, provide any advice or recommendation relating to the securities and other assets that the Corporation should purchase, retain or sell or any other investment advisory services to the Corporation. The Administrator shall be responsible for the financial and other records that the Corporation is required to maintain and shall prepare reports to stockholders, and reports and other materials filed with the Securities and Exchange Commission (the “SEC”). The Administrator will provide on the Corporation’s behalf significant managerial assistance to those portfolio companies to which the Corporation is required to provide such assistance. In addition, the Administrator will assist the Corporation in determining and publishing the Corporation’s net asset value, overseeing the preparation and filing of the Corporation’s tax returns, and the printing and dissemination of reports to stockholders of the Corporation, and generally overseeing the payment of the Corporation’s expenses and the performance of administrative and professional services rendered to the Corporation by others.</w:t>
      </w:r>
    </w:p>
    <w:p>
      <w:pPr>
        <w:spacing w:after="0" w:line="187" w:lineRule="exact"/>
        <w:rPr>
          <w:sz w:val="20"/>
          <w:szCs w:val="20"/>
          <w:color w:val="auto"/>
        </w:rPr>
      </w:pPr>
    </w:p>
    <w:p>
      <w:pPr>
        <w:ind w:left="480" w:hanging="459"/>
        <w:spacing w:after="0"/>
        <w:tabs>
          <w:tab w:leader="none" w:pos="480" w:val="left"/>
        </w:tabs>
        <w:numPr>
          <w:ilvl w:val="0"/>
          <w:numId w:val="29"/>
        </w:numPr>
        <w:rPr>
          <w:rFonts w:ascii="Arial" w:cs="Arial" w:eastAsia="Arial" w:hAnsi="Arial"/>
          <w:sz w:val="22"/>
          <w:szCs w:val="22"/>
          <w:color w:val="auto"/>
        </w:rPr>
      </w:pPr>
      <w:r>
        <w:rPr>
          <w:rFonts w:ascii="Arial" w:cs="Arial" w:eastAsia="Arial" w:hAnsi="Arial"/>
          <w:sz w:val="22"/>
          <w:szCs w:val="22"/>
          <w:u w:val="single" w:color="auto"/>
          <w:color w:val="auto"/>
        </w:rPr>
        <w:t>Records</w:t>
      </w:r>
    </w:p>
    <w:p>
      <w:pPr>
        <w:spacing w:after="0" w:line="206"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21"/>
          <w:szCs w:val="21"/>
          <w:color w:val="auto"/>
        </w:rPr>
        <w:t>The Administrator agrees to maintain and keep all books, accounts and other records of the Corporation that relate to activities performed by the Administrator hereunder and, if required by the 1940 Act, will maintain and keep such books, accounts and records in accordance with that Act. In compliance with the requirements of Rule 31a-3 under the 1940 Act, the Administrator agrees that all records which it maintains for the Corporation shall at all times remain the property of the Corporation, shall be readily accessible during normal business hours, and shall be promptly surrendered upon the termination of the Agreement or otherwise on written request. The Administrator further agrees that all records which it maintains for the Corporation pursuant to Rule 31a-1 under the 1940 Act will be preserved for the periods prescribed by Rule 31a-2 under the 1940 Act unless any such records are earlier surrendered as provided above. Records shall be surrendered in usable machine-readable form. The Administrator shall have the right to retain copies of such records subject to observance of its confidentiality obligations under this Agreement.</w:t>
      </w:r>
    </w:p>
    <w:p>
      <w:pPr>
        <w:spacing w:after="0" w:line="208" w:lineRule="exact"/>
        <w:rPr>
          <w:sz w:val="20"/>
          <w:szCs w:val="20"/>
          <w:color w:val="auto"/>
        </w:rPr>
      </w:pPr>
    </w:p>
    <w:p>
      <w:pPr>
        <w:ind w:left="480" w:hanging="459"/>
        <w:spacing w:after="0"/>
        <w:tabs>
          <w:tab w:leader="none" w:pos="480" w:val="left"/>
        </w:tabs>
        <w:numPr>
          <w:ilvl w:val="0"/>
          <w:numId w:val="30"/>
        </w:numPr>
        <w:rPr>
          <w:rFonts w:ascii="Arial" w:cs="Arial" w:eastAsia="Arial" w:hAnsi="Arial"/>
          <w:sz w:val="22"/>
          <w:szCs w:val="22"/>
          <w:color w:val="auto"/>
        </w:rPr>
      </w:pPr>
      <w:r>
        <w:rPr>
          <w:rFonts w:ascii="Arial" w:cs="Arial" w:eastAsia="Arial" w:hAnsi="Arial"/>
          <w:sz w:val="22"/>
          <w:szCs w:val="22"/>
          <w:u w:val="single" w:color="auto"/>
          <w:color w:val="auto"/>
        </w:rPr>
        <w:t>Confidentiality</w:t>
      </w:r>
    </w:p>
    <w:p>
      <w:pPr>
        <w:spacing w:after="0" w:line="206"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9"/>
          <w:szCs w:val="19"/>
          <w:color w:val="auto"/>
        </w:rPr>
        <w:t>The parties hereto agree that each shall treat confidentially the terms and conditions of this Agreement and all information provided by each party to the other regarding its business and operations. All confidential information provided by a party hereto, including nonpublic personal information pursuant to Regulation S-P of the SEC, shall be used by any other party hereto solely for the purpose of rendering services pursuant to this Agreement and, except as may be required in carrying out this Agreement, shall not be disclosed to any third party, without the prior consent of such providing party. The foregoing shall not be applicable to any information that is publicly available when provided or thereafter becomes publicly available other than through a breach of this Agreement, or that is required to be disclosed by any regulatory authority, any authority or</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61" w:name="page62"/>
    <w:bookmarkEnd w:id="61"/>
    <w:p>
      <w:pPr>
        <w:spacing w:after="0"/>
        <w:rPr>
          <w:sz w:val="20"/>
          <w:szCs w:val="20"/>
          <w:color w:val="auto"/>
        </w:rPr>
      </w:pPr>
      <w:r>
        <w:rPr>
          <w:rFonts w:ascii="Arial" w:cs="Arial" w:eastAsia="Arial" w:hAnsi="Arial"/>
          <w:sz w:val="22"/>
          <w:szCs w:val="22"/>
          <w:color w:val="auto"/>
        </w:rPr>
        <w:t>legal counsel of the parties hereto, by judicial or administrative process or otherwise by applicable law or regulation.</w:t>
      </w:r>
    </w:p>
    <w:p>
      <w:pPr>
        <w:spacing w:after="0" w:line="233" w:lineRule="exact"/>
        <w:rPr>
          <w:sz w:val="20"/>
          <w:szCs w:val="20"/>
          <w:color w:val="auto"/>
        </w:rPr>
      </w:pPr>
    </w:p>
    <w:p>
      <w:pPr>
        <w:ind w:left="480" w:hanging="459"/>
        <w:spacing w:after="0"/>
        <w:tabs>
          <w:tab w:leader="none" w:pos="480" w:val="left"/>
        </w:tabs>
        <w:numPr>
          <w:ilvl w:val="0"/>
          <w:numId w:val="31"/>
        </w:numPr>
        <w:rPr>
          <w:rFonts w:ascii="Arial" w:cs="Arial" w:eastAsia="Arial" w:hAnsi="Arial"/>
          <w:sz w:val="22"/>
          <w:szCs w:val="22"/>
          <w:color w:val="auto"/>
        </w:rPr>
      </w:pPr>
      <w:r>
        <w:rPr>
          <w:rFonts w:ascii="Arial" w:cs="Arial" w:eastAsia="Arial" w:hAnsi="Arial"/>
          <w:sz w:val="22"/>
          <w:szCs w:val="22"/>
          <w:u w:val="single" w:color="auto"/>
          <w:color w:val="auto"/>
        </w:rPr>
        <w:t>Compensation; Allocation of Costs and Expenses</w:t>
      </w:r>
    </w:p>
    <w:p>
      <w:pPr>
        <w:spacing w:after="0" w:line="206"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22"/>
          <w:szCs w:val="22"/>
          <w:color w:val="auto"/>
        </w:rPr>
        <w:t>In full consideration of the provision of the services of the Administrator, the Corporation shall reimburse the Administrator for the costs and expenses incurred by the Administrator in performing its obligations and providing personnel and facilities hereunder. If requested to perform significant managerial assistance to portfolio companies of the Corporation, the Administrator will be paid an additional amount based on the services provided, which shall not exceed the amount the Corporation receives from the portfolio companies for providing this assistance.</w:t>
      </w:r>
    </w:p>
    <w:p>
      <w:pPr>
        <w:spacing w:after="0" w:line="187"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9"/>
          <w:szCs w:val="19"/>
          <w:color w:val="auto"/>
        </w:rPr>
        <w:t>The Corporation will bear all costs and expenses that are incurred in its operation and transactions and not specifically assumed by the Corporation’s investment adviser (the “Adviser”), pursuant to that certain Second Amended and Restated Investment Advisory Management Agreement, dated as of February 2, 2016, by and between the Corporation and the Adviser. Costs and expenses to be borne by the Corporation include, but are not limited to, those relating to: organization and offering; calculating the Corporation’s net asset value (including the cost and expenses of any independent valuation firm); expenses incurred by the Adviser payable to third parties, including agents, consultants or other advisors, in monitoring financial and legal affairs for the Corporation and in monitoring the Corporation’s investments and performing due diligence (including related legal expenses) on its prospective portfolio companies and expenses related to unsuccessful portfolio acquisition efforts; interest payable on debt, if any, incurred to finance the Corporation’s investments; offerings of the Corporation’s common stock and other securities; investment advisory and management fees; administration fees payable under this Agreement; fees payable to third parties, including agents, consultants or other advisors, relating to, or associated with, evaluating and making investments, including costs associated with meeting potential financial sponsors; transfer agent and custodial fees; federal and state registration fees; all costs of registration and listing the Corporation’s shares on any securities exchange; federal, state and local taxes; independent directors’ fees and expenses; costs of preparing and filing reports or other documents required by the SEC; costs of any reports, proxy statements or other notices to stockholders, including printing costs; costs associated with individual or groups of stockholders; the Corporation’s allocable portion of the fidelity bond, directors and officers/errors and omissions liability insurance, and any other insurance premiums; direct costs and expenses of administration, including printing, mailing, long distance telephone, copying, secretarial and other staff, independent auditors and legal costs; and all other expenses incurred by the Corporation or the Administrator in connection with administering the Corporation’s business, including payments under this Agreement based upon the Corporation’s allocable portion of the Administrator’s overhead in performing its obligations under this Agreement, including rent and the allocable portion of the cost of the Corporation’s chief compliance officer and chief financial officer and their respective staffs. For the avoidance of doubt, the costs and expenses to be borne by the Corporation set forth above include the costs and expenses allocable with respect to the provision of in-house legal, tax, or other professional advice and/or services to the Corporation, including performing due diligence on its prospective portfolio companies, as deemed appropriate by the Administrator, where such in-house personnel perform services that would be paid by the Corporation if outside service providers provided the same services, subject to the Board of Directors’ oversight.</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62" w:name="page63"/>
    <w:bookmarkEnd w:id="62"/>
    <w:p>
      <w:pPr>
        <w:jc w:val="both"/>
        <w:ind w:firstLine="509"/>
        <w:spacing w:after="0"/>
        <w:rPr>
          <w:sz w:val="20"/>
          <w:szCs w:val="20"/>
          <w:color w:val="auto"/>
        </w:rPr>
      </w:pPr>
      <w:r>
        <w:rPr>
          <w:rFonts w:ascii="Arial" w:cs="Arial" w:eastAsia="Arial" w:hAnsi="Arial"/>
          <w:sz w:val="22"/>
          <w:szCs w:val="22"/>
          <w:color w:val="auto"/>
        </w:rPr>
        <w:t>At its election, the Administrator may elect to receive payment under this Agreement in the form of a percentage of assets under management by the Corporation, rather than based on the sum of the actual expenses accrued. Such percentage shall be in an amount mutually agreed by the Administrator and the Corporation.</w:t>
      </w:r>
    </w:p>
    <w:p>
      <w:pPr>
        <w:spacing w:after="0" w:line="213" w:lineRule="exact"/>
        <w:rPr>
          <w:sz w:val="20"/>
          <w:szCs w:val="20"/>
          <w:color w:val="auto"/>
        </w:rPr>
      </w:pPr>
    </w:p>
    <w:p>
      <w:pPr>
        <w:ind w:left="480" w:hanging="459"/>
        <w:spacing w:after="0"/>
        <w:tabs>
          <w:tab w:leader="none" w:pos="480" w:val="left"/>
        </w:tabs>
        <w:numPr>
          <w:ilvl w:val="0"/>
          <w:numId w:val="32"/>
        </w:numPr>
        <w:rPr>
          <w:rFonts w:ascii="Arial" w:cs="Arial" w:eastAsia="Arial" w:hAnsi="Arial"/>
          <w:sz w:val="22"/>
          <w:szCs w:val="22"/>
          <w:color w:val="auto"/>
        </w:rPr>
      </w:pPr>
      <w:r>
        <w:rPr>
          <w:rFonts w:ascii="Arial" w:cs="Arial" w:eastAsia="Arial" w:hAnsi="Arial"/>
          <w:sz w:val="22"/>
          <w:szCs w:val="22"/>
          <w:u w:val="single" w:color="auto"/>
          <w:color w:val="auto"/>
        </w:rPr>
        <w:t>Limitation of Liability of the Administrator; Indemnification</w:t>
      </w:r>
    </w:p>
    <w:p>
      <w:pPr>
        <w:spacing w:after="0" w:line="206"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9"/>
          <w:szCs w:val="19"/>
          <w:color w:val="auto"/>
        </w:rPr>
        <w:t>The Administrator (and its officers, managers, partners, agents, employees, controlling persons, members, and any other person or entity affiliated with the Administrator, including without limitation its sole member) shall not be liable to the Corporation for any action taken or omitted to be taken by the Administrator in connection with the performance of any of its duties or obligations under this Agreement or otherwise as administrator for the Corporation, and the Corporation shall indemnify, defend and protect the Administrator (and its officers, managers, partners, agents, employees, controlling persons, members, and any other person or entity affiliated with the Administrator, including without limitation the Adviser, each of whom shall be deemed a third party beneficiary hereof, collectively, the “Indemnified Parties”) and hold them harmless from and against all damages, liabilities, costs and expenses (including reasonable attorneys’ fees and amounts reasonably paid in settlement) incurred by the Indemnified Parties in or by reason of any pending, threatened or completed action, suit, investigation or other proceeding (including an action or suit by or in the right of the Corporation or its security holders) arising out of or otherwise based upon the performance of any of the Administrator’s duties or obligations under this Agreement or otherwise as administrator for the Corporation. Notwithstanding the preceding sentence of this Paragraph 5 to the contrary, nothing contained herein shall protect or be deemed to protect the Indemnified Parties against or entitle or be deemed to entitle the Indemnified Parties to indemnification in respect of, any liability to the Corporation or its security holders to which the Indemnified Parties would otherwise be subject by reason of willful misfeasance, bad faith or gross negligence in the performance of the Administrator’s duties or by reason of the reckless disregard of the Administrator’s duties and obligations under this Agreement (to the extent applicable, as the same shall be determined in accordance with the 1940 Act and any interpretations or guidance by the SEC or its staff thereunder).</w:t>
      </w:r>
    </w:p>
    <w:p>
      <w:pPr>
        <w:spacing w:after="0" w:line="200" w:lineRule="exact"/>
        <w:rPr>
          <w:sz w:val="20"/>
          <w:szCs w:val="20"/>
          <w:color w:val="auto"/>
        </w:rPr>
      </w:pPr>
    </w:p>
    <w:p>
      <w:pPr>
        <w:spacing w:after="0" w:line="238" w:lineRule="exact"/>
        <w:rPr>
          <w:sz w:val="20"/>
          <w:szCs w:val="20"/>
          <w:color w:val="auto"/>
        </w:rPr>
      </w:pPr>
    </w:p>
    <w:p>
      <w:pPr>
        <w:ind w:left="480" w:hanging="459"/>
        <w:spacing w:after="0"/>
        <w:tabs>
          <w:tab w:leader="none" w:pos="480" w:val="left"/>
        </w:tabs>
        <w:numPr>
          <w:ilvl w:val="0"/>
          <w:numId w:val="33"/>
        </w:numPr>
        <w:rPr>
          <w:rFonts w:ascii="Arial" w:cs="Arial" w:eastAsia="Arial" w:hAnsi="Arial"/>
          <w:sz w:val="22"/>
          <w:szCs w:val="22"/>
          <w:color w:val="auto"/>
        </w:rPr>
      </w:pPr>
      <w:r>
        <w:rPr>
          <w:rFonts w:ascii="Arial" w:cs="Arial" w:eastAsia="Arial" w:hAnsi="Arial"/>
          <w:sz w:val="22"/>
          <w:szCs w:val="22"/>
          <w:u w:val="single" w:color="auto"/>
          <w:color w:val="auto"/>
        </w:rPr>
        <w:t>Activities of the Administrator</w:t>
      </w:r>
    </w:p>
    <w:p>
      <w:pPr>
        <w:spacing w:after="0" w:line="206"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21"/>
          <w:szCs w:val="21"/>
          <w:color w:val="auto"/>
        </w:rPr>
        <w:t>The services of the Administrator to the Corporation are not to be deemed to be exclusive, and the Administrator and each affiliate is free to render services to others. It is understood that directors, officers, employees and stockholders of the Corporation are or may become interested in the Administrator and its affiliates, as directors, officers, members, managers, employees, partners, stockholders or otherwise, and that the Administrator and directors, officers, members, managers, employees, partners and stockholders of the Administrator and its affiliates are or may become similarly interested in the Corporation as stockholders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57" w:lineRule="exact"/>
        <w:rPr>
          <w:sz w:val="20"/>
          <w:szCs w:val="20"/>
          <w:color w:val="auto"/>
        </w:rPr>
      </w:pPr>
    </w:p>
    <w:p>
      <w:pPr>
        <w:ind w:left="480" w:hanging="459"/>
        <w:spacing w:after="0"/>
        <w:tabs>
          <w:tab w:leader="none" w:pos="480" w:val="left"/>
        </w:tabs>
        <w:numPr>
          <w:ilvl w:val="0"/>
          <w:numId w:val="34"/>
        </w:numPr>
        <w:rPr>
          <w:rFonts w:ascii="Arial" w:cs="Arial" w:eastAsia="Arial" w:hAnsi="Arial"/>
          <w:sz w:val="22"/>
          <w:szCs w:val="22"/>
          <w:color w:val="auto"/>
        </w:rPr>
      </w:pPr>
      <w:r>
        <w:rPr>
          <w:rFonts w:ascii="Arial" w:cs="Arial" w:eastAsia="Arial" w:hAnsi="Arial"/>
          <w:sz w:val="22"/>
          <w:szCs w:val="22"/>
          <w:u w:val="single" w:color="auto"/>
          <w:color w:val="auto"/>
        </w:rPr>
        <w:t>Duration and Termination of this Agreement</w:t>
      </w:r>
    </w:p>
    <w:p>
      <w:pPr>
        <w:spacing w:after="0" w:line="206"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22"/>
          <w:szCs w:val="22"/>
          <w:color w:val="auto"/>
        </w:rPr>
        <w:t>This Agreement shall become effective as of the date hereof, and shall remain in force with respect to the Corporation for two years thereafter, and thereafter continue from year to year, but only so long as such continuance is specifically approved at least annually by (i) the Board of</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63" w:name="page64"/>
    <w:bookmarkEnd w:id="63"/>
    <w:p>
      <w:pPr>
        <w:jc w:val="both"/>
        <w:ind w:right="20"/>
        <w:spacing w:after="0" w:line="250" w:lineRule="auto"/>
        <w:rPr>
          <w:sz w:val="20"/>
          <w:szCs w:val="20"/>
          <w:color w:val="auto"/>
        </w:rPr>
      </w:pPr>
      <w:r>
        <w:rPr>
          <w:rFonts w:ascii="Arial" w:cs="Arial" w:eastAsia="Arial" w:hAnsi="Arial"/>
          <w:sz w:val="22"/>
          <w:szCs w:val="22"/>
          <w:color w:val="auto"/>
        </w:rPr>
        <w:t>Directors of the Corporation and (ii) a majority of those directors who are not parties to this Agreement or “interested persons” (as defined in the 1940 Act) of any such party.</w:t>
      </w:r>
    </w:p>
    <w:p>
      <w:pPr>
        <w:spacing w:after="0" w:line="121" w:lineRule="exact"/>
        <w:rPr>
          <w:sz w:val="20"/>
          <w:szCs w:val="20"/>
          <w:color w:val="auto"/>
        </w:rPr>
      </w:pPr>
    </w:p>
    <w:p>
      <w:pPr>
        <w:jc w:val="both"/>
        <w:ind w:firstLine="509"/>
        <w:spacing w:after="0"/>
        <w:rPr>
          <w:sz w:val="20"/>
          <w:szCs w:val="20"/>
          <w:color w:val="auto"/>
        </w:rPr>
      </w:pPr>
      <w:r>
        <w:rPr>
          <w:rFonts w:ascii="Arial" w:cs="Arial" w:eastAsia="Arial" w:hAnsi="Arial"/>
          <w:sz w:val="22"/>
          <w:szCs w:val="22"/>
          <w:color w:val="auto"/>
        </w:rPr>
        <w:t>This Agreement may be terminated at any time, without the payment of any penalty, by vote of the directors of the Corporation, or by the Administrator, upon 60 days’ written notice to the other party. This Agreement may not be assigned by a party without the consent of the other party.</w:t>
      </w:r>
    </w:p>
    <w:p>
      <w:pPr>
        <w:spacing w:after="0" w:line="213" w:lineRule="exact"/>
        <w:rPr>
          <w:sz w:val="20"/>
          <w:szCs w:val="20"/>
          <w:color w:val="auto"/>
        </w:rPr>
      </w:pPr>
    </w:p>
    <w:p>
      <w:pPr>
        <w:ind w:left="480" w:hanging="459"/>
        <w:spacing w:after="0"/>
        <w:tabs>
          <w:tab w:leader="none" w:pos="480" w:val="left"/>
        </w:tabs>
        <w:numPr>
          <w:ilvl w:val="0"/>
          <w:numId w:val="35"/>
        </w:numPr>
        <w:rPr>
          <w:rFonts w:ascii="Arial" w:cs="Arial" w:eastAsia="Arial" w:hAnsi="Arial"/>
          <w:sz w:val="22"/>
          <w:szCs w:val="22"/>
          <w:color w:val="auto"/>
        </w:rPr>
      </w:pPr>
      <w:r>
        <w:rPr>
          <w:rFonts w:ascii="Arial" w:cs="Arial" w:eastAsia="Arial" w:hAnsi="Arial"/>
          <w:sz w:val="22"/>
          <w:szCs w:val="22"/>
          <w:u w:val="single" w:color="auto"/>
          <w:color w:val="auto"/>
        </w:rPr>
        <w:t>Amendments of this Agreement</w:t>
      </w:r>
    </w:p>
    <w:p>
      <w:pPr>
        <w:spacing w:after="0" w:line="206" w:lineRule="exact"/>
        <w:rPr>
          <w:sz w:val="20"/>
          <w:szCs w:val="20"/>
          <w:color w:val="auto"/>
        </w:rPr>
      </w:pPr>
    </w:p>
    <w:p>
      <w:pPr>
        <w:ind w:left="520"/>
        <w:spacing w:after="0"/>
        <w:rPr>
          <w:sz w:val="20"/>
          <w:szCs w:val="20"/>
          <w:color w:val="auto"/>
        </w:rPr>
      </w:pPr>
      <w:r>
        <w:rPr>
          <w:rFonts w:ascii="Arial" w:cs="Arial" w:eastAsia="Arial" w:hAnsi="Arial"/>
          <w:sz w:val="22"/>
          <w:szCs w:val="22"/>
          <w:color w:val="auto"/>
        </w:rPr>
        <w:t>This Agreement may be amended pursuant to a written instrument by mutual consent of the parties.</w:t>
      </w:r>
    </w:p>
    <w:p>
      <w:pPr>
        <w:spacing w:after="0" w:line="233" w:lineRule="exact"/>
        <w:rPr>
          <w:sz w:val="20"/>
          <w:szCs w:val="20"/>
          <w:color w:val="auto"/>
        </w:rPr>
      </w:pPr>
    </w:p>
    <w:p>
      <w:pPr>
        <w:ind w:left="480" w:hanging="459"/>
        <w:spacing w:after="0"/>
        <w:tabs>
          <w:tab w:leader="none" w:pos="480" w:val="left"/>
        </w:tabs>
        <w:numPr>
          <w:ilvl w:val="0"/>
          <w:numId w:val="36"/>
        </w:numPr>
        <w:rPr>
          <w:rFonts w:ascii="Arial" w:cs="Arial" w:eastAsia="Arial" w:hAnsi="Arial"/>
          <w:sz w:val="22"/>
          <w:szCs w:val="22"/>
          <w:color w:val="auto"/>
        </w:rPr>
      </w:pPr>
      <w:r>
        <w:rPr>
          <w:rFonts w:ascii="Arial" w:cs="Arial" w:eastAsia="Arial" w:hAnsi="Arial"/>
          <w:sz w:val="22"/>
          <w:szCs w:val="22"/>
          <w:u w:val="single" w:color="auto"/>
          <w:color w:val="auto"/>
        </w:rPr>
        <w:t>Governing Law</w:t>
      </w:r>
    </w:p>
    <w:p>
      <w:pPr>
        <w:spacing w:after="0" w:line="206" w:lineRule="exact"/>
        <w:rPr>
          <w:sz w:val="20"/>
          <w:szCs w:val="20"/>
          <w:color w:val="auto"/>
        </w:rPr>
      </w:pPr>
    </w:p>
    <w:p>
      <w:pPr>
        <w:jc w:val="both"/>
        <w:ind w:firstLine="509"/>
        <w:spacing w:after="0"/>
        <w:rPr>
          <w:sz w:val="20"/>
          <w:szCs w:val="20"/>
          <w:color w:val="auto"/>
        </w:rPr>
      </w:pPr>
      <w:r>
        <w:rPr>
          <w:rFonts w:ascii="Arial" w:cs="Arial" w:eastAsia="Arial" w:hAnsi="Arial"/>
          <w:sz w:val="22"/>
          <w:szCs w:val="22"/>
          <w:color w:val="auto"/>
        </w:rPr>
        <w:t>This Agreement shall be construed in accordance with laws of the State of New York and the applicable provisions of the 1940 Act, if any. To the extent that the applicable laws of the State of New York, or any of the provisions herein, conflict with the applicable provisions of the 1940 Act, if any, the latter shall control.</w:t>
      </w:r>
    </w:p>
    <w:p>
      <w:pPr>
        <w:spacing w:after="0" w:line="213" w:lineRule="exact"/>
        <w:rPr>
          <w:sz w:val="20"/>
          <w:szCs w:val="20"/>
          <w:color w:val="auto"/>
        </w:rPr>
      </w:pPr>
    </w:p>
    <w:p>
      <w:pPr>
        <w:ind w:left="480" w:hanging="459"/>
        <w:spacing w:after="0"/>
        <w:tabs>
          <w:tab w:leader="none" w:pos="480" w:val="left"/>
        </w:tabs>
        <w:numPr>
          <w:ilvl w:val="0"/>
          <w:numId w:val="37"/>
        </w:numPr>
        <w:rPr>
          <w:rFonts w:ascii="Arial" w:cs="Arial" w:eastAsia="Arial" w:hAnsi="Arial"/>
          <w:sz w:val="22"/>
          <w:szCs w:val="22"/>
          <w:color w:val="auto"/>
        </w:rPr>
      </w:pPr>
      <w:r>
        <w:rPr>
          <w:rFonts w:ascii="Arial" w:cs="Arial" w:eastAsia="Arial" w:hAnsi="Arial"/>
          <w:sz w:val="22"/>
          <w:szCs w:val="22"/>
          <w:u w:val="single" w:color="auto"/>
          <w:color w:val="auto"/>
        </w:rPr>
        <w:t>Entire Agreement</w:t>
      </w:r>
    </w:p>
    <w:p>
      <w:pPr>
        <w:spacing w:after="0" w:line="206" w:lineRule="exact"/>
        <w:rPr>
          <w:sz w:val="20"/>
          <w:szCs w:val="20"/>
          <w:color w:val="auto"/>
        </w:rPr>
      </w:pPr>
    </w:p>
    <w:p>
      <w:pPr>
        <w:ind w:firstLine="509"/>
        <w:spacing w:after="0" w:line="250" w:lineRule="auto"/>
        <w:rPr>
          <w:sz w:val="20"/>
          <w:szCs w:val="20"/>
          <w:color w:val="auto"/>
        </w:rPr>
      </w:pPr>
      <w:r>
        <w:rPr>
          <w:rFonts w:ascii="Arial" w:cs="Arial" w:eastAsia="Arial" w:hAnsi="Arial"/>
          <w:sz w:val="22"/>
          <w:szCs w:val="22"/>
          <w:color w:val="auto"/>
        </w:rPr>
        <w:t>This Agreement contains the entire agreement of the parties and supercedes all prior agreements, understandings and arrangements with respect to the subject matter hereof.</w:t>
      </w:r>
    </w:p>
    <w:p>
      <w:pPr>
        <w:spacing w:after="0" w:line="202" w:lineRule="exact"/>
        <w:rPr>
          <w:sz w:val="20"/>
          <w:szCs w:val="20"/>
          <w:color w:val="auto"/>
        </w:rPr>
      </w:pPr>
    </w:p>
    <w:p>
      <w:pPr>
        <w:ind w:left="480" w:hanging="459"/>
        <w:spacing w:after="0"/>
        <w:tabs>
          <w:tab w:leader="none" w:pos="480" w:val="left"/>
        </w:tabs>
        <w:numPr>
          <w:ilvl w:val="0"/>
          <w:numId w:val="38"/>
        </w:numPr>
        <w:rPr>
          <w:rFonts w:ascii="Arial" w:cs="Arial" w:eastAsia="Arial" w:hAnsi="Arial"/>
          <w:sz w:val="22"/>
          <w:szCs w:val="22"/>
          <w:color w:val="auto"/>
        </w:rPr>
      </w:pPr>
      <w:r>
        <w:rPr>
          <w:rFonts w:ascii="Arial" w:cs="Arial" w:eastAsia="Arial" w:hAnsi="Arial"/>
          <w:sz w:val="22"/>
          <w:szCs w:val="22"/>
          <w:u w:val="single" w:color="auto"/>
          <w:color w:val="auto"/>
        </w:rPr>
        <w:t>Notices</w:t>
      </w:r>
    </w:p>
    <w:p>
      <w:pPr>
        <w:spacing w:after="0" w:line="206" w:lineRule="exact"/>
        <w:rPr>
          <w:sz w:val="20"/>
          <w:szCs w:val="20"/>
          <w:color w:val="auto"/>
        </w:rPr>
      </w:pPr>
    </w:p>
    <w:p>
      <w:pPr>
        <w:ind w:firstLine="509"/>
        <w:spacing w:after="0" w:line="250" w:lineRule="auto"/>
        <w:rPr>
          <w:sz w:val="20"/>
          <w:szCs w:val="20"/>
          <w:color w:val="auto"/>
        </w:rPr>
      </w:pPr>
      <w:r>
        <w:rPr>
          <w:rFonts w:ascii="Arial" w:cs="Arial" w:eastAsia="Arial" w:hAnsi="Arial"/>
          <w:sz w:val="22"/>
          <w:szCs w:val="22"/>
          <w:color w:val="auto"/>
        </w:rPr>
        <w:t>Any notice under this Agreement shall be given in writing, addressed and delivered or mailed, postage prepaid, to the other party at its principal office.</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[REMAINDER OF PAGE INTENTIONALLY LEFT BLANK]</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64" w:name="page65"/>
    <w:bookmarkEnd w:id="64"/>
    <w:p>
      <w:pPr>
        <w:ind w:left="760"/>
        <w:spacing w:after="0"/>
        <w:rPr>
          <w:sz w:val="20"/>
          <w:szCs w:val="20"/>
          <w:color w:val="auto"/>
        </w:rPr>
      </w:pPr>
      <w:r>
        <w:rPr>
          <w:rFonts w:ascii="Arial" w:cs="Arial" w:eastAsia="Arial" w:hAnsi="Arial"/>
          <w:sz w:val="19"/>
          <w:szCs w:val="19"/>
          <w:color w:val="auto"/>
        </w:rPr>
        <w:t>IN WITNESS WHEREOF, the parties hereto have executed and delivered this Agreement as of the date first above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written.</w:t>
      </w:r>
    </w:p>
    <w:p>
      <w:pPr>
        <w:spacing w:after="0" w:line="200" w:lineRule="exact"/>
        <w:rPr>
          <w:sz w:val="20"/>
          <w:szCs w:val="20"/>
          <w:color w:val="auto"/>
        </w:rPr>
      </w:pPr>
    </w:p>
    <w:p>
      <w:pPr>
        <w:spacing w:after="0" w:line="387" w:lineRule="exact"/>
        <w:rPr>
          <w:sz w:val="20"/>
          <w:szCs w:val="20"/>
          <w:color w:val="auto"/>
        </w:rPr>
      </w:pPr>
    </w:p>
    <w:p>
      <w:pPr>
        <w:ind w:left="4500"/>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99"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By: /s/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3132455</wp:posOffset>
            </wp:positionH>
            <wp:positionV relativeFrom="paragraph">
              <wp:posOffset>-17780</wp:posOffset>
            </wp:positionV>
            <wp:extent cx="3840480" cy="825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71">
                      <a:extLst>
                        <a:ext uri="{28A0092B-C50C-407E-A947-70E740481C1C}"/>
                      </a:extLst>
                    </a:blip>
                    <a:srcRect/>
                    <a:stretch>
                      <a:fillRect/>
                    </a:stretch>
                  </pic:blipFill>
                  <pic:spPr bwMode="auto">
                    <a:xfrm>
                      <a:off x="0" y="0"/>
                      <a:ext cx="3840480" cy="8255"/>
                    </a:xfrm>
                    <a:prstGeom prst="rect">
                      <a:avLst/>
                    </a:prstGeom>
                    <a:noFill/>
                  </pic:spPr>
                </pic:pic>
              </a:graphicData>
            </a:graphic>
          </wp:anchor>
        </w:drawing>
      </w:r>
    </w:p>
    <w:p>
      <w:pPr>
        <w:ind w:left="4940"/>
        <w:spacing w:after="0" w:line="238" w:lineRule="auto"/>
        <w:rPr>
          <w:sz w:val="20"/>
          <w:szCs w:val="20"/>
          <w:color w:val="auto"/>
        </w:rPr>
      </w:pPr>
      <w:r>
        <w:rPr>
          <w:rFonts w:ascii="Arial" w:cs="Arial" w:eastAsia="Arial" w:hAnsi="Arial"/>
          <w:sz w:val="22"/>
          <w:szCs w:val="22"/>
          <w:color w:val="auto"/>
        </w:rPr>
        <w:t>Name: Arthur H. Penn</w:t>
      </w:r>
    </w:p>
    <w:p>
      <w:pPr>
        <w:ind w:left="4940"/>
        <w:spacing w:after="0"/>
        <w:rPr>
          <w:sz w:val="20"/>
          <w:szCs w:val="20"/>
          <w:color w:val="auto"/>
        </w:rPr>
      </w:pPr>
      <w:r>
        <w:rPr>
          <w:rFonts w:ascii="Arial" w:cs="Arial" w:eastAsia="Arial" w:hAnsi="Arial"/>
          <w:sz w:val="22"/>
          <w:szCs w:val="22"/>
          <w:color w:val="auto"/>
        </w:rPr>
        <w:t>Title: Chief Executive Officer</w:t>
      </w:r>
    </w:p>
    <w:p>
      <w:pPr>
        <w:spacing w:after="0" w:line="371" w:lineRule="exact"/>
        <w:rPr>
          <w:sz w:val="20"/>
          <w:szCs w:val="20"/>
          <w:color w:val="auto"/>
        </w:rPr>
      </w:pPr>
    </w:p>
    <w:p>
      <w:pPr>
        <w:ind w:left="4500"/>
        <w:spacing w:after="0"/>
        <w:rPr>
          <w:sz w:val="20"/>
          <w:szCs w:val="20"/>
          <w:color w:val="auto"/>
        </w:rPr>
      </w:pPr>
      <w:r>
        <w:rPr>
          <w:rFonts w:ascii="Arial" w:cs="Arial" w:eastAsia="Arial" w:hAnsi="Arial"/>
          <w:sz w:val="22"/>
          <w:szCs w:val="22"/>
          <w:b w:val="1"/>
          <w:bCs w:val="1"/>
          <w:color w:val="auto"/>
        </w:rPr>
        <w:t>PENNANTPARK INVESTMENT ADMINISTRATION, LLC</w:t>
      </w:r>
    </w:p>
    <w:p>
      <w:pPr>
        <w:spacing w:after="0" w:line="199"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By: /s/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3132455</wp:posOffset>
            </wp:positionH>
            <wp:positionV relativeFrom="paragraph">
              <wp:posOffset>-17780</wp:posOffset>
            </wp:positionV>
            <wp:extent cx="3840480" cy="825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72">
                      <a:extLst>
                        <a:ext uri="{28A0092B-C50C-407E-A947-70E740481C1C}"/>
                      </a:extLst>
                    </a:blip>
                    <a:srcRect/>
                    <a:stretch>
                      <a:fillRect/>
                    </a:stretch>
                  </pic:blipFill>
                  <pic:spPr bwMode="auto">
                    <a:xfrm>
                      <a:off x="0" y="0"/>
                      <a:ext cx="3840480" cy="8255"/>
                    </a:xfrm>
                    <a:prstGeom prst="rect">
                      <a:avLst/>
                    </a:prstGeom>
                    <a:noFill/>
                  </pic:spPr>
                </pic:pic>
              </a:graphicData>
            </a:graphic>
          </wp:anchor>
        </w:drawing>
      </w:r>
    </w:p>
    <w:p>
      <w:pPr>
        <w:ind w:left="4940"/>
        <w:spacing w:after="0" w:line="238" w:lineRule="auto"/>
        <w:rPr>
          <w:sz w:val="20"/>
          <w:szCs w:val="20"/>
          <w:color w:val="auto"/>
        </w:rPr>
      </w:pPr>
      <w:r>
        <w:rPr>
          <w:rFonts w:ascii="Arial" w:cs="Arial" w:eastAsia="Arial" w:hAnsi="Arial"/>
          <w:sz w:val="22"/>
          <w:szCs w:val="22"/>
          <w:color w:val="auto"/>
        </w:rPr>
        <w:t>Name: Arthur H. Penn</w:t>
      </w:r>
    </w:p>
    <w:p>
      <w:pPr>
        <w:ind w:left="4940"/>
        <w:spacing w:after="0"/>
        <w:rPr>
          <w:sz w:val="20"/>
          <w:szCs w:val="20"/>
          <w:color w:val="auto"/>
        </w:rPr>
      </w:pPr>
      <w:r>
        <w:rPr>
          <w:rFonts w:ascii="Arial" w:cs="Arial" w:eastAsia="Arial" w:hAnsi="Arial"/>
          <w:sz w:val="22"/>
          <w:szCs w:val="22"/>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437515</wp:posOffset>
            </wp:positionV>
            <wp:extent cx="7157720" cy="4254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5" w:name="page66"/>
    <w:bookmarkEnd w:id="65"/>
    <w:p>
      <w:pPr>
        <w:jc w:val="right"/>
        <w:spacing w:after="0"/>
        <w:rPr>
          <w:sz w:val="20"/>
          <w:szCs w:val="20"/>
          <w:color w:val="auto"/>
        </w:rPr>
      </w:pPr>
      <w:r>
        <w:rPr>
          <w:rFonts w:ascii="Arial" w:cs="Arial" w:eastAsia="Arial" w:hAnsi="Arial"/>
          <w:sz w:val="22"/>
          <w:szCs w:val="22"/>
          <w:b w:val="1"/>
          <w:bCs w:val="1"/>
          <w:color w:val="auto"/>
        </w:rPr>
        <w:t>Execution Version</w:t>
      </w:r>
    </w:p>
    <w:p>
      <w:pPr>
        <w:spacing w:after="0" w:line="193" w:lineRule="exact"/>
        <w:rPr>
          <w:sz w:val="20"/>
          <w:szCs w:val="20"/>
          <w:color w:val="auto"/>
        </w:rPr>
      </w:pPr>
    </w:p>
    <w:p>
      <w:pPr>
        <w:jc w:val="right"/>
        <w:spacing w:after="0"/>
        <w:rPr>
          <w:sz w:val="20"/>
          <w:szCs w:val="20"/>
          <w:color w:val="auto"/>
        </w:rPr>
      </w:pPr>
      <w:r>
        <w:rPr>
          <w:rFonts w:ascii="Arial" w:cs="Arial" w:eastAsia="Arial" w:hAnsi="Arial"/>
          <w:sz w:val="22"/>
          <w:szCs w:val="22"/>
          <w:b w:val="1"/>
          <w:bCs w:val="1"/>
          <w:u w:val="single" w:color="auto"/>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132320" cy="889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816610</wp:posOffset>
            </wp:positionV>
            <wp:extent cx="7132320" cy="825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PENNANTPARK FLOATING RATE CAPITAL LTD.</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 Maryland corporation)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Common Stock, Par Value $0.001 Per Share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EQUITY DISTRIBUTION AGREEMENT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Dated: August 20,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1353185</wp:posOffset>
            </wp:positionV>
            <wp:extent cx="7132320" cy="825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4"/>
          <w:szCs w:val="14"/>
          <w:color w:val="auto"/>
        </w:rPr>
        <w:t>28117901.1.BUSINESS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157720" cy="4254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6" w:name="page67"/>
    <w:bookmarkEnd w:id="66"/>
    <w:p>
      <w:pPr>
        <w:jc w:val="right"/>
        <w:spacing w:after="0"/>
        <w:rPr>
          <w:sz w:val="20"/>
          <w:szCs w:val="20"/>
          <w:color w:val="auto"/>
        </w:rPr>
      </w:pPr>
      <w:r>
        <w:rPr>
          <w:rFonts w:ascii="Arial" w:cs="Arial" w:eastAsia="Arial" w:hAnsi="Arial"/>
          <w:sz w:val="22"/>
          <w:szCs w:val="22"/>
          <w:b w:val="1"/>
          <w:bCs w:val="1"/>
          <w:color w:val="auto"/>
        </w:rPr>
        <w:t>Execution Version</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PENNANTPARK FLOATING RATE CAPITAL LTD.</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 Maryland corporation)</w:t>
      </w:r>
    </w:p>
    <w:p>
      <w:pPr>
        <w:spacing w:after="0" w:line="233" w:lineRule="exact"/>
        <w:rPr>
          <w:sz w:val="20"/>
          <w:szCs w:val="20"/>
          <w:color w:val="auto"/>
        </w:rPr>
      </w:pPr>
    </w:p>
    <w:p>
      <w:pPr>
        <w:ind w:left="3720"/>
        <w:spacing w:after="0"/>
        <w:rPr>
          <w:sz w:val="20"/>
          <w:szCs w:val="20"/>
          <w:color w:val="auto"/>
        </w:rPr>
      </w:pPr>
      <w:r>
        <w:rPr>
          <w:rFonts w:ascii="Arial" w:cs="Arial" w:eastAsia="Arial" w:hAnsi="Arial"/>
          <w:sz w:val="22"/>
          <w:szCs w:val="22"/>
          <w:color w:val="auto"/>
        </w:rPr>
        <w:t>Common Stock, Par Value $0.001 Per Share</w:t>
      </w:r>
    </w:p>
    <w:p>
      <w:pPr>
        <w:spacing w:after="0" w:line="8" w:lineRule="exact"/>
        <w:rPr>
          <w:sz w:val="20"/>
          <w:szCs w:val="20"/>
          <w:color w:val="auto"/>
        </w:rPr>
      </w:pPr>
    </w:p>
    <w:p>
      <w:pPr>
        <w:ind w:left="3740"/>
        <w:spacing w:after="0"/>
        <w:rPr>
          <w:sz w:val="20"/>
          <w:szCs w:val="20"/>
          <w:color w:val="auto"/>
        </w:rPr>
      </w:pPr>
      <w:r>
        <w:rPr>
          <w:rFonts w:ascii="Arial" w:cs="Arial" w:eastAsia="Arial" w:hAnsi="Arial"/>
          <w:sz w:val="22"/>
          <w:szCs w:val="22"/>
          <w:color w:val="auto"/>
        </w:rPr>
        <w:t>EQUITY DISTRIBUTION AGREEMENT</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JMP Securities LLC</w:t>
      </w:r>
    </w:p>
    <w:p>
      <w:pPr>
        <w:spacing w:after="0" w:line="238" w:lineRule="auto"/>
        <w:rPr>
          <w:sz w:val="20"/>
          <w:szCs w:val="20"/>
          <w:color w:val="auto"/>
        </w:rPr>
      </w:pPr>
      <w:r>
        <w:rPr>
          <w:rFonts w:ascii="Arial" w:cs="Arial" w:eastAsia="Arial" w:hAnsi="Arial"/>
          <w:sz w:val="22"/>
          <w:szCs w:val="22"/>
          <w:color w:val="auto"/>
        </w:rPr>
        <w:t>600 Montgomery Street, Suite 1100</w:t>
      </w:r>
    </w:p>
    <w:p>
      <w:pPr>
        <w:spacing w:after="0"/>
        <w:rPr>
          <w:sz w:val="20"/>
          <w:szCs w:val="20"/>
          <w:color w:val="auto"/>
        </w:rPr>
      </w:pPr>
      <w:r>
        <w:rPr>
          <w:rFonts w:ascii="Arial" w:cs="Arial" w:eastAsia="Arial" w:hAnsi="Arial"/>
          <w:sz w:val="22"/>
          <w:szCs w:val="22"/>
          <w:color w:val="auto"/>
        </w:rPr>
        <w:t>San Francisco, California 94111</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06"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PennantPark Floating Rate Capital Ltd., a Maryland corporation (the “Company”), PennantPark Investment Advisers, LLC, a Delaware limited liability company (the “Adviser”) and PennantPark Investment Administration, LLC, a Delaware limited liability company (the “Administrator”), each confirms its agreement with JMP Securities LLC (the “Sales Agent”) with respect to the sale by the Company of shares of common stock, par value $0.001 per share, of the Company (“Common Stock”), having an aggregate offering price of up to $75 million. The shares of Common Stock to be sold by the Sales Agent are herein called, collectively, the “Securities.” The Company, the Adviser and the Administrator have also entered into a sales agreement in substantially similar form to this Agreement (the “Sales Agreement”), dated of even date herewith, with Raymond James &amp; Associates, Inc. (the “Other Agent”). The aggregate amount of Securities that may be sold collectively pursuant to this Agreement and the Sales Agreement shall not exceed the lesser of $75 million and the dollar amount of Securities permitted to be sold under the Registration Statement (as defined below).</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The Company has filed with the Securities and Exchange Commission (the “Commission”) a shelf registration statement on Form N-2 (File No. 333-235532), relating to the registration of the Securities and certain of the Company’s other securities under the Securities Act of 1933, as amended (the “1933 Act”), which registration statement was most declared effective by the Commission on January 29, 2020. The Company has also filed with the Commission a prospectus supplement, dated the date hereof, as such prospectus supplement may be amended (the “Prospectus”), which contains a base prospectus, dated January 29, 2020, in accordance with the provisions of Rule 430B (“Rule 430B”) of the rules and regulations of the Commission promulgated under the 1933 Act (such provisions, the “1933 Act Regulations”) and Rule 424(b) (“Rule 424(b)”) of the 1933 Act Regulations. The information, if any, included or incorporated by reference in such prospectus that was omitted from such registration statement at the time it became effective but that is deemed to be a part of such registration statement pursuant to Rule 430B is referred to as “Rule 430B Information.” Unless the context otherwise requires, such registration statement, including all documents filed as part thereof and any Rule 430B Information contained in a prospectus subsequently filed with the Commission pursuant to Rule 424(b) under the 1933 Act and deemed to be part of the registration statement and also including any registration statement filed pursuant to Rule 462(b) of the 1933 Act Regulations, is herein called the “Registration Statement.” All references in this Agreement to amendments or supplements to the Registration Statement or the Prospectus, including those made pursuant to Rule 424(b) under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4"/>
          <w:szCs w:val="14"/>
          <w:color w:val="auto"/>
        </w:rPr>
        <w:t>28117901.1.BUSINESS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157720" cy="4254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7" w:name="page68"/>
    <w:bookmarkEnd w:id="67"/>
    <w:p>
      <w:pPr>
        <w:jc w:val="both"/>
        <w:spacing w:after="0" w:line="234" w:lineRule="auto"/>
        <w:rPr>
          <w:sz w:val="20"/>
          <w:szCs w:val="20"/>
          <w:color w:val="auto"/>
        </w:rPr>
      </w:pPr>
      <w:r>
        <w:rPr>
          <w:rFonts w:ascii="Arial" w:cs="Arial" w:eastAsia="Arial" w:hAnsi="Arial"/>
          <w:sz w:val="22"/>
          <w:szCs w:val="22"/>
          <w:color w:val="auto"/>
        </w:rPr>
        <w:t>1933 Act or such other rule under the 1933 Act as may be applicable to the Company, shall be deemed to mean and include, without limitation the filing of any document under the Securities Exchange Act of 1934, as amended (the “1934 Act”), which is or is deemed to be incorporated by reference in or otherwise to be a part of or included in the Registration Statement or the Prospectus, as the case may be, as of any specified date. For purposes of this Agreement, all references to the Registration Statement, the Prospectus or any amendment or supplement to any of the foregoing shall be deemed to include the copy filed with the Commission pursuant to its Electronic Data Gathering, Analysis and Retrieval system or any successor system (“EDGAR”).</w:t>
      </w:r>
    </w:p>
    <w:p>
      <w:pPr>
        <w:spacing w:after="0" w:line="191" w:lineRule="exact"/>
        <w:rPr>
          <w:sz w:val="20"/>
          <w:szCs w:val="20"/>
          <w:color w:val="auto"/>
        </w:rPr>
      </w:pPr>
    </w:p>
    <w:p>
      <w:pPr>
        <w:jc w:val="both"/>
        <w:ind w:right="20"/>
        <w:spacing w:after="0" w:line="252" w:lineRule="auto"/>
        <w:rPr>
          <w:sz w:val="20"/>
          <w:szCs w:val="20"/>
          <w:color w:val="auto"/>
        </w:rPr>
      </w:pPr>
      <w:r>
        <w:rPr>
          <w:rFonts w:ascii="Arial" w:cs="Arial" w:eastAsia="Arial" w:hAnsi="Arial"/>
          <w:sz w:val="21"/>
          <w:szCs w:val="21"/>
          <w:color w:val="auto"/>
        </w:rPr>
        <w:t>A Form N-54A Notification of Election to be Subject to Sections 55 through 65 of the Investment Company Act of 1940 Filed Pursuant to Section 54(a) of the Investment Company Act (File No. 814-00743) was filed with the Commission on April 7, 2011 under the Investment Company Act of 1940, as amended (the “1940 Act”), and the rules and regulations and any applicable guidance and/or interpretation of the Commission or its staff thereunder (the “1940 Act Regulations”).</w:t>
      </w:r>
    </w:p>
    <w:p>
      <w:pPr>
        <w:spacing w:after="0" w:line="174"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The Company has entered into that certain Second Amended and Restated Investment Advisory Agreement, dated as of February 2, 2016 (the “Investment Management Agreement”), with the Adviser. The Company has entered into that certain Administration Agreement, dated as of April 7, 2011 (the “Administration Agreement”), with the Administrator.</w:t>
      </w:r>
    </w:p>
    <w:p>
      <w:pPr>
        <w:spacing w:after="0" w:line="169"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As used in this Agreement, “Applicable Time” means the time of each sale of the applicable Securities pursuant to this Agreement.</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SECTION 1.</w:t>
      </w:r>
      <w:r>
        <w:rPr>
          <w:rFonts w:ascii="Arial" w:cs="Arial" w:eastAsia="Arial" w:hAnsi="Arial"/>
          <w:sz w:val="22"/>
          <w:szCs w:val="22"/>
          <w:u w:val="single" w:color="auto"/>
          <w:color w:val="auto"/>
        </w:rPr>
        <w:t>Representations and Warranties</w:t>
      </w:r>
      <w:r>
        <w:rPr>
          <w:rFonts w:ascii="Arial" w:cs="Arial" w:eastAsia="Arial" w:hAnsi="Arial"/>
          <w:sz w:val="22"/>
          <w:szCs w:val="22"/>
          <w:color w:val="auto"/>
        </w:rPr>
        <w:t>.</w:t>
      </w:r>
    </w:p>
    <w:p>
      <w:pPr>
        <w:spacing w:after="0" w:line="206" w:lineRule="exact"/>
        <w:rPr>
          <w:sz w:val="20"/>
          <w:szCs w:val="20"/>
          <w:color w:val="auto"/>
        </w:rPr>
      </w:pPr>
    </w:p>
    <w:p>
      <w:pPr>
        <w:jc w:val="both"/>
        <w:ind w:firstLine="1497"/>
        <w:spacing w:after="0" w:line="236" w:lineRule="auto"/>
        <w:rPr>
          <w:sz w:val="20"/>
          <w:szCs w:val="20"/>
          <w:color w:val="auto"/>
        </w:rPr>
      </w:pPr>
      <w:r>
        <w:rPr>
          <w:rFonts w:ascii="Arial" w:cs="Arial" w:eastAsia="Arial" w:hAnsi="Arial"/>
          <w:sz w:val="22"/>
          <w:szCs w:val="22"/>
          <w:color w:val="auto"/>
        </w:rPr>
        <w:t xml:space="preserve">(a) </w:t>
      </w:r>
      <w:r>
        <w:rPr>
          <w:rFonts w:ascii="Arial" w:cs="Arial" w:eastAsia="Arial" w:hAnsi="Arial"/>
          <w:sz w:val="22"/>
          <w:szCs w:val="22"/>
          <w:i w:val="1"/>
          <w:iCs w:val="1"/>
          <w:color w:val="auto"/>
        </w:rPr>
        <w:t>Representations and Warranties by the Company</w:t>
      </w:r>
      <w:r>
        <w:rPr>
          <w:rFonts w:ascii="Arial" w:cs="Arial" w:eastAsia="Arial" w:hAnsi="Arial"/>
          <w:sz w:val="22"/>
          <w:szCs w:val="22"/>
          <w:color w:val="auto"/>
        </w:rPr>
        <w:t>. The Company represents and warrants to the Sales Agent as of the date hereof, the Applicable Time, each Representation Date (as defined below) and any Date of Delivery (as defined below) and agrees with the Sales Agent, and the Adviser and the Administrator, jointly and severally, represent and warrant to and agree with the Sales Agent as of the date hereof, the Applicable Time, each Representation Date (as defined below) and any Date of Delivery Time (as defined below), as follows:</w:t>
      </w:r>
    </w:p>
    <w:p>
      <w:pPr>
        <w:spacing w:after="0" w:line="187" w:lineRule="exact"/>
        <w:rPr>
          <w:sz w:val="20"/>
          <w:szCs w:val="20"/>
          <w:color w:val="auto"/>
        </w:rPr>
      </w:pPr>
    </w:p>
    <w:p>
      <w:pPr>
        <w:jc w:val="both"/>
        <w:ind w:left="760" w:firstLine="1497"/>
        <w:spacing w:after="0" w:line="234" w:lineRule="auto"/>
        <w:rPr>
          <w:sz w:val="20"/>
          <w:szCs w:val="20"/>
          <w:color w:val="auto"/>
        </w:rPr>
      </w:pPr>
      <w:r>
        <w:rPr>
          <w:rFonts w:ascii="Arial" w:cs="Arial" w:eastAsia="Arial" w:hAnsi="Arial"/>
          <w:sz w:val="22"/>
          <w:szCs w:val="22"/>
          <w:color w:val="auto"/>
        </w:rPr>
        <w:t xml:space="preserve">(i) </w:t>
      </w:r>
      <w:r>
        <w:rPr>
          <w:rFonts w:ascii="Arial" w:cs="Arial" w:eastAsia="Arial" w:hAnsi="Arial"/>
          <w:sz w:val="22"/>
          <w:szCs w:val="22"/>
          <w:u w:val="single" w:color="auto"/>
          <w:color w:val="auto"/>
        </w:rPr>
        <w:t>Registration Statement and Prospectuses</w:t>
      </w:r>
      <w:r>
        <w:rPr>
          <w:rFonts w:ascii="Arial" w:cs="Arial" w:eastAsia="Arial" w:hAnsi="Arial"/>
          <w:sz w:val="22"/>
          <w:szCs w:val="22"/>
          <w:color w:val="auto"/>
        </w:rPr>
        <w:t>. The Company is eligible to use Form N-2. Each of the Registration Statement and any amendment thereto have been declared effective by the Commission under the 1933 Act or have become effective pursuant to Rule 462 under the 1933 Act. No stop order suspending the effectiveness of the Registration Statement or any post-effective amendment thereto has been issued under the 1933 Act, no order preventing or suspending the use of the Prospectus has been issued and no proceedings for any of those purposes have been instituted or are pending or, to the Company’s knowledge, contemplated. The Company has complied with each request (if any) from the Commission for additional information in connection with the Registration Statement.</w:t>
      </w:r>
    </w:p>
    <w:p>
      <w:pPr>
        <w:spacing w:after="0" w:line="187" w:lineRule="exact"/>
        <w:rPr>
          <w:sz w:val="20"/>
          <w:szCs w:val="20"/>
          <w:color w:val="auto"/>
        </w:rPr>
      </w:pPr>
    </w:p>
    <w:p>
      <w:pPr>
        <w:jc w:val="both"/>
        <w:ind w:left="760"/>
        <w:spacing w:after="0" w:line="297" w:lineRule="auto"/>
        <w:rPr>
          <w:sz w:val="20"/>
          <w:szCs w:val="20"/>
          <w:color w:val="auto"/>
        </w:rPr>
      </w:pPr>
      <w:r>
        <w:rPr>
          <w:rFonts w:ascii="Arial" w:cs="Arial" w:eastAsia="Arial" w:hAnsi="Arial"/>
          <w:sz w:val="19"/>
          <w:szCs w:val="19"/>
          <w:color w:val="auto"/>
        </w:rPr>
        <w:t>Each of the Registration Statement and any post-effective amendment thereto, at the time it became effective, complied in all material respects with the requirements of the 1933 Act, the 1933 Act Regulations, the 1940 Act and the 1940 Act Regulations. The Prospectus and any amendment or supplement thereto, at the time each was filed with the Commission,</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76" w:lineRule="exact"/>
        <w:rPr>
          <w:sz w:val="20"/>
          <w:szCs w:val="20"/>
          <w:color w:val="auto"/>
        </w:rPr>
      </w:pPr>
    </w:p>
    <w:p>
      <w:pPr>
        <w:spacing w:after="0"/>
        <w:rPr>
          <w:sz w:val="20"/>
          <w:szCs w:val="20"/>
          <w:color w:val="auto"/>
        </w:rPr>
      </w:pPr>
      <w:r>
        <w:rPr>
          <w:rFonts w:ascii="Arial" w:cs="Arial" w:eastAsia="Arial" w:hAnsi="Arial"/>
          <w:sz w:val="14"/>
          <w:szCs w:val="14"/>
          <w:color w:val="auto"/>
        </w:rPr>
        <w:t>28117901.1.BUSINESS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157720" cy="4254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68" w:name="page69"/>
    <w:bookmarkEnd w:id="68"/>
    <w:p>
      <w:pPr>
        <w:jc w:val="both"/>
        <w:ind w:left="760"/>
        <w:spacing w:after="0" w:line="238" w:lineRule="auto"/>
        <w:rPr>
          <w:sz w:val="20"/>
          <w:szCs w:val="20"/>
          <w:color w:val="auto"/>
        </w:rPr>
      </w:pPr>
      <w:r>
        <w:rPr>
          <w:rFonts w:ascii="Arial" w:cs="Arial" w:eastAsia="Arial" w:hAnsi="Arial"/>
          <w:sz w:val="22"/>
          <w:szCs w:val="22"/>
          <w:color w:val="auto"/>
        </w:rPr>
        <w:t>complied in all material respects with the requirements of the 1933 Act, the 1933 Act Regulations, the 1940 Act and the 1940 Act Regulations. The Prospectus delivered to the Sales Agent for use in connection with this offering was or will be identical to the electronically transmitted copies thereof filed with the Commission pursuant to EDGAR, except to the extent permitted by Regulation S-T.</w:t>
      </w:r>
    </w:p>
    <w:p>
      <w:pPr>
        <w:spacing w:after="0" w:line="185" w:lineRule="exact"/>
        <w:rPr>
          <w:sz w:val="20"/>
          <w:szCs w:val="20"/>
          <w:color w:val="auto"/>
        </w:rPr>
      </w:pPr>
    </w:p>
    <w:p>
      <w:pPr>
        <w:jc w:val="both"/>
        <w:ind w:left="760" w:firstLine="1494"/>
        <w:spacing w:after="0" w:line="268" w:lineRule="auto"/>
        <w:tabs>
          <w:tab w:leader="none" w:pos="3755" w:val="left"/>
        </w:tabs>
        <w:numPr>
          <w:ilvl w:val="1"/>
          <w:numId w:val="39"/>
        </w:numPr>
        <w:rPr>
          <w:rFonts w:ascii="Arial" w:cs="Arial" w:eastAsia="Arial" w:hAnsi="Arial"/>
          <w:sz w:val="19"/>
          <w:szCs w:val="19"/>
          <w:color w:val="auto"/>
        </w:rPr>
      </w:pPr>
      <w:r>
        <w:rPr>
          <w:rFonts w:ascii="Arial" w:cs="Arial" w:eastAsia="Arial" w:hAnsi="Arial"/>
          <w:sz w:val="19"/>
          <w:szCs w:val="19"/>
          <w:u w:val="single" w:color="auto"/>
          <w:color w:val="auto"/>
        </w:rPr>
        <w:t>Issuer Free Writing Prospectus</w:t>
      </w:r>
      <w:r>
        <w:rPr>
          <w:rFonts w:ascii="Arial" w:cs="Arial" w:eastAsia="Arial" w:hAnsi="Arial"/>
          <w:sz w:val="19"/>
          <w:szCs w:val="19"/>
          <w:color w:val="auto"/>
        </w:rPr>
        <w:t>. The Company (including its agents and representatives, other than the Sales Agent in its capacity as such) has not made, used, prepared, authorized, approved or referred to and will not prepare, make, use, authorize, approve or refer to any “written communication” (as defined in Rule 405 under the 1933 Act) that constitutes an offer to sell or solicitation of an offer to buy the Securities (each such communication by the Company or its agents and representatives (other than a communication referred to in clauses (i), (ii), (iii) and (iv) below) an “Issuer Free Writing Prospectus”) other than (i) any document not constituting a prospectus pursuant to Section 2(a)(10)(a) of the 1933 Act or Rule 134 under the 1933 Act, (ii) the Registration Statement, (iii) the Prospectus, and (iv) any electronic road show or other written communications, in each case approved in writing in advance by the Sales Agent, such approval not to be unreasonably withheld. Each such Issuer Free Writing Prospectus, if any, complies in all material respects with the 1933 Act, has been or will be (within the time period specified in Rule</w:t>
      </w:r>
    </w:p>
    <w:p>
      <w:pPr>
        <w:spacing w:after="0" w:line="8" w:lineRule="exact"/>
        <w:rPr>
          <w:rFonts w:ascii="Arial" w:cs="Arial" w:eastAsia="Arial" w:hAnsi="Arial"/>
          <w:sz w:val="19"/>
          <w:szCs w:val="19"/>
          <w:color w:val="auto"/>
        </w:rPr>
      </w:pPr>
    </w:p>
    <w:p>
      <w:pPr>
        <w:jc w:val="both"/>
        <w:ind w:left="760" w:firstLine="51"/>
        <w:spacing w:after="0" w:line="234" w:lineRule="auto"/>
        <w:tabs>
          <w:tab w:leader="none" w:pos="1269" w:val="left"/>
        </w:tabs>
        <w:numPr>
          <w:ilvl w:val="0"/>
          <w:numId w:val="40"/>
        </w:numPr>
        <w:rPr>
          <w:rFonts w:ascii="Arial" w:cs="Arial" w:eastAsia="Arial" w:hAnsi="Arial"/>
          <w:sz w:val="22"/>
          <w:szCs w:val="22"/>
          <w:color w:val="auto"/>
        </w:rPr>
      </w:pPr>
      <w:r>
        <w:rPr>
          <w:rFonts w:ascii="Arial" w:cs="Arial" w:eastAsia="Arial" w:hAnsi="Arial"/>
          <w:sz w:val="22"/>
          <w:szCs w:val="22"/>
          <w:color w:val="auto"/>
        </w:rPr>
        <w:t>filed in accordance with the 1933 Act (to the extent required thereby). No Issuer Free Writing Prospectus conflicts or will conflict with the information contained in the Registration Statement or the Prospectus that has not been superseded or modified.</w:t>
      </w:r>
    </w:p>
    <w:p>
      <w:pPr>
        <w:spacing w:after="0" w:line="187" w:lineRule="exact"/>
        <w:rPr>
          <w:rFonts w:ascii="Arial" w:cs="Arial" w:eastAsia="Arial" w:hAnsi="Arial"/>
          <w:sz w:val="22"/>
          <w:szCs w:val="22"/>
          <w:color w:val="auto"/>
        </w:rPr>
      </w:pPr>
    </w:p>
    <w:p>
      <w:pPr>
        <w:jc w:val="both"/>
        <w:ind w:left="760" w:firstLine="1494"/>
        <w:spacing w:after="0" w:line="297" w:lineRule="auto"/>
        <w:tabs>
          <w:tab w:leader="none" w:pos="3755" w:val="left"/>
        </w:tabs>
        <w:numPr>
          <w:ilvl w:val="1"/>
          <w:numId w:val="40"/>
        </w:numPr>
        <w:rPr>
          <w:rFonts w:ascii="Arial" w:cs="Arial" w:eastAsia="Arial" w:hAnsi="Arial"/>
          <w:sz w:val="19"/>
          <w:szCs w:val="19"/>
          <w:color w:val="auto"/>
        </w:rPr>
      </w:pPr>
      <w:r>
        <w:rPr>
          <w:rFonts w:ascii="Arial" w:cs="Arial" w:eastAsia="Arial" w:hAnsi="Arial"/>
          <w:sz w:val="19"/>
          <w:szCs w:val="19"/>
          <w:u w:val="single" w:color="auto"/>
          <w:color w:val="auto"/>
        </w:rPr>
        <w:t>Documents Incorporated by Reference</w:t>
      </w:r>
      <w:r>
        <w:rPr>
          <w:rFonts w:ascii="Arial" w:cs="Arial" w:eastAsia="Arial" w:hAnsi="Arial"/>
          <w:sz w:val="19"/>
          <w:szCs w:val="19"/>
          <w:color w:val="auto"/>
        </w:rPr>
        <w:t>. The documents incorporated by reference in each of the Registration Statement, the Prospectus, when they were filed or when they will be filed with the Commission, as the case may be, conformed or will conform in all material respects to the requirements of the 1934 Act.</w:t>
      </w:r>
    </w:p>
    <w:p>
      <w:pPr>
        <w:spacing w:after="0" w:line="133" w:lineRule="exact"/>
        <w:rPr>
          <w:rFonts w:ascii="Arial" w:cs="Arial" w:eastAsia="Arial" w:hAnsi="Arial"/>
          <w:sz w:val="19"/>
          <w:szCs w:val="19"/>
          <w:color w:val="auto"/>
        </w:rPr>
      </w:pPr>
    </w:p>
    <w:p>
      <w:pPr>
        <w:jc w:val="both"/>
        <w:ind w:left="760" w:firstLine="1494"/>
        <w:spacing w:after="0" w:line="234" w:lineRule="auto"/>
        <w:tabs>
          <w:tab w:leader="none" w:pos="3755" w:val="left"/>
        </w:tabs>
        <w:numPr>
          <w:ilvl w:val="1"/>
          <w:numId w:val="40"/>
        </w:numPr>
        <w:rPr>
          <w:rFonts w:ascii="Arial" w:cs="Arial" w:eastAsia="Arial" w:hAnsi="Arial"/>
          <w:sz w:val="22"/>
          <w:szCs w:val="22"/>
          <w:color w:val="auto"/>
        </w:rPr>
      </w:pPr>
      <w:r>
        <w:rPr>
          <w:rFonts w:ascii="Arial" w:cs="Arial" w:eastAsia="Arial" w:hAnsi="Arial"/>
          <w:sz w:val="22"/>
          <w:szCs w:val="22"/>
          <w:u w:val="single" w:color="auto"/>
          <w:color w:val="auto"/>
        </w:rPr>
        <w:t>Accurate Disclosure</w:t>
      </w:r>
      <w:r>
        <w:rPr>
          <w:rFonts w:ascii="Arial" w:cs="Arial" w:eastAsia="Arial" w:hAnsi="Arial"/>
          <w:sz w:val="22"/>
          <w:szCs w:val="22"/>
          <w:color w:val="auto"/>
        </w:rPr>
        <w:t>. Neither the Registration Statement nor any amendment thereto, at its effective time, at the Applicable Time or at any Date of Delivery, contained, contains or will contain an untrue statement of a material fact or omitted, omits or will omit to state a material fact required to be stated therein or necessary to make the statements therein, not misleading. Neither the Prospectus nor any amendment or supplement thereto, as of their respective date(s), at the time of any filing with the Commission pursuant to Rule 424(b) or at any Date of Delivery, included, includes or will include an untrue statement of a material fact or omitted, omits or will omit to state a material fact necessary in order to make the statements therein, in the light of the circumstances under which they were made, not misleading.</w:t>
      </w:r>
    </w:p>
    <w:p>
      <w:pPr>
        <w:spacing w:after="0" w:line="187" w:lineRule="exact"/>
        <w:rPr>
          <w:sz w:val="20"/>
          <w:szCs w:val="20"/>
          <w:color w:val="auto"/>
        </w:rPr>
      </w:pPr>
    </w:p>
    <w:p>
      <w:pPr>
        <w:jc w:val="both"/>
        <w:ind w:left="760"/>
        <w:spacing w:after="0" w:line="249" w:lineRule="auto"/>
        <w:rPr>
          <w:sz w:val="20"/>
          <w:szCs w:val="20"/>
          <w:color w:val="auto"/>
        </w:rPr>
      </w:pPr>
      <w:r>
        <w:rPr>
          <w:rFonts w:ascii="Arial" w:cs="Arial" w:eastAsia="Arial" w:hAnsi="Arial"/>
          <w:sz w:val="21"/>
          <w:szCs w:val="21"/>
          <w:color w:val="auto"/>
        </w:rPr>
        <w:t>The representations and warranties in this subsection shall not apply to statements in or omissions from the Registration Statement (or any amendment thereto) or the Prospectus (or any amendment or supplement thereto) made in reliance upon and in conformity with written information furnished to the Company by the Sales Agent expressly for use therein (collectively, the “Sales Agent Information”). For purposes of this Agreement, the only Sales Agent Information shall be the final paragraph of the “Plan of Distribution” in the Prospectus.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76" w:lineRule="exact"/>
        <w:rPr>
          <w:sz w:val="20"/>
          <w:szCs w:val="20"/>
          <w:color w:val="auto"/>
        </w:rPr>
      </w:pPr>
    </w:p>
    <w:p>
      <w:pPr>
        <w:spacing w:after="0"/>
        <w:rPr>
          <w:sz w:val="20"/>
          <w:szCs w:val="20"/>
          <w:color w:val="auto"/>
        </w:rPr>
      </w:pPr>
      <w:r>
        <w:rPr>
          <w:rFonts w:ascii="Arial" w:cs="Arial" w:eastAsia="Arial" w:hAnsi="Arial"/>
          <w:sz w:val="14"/>
          <w:szCs w:val="14"/>
          <w:color w:val="auto"/>
        </w:rPr>
        <w:t>28117901.1.BUSINESS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157720" cy="4254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69" w:name="page70"/>
    <w:bookmarkEnd w:id="69"/>
    <w:p>
      <w:pPr>
        <w:jc w:val="both"/>
        <w:ind w:left="760" w:firstLine="1494"/>
        <w:spacing w:after="0" w:line="235" w:lineRule="auto"/>
        <w:tabs>
          <w:tab w:leader="none" w:pos="3755" w:val="left"/>
        </w:tabs>
        <w:numPr>
          <w:ilvl w:val="0"/>
          <w:numId w:val="41"/>
        </w:numPr>
        <w:rPr>
          <w:rFonts w:ascii="Arial" w:cs="Arial" w:eastAsia="Arial" w:hAnsi="Arial"/>
          <w:sz w:val="22"/>
          <w:szCs w:val="22"/>
          <w:color w:val="auto"/>
        </w:rPr>
      </w:pPr>
      <w:r>
        <w:rPr>
          <w:rFonts w:ascii="Arial" w:cs="Arial" w:eastAsia="Arial" w:hAnsi="Arial"/>
          <w:sz w:val="22"/>
          <w:szCs w:val="22"/>
          <w:u w:val="single" w:color="auto"/>
          <w:color w:val="auto"/>
        </w:rPr>
        <w:t>Company Not Ineligible Issuer</w:t>
      </w:r>
      <w:r>
        <w:rPr>
          <w:rFonts w:ascii="Arial" w:cs="Arial" w:eastAsia="Arial" w:hAnsi="Arial"/>
          <w:sz w:val="22"/>
          <w:szCs w:val="22"/>
          <w:color w:val="auto"/>
        </w:rPr>
        <w:t>. At the time of filing the Registration Statement and any post-effective amendment thereto, at the earliest time thereafter that the Company or another offering participant made a bona fide offer (within the meaning of Rule 164(h)(2) of the 1933 Act Regulations) of the Securities and at the date hereof, the Company was not and is not an “ineligible issuer,” as defined in Rule 405, without taking account of any determination by the Commission pursuant to Rule 405 that it is not necessary that the Company be considered an ineligible issuer.</w:t>
      </w:r>
    </w:p>
    <w:p>
      <w:pPr>
        <w:spacing w:after="0" w:line="187" w:lineRule="exact"/>
        <w:rPr>
          <w:rFonts w:ascii="Arial" w:cs="Arial" w:eastAsia="Arial" w:hAnsi="Arial"/>
          <w:sz w:val="22"/>
          <w:szCs w:val="22"/>
          <w:color w:val="auto"/>
        </w:rPr>
      </w:pPr>
    </w:p>
    <w:p>
      <w:pPr>
        <w:jc w:val="both"/>
        <w:ind w:left="760" w:firstLine="1494"/>
        <w:spacing w:after="0" w:line="236" w:lineRule="auto"/>
        <w:tabs>
          <w:tab w:leader="none" w:pos="3755" w:val="left"/>
        </w:tabs>
        <w:numPr>
          <w:ilvl w:val="0"/>
          <w:numId w:val="41"/>
        </w:numPr>
        <w:rPr>
          <w:rFonts w:ascii="Arial" w:cs="Arial" w:eastAsia="Arial" w:hAnsi="Arial"/>
          <w:sz w:val="22"/>
          <w:szCs w:val="22"/>
          <w:color w:val="auto"/>
        </w:rPr>
      </w:pPr>
      <w:r>
        <w:rPr>
          <w:rFonts w:ascii="Arial" w:cs="Arial" w:eastAsia="Arial" w:hAnsi="Arial"/>
          <w:sz w:val="22"/>
          <w:szCs w:val="22"/>
          <w:u w:val="single" w:color="auto"/>
          <w:color w:val="auto"/>
        </w:rPr>
        <w:t>Independent Accountants of the Company</w:t>
      </w:r>
      <w:r>
        <w:rPr>
          <w:rFonts w:ascii="Arial" w:cs="Arial" w:eastAsia="Arial" w:hAnsi="Arial"/>
          <w:sz w:val="22"/>
          <w:szCs w:val="22"/>
          <w:color w:val="auto"/>
        </w:rPr>
        <w:t>. The accountants who audited or reviewed the financial statements and supporting schedules of the Company included or incorporated by reference in the Registration Statement and the Prospectus are independent registered public accountants with respect to the Company within the applicable rules and regulations of the Commission and the Public Company Accounting Oversight Board (United States) and as required by the 1933 Act.</w:t>
      </w:r>
    </w:p>
    <w:p>
      <w:pPr>
        <w:spacing w:after="0" w:line="187" w:lineRule="exact"/>
        <w:rPr>
          <w:rFonts w:ascii="Arial" w:cs="Arial" w:eastAsia="Arial" w:hAnsi="Arial"/>
          <w:sz w:val="22"/>
          <w:szCs w:val="22"/>
          <w:color w:val="auto"/>
        </w:rPr>
      </w:pPr>
    </w:p>
    <w:p>
      <w:pPr>
        <w:jc w:val="both"/>
        <w:ind w:left="760" w:firstLine="1494"/>
        <w:spacing w:after="0" w:line="271" w:lineRule="auto"/>
        <w:tabs>
          <w:tab w:leader="none" w:pos="3755" w:val="left"/>
        </w:tabs>
        <w:numPr>
          <w:ilvl w:val="0"/>
          <w:numId w:val="41"/>
        </w:numPr>
        <w:rPr>
          <w:rFonts w:ascii="Arial" w:cs="Arial" w:eastAsia="Arial" w:hAnsi="Arial"/>
          <w:sz w:val="19"/>
          <w:szCs w:val="19"/>
          <w:color w:val="auto"/>
        </w:rPr>
      </w:pPr>
      <w:r>
        <w:rPr>
          <w:rFonts w:ascii="Arial" w:cs="Arial" w:eastAsia="Arial" w:hAnsi="Arial"/>
          <w:sz w:val="19"/>
          <w:szCs w:val="19"/>
          <w:u w:val="single" w:color="auto"/>
          <w:color w:val="auto"/>
        </w:rPr>
        <w:t>Financial Statements</w:t>
      </w:r>
      <w:r>
        <w:rPr>
          <w:rFonts w:ascii="Arial" w:cs="Arial" w:eastAsia="Arial" w:hAnsi="Arial"/>
          <w:sz w:val="19"/>
          <w:szCs w:val="19"/>
          <w:color w:val="auto"/>
        </w:rPr>
        <w:t>. The financial statements included or incorporated by reference in the Registration Statement and the Prospectus, together with the related schedules and notes, present fairly in all material respects the financial position of the Company and the Subsidiaries (as defined below) at the dates indicated and the results of their operations and the changes in the cash flows of the Company and the Subsidiaries for the periods specified (except that the unaudited financial statements were or are subject to normal year-end adjustments which were not, or are not expected to be, material in amount to the Company); said financial statements have been prepared in conformity with U.S. generally accepted accounting principles (“GAAP”) applied on a consistent basis throughout the periods involved (except, in each case, as may be permitted by the rules and regulations of the Commission). The supporting schedules, if any, included or incorporated by reference in the Registration Statement and the Prospectus present fairly in all material respects in accordance with GAAP the information required to be stated therein. The selected financial data and the summary financial information of the Company and the Subsidiaries included or incorporated by reference in the Registration Statement and the Prospectus have been derived from the accounting records and other books and records of the Company and the Subsidiaries and present fairly in all material respects the information shown therein. Except as included therein, no historical or pro forma financial statements or supporting schedules are required to be included in the Registration Statement or the Prospectus under the 1933 Act or the 1933 Act Regulations.</w:t>
      </w:r>
    </w:p>
    <w:p>
      <w:pPr>
        <w:spacing w:after="0" w:line="200" w:lineRule="exact"/>
        <w:rPr>
          <w:rFonts w:ascii="Arial" w:cs="Arial" w:eastAsia="Arial" w:hAnsi="Arial"/>
          <w:sz w:val="19"/>
          <w:szCs w:val="19"/>
          <w:color w:val="auto"/>
        </w:rPr>
      </w:pPr>
    </w:p>
    <w:p>
      <w:pPr>
        <w:spacing w:after="0" w:line="203" w:lineRule="exact"/>
        <w:rPr>
          <w:rFonts w:ascii="Arial" w:cs="Arial" w:eastAsia="Arial" w:hAnsi="Arial"/>
          <w:sz w:val="19"/>
          <w:szCs w:val="19"/>
          <w:color w:val="auto"/>
        </w:rPr>
      </w:pPr>
    </w:p>
    <w:p>
      <w:pPr>
        <w:jc w:val="both"/>
        <w:ind w:left="760" w:firstLine="1494"/>
        <w:spacing w:after="0" w:line="275" w:lineRule="auto"/>
        <w:tabs>
          <w:tab w:leader="none" w:pos="3755" w:val="left"/>
        </w:tabs>
        <w:numPr>
          <w:ilvl w:val="0"/>
          <w:numId w:val="41"/>
        </w:numPr>
        <w:rPr>
          <w:rFonts w:ascii="Arial" w:cs="Arial" w:eastAsia="Arial" w:hAnsi="Arial"/>
          <w:sz w:val="19"/>
          <w:szCs w:val="19"/>
          <w:color w:val="auto"/>
        </w:rPr>
      </w:pPr>
      <w:r>
        <w:rPr>
          <w:rFonts w:ascii="Arial" w:cs="Arial" w:eastAsia="Arial" w:hAnsi="Arial"/>
          <w:sz w:val="19"/>
          <w:szCs w:val="19"/>
          <w:u w:val="single" w:color="auto"/>
          <w:color w:val="auto"/>
        </w:rPr>
        <w:t>No Material Adverse Change in Business</w:t>
      </w:r>
      <w:r>
        <w:rPr>
          <w:rFonts w:ascii="Arial" w:cs="Arial" w:eastAsia="Arial" w:hAnsi="Arial"/>
          <w:sz w:val="19"/>
          <w:szCs w:val="19"/>
          <w:color w:val="auto"/>
        </w:rPr>
        <w:t>. Except as otherwise stated therein, since the respective dates as of which information is given in the Registration Statement or the Prospectus, (A) there has been no material adverse change in the business, management, financial condition, results of operations or prospects of the Company and the Subsidiaries considered as one enterprise, whether or not arising in the ordinary course of business (a “Material Adverse Effect”), (B) there have been no transactions entered into by the Company or any of the Subsidiaries, other than those in the ordinary course of business, which are material with respect to the Company and the Subsidiaries considered as one enterprise and (C) there has been no dividend or distribution of any kind declared, paid or made by the Company on any class of its capital stock.</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76" w:lineRule="exact"/>
        <w:rPr>
          <w:sz w:val="20"/>
          <w:szCs w:val="20"/>
          <w:color w:val="auto"/>
        </w:rPr>
      </w:pPr>
    </w:p>
    <w:p>
      <w:pPr>
        <w:spacing w:after="0"/>
        <w:rPr>
          <w:sz w:val="20"/>
          <w:szCs w:val="20"/>
          <w:color w:val="auto"/>
        </w:rPr>
      </w:pPr>
      <w:r>
        <w:rPr>
          <w:rFonts w:ascii="Arial" w:cs="Arial" w:eastAsia="Arial" w:hAnsi="Arial"/>
          <w:sz w:val="14"/>
          <w:szCs w:val="14"/>
          <w:color w:val="auto"/>
        </w:rPr>
        <w:t>28117901.1.BUSINESS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157720" cy="4254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70" w:name="page71"/>
    <w:bookmarkEnd w:id="70"/>
    <w:p>
      <w:pPr>
        <w:jc w:val="both"/>
        <w:ind w:left="760" w:firstLine="1494"/>
        <w:spacing w:after="0" w:line="275" w:lineRule="auto"/>
        <w:tabs>
          <w:tab w:leader="none" w:pos="3755" w:val="left"/>
        </w:tabs>
        <w:numPr>
          <w:ilvl w:val="0"/>
          <w:numId w:val="42"/>
        </w:numPr>
        <w:rPr>
          <w:rFonts w:ascii="Arial" w:cs="Arial" w:eastAsia="Arial" w:hAnsi="Arial"/>
          <w:sz w:val="19"/>
          <w:szCs w:val="19"/>
          <w:color w:val="auto"/>
        </w:rPr>
      </w:pPr>
      <w:r>
        <w:rPr>
          <w:rFonts w:ascii="Arial" w:cs="Arial" w:eastAsia="Arial" w:hAnsi="Arial"/>
          <w:sz w:val="19"/>
          <w:szCs w:val="19"/>
          <w:u w:val="single" w:color="auto"/>
          <w:color w:val="auto"/>
        </w:rPr>
        <w:t>Good Standing of the Company</w:t>
      </w:r>
      <w:r>
        <w:rPr>
          <w:rFonts w:ascii="Arial" w:cs="Arial" w:eastAsia="Arial" w:hAnsi="Arial"/>
          <w:sz w:val="19"/>
          <w:szCs w:val="19"/>
          <w:color w:val="auto"/>
        </w:rPr>
        <w:t>. The Company has been duly organized and is validly existing as a corporation in good standing under the laws of the State of Maryland and has corporate power and authority to own, lease and operate its properties and to conduct its business as described in the Registration Statement and the Prospectus and to enter into this Agreement and perform its obligations under this Agreement, the Investment Management Agreement, the Administration Agreement and the Securities; and the Company is duly qualified as a foreign corporation to transact business and is in good standing in each other jurisdiction in which such qualification is required, whether by reason of the ownership or leasing of property or the conduct of business, except where the failure so to qualify or to be in good standing would not reasonably be expected to result in a Material Adverse Effect.</w:t>
      </w:r>
    </w:p>
    <w:p>
      <w:pPr>
        <w:spacing w:after="0" w:line="157" w:lineRule="exact"/>
        <w:rPr>
          <w:rFonts w:ascii="Arial" w:cs="Arial" w:eastAsia="Arial" w:hAnsi="Arial"/>
          <w:sz w:val="19"/>
          <w:szCs w:val="19"/>
          <w:color w:val="auto"/>
        </w:rPr>
      </w:pPr>
    </w:p>
    <w:p>
      <w:pPr>
        <w:jc w:val="both"/>
        <w:ind w:left="760" w:firstLine="1494"/>
        <w:spacing w:after="0" w:line="270" w:lineRule="auto"/>
        <w:tabs>
          <w:tab w:leader="none" w:pos="3755" w:val="left"/>
        </w:tabs>
        <w:numPr>
          <w:ilvl w:val="0"/>
          <w:numId w:val="42"/>
        </w:numPr>
        <w:rPr>
          <w:rFonts w:ascii="Arial" w:cs="Arial" w:eastAsia="Arial" w:hAnsi="Arial"/>
          <w:sz w:val="19"/>
          <w:szCs w:val="19"/>
          <w:color w:val="auto"/>
        </w:rPr>
      </w:pPr>
      <w:r>
        <w:rPr>
          <w:rFonts w:ascii="Arial" w:cs="Arial" w:eastAsia="Arial" w:hAnsi="Arial"/>
          <w:sz w:val="19"/>
          <w:szCs w:val="19"/>
          <w:u w:val="single" w:color="auto"/>
          <w:color w:val="auto"/>
        </w:rPr>
        <w:t>Subsidiaries of the Company; Portfolio Companies</w:t>
      </w:r>
      <w:r>
        <w:rPr>
          <w:rFonts w:ascii="Arial" w:cs="Arial" w:eastAsia="Arial" w:hAnsi="Arial"/>
          <w:sz w:val="19"/>
          <w:szCs w:val="19"/>
          <w:color w:val="auto"/>
        </w:rPr>
        <w:t xml:space="preserve">. The Company’s only subsidiaries that were consolidated with the Company for financial reporting purposes under GAAP as of June 30, 2021 are those listed on </w:t>
      </w:r>
      <w:r>
        <w:rPr>
          <w:rFonts w:ascii="Arial" w:cs="Arial" w:eastAsia="Arial" w:hAnsi="Arial"/>
          <w:sz w:val="19"/>
          <w:szCs w:val="19"/>
          <w:u w:val="single" w:color="auto"/>
          <w:color w:val="auto"/>
        </w:rPr>
        <w:t>Schedule A</w:t>
      </w:r>
      <w:r>
        <w:rPr>
          <w:rFonts w:ascii="Arial" w:cs="Arial" w:eastAsia="Arial" w:hAnsi="Arial"/>
          <w:sz w:val="19"/>
          <w:szCs w:val="19"/>
          <w:color w:val="auto"/>
        </w:rPr>
        <w:t xml:space="preserve"> hereto (each a “Subsidiary” and, collectively, the “Subsidiaries”). Each of the Subsidiaries has been duly organized and is validly existing as a corporation, limited liability company or limited partnership in good standing under the laws of the jurisdiction of its organization, has power and authority to own, lease and operate its properties and to conduct its business as described in the Prospectus and is duly qualified as a foreign corporation, limited liability company or limited partnership to transact business and is in good standing in each jurisdiction in which such qualification is required, whether by reason of the ownership or leasing of property or the conduct of business, except where the failure to be so qualified or in good standing would not reasonably be expected to result in a Material Adverse Effect; except as disclosed in the Prospectus, all of the issued and outstanding capital stock of each such Subsidiary has been duly authorized and validly issued and is fully paid and non-assessable; none of the outstanding shares of capital stock of any of the Subsidiaries was issued in violation of the preemptive or other similar rights of any securityholder of such Subsidiary. Except for any investments made in the ordinary course of business since the most recent quarter end, the Company does not own, directly or indirectly, any investments or shares of stock or any other equity or long-term debt securities of any corporation or other entity other than (A) the Subsidiaries and (B) those corporations or other entities described in the Registration Statement and the Prospectus under the caption “Portfolio Companies” (each a “Portfolio Company” and collectively the “Portfolio Companies”). Except as otherwise disclosed in the Prospectus, the Company does not control (as such term is defined in Section 2(a)(9) of the 1940 Act), any of the Portfolio Companies or any corporation or other entity in which it invested since the most recent quarter end.</w:t>
      </w:r>
    </w:p>
    <w:p>
      <w:pPr>
        <w:spacing w:after="0" w:line="162" w:lineRule="exact"/>
        <w:rPr>
          <w:rFonts w:ascii="Arial" w:cs="Arial" w:eastAsia="Arial" w:hAnsi="Arial"/>
          <w:sz w:val="19"/>
          <w:szCs w:val="19"/>
          <w:color w:val="auto"/>
        </w:rPr>
      </w:pPr>
    </w:p>
    <w:p>
      <w:pPr>
        <w:jc w:val="both"/>
        <w:ind w:left="760" w:firstLine="1494"/>
        <w:spacing w:after="0" w:line="234" w:lineRule="auto"/>
        <w:tabs>
          <w:tab w:leader="none" w:pos="3755" w:val="left"/>
        </w:tabs>
        <w:numPr>
          <w:ilvl w:val="0"/>
          <w:numId w:val="42"/>
        </w:numPr>
        <w:rPr>
          <w:rFonts w:ascii="Arial" w:cs="Arial" w:eastAsia="Arial" w:hAnsi="Arial"/>
          <w:sz w:val="22"/>
          <w:szCs w:val="22"/>
          <w:color w:val="auto"/>
        </w:rPr>
      </w:pPr>
      <w:r>
        <w:rPr>
          <w:rFonts w:ascii="Arial" w:cs="Arial" w:eastAsia="Arial" w:hAnsi="Arial"/>
          <w:sz w:val="22"/>
          <w:szCs w:val="22"/>
          <w:u w:val="single" w:color="auto"/>
          <w:color w:val="auto"/>
        </w:rPr>
        <w:t>Capitalization</w:t>
      </w:r>
      <w:r>
        <w:rPr>
          <w:rFonts w:ascii="Arial" w:cs="Arial" w:eastAsia="Arial" w:hAnsi="Arial"/>
          <w:sz w:val="22"/>
          <w:szCs w:val="22"/>
          <w:color w:val="auto"/>
        </w:rPr>
        <w:t>. The authorized shares of capital stock of the Company are as set forth in the Registration Statement and the Prospectus under the caption “Description of Our Capital Stock.” The total issued and outstanding shares of capital stock of the Company as of August 19, 2021 are as set forth in the Prospectus Supplement under the caption “The Offering.” The outstanding shares of capital stock of the Company have been duly authorized and validly issued and are fully paid and non-assessable. None of the outstanding shares of capital stock of the Company were issued in violation of the preemptive or other similar rights of any securityholder of the Company. Except as set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76" w:lineRule="exact"/>
        <w:rPr>
          <w:sz w:val="20"/>
          <w:szCs w:val="20"/>
          <w:color w:val="auto"/>
        </w:rPr>
      </w:pPr>
    </w:p>
    <w:p>
      <w:pPr>
        <w:spacing w:after="0"/>
        <w:rPr>
          <w:sz w:val="20"/>
          <w:szCs w:val="20"/>
          <w:color w:val="auto"/>
        </w:rPr>
      </w:pPr>
      <w:r>
        <w:rPr>
          <w:rFonts w:ascii="Arial" w:cs="Arial" w:eastAsia="Arial" w:hAnsi="Arial"/>
          <w:sz w:val="14"/>
          <w:szCs w:val="14"/>
          <w:color w:val="auto"/>
        </w:rPr>
        <w:t>28117901.1.BUSINESS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157720" cy="4254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71" w:name="page72"/>
    <w:bookmarkEnd w:id="71"/>
    <w:p>
      <w:pPr>
        <w:jc w:val="both"/>
        <w:ind w:left="760" w:right="20"/>
        <w:spacing w:after="0"/>
        <w:rPr>
          <w:sz w:val="20"/>
          <w:szCs w:val="20"/>
          <w:color w:val="auto"/>
        </w:rPr>
      </w:pPr>
      <w:r>
        <w:rPr>
          <w:rFonts w:ascii="Arial" w:cs="Arial" w:eastAsia="Arial" w:hAnsi="Arial"/>
          <w:sz w:val="22"/>
          <w:szCs w:val="22"/>
          <w:color w:val="auto"/>
        </w:rPr>
        <w:t>forth in the Registration Statement and the Prospectus, no options, warrants or other rights to purchase, agreements or other obligations to issue, or rights to convert any obligations into or exchange any securities for, shares of capital stock of or ownership interests in the Company are outstanding.</w:t>
      </w:r>
    </w:p>
    <w:p>
      <w:pPr>
        <w:spacing w:after="0" w:line="186" w:lineRule="exact"/>
        <w:rPr>
          <w:sz w:val="20"/>
          <w:szCs w:val="20"/>
          <w:color w:val="auto"/>
        </w:rPr>
      </w:pPr>
    </w:p>
    <w:p>
      <w:pPr>
        <w:ind w:left="3760" w:hanging="1506"/>
        <w:spacing w:after="0"/>
        <w:tabs>
          <w:tab w:leader="none" w:pos="3760" w:val="left"/>
        </w:tabs>
        <w:numPr>
          <w:ilvl w:val="0"/>
          <w:numId w:val="43"/>
        </w:numPr>
        <w:rPr>
          <w:rFonts w:ascii="Arial" w:cs="Arial" w:eastAsia="Arial" w:hAnsi="Arial"/>
          <w:sz w:val="19"/>
          <w:szCs w:val="19"/>
          <w:color w:val="auto"/>
        </w:rPr>
      </w:pPr>
      <w:r>
        <w:rPr>
          <w:rFonts w:ascii="Arial" w:cs="Arial" w:eastAsia="Arial" w:hAnsi="Arial"/>
          <w:sz w:val="19"/>
          <w:szCs w:val="19"/>
          <w:u w:val="single" w:color="auto"/>
          <w:color w:val="auto"/>
        </w:rPr>
        <w:t>Authorization of Agreements</w:t>
      </w:r>
      <w:r>
        <w:rPr>
          <w:rFonts w:ascii="Arial" w:cs="Arial" w:eastAsia="Arial" w:hAnsi="Arial"/>
          <w:sz w:val="19"/>
          <w:szCs w:val="19"/>
          <w:color w:val="auto"/>
        </w:rPr>
        <w:t>. This Agreement has been duly authorized, executed and</w:t>
      </w:r>
    </w:p>
    <w:p>
      <w:pPr>
        <w:spacing w:after="0" w:line="42" w:lineRule="exact"/>
        <w:rPr>
          <w:rFonts w:ascii="Arial" w:cs="Arial" w:eastAsia="Arial" w:hAnsi="Arial"/>
          <w:sz w:val="19"/>
          <w:szCs w:val="19"/>
          <w:color w:val="auto"/>
        </w:rPr>
      </w:pPr>
    </w:p>
    <w:p>
      <w:pPr>
        <w:ind w:left="760"/>
        <w:spacing w:after="0"/>
        <w:rPr>
          <w:rFonts w:ascii="Arial" w:cs="Arial" w:eastAsia="Arial" w:hAnsi="Arial"/>
          <w:sz w:val="19"/>
          <w:szCs w:val="19"/>
          <w:color w:val="auto"/>
        </w:rPr>
      </w:pPr>
      <w:r>
        <w:rPr>
          <w:rFonts w:ascii="Arial" w:cs="Arial" w:eastAsia="Arial" w:hAnsi="Arial"/>
          <w:sz w:val="22"/>
          <w:szCs w:val="22"/>
          <w:color w:val="auto"/>
        </w:rPr>
        <w:t>delivered by the Company.</w:t>
      </w:r>
    </w:p>
    <w:p>
      <w:pPr>
        <w:spacing w:after="0" w:line="188" w:lineRule="exact"/>
        <w:rPr>
          <w:rFonts w:ascii="Arial" w:cs="Arial" w:eastAsia="Arial" w:hAnsi="Arial"/>
          <w:sz w:val="19"/>
          <w:szCs w:val="19"/>
          <w:color w:val="auto"/>
        </w:rPr>
      </w:pPr>
    </w:p>
    <w:p>
      <w:pPr>
        <w:jc w:val="both"/>
        <w:ind w:left="760" w:firstLine="1494"/>
        <w:spacing w:after="0" w:line="275" w:lineRule="auto"/>
        <w:tabs>
          <w:tab w:leader="none" w:pos="3755" w:val="left"/>
        </w:tabs>
        <w:numPr>
          <w:ilvl w:val="0"/>
          <w:numId w:val="43"/>
        </w:numPr>
        <w:rPr>
          <w:rFonts w:ascii="Arial" w:cs="Arial" w:eastAsia="Arial" w:hAnsi="Arial"/>
          <w:sz w:val="19"/>
          <w:szCs w:val="19"/>
          <w:color w:val="auto"/>
        </w:rPr>
      </w:pPr>
      <w:r>
        <w:rPr>
          <w:rFonts w:ascii="Arial" w:cs="Arial" w:eastAsia="Arial" w:hAnsi="Arial"/>
          <w:sz w:val="19"/>
          <w:szCs w:val="19"/>
          <w:u w:val="single" w:color="auto"/>
          <w:color w:val="auto"/>
        </w:rPr>
        <w:t>Authorization and Description of Securities</w:t>
      </w:r>
      <w:r>
        <w:rPr>
          <w:rFonts w:ascii="Arial" w:cs="Arial" w:eastAsia="Arial" w:hAnsi="Arial"/>
          <w:sz w:val="19"/>
          <w:szCs w:val="19"/>
          <w:color w:val="auto"/>
        </w:rPr>
        <w:t>. The Securities to be issued and sold by the Company hereunder have been duly authorized and when issued and paid for as contemplated herein will be validly issued, fully paid and non-assessable; and no preemptive rights of stockholders exist with respect to any of the Securities or the issue and sale thereof. The Common Stock conforms to all statements relating thereto contained in the Registration Statement and the Prospectus and such description conforms to the rights set forth in the instruments defining the same. No holder of the Common Stock will be subject to personal liability by reason of being such a holder. The Company acknowledges and agrees that all stock-related numbers contained in this Agreement shall be adjusted to take into account any stock split, stock dividend or similar event effected with respect to the Securities.</w:t>
      </w:r>
    </w:p>
    <w:p>
      <w:pPr>
        <w:spacing w:after="0" w:line="157" w:lineRule="exact"/>
        <w:rPr>
          <w:rFonts w:ascii="Arial" w:cs="Arial" w:eastAsia="Arial" w:hAnsi="Arial"/>
          <w:sz w:val="19"/>
          <w:szCs w:val="19"/>
          <w:color w:val="auto"/>
        </w:rPr>
      </w:pPr>
    </w:p>
    <w:p>
      <w:pPr>
        <w:jc w:val="both"/>
        <w:ind w:left="760" w:firstLine="1494"/>
        <w:spacing w:after="0"/>
        <w:tabs>
          <w:tab w:leader="none" w:pos="3755" w:val="left"/>
        </w:tabs>
        <w:numPr>
          <w:ilvl w:val="0"/>
          <w:numId w:val="43"/>
        </w:numPr>
        <w:rPr>
          <w:rFonts w:ascii="Arial" w:cs="Arial" w:eastAsia="Arial" w:hAnsi="Arial"/>
          <w:sz w:val="22"/>
          <w:szCs w:val="22"/>
          <w:color w:val="auto"/>
        </w:rPr>
      </w:pPr>
      <w:r>
        <w:rPr>
          <w:rFonts w:ascii="Arial" w:cs="Arial" w:eastAsia="Arial" w:hAnsi="Arial"/>
          <w:sz w:val="22"/>
          <w:szCs w:val="22"/>
          <w:u w:val="single" w:color="auto"/>
          <w:color w:val="auto"/>
        </w:rPr>
        <w:t>Registration Rights</w:t>
      </w:r>
      <w:r>
        <w:rPr>
          <w:rFonts w:ascii="Arial" w:cs="Arial" w:eastAsia="Arial" w:hAnsi="Arial"/>
          <w:sz w:val="22"/>
          <w:szCs w:val="22"/>
          <w:color w:val="auto"/>
        </w:rPr>
        <w:t>. There are no persons with registration rights or other similar rights to have any securities registered for sale pursuant to the Registration Statement or otherwise registered for sale or sold by the Company under the 1933 Act pursuant to this Agreement.</w:t>
      </w:r>
    </w:p>
    <w:p>
      <w:pPr>
        <w:spacing w:after="0" w:line="186" w:lineRule="exact"/>
        <w:rPr>
          <w:rFonts w:ascii="Arial" w:cs="Arial" w:eastAsia="Arial" w:hAnsi="Arial"/>
          <w:sz w:val="22"/>
          <w:szCs w:val="22"/>
          <w:color w:val="auto"/>
        </w:rPr>
      </w:pPr>
    </w:p>
    <w:p>
      <w:pPr>
        <w:jc w:val="both"/>
        <w:ind w:left="760" w:firstLine="1494"/>
        <w:spacing w:after="0" w:line="273" w:lineRule="auto"/>
        <w:tabs>
          <w:tab w:leader="none" w:pos="3755" w:val="left"/>
        </w:tabs>
        <w:numPr>
          <w:ilvl w:val="0"/>
          <w:numId w:val="43"/>
        </w:numPr>
        <w:rPr>
          <w:rFonts w:ascii="Arial" w:cs="Arial" w:eastAsia="Arial" w:hAnsi="Arial"/>
          <w:sz w:val="19"/>
          <w:szCs w:val="19"/>
          <w:color w:val="auto"/>
        </w:rPr>
      </w:pPr>
      <w:r>
        <w:rPr>
          <w:rFonts w:ascii="Arial" w:cs="Arial" w:eastAsia="Arial" w:hAnsi="Arial"/>
          <w:sz w:val="19"/>
          <w:szCs w:val="19"/>
          <w:u w:val="single" w:color="auto"/>
          <w:color w:val="auto"/>
        </w:rPr>
        <w:t>Absence of Violations and Defaults</w:t>
      </w:r>
      <w:r>
        <w:rPr>
          <w:rFonts w:ascii="Arial" w:cs="Arial" w:eastAsia="Arial" w:hAnsi="Arial"/>
          <w:sz w:val="19"/>
          <w:szCs w:val="19"/>
          <w:color w:val="auto"/>
        </w:rPr>
        <w:t>. Neither the Company nor any of the Subsidiaries is (A) in violation of its charter, bylaws or similar organizational document, each as amended or supplemented from time to time, (B) in default under any contract, indenture, mortgage, deed of trust, loan or credit agreement, note, lease or other agreement or instrument to which the Company or any of the Subsidiaries is a party or by which it or any of them may be bound or to which any of the properties or assets of the Company or any of the Subsidiaries is subject (collectively, “Agreements and Instruments”), except for such defaults that would not reasonably be expected, singly or in the aggregate, to result in a Material Adverse Effect, or (C) in violation of any law, statute, rule, regulation, judgment, order, writ or decree of any arbitrator, court, governmental body, regulatory body, administrative agency or other authority, body or agency having jurisdiction over the Company or any of the Subsidiaries or any of their respective properties, assets or operations (each, a “Governmental Entity”), except for such violations that would not reasonably be expected, singly or in the aggregate, to result in a Material Adverse Effect.</w:t>
      </w:r>
    </w:p>
    <w:p>
      <w:pPr>
        <w:spacing w:after="0" w:line="155" w:lineRule="exact"/>
        <w:rPr>
          <w:rFonts w:ascii="Arial" w:cs="Arial" w:eastAsia="Arial" w:hAnsi="Arial"/>
          <w:sz w:val="19"/>
          <w:szCs w:val="19"/>
          <w:color w:val="auto"/>
        </w:rPr>
      </w:pPr>
    </w:p>
    <w:p>
      <w:pPr>
        <w:jc w:val="both"/>
        <w:ind w:left="760" w:firstLine="1494"/>
        <w:spacing w:after="0" w:line="279" w:lineRule="auto"/>
        <w:tabs>
          <w:tab w:leader="none" w:pos="3755" w:val="left"/>
        </w:tabs>
        <w:numPr>
          <w:ilvl w:val="0"/>
          <w:numId w:val="43"/>
        </w:numPr>
        <w:rPr>
          <w:rFonts w:ascii="Arial" w:cs="Arial" w:eastAsia="Arial" w:hAnsi="Arial"/>
          <w:sz w:val="19"/>
          <w:szCs w:val="19"/>
          <w:color w:val="auto"/>
        </w:rPr>
      </w:pPr>
      <w:r>
        <w:rPr>
          <w:rFonts w:ascii="Arial" w:cs="Arial" w:eastAsia="Arial" w:hAnsi="Arial"/>
          <w:sz w:val="19"/>
          <w:szCs w:val="19"/>
          <w:u w:val="single" w:color="auto"/>
          <w:color w:val="auto"/>
        </w:rPr>
        <w:t>Absence of Conflicts</w:t>
      </w:r>
      <w:r>
        <w:rPr>
          <w:rFonts w:ascii="Arial" w:cs="Arial" w:eastAsia="Arial" w:hAnsi="Arial"/>
          <w:sz w:val="19"/>
          <w:szCs w:val="19"/>
          <w:color w:val="auto"/>
        </w:rPr>
        <w:t>. The execution, delivery and performance of this Agreement, and the Securities, the performance of the Investment Management Agreement and the Administration Agreement and the consummation of the transactions contemplated herein and therein and in the Registration Statement and the Prospectus (including the issuance and sale of the Securities and the use of the proceeds from the sale of the Securities as described therein under the caption “Use of Proceeds”) and compliance by the Company with its obligations hereunder and thereunder have been duly authorized by all necessary</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76" w:lineRule="exact"/>
        <w:rPr>
          <w:sz w:val="20"/>
          <w:szCs w:val="20"/>
          <w:color w:val="auto"/>
        </w:rPr>
      </w:pPr>
    </w:p>
    <w:p>
      <w:pPr>
        <w:spacing w:after="0"/>
        <w:rPr>
          <w:sz w:val="20"/>
          <w:szCs w:val="20"/>
          <w:color w:val="auto"/>
        </w:rPr>
      </w:pPr>
      <w:r>
        <w:rPr>
          <w:rFonts w:ascii="Arial" w:cs="Arial" w:eastAsia="Arial" w:hAnsi="Arial"/>
          <w:sz w:val="14"/>
          <w:szCs w:val="14"/>
          <w:color w:val="auto"/>
        </w:rPr>
        <w:t>28117901.1.BUSINESS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157720" cy="4254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72" w:name="page73"/>
    <w:bookmarkEnd w:id="72"/>
    <w:p>
      <w:pPr>
        <w:jc w:val="both"/>
        <w:ind w:left="760"/>
        <w:spacing w:after="0" w:line="272" w:lineRule="auto"/>
        <w:rPr>
          <w:sz w:val="20"/>
          <w:szCs w:val="20"/>
          <w:color w:val="auto"/>
        </w:rPr>
      </w:pPr>
      <w:r>
        <w:rPr>
          <w:rFonts w:ascii="Arial" w:cs="Arial" w:eastAsia="Arial" w:hAnsi="Arial"/>
          <w:sz w:val="19"/>
          <w:szCs w:val="19"/>
          <w:color w:val="auto"/>
        </w:rPr>
        <w:t>corporate action and do not and will not, whether with or without the giving of notice or passage of time or both, conflict with or constitute a breach of, or default or Repayment Event (as defined below) under, or result in the creation or imposition of any lien, charge or encumbrance upon any properties or assets of the Company or any of the Subsidiaries pursuant to, the Agreements and Instruments (except for such conflicts, breaches, defaults or Repayment Events or liens, charges or encumbrances that would not reasonably be expected, singly or in the aggregate, to result in a Material Adverse Effect), nor will such action result in any violation of the provisions of (a) the charter, bylaws or similar organizational document of the Company or any of the Subsidiaries or (b) any law, statute, rule, regulation, judgment, order, writ or decree of any Governmental Entity, except, in the case of (b) above, for any violation that would not reasonably be expected, singly or in the aggregate, to result in a Material Adverse Effect. As used herein, a “Repayment Event” means any event or condition which gives the holder of any note, debenture or other evidence of indebtedness (or any person acting on such holder’s behalf) the right to require the repurchase, redemption or repayment of all or a portion of such indebtedness by the Company or any of the Subsidiaries.</w:t>
      </w:r>
    </w:p>
    <w:p>
      <w:pPr>
        <w:spacing w:after="0" w:line="161" w:lineRule="exact"/>
        <w:rPr>
          <w:sz w:val="20"/>
          <w:szCs w:val="20"/>
          <w:color w:val="auto"/>
        </w:rPr>
      </w:pPr>
    </w:p>
    <w:p>
      <w:pPr>
        <w:ind w:left="3760" w:hanging="1506"/>
        <w:spacing w:after="0"/>
        <w:tabs>
          <w:tab w:leader="none" w:pos="3760" w:val="left"/>
        </w:tabs>
        <w:numPr>
          <w:ilvl w:val="0"/>
          <w:numId w:val="44"/>
        </w:numPr>
        <w:rPr>
          <w:rFonts w:ascii="Arial" w:cs="Arial" w:eastAsia="Arial" w:hAnsi="Arial"/>
          <w:sz w:val="19"/>
          <w:szCs w:val="19"/>
          <w:color w:val="auto"/>
        </w:rPr>
      </w:pPr>
      <w:r>
        <w:rPr>
          <w:rFonts w:ascii="Arial" w:cs="Arial" w:eastAsia="Arial" w:hAnsi="Arial"/>
          <w:sz w:val="19"/>
          <w:szCs w:val="19"/>
          <w:u w:val="single" w:color="auto"/>
          <w:color w:val="auto"/>
        </w:rPr>
        <w:t>Employees</w:t>
      </w:r>
      <w:r>
        <w:rPr>
          <w:rFonts w:ascii="Arial" w:cs="Arial" w:eastAsia="Arial" w:hAnsi="Arial"/>
          <w:sz w:val="19"/>
          <w:szCs w:val="19"/>
          <w:color w:val="auto"/>
        </w:rPr>
        <w:t>. Neither the Company nor any of the Subsidiaries has any employees.</w:t>
      </w:r>
    </w:p>
    <w:p>
      <w:pPr>
        <w:spacing w:after="0" w:line="240" w:lineRule="exact"/>
        <w:rPr>
          <w:rFonts w:ascii="Arial" w:cs="Arial" w:eastAsia="Arial" w:hAnsi="Arial"/>
          <w:sz w:val="19"/>
          <w:szCs w:val="19"/>
          <w:color w:val="auto"/>
        </w:rPr>
      </w:pPr>
    </w:p>
    <w:p>
      <w:pPr>
        <w:jc w:val="both"/>
        <w:ind w:left="760" w:firstLine="1494"/>
        <w:spacing w:after="0" w:line="277" w:lineRule="auto"/>
        <w:tabs>
          <w:tab w:leader="none" w:pos="3755" w:val="left"/>
        </w:tabs>
        <w:numPr>
          <w:ilvl w:val="0"/>
          <w:numId w:val="44"/>
        </w:numPr>
        <w:rPr>
          <w:rFonts w:ascii="Arial" w:cs="Arial" w:eastAsia="Arial" w:hAnsi="Arial"/>
          <w:sz w:val="19"/>
          <w:szCs w:val="19"/>
          <w:color w:val="auto"/>
        </w:rPr>
      </w:pPr>
      <w:r>
        <w:rPr>
          <w:rFonts w:ascii="Arial" w:cs="Arial" w:eastAsia="Arial" w:hAnsi="Arial"/>
          <w:sz w:val="19"/>
          <w:szCs w:val="19"/>
          <w:u w:val="single" w:color="auto"/>
          <w:color w:val="auto"/>
        </w:rPr>
        <w:t>Absence of Proceedings</w:t>
      </w:r>
      <w:r>
        <w:rPr>
          <w:rFonts w:ascii="Arial" w:cs="Arial" w:eastAsia="Arial" w:hAnsi="Arial"/>
          <w:sz w:val="19"/>
          <w:szCs w:val="19"/>
          <w:color w:val="auto"/>
        </w:rPr>
        <w:t>. Except as disclosed in the Registration Statement and the Prospectus, there is no action, suit, proceeding or, to the knowledge of the Company, inquiry or investigation before or brought by any Governmental Entity now pending or, to the knowledge of the Company, threatened, against or affecting the Company or any of the Subsidiaries, which would reasonably be expected to result in a Material Adverse Effect, or which would reasonably be expected to materially and adversely affect the consummation of the transactions contemplated in this Agreement, the Investment Management Agreement, the Administration Agreement or the Securities or the performance by the Company of its obligations hereunder or thereunder.</w:t>
      </w:r>
    </w:p>
    <w:p>
      <w:pPr>
        <w:spacing w:after="0" w:line="151" w:lineRule="exact"/>
        <w:rPr>
          <w:rFonts w:ascii="Arial" w:cs="Arial" w:eastAsia="Arial" w:hAnsi="Arial"/>
          <w:sz w:val="19"/>
          <w:szCs w:val="19"/>
          <w:color w:val="auto"/>
        </w:rPr>
      </w:pPr>
    </w:p>
    <w:p>
      <w:pPr>
        <w:jc w:val="both"/>
        <w:ind w:left="760" w:firstLine="1494"/>
        <w:spacing w:after="0"/>
        <w:tabs>
          <w:tab w:leader="none" w:pos="3755" w:val="left"/>
        </w:tabs>
        <w:numPr>
          <w:ilvl w:val="0"/>
          <w:numId w:val="44"/>
        </w:numPr>
        <w:rPr>
          <w:rFonts w:ascii="Arial" w:cs="Arial" w:eastAsia="Arial" w:hAnsi="Arial"/>
          <w:sz w:val="22"/>
          <w:szCs w:val="22"/>
          <w:color w:val="auto"/>
        </w:rPr>
      </w:pPr>
      <w:r>
        <w:rPr>
          <w:rFonts w:ascii="Arial" w:cs="Arial" w:eastAsia="Arial" w:hAnsi="Arial"/>
          <w:sz w:val="22"/>
          <w:szCs w:val="22"/>
          <w:u w:val="single" w:color="auto"/>
          <w:color w:val="auto"/>
        </w:rPr>
        <w:t>Accuracy of Exhibits</w:t>
      </w:r>
      <w:r>
        <w:rPr>
          <w:rFonts w:ascii="Arial" w:cs="Arial" w:eastAsia="Arial" w:hAnsi="Arial"/>
          <w:sz w:val="22"/>
          <w:szCs w:val="22"/>
          <w:color w:val="auto"/>
        </w:rPr>
        <w:t>. There are no contracts or documents which are required to be described in the Registration Statement or the Prospectus or to be filed as exhibits to the Registration Statement which have not been so described and filed as required.</w:t>
      </w:r>
    </w:p>
    <w:p>
      <w:pPr>
        <w:spacing w:after="0" w:line="186" w:lineRule="exact"/>
        <w:rPr>
          <w:rFonts w:ascii="Arial" w:cs="Arial" w:eastAsia="Arial" w:hAnsi="Arial"/>
          <w:sz w:val="22"/>
          <w:szCs w:val="22"/>
          <w:color w:val="auto"/>
        </w:rPr>
      </w:pPr>
    </w:p>
    <w:p>
      <w:pPr>
        <w:jc w:val="both"/>
        <w:ind w:left="760" w:firstLine="1494"/>
        <w:spacing w:after="0" w:line="245" w:lineRule="auto"/>
        <w:tabs>
          <w:tab w:leader="none" w:pos="3755" w:val="left"/>
        </w:tabs>
        <w:numPr>
          <w:ilvl w:val="0"/>
          <w:numId w:val="44"/>
        </w:numPr>
        <w:rPr>
          <w:rFonts w:ascii="Arial" w:cs="Arial" w:eastAsia="Arial" w:hAnsi="Arial"/>
          <w:sz w:val="21"/>
          <w:szCs w:val="21"/>
          <w:color w:val="auto"/>
        </w:rPr>
      </w:pPr>
      <w:r>
        <w:rPr>
          <w:rFonts w:ascii="Arial" w:cs="Arial" w:eastAsia="Arial" w:hAnsi="Arial"/>
          <w:sz w:val="21"/>
          <w:szCs w:val="21"/>
          <w:u w:val="single" w:color="auto"/>
          <w:color w:val="auto"/>
        </w:rPr>
        <w:t>Absence of Further Requirements</w:t>
      </w:r>
      <w:r>
        <w:rPr>
          <w:rFonts w:ascii="Arial" w:cs="Arial" w:eastAsia="Arial" w:hAnsi="Arial"/>
          <w:sz w:val="21"/>
          <w:szCs w:val="21"/>
          <w:color w:val="auto"/>
        </w:rPr>
        <w:t>. No filing with, or authorization, approval, consent, license, order, registration, qualification or decree of, any Governmental Entity is necessary or required for the performance by the Company of its obligations hereunder, in connection with the offering, issuance or sale of the Securities hereunder or the consummation of the transactions contemplated by this Agreement, the Investment Management Agreement, the Administration Agreement, the Securities or the Prospectus (including the issuance and sale of the Securities and the use of the proceeds from the sale of the Securities as described in the Prospectus under the caption “Use of Proceeds”), except (A) such as have been already made or obtained, including under the 1933 Act, the 1933 Act Regulations, the 1940 Act, the 1940 Act Regulations, state securities laws or the rules of the Financial Industry Regulatory Authority, Inc. (“FINRA”), (B) the filing of the Notifications of Election under the 1940 Act, which has been effected and (C) where the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76" w:lineRule="exact"/>
        <w:rPr>
          <w:sz w:val="20"/>
          <w:szCs w:val="20"/>
          <w:color w:val="auto"/>
        </w:rPr>
      </w:pPr>
    </w:p>
    <w:p>
      <w:pPr>
        <w:spacing w:after="0"/>
        <w:rPr>
          <w:sz w:val="20"/>
          <w:szCs w:val="20"/>
          <w:color w:val="auto"/>
        </w:rPr>
      </w:pPr>
      <w:r>
        <w:rPr>
          <w:rFonts w:ascii="Arial" w:cs="Arial" w:eastAsia="Arial" w:hAnsi="Arial"/>
          <w:sz w:val="14"/>
          <w:szCs w:val="14"/>
          <w:color w:val="auto"/>
        </w:rPr>
        <w:t>28117901.1.BUSINESS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157720" cy="4254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73" w:name="page74"/>
    <w:bookmarkEnd w:id="73"/>
    <w:p>
      <w:pPr>
        <w:ind w:left="760"/>
        <w:spacing w:after="0" w:line="250" w:lineRule="auto"/>
        <w:rPr>
          <w:sz w:val="20"/>
          <w:szCs w:val="20"/>
          <w:color w:val="auto"/>
        </w:rPr>
      </w:pPr>
      <w:r>
        <w:rPr>
          <w:rFonts w:ascii="Arial" w:cs="Arial" w:eastAsia="Arial" w:hAnsi="Arial"/>
          <w:sz w:val="22"/>
          <w:szCs w:val="22"/>
          <w:color w:val="auto"/>
        </w:rPr>
        <w:t>failure to obtain any such filing, authorization, approval, consent, license, order, registration, qualification or decree would not reasonably be expected, singly or in the aggregate, to have a Material Adverse Effect.</w:t>
      </w:r>
    </w:p>
    <w:p>
      <w:pPr>
        <w:spacing w:after="0" w:line="175" w:lineRule="exact"/>
        <w:rPr>
          <w:sz w:val="20"/>
          <w:szCs w:val="20"/>
          <w:color w:val="auto"/>
        </w:rPr>
      </w:pPr>
    </w:p>
    <w:p>
      <w:pPr>
        <w:jc w:val="both"/>
        <w:ind w:left="760" w:firstLine="1494"/>
        <w:spacing w:after="0" w:line="272" w:lineRule="auto"/>
        <w:tabs>
          <w:tab w:leader="none" w:pos="3755" w:val="left"/>
        </w:tabs>
        <w:numPr>
          <w:ilvl w:val="0"/>
          <w:numId w:val="45"/>
        </w:numPr>
        <w:rPr>
          <w:rFonts w:ascii="Arial" w:cs="Arial" w:eastAsia="Arial" w:hAnsi="Arial"/>
          <w:sz w:val="19"/>
          <w:szCs w:val="19"/>
          <w:color w:val="auto"/>
        </w:rPr>
      </w:pPr>
      <w:r>
        <w:rPr>
          <w:rFonts w:ascii="Arial" w:cs="Arial" w:eastAsia="Arial" w:hAnsi="Arial"/>
          <w:sz w:val="19"/>
          <w:szCs w:val="19"/>
          <w:u w:val="single" w:color="auto"/>
          <w:color w:val="auto"/>
        </w:rPr>
        <w:t>Possession of Licenses and Permits</w:t>
      </w:r>
      <w:r>
        <w:rPr>
          <w:rFonts w:ascii="Arial" w:cs="Arial" w:eastAsia="Arial" w:hAnsi="Arial"/>
          <w:sz w:val="19"/>
          <w:szCs w:val="19"/>
          <w:color w:val="auto"/>
        </w:rPr>
        <w:t>. The Company and the Subsidiaries possess such permits, licenses, approvals, consents and other authorizations (collectively, “Governmental Licenses”) issued by the appropriate Governmental Entities necessary to conduct the business now operated by them, except where the failure so to possess would not reasonably be expected, singly or in the aggregate, to result in a Material Adverse Effect. The Company and the Subsidiaries are in compliance with the terms and conditions of all Governmental Licenses, except where the failure so to comply would not reasonably be expected, singly or in the aggregate, to result in a Material Adverse Effect. All of the Governmental Licenses are valid and in full force and effect, except when the invalidity of such Governmental Licenses or the failure of such Governmental Licenses to be in full force and effect would not reasonably be expected, singly or in the aggregate, to result in a Material Adverse Effect. Neither the Company nor any of the Subsidiaries has received any notice of proceedings relating to the revocation or modification of any Governmental Licenses which, singly or in the aggregate, if the subject of an unfavorable decision, ruling or finding, would reasonably be expected to result in a Material Adverse Effect.</w:t>
      </w:r>
    </w:p>
    <w:p>
      <w:pPr>
        <w:spacing w:after="0" w:line="200" w:lineRule="exact"/>
        <w:rPr>
          <w:rFonts w:ascii="Arial" w:cs="Arial" w:eastAsia="Arial" w:hAnsi="Arial"/>
          <w:sz w:val="19"/>
          <w:szCs w:val="19"/>
          <w:color w:val="auto"/>
        </w:rPr>
      </w:pPr>
    </w:p>
    <w:p>
      <w:pPr>
        <w:spacing w:after="0" w:line="208" w:lineRule="exact"/>
        <w:rPr>
          <w:rFonts w:ascii="Arial" w:cs="Arial" w:eastAsia="Arial" w:hAnsi="Arial"/>
          <w:sz w:val="19"/>
          <w:szCs w:val="19"/>
          <w:color w:val="auto"/>
        </w:rPr>
      </w:pPr>
    </w:p>
    <w:p>
      <w:pPr>
        <w:jc w:val="both"/>
        <w:ind w:left="760" w:firstLine="1494"/>
        <w:spacing w:after="0" w:line="277" w:lineRule="auto"/>
        <w:tabs>
          <w:tab w:leader="none" w:pos="3755" w:val="left"/>
        </w:tabs>
        <w:numPr>
          <w:ilvl w:val="0"/>
          <w:numId w:val="45"/>
        </w:numPr>
        <w:rPr>
          <w:rFonts w:ascii="Arial" w:cs="Arial" w:eastAsia="Arial" w:hAnsi="Arial"/>
          <w:sz w:val="19"/>
          <w:szCs w:val="19"/>
          <w:color w:val="auto"/>
        </w:rPr>
      </w:pPr>
      <w:r>
        <w:rPr>
          <w:rFonts w:ascii="Arial" w:cs="Arial" w:eastAsia="Arial" w:hAnsi="Arial"/>
          <w:sz w:val="19"/>
          <w:szCs w:val="19"/>
          <w:u w:val="single" w:color="auto"/>
          <w:color w:val="auto"/>
        </w:rPr>
        <w:t>Title to Property</w:t>
      </w:r>
      <w:r>
        <w:rPr>
          <w:rFonts w:ascii="Arial" w:cs="Arial" w:eastAsia="Arial" w:hAnsi="Arial"/>
          <w:sz w:val="19"/>
          <w:szCs w:val="19"/>
          <w:color w:val="auto"/>
        </w:rPr>
        <w:t>. The Company and the Subsidiaries do not own any real property; and all of the leases and subleases material to the business of the Company and the Subsidiaries, considered as one enterprise, and under which the Company or any of the Subsidiaries holds properties, are in full force and effect, and neither the Company nor any such Subsidiary has received any notice of any material claim of any sort that has been asserted by anyone adverse to the rights of the Company or any Subsidiary under any of the leases or subleases mentioned above, or affecting or questioning the rights of the Company or such Subsidiary to the continued possession of the leased or subleased premises under any such lease or sublease.</w:t>
      </w:r>
    </w:p>
    <w:p>
      <w:pPr>
        <w:spacing w:after="0" w:line="151" w:lineRule="exact"/>
        <w:rPr>
          <w:rFonts w:ascii="Arial" w:cs="Arial" w:eastAsia="Arial" w:hAnsi="Arial"/>
          <w:sz w:val="19"/>
          <w:szCs w:val="19"/>
          <w:color w:val="auto"/>
        </w:rPr>
      </w:pPr>
    </w:p>
    <w:p>
      <w:pPr>
        <w:jc w:val="both"/>
        <w:ind w:left="760" w:firstLine="1494"/>
        <w:spacing w:after="0" w:line="273" w:lineRule="auto"/>
        <w:tabs>
          <w:tab w:leader="none" w:pos="3755" w:val="left"/>
        </w:tabs>
        <w:numPr>
          <w:ilvl w:val="0"/>
          <w:numId w:val="45"/>
        </w:numPr>
        <w:rPr>
          <w:rFonts w:ascii="Arial" w:cs="Arial" w:eastAsia="Arial" w:hAnsi="Arial"/>
          <w:sz w:val="19"/>
          <w:szCs w:val="19"/>
          <w:color w:val="auto"/>
        </w:rPr>
      </w:pPr>
      <w:r>
        <w:rPr>
          <w:rFonts w:ascii="Arial" w:cs="Arial" w:eastAsia="Arial" w:hAnsi="Arial"/>
          <w:sz w:val="19"/>
          <w:szCs w:val="19"/>
          <w:u w:val="single" w:color="auto"/>
          <w:color w:val="auto"/>
        </w:rPr>
        <w:t>Possession of Intellectual Property</w:t>
      </w:r>
      <w:r>
        <w:rPr>
          <w:rFonts w:ascii="Arial" w:cs="Arial" w:eastAsia="Arial" w:hAnsi="Arial"/>
          <w:sz w:val="19"/>
          <w:szCs w:val="19"/>
          <w:color w:val="auto"/>
        </w:rPr>
        <w:t>. Except as would not reasonably be expected, singly or in the aggregate, to have a Material Adverse Effect, the Company and the Subsidiaries own or possess, or can acquire on reasonable terms, adequate patents, patent rights, licenses, inventions, copyrights, know-how (including trade secrets and other unpatented and/or unpatentable proprietary or confidential information, systems or procedures), trademarks, service marks, trade names or other intellectual property (collectively, “Intellectual Property”) necessary to carry on the business now operated by them, and neither the Company nor any of the Subsidiaries has received any notice or is otherwise aware of any infringement of or conflict with asserted rights of others with respect to any Intellectual Property or of any facts or circumstances which would render any Intellectual Property invalid or inadequate to protect the interest of the Company or any of the Subsidiaries therein, and which infringement or conflict (if the subject of any unfavorable decision, ruling or finding) or invalidity or inadequacy, singly or in the aggregate, would reasonably be expected to result in a Material Adverse Effect.</w:t>
      </w:r>
    </w:p>
    <w:p>
      <w:pPr>
        <w:spacing w:after="0" w:line="155" w:lineRule="exact"/>
        <w:rPr>
          <w:rFonts w:ascii="Arial" w:cs="Arial" w:eastAsia="Arial" w:hAnsi="Arial"/>
          <w:sz w:val="19"/>
          <w:szCs w:val="19"/>
          <w:color w:val="auto"/>
        </w:rPr>
      </w:pPr>
    </w:p>
    <w:p>
      <w:pPr>
        <w:ind w:left="760" w:right="20" w:firstLine="1494"/>
        <w:spacing w:after="0" w:line="250" w:lineRule="auto"/>
        <w:tabs>
          <w:tab w:leader="none" w:pos="3755" w:val="left"/>
        </w:tabs>
        <w:numPr>
          <w:ilvl w:val="0"/>
          <w:numId w:val="45"/>
        </w:numPr>
        <w:rPr>
          <w:rFonts w:ascii="Arial" w:cs="Arial" w:eastAsia="Arial" w:hAnsi="Arial"/>
          <w:sz w:val="22"/>
          <w:szCs w:val="22"/>
          <w:color w:val="auto"/>
        </w:rPr>
      </w:pPr>
      <w:r>
        <w:rPr>
          <w:rFonts w:ascii="Arial" w:cs="Arial" w:eastAsia="Arial" w:hAnsi="Arial"/>
          <w:sz w:val="22"/>
          <w:szCs w:val="22"/>
          <w:u w:val="single" w:color="auto"/>
          <w:color w:val="auto"/>
        </w:rPr>
        <w:t>Accounting Controls</w:t>
      </w:r>
      <w:r>
        <w:rPr>
          <w:rFonts w:ascii="Arial" w:cs="Arial" w:eastAsia="Arial" w:hAnsi="Arial"/>
          <w:sz w:val="22"/>
          <w:szCs w:val="22"/>
          <w:color w:val="auto"/>
        </w:rPr>
        <w:t>. The Company, on a consolidated basis, maintains a system of internal control over financial reporting (as defined under Rule 13a-15(f) and</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76" w:lineRule="exact"/>
        <w:rPr>
          <w:sz w:val="20"/>
          <w:szCs w:val="20"/>
          <w:color w:val="auto"/>
        </w:rPr>
      </w:pPr>
    </w:p>
    <w:p>
      <w:pPr>
        <w:spacing w:after="0"/>
        <w:rPr>
          <w:sz w:val="20"/>
          <w:szCs w:val="20"/>
          <w:color w:val="auto"/>
        </w:rPr>
      </w:pPr>
      <w:r>
        <w:rPr>
          <w:rFonts w:ascii="Arial" w:cs="Arial" w:eastAsia="Arial" w:hAnsi="Arial"/>
          <w:sz w:val="14"/>
          <w:szCs w:val="14"/>
          <w:color w:val="auto"/>
        </w:rPr>
        <w:t>28117901.1.BUSINESS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157720" cy="4254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74" w:name="page75"/>
    <w:bookmarkEnd w:id="74"/>
    <w:p>
      <w:pPr>
        <w:jc w:val="both"/>
        <w:ind w:left="760"/>
        <w:spacing w:after="0" w:line="272" w:lineRule="auto"/>
        <w:rPr>
          <w:sz w:val="20"/>
          <w:szCs w:val="20"/>
          <w:color w:val="auto"/>
        </w:rPr>
      </w:pPr>
      <w:r>
        <w:rPr>
          <w:rFonts w:ascii="Arial" w:cs="Arial" w:eastAsia="Arial" w:hAnsi="Arial"/>
          <w:sz w:val="19"/>
          <w:szCs w:val="19"/>
          <w:color w:val="auto"/>
        </w:rPr>
        <w:t>15d-15(f) under the rules and regulations of the Commission under the 1934 Act (such rules and regulations, the “1934 Act Regulations”)) and a system of internal accounting controls sufficient to provide reasonable assurances that (A) transactions are executed in accordance with management’s general or specific authorization; (B) transactions are recorded as necessary to permit preparation of financial statements in conformity with GAAP and to maintain accountability for assets; (C) access to the Company’s consolidated assets is permitted only in accordance with management’s general or specific authorization; and (D) the recorded accountability for assets is compared with the existing assets at reasonable intervals and appropriate action is taken with respect to any differences. Except as described in the Registration Statement and the Prospectus, since the end of the Company’s most recent audited fiscal year, there has been (1) no material weakness in the Company’s internal control over financial reporting (whether or not remediated) and (2) no change in the Company’s internal control over financial reporting that has materially affected, or is reasonably likely to materially affect, the Company’s internal control over financial reporting (it being understood that the Company is not as of the date hereof required to comply with the auditor attestation requirements under Section 404 of the Sarbanes Oxley Act of 2002, as amended).</w:t>
      </w:r>
    </w:p>
    <w:p>
      <w:pPr>
        <w:spacing w:after="0" w:line="200" w:lineRule="exact"/>
        <w:rPr>
          <w:sz w:val="20"/>
          <w:szCs w:val="20"/>
          <w:color w:val="auto"/>
        </w:rPr>
      </w:pPr>
    </w:p>
    <w:p>
      <w:pPr>
        <w:spacing w:after="0" w:line="204" w:lineRule="exact"/>
        <w:rPr>
          <w:sz w:val="20"/>
          <w:szCs w:val="20"/>
          <w:color w:val="auto"/>
        </w:rPr>
      </w:pPr>
    </w:p>
    <w:p>
      <w:pPr>
        <w:jc w:val="both"/>
        <w:ind w:left="760" w:firstLine="1494"/>
        <w:spacing w:after="0" w:line="271" w:lineRule="auto"/>
        <w:tabs>
          <w:tab w:leader="none" w:pos="3755" w:val="left"/>
        </w:tabs>
        <w:numPr>
          <w:ilvl w:val="0"/>
          <w:numId w:val="46"/>
        </w:numPr>
        <w:rPr>
          <w:rFonts w:ascii="Arial" w:cs="Arial" w:eastAsia="Arial" w:hAnsi="Arial"/>
          <w:sz w:val="19"/>
          <w:szCs w:val="19"/>
          <w:color w:val="auto"/>
        </w:rPr>
      </w:pPr>
      <w:r>
        <w:rPr>
          <w:rFonts w:ascii="Arial" w:cs="Arial" w:eastAsia="Arial" w:hAnsi="Arial"/>
          <w:sz w:val="19"/>
          <w:szCs w:val="19"/>
          <w:u w:val="single" w:color="auto"/>
          <w:color w:val="auto"/>
        </w:rPr>
        <w:t>Taxes and Tax Returns</w:t>
      </w:r>
      <w:r>
        <w:rPr>
          <w:rFonts w:ascii="Arial" w:cs="Arial" w:eastAsia="Arial" w:hAnsi="Arial"/>
          <w:sz w:val="19"/>
          <w:szCs w:val="19"/>
          <w:color w:val="auto"/>
        </w:rPr>
        <w:t>. All United States federal income tax returns of the Company and the Subsidiaries required by law to have been filed by them (taking into account any applicable extensions) have been filed and all taxes shown by such returns or otherwise assessed, which are due and payable, have been paid, in each case, except assessments against which appeals have been or will be promptly taken and as to which adequate reserves have been provided or insofar as the failure to do so would not reasonably be expected, singly or in the aggregate, to result in a Material Adverse Effect. The United States federal income tax returns of the Company through the fiscal year ended September 30, 2020 have been filed, and no assessment in connection therewith has been made against the Company. The Company and the Subsidiaries have filed all other tax returns that are required to have been filed by them (taking into account any applicable extensions) pursuant to applicable foreign, state, local or other law and have paid all taxes due pursuant to such returns or pursuant to any assessment received by the Company and the Subsidiaries, except for such taxes, if any, as are being contested in good faith and as to which adequate reserves have been established by the Company or, in each case, insofar as the failure to pay such taxes or file such returns would not reasonably be expected to result in a Material Adverse Effect. The charges, accruals and reserves on the books of the Company in respect of any income and corporation tax liability for any years not finally determined are adequate to meet any current assessments or re-assessments for additional income tax for any years not finally determined, except to the extent of any inadequacy that would not reasonably be expected to result in a Material Adverse Effect.</w:t>
      </w:r>
    </w:p>
    <w:p>
      <w:pPr>
        <w:spacing w:after="0" w:line="156" w:lineRule="exact"/>
        <w:rPr>
          <w:rFonts w:ascii="Arial" w:cs="Arial" w:eastAsia="Arial" w:hAnsi="Arial"/>
          <w:sz w:val="19"/>
          <w:szCs w:val="19"/>
          <w:color w:val="auto"/>
        </w:rPr>
      </w:pPr>
    </w:p>
    <w:p>
      <w:pPr>
        <w:jc w:val="both"/>
        <w:ind w:left="760" w:firstLine="1494"/>
        <w:spacing w:after="0" w:line="249" w:lineRule="auto"/>
        <w:tabs>
          <w:tab w:leader="none" w:pos="3755" w:val="left"/>
        </w:tabs>
        <w:numPr>
          <w:ilvl w:val="0"/>
          <w:numId w:val="46"/>
        </w:numPr>
        <w:rPr>
          <w:rFonts w:ascii="Arial" w:cs="Arial" w:eastAsia="Arial" w:hAnsi="Arial"/>
          <w:sz w:val="21"/>
          <w:szCs w:val="21"/>
          <w:color w:val="auto"/>
        </w:rPr>
      </w:pPr>
      <w:r>
        <w:rPr>
          <w:rFonts w:ascii="Arial" w:cs="Arial" w:eastAsia="Arial" w:hAnsi="Arial"/>
          <w:sz w:val="21"/>
          <w:szCs w:val="21"/>
          <w:u w:val="single" w:color="auto"/>
          <w:color w:val="auto"/>
        </w:rPr>
        <w:t>Insurance</w:t>
      </w:r>
      <w:r>
        <w:rPr>
          <w:rFonts w:ascii="Arial" w:cs="Arial" w:eastAsia="Arial" w:hAnsi="Arial"/>
          <w:sz w:val="21"/>
          <w:szCs w:val="21"/>
          <w:color w:val="auto"/>
        </w:rPr>
        <w:t>. The Company and the Subsidiaries carry or are entitled to the benefits of insurance, with financially sound and reputable insurers, in such amounts and covering such risks as the Company reasonably believes is prudent, and all such insurance is in full force and effect. The Company has no reason to believe that it or any of the Subsidiaries will not be able (A) to renew its existing insurance coverage as and when such policies expire or (B) to obtain comparable coverage from similar institutions as may be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76" w:lineRule="exact"/>
        <w:rPr>
          <w:sz w:val="20"/>
          <w:szCs w:val="20"/>
          <w:color w:val="auto"/>
        </w:rPr>
      </w:pPr>
    </w:p>
    <w:p>
      <w:pPr>
        <w:spacing w:after="0"/>
        <w:rPr>
          <w:sz w:val="20"/>
          <w:szCs w:val="20"/>
          <w:color w:val="auto"/>
        </w:rPr>
      </w:pPr>
      <w:r>
        <w:rPr>
          <w:rFonts w:ascii="Arial" w:cs="Arial" w:eastAsia="Arial" w:hAnsi="Arial"/>
          <w:sz w:val="14"/>
          <w:szCs w:val="14"/>
          <w:color w:val="auto"/>
        </w:rPr>
        <w:t>28117901.1.BUSINESS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157720" cy="4254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75" w:name="page76"/>
    <w:bookmarkEnd w:id="75"/>
    <w:p>
      <w:pPr>
        <w:ind w:left="760"/>
        <w:spacing w:after="0" w:line="250" w:lineRule="auto"/>
        <w:rPr>
          <w:sz w:val="20"/>
          <w:szCs w:val="20"/>
          <w:color w:val="auto"/>
        </w:rPr>
      </w:pPr>
      <w:r>
        <w:rPr>
          <w:rFonts w:ascii="Arial" w:cs="Arial" w:eastAsia="Arial" w:hAnsi="Arial"/>
          <w:sz w:val="22"/>
          <w:szCs w:val="22"/>
          <w:color w:val="auto"/>
        </w:rPr>
        <w:t>necessary or appropriate to conduct its business as now conducted and at a cost that would not reasonably be expected to result in a Material Adverse Effect.</w:t>
      </w:r>
    </w:p>
    <w:p>
      <w:pPr>
        <w:spacing w:after="0" w:line="175" w:lineRule="exact"/>
        <w:rPr>
          <w:sz w:val="20"/>
          <w:szCs w:val="20"/>
          <w:color w:val="auto"/>
        </w:rPr>
      </w:pPr>
    </w:p>
    <w:p>
      <w:pPr>
        <w:jc w:val="both"/>
        <w:ind w:left="760" w:firstLine="1494"/>
        <w:spacing w:after="0" w:line="297" w:lineRule="auto"/>
        <w:tabs>
          <w:tab w:leader="none" w:pos="3755" w:val="left"/>
        </w:tabs>
        <w:numPr>
          <w:ilvl w:val="0"/>
          <w:numId w:val="47"/>
        </w:numPr>
        <w:rPr>
          <w:rFonts w:ascii="Arial" w:cs="Arial" w:eastAsia="Arial" w:hAnsi="Arial"/>
          <w:sz w:val="19"/>
          <w:szCs w:val="19"/>
          <w:color w:val="auto"/>
        </w:rPr>
      </w:pPr>
      <w:r>
        <w:rPr>
          <w:rFonts w:ascii="Arial" w:cs="Arial" w:eastAsia="Arial" w:hAnsi="Arial"/>
          <w:sz w:val="19"/>
          <w:szCs w:val="19"/>
          <w:u w:val="single" w:color="auto"/>
          <w:color w:val="auto"/>
        </w:rPr>
        <w:t>Investment Company Act</w:t>
      </w:r>
      <w:r>
        <w:rPr>
          <w:rFonts w:ascii="Arial" w:cs="Arial" w:eastAsia="Arial" w:hAnsi="Arial"/>
          <w:sz w:val="19"/>
          <w:szCs w:val="19"/>
          <w:color w:val="auto"/>
        </w:rPr>
        <w:t>. The Company is not required and, upon the issuance and sale of the Securities as herein contemplated and the application of the net proceeds therefrom as described in the Prospectus, will not be required to register as an “investment company” as such term is used in the 1940 Act.</w:t>
      </w:r>
    </w:p>
    <w:p>
      <w:pPr>
        <w:spacing w:after="0" w:line="133" w:lineRule="exact"/>
        <w:rPr>
          <w:rFonts w:ascii="Arial" w:cs="Arial" w:eastAsia="Arial" w:hAnsi="Arial"/>
          <w:sz w:val="19"/>
          <w:szCs w:val="19"/>
          <w:color w:val="auto"/>
        </w:rPr>
      </w:pPr>
    </w:p>
    <w:p>
      <w:pPr>
        <w:jc w:val="both"/>
        <w:ind w:left="760" w:firstLine="1494"/>
        <w:spacing w:after="0" w:line="238" w:lineRule="auto"/>
        <w:tabs>
          <w:tab w:leader="none" w:pos="3755" w:val="left"/>
        </w:tabs>
        <w:numPr>
          <w:ilvl w:val="0"/>
          <w:numId w:val="47"/>
        </w:numPr>
        <w:rPr>
          <w:rFonts w:ascii="Arial" w:cs="Arial" w:eastAsia="Arial" w:hAnsi="Arial"/>
          <w:sz w:val="22"/>
          <w:szCs w:val="22"/>
          <w:color w:val="auto"/>
        </w:rPr>
      </w:pPr>
      <w:r>
        <w:rPr>
          <w:rFonts w:ascii="Arial" w:cs="Arial" w:eastAsia="Arial" w:hAnsi="Arial"/>
          <w:sz w:val="22"/>
          <w:szCs w:val="22"/>
          <w:u w:val="single" w:color="auto"/>
          <w:color w:val="auto"/>
        </w:rPr>
        <w:t>Stabilization and Manipulation</w:t>
      </w:r>
      <w:r>
        <w:rPr>
          <w:rFonts w:ascii="Arial" w:cs="Arial" w:eastAsia="Arial" w:hAnsi="Arial"/>
          <w:sz w:val="22"/>
          <w:szCs w:val="22"/>
          <w:color w:val="auto"/>
        </w:rPr>
        <w:t>. The Company has not taken, nor will it take, directly or indirectly, without giving effect to any activities by the Sales Agent, any action designed, or that would reasonably be expected, to cause or result in, or that constitutes, any stabilization or manipulation of the price of the Securities, other than activity permitted pursuant to Rule 10b-18 under the 1934 Act.</w:t>
      </w:r>
    </w:p>
    <w:p>
      <w:pPr>
        <w:spacing w:after="0" w:line="184" w:lineRule="exact"/>
        <w:rPr>
          <w:rFonts w:ascii="Arial" w:cs="Arial" w:eastAsia="Arial" w:hAnsi="Arial"/>
          <w:sz w:val="22"/>
          <w:szCs w:val="22"/>
          <w:color w:val="auto"/>
        </w:rPr>
      </w:pPr>
    </w:p>
    <w:p>
      <w:pPr>
        <w:jc w:val="both"/>
        <w:ind w:left="760" w:firstLine="1494"/>
        <w:spacing w:after="0" w:line="272" w:lineRule="auto"/>
        <w:tabs>
          <w:tab w:leader="none" w:pos="3755" w:val="left"/>
        </w:tabs>
        <w:numPr>
          <w:ilvl w:val="0"/>
          <w:numId w:val="47"/>
        </w:numPr>
        <w:rPr>
          <w:rFonts w:ascii="Arial" w:cs="Arial" w:eastAsia="Arial" w:hAnsi="Arial"/>
          <w:sz w:val="19"/>
          <w:szCs w:val="19"/>
          <w:color w:val="auto"/>
        </w:rPr>
      </w:pPr>
      <w:r>
        <w:rPr>
          <w:rFonts w:ascii="Arial" w:cs="Arial" w:eastAsia="Arial" w:hAnsi="Arial"/>
          <w:sz w:val="19"/>
          <w:szCs w:val="19"/>
          <w:u w:val="single" w:color="auto"/>
          <w:color w:val="auto"/>
        </w:rPr>
        <w:t>Foreign Corrupt Practices Act</w:t>
      </w:r>
      <w:r>
        <w:rPr>
          <w:rFonts w:ascii="Arial" w:cs="Arial" w:eastAsia="Arial" w:hAnsi="Arial"/>
          <w:sz w:val="19"/>
          <w:szCs w:val="19"/>
          <w:color w:val="auto"/>
        </w:rPr>
        <w:t>. None of the Company, any of the Subsidiaries, or, to the knowledge of the Company, any director, officer or employee of the Company or any of the Subsidiaries or any agent, controlled affiliate or other person acting on behalf of the Company or any of the Subsidiaries is aware of, has taken or will take any action, directly or indirectly, that would result in a violation by such persons of the Foreign Corrupt Practices Act of 1977, as amended, and the rules and regulations thereunder (the “FCPA”), including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and to the knowledge of the Company, the Company and its Subsidiaries have conducted their businesses in compliance with the FCPA and have instituted and maintain policies and procedures designed to ensure, and which are reasonably expected to continue to ensure, continued compliance therewith.</w:t>
      </w:r>
    </w:p>
    <w:p>
      <w:pPr>
        <w:spacing w:after="0" w:line="200" w:lineRule="exact"/>
        <w:rPr>
          <w:rFonts w:ascii="Arial" w:cs="Arial" w:eastAsia="Arial" w:hAnsi="Arial"/>
          <w:sz w:val="19"/>
          <w:szCs w:val="19"/>
          <w:color w:val="auto"/>
        </w:rPr>
      </w:pPr>
    </w:p>
    <w:p>
      <w:pPr>
        <w:spacing w:after="0" w:line="208" w:lineRule="exact"/>
        <w:rPr>
          <w:rFonts w:ascii="Arial" w:cs="Arial" w:eastAsia="Arial" w:hAnsi="Arial"/>
          <w:sz w:val="19"/>
          <w:szCs w:val="19"/>
          <w:color w:val="auto"/>
        </w:rPr>
      </w:pPr>
    </w:p>
    <w:p>
      <w:pPr>
        <w:jc w:val="both"/>
        <w:ind w:left="760" w:firstLine="1494"/>
        <w:spacing w:after="0" w:line="275" w:lineRule="auto"/>
        <w:tabs>
          <w:tab w:leader="none" w:pos="3755" w:val="left"/>
        </w:tabs>
        <w:numPr>
          <w:ilvl w:val="0"/>
          <w:numId w:val="47"/>
        </w:numPr>
        <w:rPr>
          <w:rFonts w:ascii="Arial" w:cs="Arial" w:eastAsia="Arial" w:hAnsi="Arial"/>
          <w:sz w:val="19"/>
          <w:szCs w:val="19"/>
          <w:color w:val="auto"/>
        </w:rPr>
      </w:pPr>
      <w:r>
        <w:rPr>
          <w:rFonts w:ascii="Arial" w:cs="Arial" w:eastAsia="Arial" w:hAnsi="Arial"/>
          <w:sz w:val="19"/>
          <w:szCs w:val="19"/>
          <w:u w:val="single" w:color="auto"/>
          <w:color w:val="auto"/>
        </w:rPr>
        <w:t>Anti-Money Laundering Laws</w:t>
      </w:r>
      <w:r>
        <w:rPr>
          <w:rFonts w:ascii="Arial" w:cs="Arial" w:eastAsia="Arial" w:hAnsi="Arial"/>
          <w:sz w:val="19"/>
          <w:szCs w:val="19"/>
          <w:color w:val="auto"/>
        </w:rPr>
        <w:t>. The operations of the Company and the Subsidiaries are and have been conducted at all times in compliance with applicable financial recordkeeping and reporting requirements of the Currency and Foreign Transactions Reporting Act of 1970, as amended, the applicable anti-money laundering statutes of the jurisdictions in which the Company and the Subsidiaries conduct business, the rules and regulations thereunder and any other relevant laws, rules, regulations or guidelines, issued, administered or enforced by any Governmental Entity (collectively, the “Anti-Money Laundering Laws”); and no action, suit or proceeding by or before any Governmental Entity involving the Company or any of the Subsidiaries with respect to the Anti-Money Laundering Laws is pending or, to the best knowledge of the Company, threatened.</w:t>
      </w:r>
    </w:p>
    <w:p>
      <w:pPr>
        <w:spacing w:after="0" w:line="157" w:lineRule="exact"/>
        <w:rPr>
          <w:rFonts w:ascii="Arial" w:cs="Arial" w:eastAsia="Arial" w:hAnsi="Arial"/>
          <w:sz w:val="19"/>
          <w:szCs w:val="19"/>
          <w:color w:val="auto"/>
        </w:rPr>
      </w:pPr>
    </w:p>
    <w:p>
      <w:pPr>
        <w:jc w:val="both"/>
        <w:ind w:left="760" w:firstLine="1494"/>
        <w:spacing w:after="0" w:line="238" w:lineRule="auto"/>
        <w:tabs>
          <w:tab w:leader="none" w:pos="3755" w:val="left"/>
        </w:tabs>
        <w:numPr>
          <w:ilvl w:val="0"/>
          <w:numId w:val="47"/>
        </w:numPr>
        <w:rPr>
          <w:rFonts w:ascii="Arial" w:cs="Arial" w:eastAsia="Arial" w:hAnsi="Arial"/>
          <w:sz w:val="22"/>
          <w:szCs w:val="22"/>
          <w:color w:val="auto"/>
        </w:rPr>
      </w:pPr>
      <w:r>
        <w:rPr>
          <w:rFonts w:ascii="Arial" w:cs="Arial" w:eastAsia="Arial" w:hAnsi="Arial"/>
          <w:sz w:val="22"/>
          <w:szCs w:val="22"/>
          <w:u w:val="single" w:color="auto"/>
          <w:color w:val="auto"/>
        </w:rPr>
        <w:t>OFAC</w:t>
      </w:r>
      <w:r>
        <w:rPr>
          <w:rFonts w:ascii="Arial" w:cs="Arial" w:eastAsia="Arial" w:hAnsi="Arial"/>
          <w:sz w:val="22"/>
          <w:szCs w:val="22"/>
          <w:color w:val="auto"/>
        </w:rPr>
        <w:t>. None of the Company, any of the Subsidiaries, or, to the knowledge of the Company, any director, officer or employee of the Company or any of the Subsidiaries or any agent, controlled affiliate or other person acting on behalf of the Company or any of the Subsidiaries is an individual or entity (“Person”), or is controlled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76" w:lineRule="exact"/>
        <w:rPr>
          <w:sz w:val="20"/>
          <w:szCs w:val="20"/>
          <w:color w:val="auto"/>
        </w:rPr>
      </w:pPr>
    </w:p>
    <w:p>
      <w:pPr>
        <w:spacing w:after="0"/>
        <w:rPr>
          <w:sz w:val="20"/>
          <w:szCs w:val="20"/>
          <w:color w:val="auto"/>
        </w:rPr>
      </w:pPr>
      <w:r>
        <w:rPr>
          <w:rFonts w:ascii="Arial" w:cs="Arial" w:eastAsia="Arial" w:hAnsi="Arial"/>
          <w:sz w:val="14"/>
          <w:szCs w:val="14"/>
          <w:color w:val="auto"/>
        </w:rPr>
        <w:t>28117901.1.BUSINESS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157720" cy="4254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76" w:name="page77"/>
    <w:bookmarkEnd w:id="76"/>
    <w:p>
      <w:pPr>
        <w:jc w:val="both"/>
        <w:ind w:left="760"/>
        <w:spacing w:after="0" w:line="246" w:lineRule="auto"/>
        <w:rPr>
          <w:sz w:val="20"/>
          <w:szCs w:val="20"/>
          <w:color w:val="auto"/>
        </w:rPr>
      </w:pPr>
      <w:r>
        <w:rPr>
          <w:rFonts w:ascii="Arial" w:cs="Arial" w:eastAsia="Arial" w:hAnsi="Arial"/>
          <w:sz w:val="21"/>
          <w:szCs w:val="21"/>
          <w:color w:val="auto"/>
        </w:rPr>
        <w:t>by a Person that is, (i) currently the subject or target of any sanctions administered or enforced by the United States Government, including the U.S. Department of the Treasury’s Office of Foreign Assets Control (“OFAC”), the United Nations Security Council, the European Union, Her Majesty’s Treasury, or other relevant sanctions authority (collectively, “Sanctions”), or (ii) located, organized or resident in a country or territory that is itself the subject of Sanctions. In the past five (5) years, the Company and the Subsidiaries have not knowingly engaged in, and are not now knowingly engaged in, any unauthorized dealings or transactions with any Person that at the time of the dealing or transaction is or was the subject or target of Sanctions.</w:t>
      </w:r>
    </w:p>
    <w:p>
      <w:pPr>
        <w:spacing w:after="0" w:line="184" w:lineRule="exact"/>
        <w:rPr>
          <w:sz w:val="20"/>
          <w:szCs w:val="20"/>
          <w:color w:val="auto"/>
        </w:rPr>
      </w:pPr>
    </w:p>
    <w:p>
      <w:pPr>
        <w:jc w:val="both"/>
        <w:ind w:left="760" w:firstLine="1494"/>
        <w:spacing w:after="0" w:line="238" w:lineRule="auto"/>
        <w:tabs>
          <w:tab w:leader="none" w:pos="3755" w:val="left"/>
        </w:tabs>
        <w:numPr>
          <w:ilvl w:val="0"/>
          <w:numId w:val="48"/>
        </w:numPr>
        <w:rPr>
          <w:rFonts w:ascii="Arial" w:cs="Arial" w:eastAsia="Arial" w:hAnsi="Arial"/>
          <w:sz w:val="22"/>
          <w:szCs w:val="22"/>
          <w:color w:val="auto"/>
        </w:rPr>
      </w:pPr>
      <w:r>
        <w:rPr>
          <w:rFonts w:ascii="Arial" w:cs="Arial" w:eastAsia="Arial" w:hAnsi="Arial"/>
          <w:sz w:val="22"/>
          <w:szCs w:val="22"/>
          <w:u w:val="single" w:color="auto"/>
          <w:color w:val="auto"/>
        </w:rPr>
        <w:t>Lending Relationship</w:t>
      </w:r>
      <w:r>
        <w:rPr>
          <w:rFonts w:ascii="Arial" w:cs="Arial" w:eastAsia="Arial" w:hAnsi="Arial"/>
          <w:sz w:val="22"/>
          <w:szCs w:val="22"/>
          <w:color w:val="auto"/>
        </w:rPr>
        <w:t>. Except as disclosed in the Registration Statement and the Prospectus, the Company (i) does not have any material lending or other relationship with any bank or lending affiliate of the Sales Agent and (ii) does not intend to use any of the proceeds from the sale of the Securities to repay any outstanding debt owed to any affiliate of the Sales Agent.</w:t>
      </w:r>
    </w:p>
    <w:p>
      <w:pPr>
        <w:spacing w:after="0" w:line="184" w:lineRule="exact"/>
        <w:rPr>
          <w:rFonts w:ascii="Arial" w:cs="Arial" w:eastAsia="Arial" w:hAnsi="Arial"/>
          <w:sz w:val="22"/>
          <w:szCs w:val="22"/>
          <w:color w:val="auto"/>
        </w:rPr>
      </w:pPr>
    </w:p>
    <w:p>
      <w:pPr>
        <w:jc w:val="both"/>
        <w:ind w:left="760" w:firstLine="1494"/>
        <w:spacing w:after="0" w:line="238" w:lineRule="auto"/>
        <w:tabs>
          <w:tab w:leader="none" w:pos="3755" w:val="left"/>
        </w:tabs>
        <w:numPr>
          <w:ilvl w:val="0"/>
          <w:numId w:val="48"/>
        </w:numPr>
        <w:rPr>
          <w:rFonts w:ascii="Arial" w:cs="Arial" w:eastAsia="Arial" w:hAnsi="Arial"/>
          <w:sz w:val="22"/>
          <w:szCs w:val="22"/>
          <w:color w:val="auto"/>
        </w:rPr>
      </w:pPr>
      <w:r>
        <w:rPr>
          <w:rFonts w:ascii="Arial" w:cs="Arial" w:eastAsia="Arial" w:hAnsi="Arial"/>
          <w:sz w:val="22"/>
          <w:szCs w:val="22"/>
          <w:u w:val="single" w:color="auto"/>
          <w:color w:val="auto"/>
        </w:rPr>
        <w:t>Statistical and Market-Related Data</w:t>
      </w:r>
      <w:r>
        <w:rPr>
          <w:rFonts w:ascii="Arial" w:cs="Arial" w:eastAsia="Arial" w:hAnsi="Arial"/>
          <w:sz w:val="22"/>
          <w:szCs w:val="22"/>
          <w:color w:val="auto"/>
        </w:rPr>
        <w:t>. Any statistical and market-related data included or incorporated by reference in the Registration Statement or the Prospectus are based on or derived from sources that the Company believes to be reliable and accurate and, to the extent required, the Company has obtained the written consent to the use of such data from such sources.</w:t>
      </w:r>
    </w:p>
    <w:p>
      <w:pPr>
        <w:spacing w:after="0" w:line="184" w:lineRule="exact"/>
        <w:rPr>
          <w:rFonts w:ascii="Arial" w:cs="Arial" w:eastAsia="Arial" w:hAnsi="Arial"/>
          <w:sz w:val="22"/>
          <w:szCs w:val="22"/>
          <w:color w:val="auto"/>
        </w:rPr>
      </w:pPr>
    </w:p>
    <w:p>
      <w:pPr>
        <w:jc w:val="both"/>
        <w:ind w:left="760" w:firstLine="1494"/>
        <w:spacing w:after="0"/>
        <w:tabs>
          <w:tab w:leader="none" w:pos="3755" w:val="left"/>
        </w:tabs>
        <w:numPr>
          <w:ilvl w:val="0"/>
          <w:numId w:val="48"/>
        </w:numPr>
        <w:rPr>
          <w:rFonts w:ascii="Arial" w:cs="Arial" w:eastAsia="Arial" w:hAnsi="Arial"/>
          <w:sz w:val="22"/>
          <w:szCs w:val="22"/>
          <w:color w:val="auto"/>
        </w:rPr>
      </w:pPr>
      <w:r>
        <w:rPr>
          <w:rFonts w:ascii="Arial" w:cs="Arial" w:eastAsia="Arial" w:hAnsi="Arial"/>
          <w:sz w:val="22"/>
          <w:szCs w:val="22"/>
          <w:u w:val="single" w:color="auto"/>
          <w:color w:val="auto"/>
        </w:rPr>
        <w:t>Related Party Transactions</w:t>
      </w:r>
      <w:r>
        <w:rPr>
          <w:rFonts w:ascii="Arial" w:cs="Arial" w:eastAsia="Arial" w:hAnsi="Arial"/>
          <w:sz w:val="22"/>
          <w:szCs w:val="22"/>
          <w:color w:val="auto"/>
        </w:rPr>
        <w:t>. There are no business relationships or related party transactions involving the Company, any of the Subsidiaries or any other person required to be described in the Registration Statement or the Prospectus which have not been described as required.</w:t>
      </w:r>
    </w:p>
    <w:p>
      <w:pPr>
        <w:spacing w:after="0" w:line="186" w:lineRule="exact"/>
        <w:rPr>
          <w:rFonts w:ascii="Arial" w:cs="Arial" w:eastAsia="Arial" w:hAnsi="Arial"/>
          <w:sz w:val="22"/>
          <w:szCs w:val="22"/>
          <w:color w:val="auto"/>
        </w:rPr>
      </w:pPr>
    </w:p>
    <w:p>
      <w:pPr>
        <w:jc w:val="both"/>
        <w:ind w:left="760" w:firstLine="1494"/>
        <w:spacing w:after="0" w:line="236" w:lineRule="auto"/>
        <w:tabs>
          <w:tab w:leader="none" w:pos="3755" w:val="left"/>
        </w:tabs>
        <w:numPr>
          <w:ilvl w:val="0"/>
          <w:numId w:val="48"/>
        </w:numPr>
        <w:rPr>
          <w:rFonts w:ascii="Arial" w:cs="Arial" w:eastAsia="Arial" w:hAnsi="Arial"/>
          <w:sz w:val="22"/>
          <w:szCs w:val="22"/>
          <w:color w:val="auto"/>
        </w:rPr>
      </w:pPr>
      <w:r>
        <w:rPr>
          <w:rFonts w:ascii="Arial" w:cs="Arial" w:eastAsia="Arial" w:hAnsi="Arial"/>
          <w:sz w:val="22"/>
          <w:szCs w:val="22"/>
          <w:u w:val="single" w:color="auto"/>
          <w:color w:val="auto"/>
        </w:rPr>
        <w:t>Notification of Election</w:t>
      </w:r>
      <w:r>
        <w:rPr>
          <w:rFonts w:ascii="Arial" w:cs="Arial" w:eastAsia="Arial" w:hAnsi="Arial"/>
          <w:sz w:val="22"/>
          <w:szCs w:val="22"/>
          <w:color w:val="auto"/>
        </w:rPr>
        <w:t>. When the Notification of Election was filed with the Commission, it (A) contained all statements required to be stated therein in accordance with, and complied in all material respects with the requirements of, the 1940 Act and (B) did not include any untrue statement of a material fact or omit to state a material fact necessary in order to make the statements therein, in the light of the circumstances under which they were made, not misleading.</w:t>
      </w:r>
    </w:p>
    <w:p>
      <w:pPr>
        <w:spacing w:after="0" w:line="187" w:lineRule="exact"/>
        <w:rPr>
          <w:rFonts w:ascii="Arial" w:cs="Arial" w:eastAsia="Arial" w:hAnsi="Arial"/>
          <w:sz w:val="22"/>
          <w:szCs w:val="22"/>
          <w:color w:val="auto"/>
        </w:rPr>
      </w:pPr>
    </w:p>
    <w:p>
      <w:pPr>
        <w:jc w:val="both"/>
        <w:ind w:left="760" w:firstLine="1494"/>
        <w:spacing w:after="0" w:line="273" w:lineRule="auto"/>
        <w:tabs>
          <w:tab w:leader="none" w:pos="3755" w:val="left"/>
        </w:tabs>
        <w:numPr>
          <w:ilvl w:val="0"/>
          <w:numId w:val="48"/>
        </w:numPr>
        <w:rPr>
          <w:rFonts w:ascii="Arial" w:cs="Arial" w:eastAsia="Arial" w:hAnsi="Arial"/>
          <w:sz w:val="19"/>
          <w:szCs w:val="19"/>
          <w:color w:val="auto"/>
        </w:rPr>
      </w:pPr>
      <w:r>
        <w:rPr>
          <w:rFonts w:ascii="Arial" w:cs="Arial" w:eastAsia="Arial" w:hAnsi="Arial"/>
          <w:sz w:val="19"/>
          <w:szCs w:val="19"/>
          <w:u w:val="single" w:color="auto"/>
          <w:color w:val="auto"/>
        </w:rPr>
        <w:t>Investment Management Agreement and Administration Agreement</w:t>
      </w:r>
      <w:r>
        <w:rPr>
          <w:rFonts w:ascii="Arial" w:cs="Arial" w:eastAsia="Arial" w:hAnsi="Arial"/>
          <w:sz w:val="19"/>
          <w:szCs w:val="19"/>
          <w:color w:val="auto"/>
        </w:rPr>
        <w:t>. (A) The terms of the Investment Management Agreement and the Administration Agreement, including compensation terms, comply in all material respects with all applicable provisions of the 1940 Act, the 1940 Act Regulations and the Investment Advisers Act of 1940, as amended, and the rules and regulations thereunder (collectively, the “Advisers Act”) and (B) the approvals by the board of directors and the stockholders of the Company of the Investment Management Agreement and the Administration Agreement have been made in accordance with the requirements of Section 15(a) and (c) of the 1940 Act and the 1940 Act Regulations applicable to companies that have elected to be regulated as business development companies under the 1940 Act. Each of the Investment Management Agreement and the Administration Agreement has been duly authorized, executed and delivered by the Company and is a valid and binding obligation of the Company, enforceable against the Company in accordance with its terms, except as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76" w:lineRule="exact"/>
        <w:rPr>
          <w:sz w:val="20"/>
          <w:szCs w:val="20"/>
          <w:color w:val="auto"/>
        </w:rPr>
      </w:pPr>
    </w:p>
    <w:p>
      <w:pPr>
        <w:spacing w:after="0"/>
        <w:rPr>
          <w:sz w:val="20"/>
          <w:szCs w:val="20"/>
          <w:color w:val="auto"/>
        </w:rPr>
      </w:pPr>
      <w:r>
        <w:rPr>
          <w:rFonts w:ascii="Arial" w:cs="Arial" w:eastAsia="Arial" w:hAnsi="Arial"/>
          <w:sz w:val="14"/>
          <w:szCs w:val="14"/>
          <w:color w:val="auto"/>
        </w:rPr>
        <w:t>28117901.1.BUSINESS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157720" cy="4254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77" w:name="page78"/>
    <w:bookmarkEnd w:id="77"/>
    <w:p>
      <w:pPr>
        <w:jc w:val="both"/>
        <w:ind w:left="760"/>
        <w:spacing w:after="0"/>
        <w:rPr>
          <w:sz w:val="20"/>
          <w:szCs w:val="20"/>
          <w:color w:val="auto"/>
        </w:rPr>
      </w:pPr>
      <w:r>
        <w:rPr>
          <w:rFonts w:ascii="Arial" w:cs="Arial" w:eastAsia="Arial" w:hAnsi="Arial"/>
          <w:sz w:val="22"/>
          <w:szCs w:val="22"/>
          <w:color w:val="auto"/>
        </w:rPr>
        <w:t>the enforcement thereof may be subject to (i) bankruptcy, insolvency, reorganization, moratorium or other similar laws now or thereafter in effect relating to creditors’ rights generally and (ii) general principles of equity and the discretion of the court before which any proceeding therefor may be brought.</w:t>
      </w:r>
    </w:p>
    <w:p>
      <w:pPr>
        <w:spacing w:after="0" w:line="186" w:lineRule="exact"/>
        <w:rPr>
          <w:sz w:val="20"/>
          <w:szCs w:val="20"/>
          <w:color w:val="auto"/>
        </w:rPr>
      </w:pPr>
    </w:p>
    <w:p>
      <w:pPr>
        <w:jc w:val="both"/>
        <w:ind w:left="760" w:firstLine="1494"/>
        <w:spacing w:after="0" w:line="236" w:lineRule="auto"/>
        <w:tabs>
          <w:tab w:leader="none" w:pos="3755" w:val="left"/>
        </w:tabs>
        <w:numPr>
          <w:ilvl w:val="0"/>
          <w:numId w:val="49"/>
        </w:numPr>
        <w:rPr>
          <w:rFonts w:ascii="Arial" w:cs="Arial" w:eastAsia="Arial" w:hAnsi="Arial"/>
          <w:sz w:val="22"/>
          <w:szCs w:val="22"/>
          <w:color w:val="auto"/>
        </w:rPr>
      </w:pPr>
      <w:r>
        <w:rPr>
          <w:rFonts w:ascii="Arial" w:cs="Arial" w:eastAsia="Arial" w:hAnsi="Arial"/>
          <w:sz w:val="22"/>
          <w:szCs w:val="22"/>
          <w:u w:val="single" w:color="auto"/>
          <w:color w:val="auto"/>
        </w:rPr>
        <w:t>Interested Persons</w:t>
      </w:r>
      <w:r>
        <w:rPr>
          <w:rFonts w:ascii="Arial" w:cs="Arial" w:eastAsia="Arial" w:hAnsi="Arial"/>
          <w:sz w:val="22"/>
          <w:szCs w:val="22"/>
          <w:color w:val="auto"/>
        </w:rPr>
        <w:t>. Except as disclosed in the Registration Statement and the Prospectus (A) no person is serving or acting as an officer, director or investment adviser of the Company, except in accordance with the provisions of the 1940 Act and the Advisers Act, and (B) to the knowledge of the Company, no director of the Company is an “interested person” (as defined in the 1940 Act) of the Company or an “affiliated person” (as defined in the 1940 Act) of the Sales Agent.</w:t>
      </w:r>
    </w:p>
    <w:p>
      <w:pPr>
        <w:spacing w:after="0" w:line="187" w:lineRule="exact"/>
        <w:rPr>
          <w:rFonts w:ascii="Arial" w:cs="Arial" w:eastAsia="Arial" w:hAnsi="Arial"/>
          <w:sz w:val="22"/>
          <w:szCs w:val="22"/>
          <w:color w:val="auto"/>
        </w:rPr>
      </w:pPr>
    </w:p>
    <w:p>
      <w:pPr>
        <w:jc w:val="both"/>
        <w:ind w:left="760" w:firstLine="1494"/>
        <w:spacing w:after="0" w:line="246" w:lineRule="auto"/>
        <w:tabs>
          <w:tab w:leader="none" w:pos="3755" w:val="left"/>
        </w:tabs>
        <w:numPr>
          <w:ilvl w:val="0"/>
          <w:numId w:val="49"/>
        </w:numPr>
        <w:rPr>
          <w:rFonts w:ascii="Arial" w:cs="Arial" w:eastAsia="Arial" w:hAnsi="Arial"/>
          <w:sz w:val="21"/>
          <w:szCs w:val="21"/>
          <w:color w:val="auto"/>
        </w:rPr>
      </w:pPr>
      <w:r>
        <w:rPr>
          <w:rFonts w:ascii="Arial" w:cs="Arial" w:eastAsia="Arial" w:hAnsi="Arial"/>
          <w:sz w:val="21"/>
          <w:szCs w:val="21"/>
          <w:u w:val="single" w:color="auto"/>
          <w:color w:val="auto"/>
        </w:rPr>
        <w:t>Business Development Company</w:t>
      </w:r>
      <w:r>
        <w:rPr>
          <w:rFonts w:ascii="Arial" w:cs="Arial" w:eastAsia="Arial" w:hAnsi="Arial"/>
          <w:sz w:val="21"/>
          <w:szCs w:val="21"/>
          <w:color w:val="auto"/>
        </w:rPr>
        <w:t>. (A) The Company has duly elected to be treated by the Commission under the 1940 Act as a business development company, such election is effective and all required action has been taken by the Company under the 1933 Act and the 1940 Act to make the public offering and consummate the sale of the Securities as provided in this Agreement; (B) the provisions of the charter and bylaws of the Company, and the investment objectives, policies and restrictions described in the Prospectus comply in all material respects with the requirements of the 1940 Act applicable to business development companies; and (C) the operations of the Company are in compliance in all material respects with the provisions of the 1940 Act and the 1940 Act Regulations applicable to business development companies.</w:t>
      </w:r>
    </w:p>
    <w:p>
      <w:pPr>
        <w:spacing w:after="0" w:line="179" w:lineRule="exact"/>
        <w:rPr>
          <w:rFonts w:ascii="Arial" w:cs="Arial" w:eastAsia="Arial" w:hAnsi="Arial"/>
          <w:sz w:val="21"/>
          <w:szCs w:val="21"/>
          <w:color w:val="auto"/>
        </w:rPr>
      </w:pPr>
    </w:p>
    <w:p>
      <w:pPr>
        <w:jc w:val="both"/>
        <w:ind w:left="760" w:firstLine="1494"/>
        <w:spacing w:after="0" w:line="252" w:lineRule="auto"/>
        <w:tabs>
          <w:tab w:leader="none" w:pos="3755" w:val="left"/>
        </w:tabs>
        <w:numPr>
          <w:ilvl w:val="0"/>
          <w:numId w:val="49"/>
        </w:numPr>
        <w:rPr>
          <w:rFonts w:ascii="Arial" w:cs="Arial" w:eastAsia="Arial" w:hAnsi="Arial"/>
          <w:sz w:val="21"/>
          <w:szCs w:val="21"/>
          <w:color w:val="auto"/>
        </w:rPr>
      </w:pPr>
      <w:r>
        <w:rPr>
          <w:rFonts w:ascii="Arial" w:cs="Arial" w:eastAsia="Arial" w:hAnsi="Arial"/>
          <w:sz w:val="21"/>
          <w:szCs w:val="21"/>
          <w:u w:val="single" w:color="auto"/>
          <w:color w:val="auto"/>
        </w:rPr>
        <w:t>No Extension of Credit</w:t>
      </w:r>
      <w:r>
        <w:rPr>
          <w:rFonts w:ascii="Arial" w:cs="Arial" w:eastAsia="Arial" w:hAnsi="Arial"/>
          <w:sz w:val="21"/>
          <w:szCs w:val="21"/>
          <w:color w:val="auto"/>
        </w:rPr>
        <w:t>. The Company has not, directly or indirectly, extended credit, agreed to extend credit, arranged to extend credit or renewed any extension of credit, in the form of a personal loan, to or for any director or executive officer of the Company or any of the Subsidiaries, or to or for any family member or affiliate of any director or executive officer of the Company or any of the Subsidiaries.</w:t>
      </w:r>
    </w:p>
    <w:p>
      <w:pPr>
        <w:spacing w:after="0" w:line="174" w:lineRule="exact"/>
        <w:rPr>
          <w:sz w:val="20"/>
          <w:szCs w:val="20"/>
          <w:color w:val="auto"/>
        </w:rPr>
      </w:pPr>
    </w:p>
    <w:p>
      <w:pPr>
        <w:jc w:val="both"/>
        <w:ind w:left="760" w:firstLine="1497"/>
        <w:spacing w:after="0" w:line="236" w:lineRule="auto"/>
        <w:rPr>
          <w:sz w:val="20"/>
          <w:szCs w:val="20"/>
          <w:color w:val="auto"/>
        </w:rPr>
      </w:pPr>
      <w:r>
        <w:rPr>
          <w:rFonts w:ascii="Arial" w:cs="Arial" w:eastAsia="Arial" w:hAnsi="Arial"/>
          <w:sz w:val="22"/>
          <w:szCs w:val="22"/>
          <w:color w:val="auto"/>
        </w:rPr>
        <w:t xml:space="preserve">(xl) </w:t>
      </w:r>
      <w:r>
        <w:rPr>
          <w:rFonts w:ascii="Arial" w:cs="Arial" w:eastAsia="Arial" w:hAnsi="Arial"/>
          <w:sz w:val="22"/>
          <w:szCs w:val="22"/>
          <w:u w:val="single" w:color="auto"/>
          <w:color w:val="auto"/>
        </w:rPr>
        <w:t>Regulated Investment Company</w:t>
      </w:r>
      <w:r>
        <w:rPr>
          <w:rFonts w:ascii="Arial" w:cs="Arial" w:eastAsia="Arial" w:hAnsi="Arial"/>
          <w:sz w:val="22"/>
          <w:szCs w:val="22"/>
          <w:color w:val="auto"/>
        </w:rPr>
        <w:t>. The Company has elected to be treated, and has operated, and intends to continue to operate, its business in such a manner as to enable the Company to continue to qualify as a regulated investment company under Subchapter M of U.S. Internal Revenue Code of 1986, as amended (the “Code”). The Company intends to direct the investment of the proceeds of the offering of the Securities in a manner as to comply with the requirements of Subchapter M of the Code.</w:t>
      </w:r>
    </w:p>
    <w:p>
      <w:pPr>
        <w:spacing w:after="0" w:line="187" w:lineRule="exact"/>
        <w:rPr>
          <w:sz w:val="20"/>
          <w:szCs w:val="20"/>
          <w:color w:val="auto"/>
        </w:rPr>
      </w:pPr>
    </w:p>
    <w:p>
      <w:pPr>
        <w:jc w:val="both"/>
        <w:ind w:left="760" w:firstLine="1497"/>
        <w:spacing w:after="0" w:line="236" w:lineRule="auto"/>
        <w:rPr>
          <w:sz w:val="20"/>
          <w:szCs w:val="20"/>
          <w:color w:val="auto"/>
        </w:rPr>
      </w:pPr>
      <w:r>
        <w:rPr>
          <w:rFonts w:ascii="Arial" w:cs="Arial" w:eastAsia="Arial" w:hAnsi="Arial"/>
          <w:sz w:val="22"/>
          <w:szCs w:val="22"/>
          <w:color w:val="auto"/>
        </w:rPr>
        <w:t xml:space="preserve">(xli) </w:t>
      </w:r>
      <w:r>
        <w:rPr>
          <w:rFonts w:ascii="Arial" w:cs="Arial" w:eastAsia="Arial" w:hAnsi="Arial"/>
          <w:sz w:val="22"/>
          <w:szCs w:val="22"/>
          <w:u w:val="single" w:color="auto"/>
          <w:color w:val="auto"/>
        </w:rPr>
        <w:t>Sarbanes-Oxley Act</w:t>
      </w:r>
      <w:r>
        <w:rPr>
          <w:rFonts w:ascii="Arial" w:cs="Arial" w:eastAsia="Arial" w:hAnsi="Arial"/>
          <w:sz w:val="22"/>
          <w:szCs w:val="22"/>
          <w:color w:val="auto"/>
        </w:rPr>
        <w:t>. To the extent applicable to the Company on the date hereof, there is and has been no failure on the part of the Company or, to the knowledge of the Company, any of the Company’s directors or officers, in their capacities as such, to comply in all material respects with any provision of the Sarbanes-Oxley Act of 2002 and the rules and regulations promulgated in connection therewith, including Section 402 related to loans and Sections 302 and 906 related to certifications.</w:t>
      </w:r>
    </w:p>
    <w:p>
      <w:pPr>
        <w:spacing w:after="0" w:line="187" w:lineRule="exact"/>
        <w:rPr>
          <w:sz w:val="20"/>
          <w:szCs w:val="20"/>
          <w:color w:val="auto"/>
        </w:rPr>
      </w:pPr>
    </w:p>
    <w:p>
      <w:pPr>
        <w:jc w:val="both"/>
        <w:ind w:left="760" w:firstLine="1497"/>
        <w:spacing w:after="0" w:line="257" w:lineRule="auto"/>
        <w:rPr>
          <w:sz w:val="20"/>
          <w:szCs w:val="20"/>
          <w:color w:val="auto"/>
        </w:rPr>
      </w:pPr>
      <w:r>
        <w:rPr>
          <w:rFonts w:ascii="Arial" w:cs="Arial" w:eastAsia="Arial" w:hAnsi="Arial"/>
          <w:sz w:val="21"/>
          <w:szCs w:val="21"/>
          <w:color w:val="auto"/>
        </w:rPr>
        <w:t xml:space="preserve">(xlii) </w:t>
      </w:r>
      <w:r>
        <w:rPr>
          <w:rFonts w:ascii="Arial" w:cs="Arial" w:eastAsia="Arial" w:hAnsi="Arial"/>
          <w:sz w:val="21"/>
          <w:szCs w:val="21"/>
          <w:u w:val="single" w:color="auto"/>
          <w:color w:val="auto"/>
        </w:rPr>
        <w:t>Forward-Looking Statements</w:t>
      </w:r>
      <w:r>
        <w:rPr>
          <w:rFonts w:ascii="Arial" w:cs="Arial" w:eastAsia="Arial" w:hAnsi="Arial"/>
          <w:sz w:val="21"/>
          <w:szCs w:val="21"/>
          <w:i w:val="1"/>
          <w:iCs w:val="1"/>
          <w:color w:val="auto"/>
        </w:rPr>
        <w:t>.</w:t>
      </w:r>
      <w:r>
        <w:rPr>
          <w:rFonts w:ascii="Arial" w:cs="Arial" w:eastAsia="Arial" w:hAnsi="Arial"/>
          <w:sz w:val="21"/>
          <w:szCs w:val="21"/>
          <w:color w:val="auto"/>
        </w:rPr>
        <w:t xml:space="preserve"> No forward-looking statement (within the meaning of Section 27A of the 1933 Act and Section 21E of the 1934 Act) contained in the Registration Statement or the Prospectus has been made or reaffirmed without a reasonable basis or has been disclosed other than in good faith.</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76" w:lineRule="exact"/>
        <w:rPr>
          <w:sz w:val="20"/>
          <w:szCs w:val="20"/>
          <w:color w:val="auto"/>
        </w:rPr>
      </w:pPr>
    </w:p>
    <w:p>
      <w:pPr>
        <w:spacing w:after="0"/>
        <w:rPr>
          <w:sz w:val="20"/>
          <w:szCs w:val="20"/>
          <w:color w:val="auto"/>
        </w:rPr>
      </w:pPr>
      <w:r>
        <w:rPr>
          <w:rFonts w:ascii="Arial" w:cs="Arial" w:eastAsia="Arial" w:hAnsi="Arial"/>
          <w:sz w:val="14"/>
          <w:szCs w:val="14"/>
          <w:color w:val="auto"/>
        </w:rPr>
        <w:t>28117901.1.BUSINESS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157720" cy="4254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78" w:name="page79"/>
    <w:bookmarkEnd w:id="78"/>
    <w:p>
      <w:pPr>
        <w:jc w:val="both"/>
        <w:ind w:left="760" w:firstLine="1497"/>
        <w:spacing w:after="0" w:line="270" w:lineRule="auto"/>
        <w:rPr>
          <w:sz w:val="20"/>
          <w:szCs w:val="20"/>
          <w:color w:val="auto"/>
        </w:rPr>
      </w:pPr>
      <w:r>
        <w:rPr>
          <w:rFonts w:ascii="Arial" w:cs="Arial" w:eastAsia="Arial" w:hAnsi="Arial"/>
          <w:sz w:val="19"/>
          <w:szCs w:val="19"/>
          <w:color w:val="auto"/>
        </w:rPr>
        <w:t xml:space="preserve">(xliii) </w:t>
      </w:r>
      <w:r>
        <w:rPr>
          <w:rFonts w:ascii="Arial" w:cs="Arial" w:eastAsia="Arial" w:hAnsi="Arial"/>
          <w:sz w:val="19"/>
          <w:szCs w:val="19"/>
          <w:u w:val="single" w:color="auto"/>
          <w:color w:val="auto"/>
        </w:rPr>
        <w:t>IT Systems</w:t>
      </w:r>
      <w:r>
        <w:rPr>
          <w:rFonts w:ascii="Arial" w:cs="Arial" w:eastAsia="Arial" w:hAnsi="Arial"/>
          <w:sz w:val="19"/>
          <w:szCs w:val="19"/>
          <w:color w:val="auto"/>
        </w:rPr>
        <w:t>. The Company and the Subsidiaries’ information technology assets and equipment, computers, systems, networks, hardware, software, websites, applications, and databases (collectively, “IT Systems”) are adequate for, and operate and perform in all material respects as required in connection with the operation of the business of the Company and the Subsidiaries as currently conducted, free and clear of all material bugs, errors, defects, Trojan horses, time bombs, malware and other corruptants, except, in each case, as would not reasonably be expected to, individually or in the aggregate, have a Material Adverse Effect. The Company and the Subsidiaries have implemented and maintained commercially reasonable controls, policies, procedures, and safeguards to maintain and protect their material confidential information and the integrity, continuous operation, redundancy and security of all material IT Systems and data (including all personal, personally identifiable, sensitive, confidential or regulated data (“Personal Data”)) used in connection with their businesses, and there have been no breaches, violations, outages or unauthorized uses of or accesses to same, except, in each case, as would not reasonably be expected to, individually or in the aggregate, have a Material Adverse Effect. The Company and the Subsidiaries are presently in material compliance with all applicable laws or statutes and all judgments, orders, rules and regulations of any court or arbitrator or governmental or regulatory authority, internal policies and contractual obligations relating to the privacy and security of IT Systems and Personal Data and to the protection of such IT Systems and Personal Data from unauthorized use, access, misappropriation or modification, except, in each case, as would not reasonably be expected to, individually or in the aggregate, have a Material Adverse Effect.</w:t>
      </w:r>
    </w:p>
    <w:p>
      <w:pPr>
        <w:spacing w:after="0" w:line="200" w:lineRule="exact"/>
        <w:rPr>
          <w:sz w:val="20"/>
          <w:szCs w:val="20"/>
          <w:color w:val="auto"/>
        </w:rPr>
      </w:pPr>
    </w:p>
    <w:p>
      <w:pPr>
        <w:spacing w:after="0" w:line="214" w:lineRule="exact"/>
        <w:rPr>
          <w:sz w:val="20"/>
          <w:szCs w:val="20"/>
          <w:color w:val="auto"/>
        </w:rPr>
      </w:pPr>
    </w:p>
    <w:p>
      <w:pPr>
        <w:ind w:left="1500"/>
        <w:spacing w:after="0"/>
        <w:tabs>
          <w:tab w:leader="none" w:pos="2980" w:val="left"/>
        </w:tabs>
        <w:rPr>
          <w:sz w:val="20"/>
          <w:szCs w:val="20"/>
          <w:color w:val="auto"/>
        </w:rPr>
      </w:pPr>
      <w:r>
        <w:rPr>
          <w:rFonts w:ascii="Arial" w:cs="Arial" w:eastAsia="Arial" w:hAnsi="Arial"/>
          <w:sz w:val="19"/>
          <w:szCs w:val="19"/>
          <w:color w:val="auto"/>
        </w:rPr>
        <w:t>(b)</w:t>
      </w:r>
      <w:r>
        <w:rPr>
          <w:sz w:val="20"/>
          <w:szCs w:val="20"/>
          <w:color w:val="auto"/>
        </w:rPr>
        <w:tab/>
      </w:r>
      <w:r>
        <w:rPr>
          <w:rFonts w:ascii="Arial" w:cs="Arial" w:eastAsia="Arial" w:hAnsi="Arial"/>
          <w:sz w:val="19"/>
          <w:szCs w:val="19"/>
          <w:i w:val="1"/>
          <w:iCs w:val="1"/>
          <w:color w:val="auto"/>
        </w:rPr>
        <w:t>Representations and Warranties by the Adviser and the Administrator</w:t>
      </w:r>
      <w:r>
        <w:rPr>
          <w:rFonts w:ascii="Arial" w:cs="Arial" w:eastAsia="Arial" w:hAnsi="Arial"/>
          <w:sz w:val="19"/>
          <w:szCs w:val="19"/>
          <w:color w:val="auto"/>
        </w:rPr>
        <w:t>. The Adviser and the</w:t>
      </w:r>
    </w:p>
    <w:p>
      <w:pPr>
        <w:spacing w:after="0" w:line="43" w:lineRule="exact"/>
        <w:rPr>
          <w:sz w:val="20"/>
          <w:szCs w:val="20"/>
          <w:color w:val="auto"/>
        </w:rPr>
      </w:pPr>
    </w:p>
    <w:p>
      <w:pPr>
        <w:ind w:right="20"/>
        <w:spacing w:after="0" w:line="308" w:lineRule="auto"/>
        <w:rPr>
          <w:sz w:val="20"/>
          <w:szCs w:val="20"/>
          <w:color w:val="auto"/>
        </w:rPr>
      </w:pPr>
      <w:r>
        <w:rPr>
          <w:rFonts w:ascii="Arial" w:cs="Arial" w:eastAsia="Arial" w:hAnsi="Arial"/>
          <w:sz w:val="19"/>
          <w:szCs w:val="19"/>
          <w:color w:val="auto"/>
        </w:rPr>
        <w:t>Administrator, jointly and severally, represent to the Sales Agent as of the date hereof, the Applicable Time, each Representation Date (as defined below) and any Date of Delivery (as defined below), and agrees with the Sales Agent, as follows:</w:t>
      </w:r>
    </w:p>
    <w:p>
      <w:pPr>
        <w:spacing w:after="0" w:line="123" w:lineRule="exact"/>
        <w:rPr>
          <w:sz w:val="20"/>
          <w:szCs w:val="20"/>
          <w:color w:val="auto"/>
        </w:rPr>
      </w:pPr>
    </w:p>
    <w:p>
      <w:pPr>
        <w:jc w:val="both"/>
        <w:ind w:left="760" w:firstLine="1497"/>
        <w:spacing w:after="0" w:line="234" w:lineRule="auto"/>
        <w:rPr>
          <w:sz w:val="20"/>
          <w:szCs w:val="20"/>
          <w:color w:val="auto"/>
        </w:rPr>
      </w:pPr>
      <w:r>
        <w:rPr>
          <w:rFonts w:ascii="Arial" w:cs="Arial" w:eastAsia="Arial" w:hAnsi="Arial"/>
          <w:sz w:val="22"/>
          <w:szCs w:val="22"/>
          <w:color w:val="auto"/>
        </w:rPr>
        <w:t xml:space="preserve">(i) </w:t>
      </w:r>
      <w:r>
        <w:rPr>
          <w:rFonts w:ascii="Arial" w:cs="Arial" w:eastAsia="Arial" w:hAnsi="Arial"/>
          <w:sz w:val="22"/>
          <w:szCs w:val="22"/>
          <w:u w:val="single" w:color="auto"/>
          <w:color w:val="auto"/>
        </w:rPr>
        <w:t>No Material Adverse Change in Business</w:t>
      </w:r>
      <w:r>
        <w:rPr>
          <w:rFonts w:ascii="Arial" w:cs="Arial" w:eastAsia="Arial" w:hAnsi="Arial"/>
          <w:sz w:val="22"/>
          <w:szCs w:val="22"/>
          <w:color w:val="auto"/>
        </w:rPr>
        <w:t>. Except as otherwise stated therein, since the respective dates as of which information is given or incorporated by reference in the Registration Statement or the Prospectus, there has been no material adverse change in the condition, financial or otherwise, or in the business, financial condition, capitalization, prospects or regulatory status of the Adviser or the Administrator, whether or not arising in the ordinary course of business, or on the ability of the Adviser or the Administrator to carry out its obligations under this Agreement, the Investment Management Agreement or the Administration Agreement (collectively, an “Adviser/Administrator Material Adverse Effect”).</w:t>
      </w:r>
    </w:p>
    <w:p>
      <w:pPr>
        <w:spacing w:after="0" w:line="191" w:lineRule="exact"/>
        <w:rPr>
          <w:sz w:val="20"/>
          <w:szCs w:val="20"/>
          <w:color w:val="auto"/>
        </w:rPr>
      </w:pPr>
    </w:p>
    <w:p>
      <w:pPr>
        <w:jc w:val="both"/>
        <w:ind w:left="760" w:firstLine="1494"/>
        <w:spacing w:after="0" w:line="277" w:lineRule="auto"/>
        <w:tabs>
          <w:tab w:leader="none" w:pos="3755" w:val="left"/>
        </w:tabs>
        <w:numPr>
          <w:ilvl w:val="0"/>
          <w:numId w:val="50"/>
        </w:numPr>
        <w:rPr>
          <w:rFonts w:ascii="Arial" w:cs="Arial" w:eastAsia="Arial" w:hAnsi="Arial"/>
          <w:sz w:val="19"/>
          <w:szCs w:val="19"/>
          <w:color w:val="auto"/>
        </w:rPr>
      </w:pPr>
      <w:r>
        <w:rPr>
          <w:rFonts w:ascii="Arial" w:cs="Arial" w:eastAsia="Arial" w:hAnsi="Arial"/>
          <w:sz w:val="19"/>
          <w:szCs w:val="19"/>
          <w:u w:val="single" w:color="auto"/>
          <w:color w:val="auto"/>
        </w:rPr>
        <w:t>Good Standing</w:t>
      </w:r>
      <w:r>
        <w:rPr>
          <w:rFonts w:ascii="Arial" w:cs="Arial" w:eastAsia="Arial" w:hAnsi="Arial"/>
          <w:sz w:val="19"/>
          <w:szCs w:val="19"/>
          <w:color w:val="auto"/>
        </w:rPr>
        <w:t>. Each of the Adviser and the Administrator has been duly organized and is validly existing as a limited liability company, in good standing under the laws of its state of organization and has limited liability company power and authority to own, lease and operate its properties and to conduct its business as described in the Registration Statement and the Prospectus and to enter into this Agreement and perform its obligations under this Agreement and the Investment Management Agreement; and each of the Adviser and the Administrator is duly qualified as a foreign entity to transact business and is in good standing in each other jurisdiction in which such qualification is required, whether by reason of the ownership or leasing of property or the conduct of</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76" w:lineRule="exact"/>
        <w:rPr>
          <w:sz w:val="20"/>
          <w:szCs w:val="20"/>
          <w:color w:val="auto"/>
        </w:rPr>
      </w:pPr>
    </w:p>
    <w:p>
      <w:pPr>
        <w:spacing w:after="0"/>
        <w:rPr>
          <w:sz w:val="20"/>
          <w:szCs w:val="20"/>
          <w:color w:val="auto"/>
        </w:rPr>
      </w:pPr>
      <w:r>
        <w:rPr>
          <w:rFonts w:ascii="Arial" w:cs="Arial" w:eastAsia="Arial" w:hAnsi="Arial"/>
          <w:sz w:val="14"/>
          <w:szCs w:val="14"/>
          <w:color w:val="auto"/>
        </w:rPr>
        <w:t>28117901.1.BUSINESS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157720" cy="4254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79" w:name="page80"/>
    <w:bookmarkEnd w:id="79"/>
    <w:p>
      <w:pPr>
        <w:ind w:left="760"/>
        <w:spacing w:after="0" w:line="250" w:lineRule="auto"/>
        <w:rPr>
          <w:sz w:val="20"/>
          <w:szCs w:val="20"/>
          <w:color w:val="auto"/>
        </w:rPr>
      </w:pPr>
      <w:r>
        <w:rPr>
          <w:rFonts w:ascii="Arial" w:cs="Arial" w:eastAsia="Arial" w:hAnsi="Arial"/>
          <w:sz w:val="22"/>
          <w:szCs w:val="22"/>
          <w:color w:val="auto"/>
        </w:rPr>
        <w:t>business, except where the failure so to qualify or to be in good standing would not otherwise reasonably be expected to result in an Adviser/Administrator Material Adverse Effect.</w:t>
      </w:r>
    </w:p>
    <w:p>
      <w:pPr>
        <w:spacing w:after="0" w:line="175" w:lineRule="exact"/>
        <w:rPr>
          <w:sz w:val="20"/>
          <w:szCs w:val="20"/>
          <w:color w:val="auto"/>
        </w:rPr>
      </w:pPr>
    </w:p>
    <w:p>
      <w:pPr>
        <w:jc w:val="both"/>
        <w:ind w:left="760" w:firstLine="1494"/>
        <w:spacing w:after="0" w:line="282" w:lineRule="auto"/>
        <w:tabs>
          <w:tab w:leader="none" w:pos="3755" w:val="left"/>
        </w:tabs>
        <w:numPr>
          <w:ilvl w:val="0"/>
          <w:numId w:val="51"/>
        </w:numPr>
        <w:rPr>
          <w:rFonts w:ascii="Arial" w:cs="Arial" w:eastAsia="Arial" w:hAnsi="Arial"/>
          <w:sz w:val="19"/>
          <w:szCs w:val="19"/>
          <w:color w:val="auto"/>
        </w:rPr>
      </w:pPr>
      <w:r>
        <w:rPr>
          <w:rFonts w:ascii="Arial" w:cs="Arial" w:eastAsia="Arial" w:hAnsi="Arial"/>
          <w:sz w:val="19"/>
          <w:szCs w:val="19"/>
          <w:u w:val="single" w:color="auto"/>
          <w:color w:val="auto"/>
        </w:rPr>
        <w:t>Registration Under Advisers Act</w:t>
      </w:r>
      <w:r>
        <w:rPr>
          <w:rFonts w:ascii="Arial" w:cs="Arial" w:eastAsia="Arial" w:hAnsi="Arial"/>
          <w:sz w:val="19"/>
          <w:szCs w:val="19"/>
          <w:color w:val="auto"/>
        </w:rPr>
        <w:t>. The Adviser is duly registered with the Commission as an investment adviser under the Advisers Act and is not prohibited by the Advisers Act or the 1940 Act from acting under the Investment Management Agreement for the Company as contemplated by the Registration Statement and the Prospectus. There does not exist any proceeding or, to the Adviser’s knowledge, any facts or circumstances the existence of which could lead to any proceeding which might adversely affect the registration of the Adviser with the Commission.</w:t>
      </w:r>
    </w:p>
    <w:p>
      <w:pPr>
        <w:spacing w:after="0" w:line="147" w:lineRule="exact"/>
        <w:rPr>
          <w:rFonts w:ascii="Arial" w:cs="Arial" w:eastAsia="Arial" w:hAnsi="Arial"/>
          <w:sz w:val="19"/>
          <w:szCs w:val="19"/>
          <w:color w:val="auto"/>
        </w:rPr>
      </w:pPr>
    </w:p>
    <w:p>
      <w:pPr>
        <w:jc w:val="both"/>
        <w:ind w:left="760" w:firstLine="1494"/>
        <w:spacing w:after="0" w:line="273" w:lineRule="auto"/>
        <w:tabs>
          <w:tab w:leader="none" w:pos="3755" w:val="left"/>
        </w:tabs>
        <w:numPr>
          <w:ilvl w:val="0"/>
          <w:numId w:val="51"/>
        </w:numPr>
        <w:rPr>
          <w:rFonts w:ascii="Arial" w:cs="Arial" w:eastAsia="Arial" w:hAnsi="Arial"/>
          <w:sz w:val="19"/>
          <w:szCs w:val="19"/>
          <w:color w:val="auto"/>
        </w:rPr>
      </w:pPr>
      <w:r>
        <w:rPr>
          <w:rFonts w:ascii="Arial" w:cs="Arial" w:eastAsia="Arial" w:hAnsi="Arial"/>
          <w:sz w:val="19"/>
          <w:szCs w:val="19"/>
          <w:u w:val="single" w:color="auto"/>
          <w:color w:val="auto"/>
        </w:rPr>
        <w:t>Absence of Proceedings</w:t>
      </w:r>
      <w:r>
        <w:rPr>
          <w:rFonts w:ascii="Arial" w:cs="Arial" w:eastAsia="Arial" w:hAnsi="Arial"/>
          <w:sz w:val="19"/>
          <w:szCs w:val="19"/>
          <w:color w:val="auto"/>
        </w:rPr>
        <w:t>. Except as disclosed in the Registration Statement and the Prospectus, there is no action, suit, proceeding or, to the knowledge of the Adviser or the Administrator, inquiry or investigation before or brought by any arbitrator, court, governmental body, regulatory body, administrative agency or other authority, body or agency having jurisdiction over the Adviser or the Administrator or any of their properties, assets or operations now pending or, to the knowledge of the Adviser or the Administrator, threatened, against or affecting the Adviser or the Administrator, which is required to be disclosed in the Registration Statement (other than as disclosed therein) or which would reasonably be expected to result in an Adviser/Administrator Material Adverse Effect, or which would reasonably be expected to materially and adversely affect the consummation of the transactions contemplated in this Agreement, the Securities, the Investment Management Agreement or the Administration Agreement or the performance by the Adviser or the Administrator of its obligations hereunder or thereunder.</w:t>
      </w:r>
    </w:p>
    <w:p>
      <w:pPr>
        <w:spacing w:after="0" w:line="160" w:lineRule="exact"/>
        <w:rPr>
          <w:rFonts w:ascii="Arial" w:cs="Arial" w:eastAsia="Arial" w:hAnsi="Arial"/>
          <w:sz w:val="19"/>
          <w:szCs w:val="19"/>
          <w:color w:val="auto"/>
        </w:rPr>
      </w:pPr>
    </w:p>
    <w:p>
      <w:pPr>
        <w:jc w:val="both"/>
        <w:ind w:left="760" w:firstLine="1494"/>
        <w:spacing w:after="0" w:line="273" w:lineRule="auto"/>
        <w:tabs>
          <w:tab w:leader="none" w:pos="3755" w:val="left"/>
        </w:tabs>
        <w:numPr>
          <w:ilvl w:val="0"/>
          <w:numId w:val="51"/>
        </w:numPr>
        <w:rPr>
          <w:rFonts w:ascii="Arial" w:cs="Arial" w:eastAsia="Arial" w:hAnsi="Arial"/>
          <w:sz w:val="19"/>
          <w:szCs w:val="19"/>
          <w:color w:val="auto"/>
        </w:rPr>
      </w:pPr>
      <w:r>
        <w:rPr>
          <w:rFonts w:ascii="Arial" w:cs="Arial" w:eastAsia="Arial" w:hAnsi="Arial"/>
          <w:sz w:val="19"/>
          <w:szCs w:val="19"/>
          <w:u w:val="single" w:color="auto"/>
          <w:color w:val="auto"/>
        </w:rPr>
        <w:t>Absence of Violations and Defaults</w:t>
      </w:r>
      <w:r>
        <w:rPr>
          <w:rFonts w:ascii="Arial" w:cs="Arial" w:eastAsia="Arial" w:hAnsi="Arial"/>
          <w:sz w:val="19"/>
          <w:szCs w:val="19"/>
          <w:color w:val="auto"/>
        </w:rPr>
        <w:t>. Neither the Adviser nor the Administrator is (A) in violation of its limited liability company agreement, (B) in default under any contract, indenture, mortgage, deed of trust, loan or credit agreement, note, lease or other agreement or instrument to which the Adviser or the Administrator is a party or by which it may be bound or to which any of its properties or assets is subject (collectively, the “Adviser/Administrator Agreements and Instruments”), except for such defaults that would not reasonably be expected, singly or in the aggregate, to result in an Adviser/Administrator Material Adverse Effect, or (C) in violation of any applicable law, statute, rule, regulation, judgment, order, writ or decree of any arbitrator, court, governmental body, regulatory body, administrative agency or other authority, body or agency having jurisdiction over the Adviser or the Administrator or any of their properties, assets or operations, except for such violations that would not reasonably be expected, singly or in the aggregate, to result in an Adviser/Administrator Material Adverse Effect.</w:t>
      </w:r>
    </w:p>
    <w:p>
      <w:pPr>
        <w:spacing w:after="0" w:line="160" w:lineRule="exact"/>
        <w:rPr>
          <w:rFonts w:ascii="Arial" w:cs="Arial" w:eastAsia="Arial" w:hAnsi="Arial"/>
          <w:sz w:val="19"/>
          <w:szCs w:val="19"/>
          <w:color w:val="auto"/>
        </w:rPr>
      </w:pPr>
    </w:p>
    <w:p>
      <w:pPr>
        <w:jc w:val="both"/>
        <w:ind w:left="760" w:firstLine="1494"/>
        <w:spacing w:after="0" w:line="249" w:lineRule="auto"/>
        <w:tabs>
          <w:tab w:leader="none" w:pos="3755" w:val="left"/>
        </w:tabs>
        <w:numPr>
          <w:ilvl w:val="0"/>
          <w:numId w:val="51"/>
        </w:numPr>
        <w:rPr>
          <w:rFonts w:ascii="Arial" w:cs="Arial" w:eastAsia="Arial" w:hAnsi="Arial"/>
          <w:sz w:val="21"/>
          <w:szCs w:val="21"/>
          <w:color w:val="auto"/>
        </w:rPr>
      </w:pPr>
      <w:r>
        <w:rPr>
          <w:rFonts w:ascii="Arial" w:cs="Arial" w:eastAsia="Arial" w:hAnsi="Arial"/>
          <w:sz w:val="21"/>
          <w:szCs w:val="21"/>
          <w:u w:val="single" w:color="auto"/>
          <w:color w:val="auto"/>
        </w:rPr>
        <w:t>Absence of Conflicts</w:t>
      </w:r>
      <w:r>
        <w:rPr>
          <w:rFonts w:ascii="Arial" w:cs="Arial" w:eastAsia="Arial" w:hAnsi="Arial"/>
          <w:sz w:val="21"/>
          <w:szCs w:val="21"/>
          <w:color w:val="auto"/>
        </w:rPr>
        <w:t>. The execution, delivery and performance of this Agreement, the performance of the Investment Management Agreement and the Administration Agreement and the consummation of the transactions contemplated herein and therein and in the Registration Statement and the Prospectus (including the issuance and sale of the Securities and the use of the proceeds from the sale of the Securities as described therein under the caption “Use of Proceeds”) and compliance by the Adviser and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76" w:lineRule="exact"/>
        <w:rPr>
          <w:sz w:val="20"/>
          <w:szCs w:val="20"/>
          <w:color w:val="auto"/>
        </w:rPr>
      </w:pPr>
    </w:p>
    <w:p>
      <w:pPr>
        <w:spacing w:after="0"/>
        <w:rPr>
          <w:sz w:val="20"/>
          <w:szCs w:val="20"/>
          <w:color w:val="auto"/>
        </w:rPr>
      </w:pPr>
      <w:r>
        <w:rPr>
          <w:rFonts w:ascii="Arial" w:cs="Arial" w:eastAsia="Arial" w:hAnsi="Arial"/>
          <w:sz w:val="14"/>
          <w:szCs w:val="14"/>
          <w:color w:val="auto"/>
        </w:rPr>
        <w:t>28117901.1.BUSINESS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157720" cy="4254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80" w:name="page81"/>
    <w:bookmarkEnd w:id="80"/>
    <w:p>
      <w:pPr>
        <w:jc w:val="both"/>
        <w:ind w:left="760"/>
        <w:spacing w:after="0" w:line="244" w:lineRule="auto"/>
        <w:rPr>
          <w:sz w:val="20"/>
          <w:szCs w:val="20"/>
          <w:color w:val="auto"/>
        </w:rPr>
      </w:pPr>
      <w:r>
        <w:rPr>
          <w:rFonts w:ascii="Arial" w:cs="Arial" w:eastAsia="Arial" w:hAnsi="Arial"/>
          <w:sz w:val="21"/>
          <w:szCs w:val="21"/>
          <w:color w:val="auto"/>
        </w:rPr>
        <w:t>the Administrator with their obligations hereunder and thereunder do not and will not, whether with or without the giving of notice of passage of time or both, conflict with or constitute a breach of, or default under, or result in the creation or imposition of any lien, charge or encumbrance upon any properties or assets of the Adviser or the Administrator or pursuant to, the Adviser/Administrator Agreements and Instruments (except for such conflicts, breaches, defaults, events or conditions giving the holder of any note, debenture or other evidence of indebtedness (or any person acting on such holder’s behalf) the right to require the repurchase, redemption or repayment of all or a portion of such indebtedness by the Adviser or the Administrator, or liens, charges or encumbrances that would not reasonably be expected, singly or in the aggregate, to result in an Adviser/Administrator Material Adverse Effect), nor will such action result in any violation of the provisions of (a) the limited liability company agreement of the Adviser or the Administrator, or (b) any applicable law, statute, rule, regulation, judgment, order, writ or decree of any arbitrator, court, governmental body, regulatory body, administrative agency or other authority, body or agency having jurisdiction over the Adviser or the Administrator or any of their properties, assets or operations except, in the case of (b) above, for any violation that would not reasonably be expected, singly or in the aggregate, to result in an Adviser/Administrator Material Adverse Effect.</w:t>
      </w:r>
    </w:p>
    <w:p>
      <w:pPr>
        <w:spacing w:after="0" w:line="181" w:lineRule="exact"/>
        <w:rPr>
          <w:sz w:val="20"/>
          <w:szCs w:val="20"/>
          <w:color w:val="auto"/>
        </w:rPr>
      </w:pPr>
    </w:p>
    <w:p>
      <w:pPr>
        <w:ind w:left="760" w:firstLine="1494"/>
        <w:spacing w:after="0" w:line="250" w:lineRule="auto"/>
        <w:tabs>
          <w:tab w:leader="none" w:pos="3755" w:val="left"/>
        </w:tabs>
        <w:numPr>
          <w:ilvl w:val="0"/>
          <w:numId w:val="52"/>
        </w:numPr>
        <w:rPr>
          <w:rFonts w:ascii="Arial" w:cs="Arial" w:eastAsia="Arial" w:hAnsi="Arial"/>
          <w:sz w:val="22"/>
          <w:szCs w:val="22"/>
          <w:color w:val="auto"/>
        </w:rPr>
      </w:pPr>
      <w:r>
        <w:rPr>
          <w:rFonts w:ascii="Arial" w:cs="Arial" w:eastAsia="Arial" w:hAnsi="Arial"/>
          <w:sz w:val="22"/>
          <w:szCs w:val="22"/>
          <w:u w:val="single" w:color="auto"/>
          <w:color w:val="auto"/>
        </w:rPr>
        <w:t>Authorization of this Agreement</w:t>
      </w:r>
      <w:r>
        <w:rPr>
          <w:rFonts w:ascii="Arial" w:cs="Arial" w:eastAsia="Arial" w:hAnsi="Arial"/>
          <w:sz w:val="22"/>
          <w:szCs w:val="22"/>
          <w:color w:val="auto"/>
        </w:rPr>
        <w:t>. This Agreement has been duly authorized, executed and delivered by each of the Adviser and the Administrator.</w:t>
      </w:r>
    </w:p>
    <w:p>
      <w:pPr>
        <w:spacing w:after="0" w:line="174" w:lineRule="exact"/>
        <w:rPr>
          <w:rFonts w:ascii="Arial" w:cs="Arial" w:eastAsia="Arial" w:hAnsi="Arial"/>
          <w:sz w:val="22"/>
          <w:szCs w:val="22"/>
          <w:color w:val="auto"/>
        </w:rPr>
      </w:pPr>
    </w:p>
    <w:p>
      <w:pPr>
        <w:jc w:val="both"/>
        <w:ind w:left="760" w:firstLine="1494"/>
        <w:spacing w:after="0" w:line="246" w:lineRule="auto"/>
        <w:tabs>
          <w:tab w:leader="none" w:pos="3755" w:val="left"/>
        </w:tabs>
        <w:numPr>
          <w:ilvl w:val="0"/>
          <w:numId w:val="52"/>
        </w:numPr>
        <w:rPr>
          <w:rFonts w:ascii="Arial" w:cs="Arial" w:eastAsia="Arial" w:hAnsi="Arial"/>
          <w:sz w:val="21"/>
          <w:szCs w:val="21"/>
          <w:color w:val="auto"/>
        </w:rPr>
      </w:pPr>
      <w:r>
        <w:rPr>
          <w:rFonts w:ascii="Arial" w:cs="Arial" w:eastAsia="Arial" w:hAnsi="Arial"/>
          <w:sz w:val="21"/>
          <w:szCs w:val="21"/>
          <w:u w:val="single" w:color="auto"/>
          <w:color w:val="auto"/>
        </w:rPr>
        <w:t>Investment Management Agreement and Administration Agreement</w:t>
      </w:r>
      <w:r>
        <w:rPr>
          <w:rFonts w:ascii="Arial" w:cs="Arial" w:eastAsia="Arial" w:hAnsi="Arial"/>
          <w:sz w:val="21"/>
          <w:szCs w:val="21"/>
          <w:color w:val="auto"/>
        </w:rPr>
        <w:t>. Each of the Investment Management Agreement and Administration Agreement has been duly authorized, executed and delivered by the Adviser or the Administrator, as applicable, and is a valid and binding obligation of the Adviser or the Administrator, as applicable, enforceable against it in accordance with its terms, except as the enforcement thereof may be subject to (i) bankruptcy, insolvency, reorganization, moratorium or other similar laws now or thereafter in effect relating to creditors’ rights generally and (ii) general principles of equity and the discretion of the court before which any proceeding therefor may be brought.</w:t>
      </w:r>
    </w:p>
    <w:p>
      <w:pPr>
        <w:spacing w:after="0" w:line="184" w:lineRule="exact"/>
        <w:rPr>
          <w:rFonts w:ascii="Arial" w:cs="Arial" w:eastAsia="Arial" w:hAnsi="Arial"/>
          <w:sz w:val="21"/>
          <w:szCs w:val="21"/>
          <w:color w:val="auto"/>
        </w:rPr>
      </w:pPr>
    </w:p>
    <w:p>
      <w:pPr>
        <w:jc w:val="both"/>
        <w:ind w:left="760" w:firstLine="1494"/>
        <w:spacing w:after="0" w:line="273" w:lineRule="auto"/>
        <w:tabs>
          <w:tab w:leader="none" w:pos="3755" w:val="left"/>
        </w:tabs>
        <w:numPr>
          <w:ilvl w:val="0"/>
          <w:numId w:val="52"/>
        </w:numPr>
        <w:rPr>
          <w:rFonts w:ascii="Arial" w:cs="Arial" w:eastAsia="Arial" w:hAnsi="Arial"/>
          <w:sz w:val="19"/>
          <w:szCs w:val="19"/>
          <w:color w:val="auto"/>
        </w:rPr>
      </w:pPr>
      <w:r>
        <w:rPr>
          <w:rFonts w:ascii="Arial" w:cs="Arial" w:eastAsia="Arial" w:hAnsi="Arial"/>
          <w:sz w:val="19"/>
          <w:szCs w:val="19"/>
          <w:u w:val="single" w:color="auto"/>
          <w:color w:val="auto"/>
        </w:rPr>
        <w:t>Absence of Further Requirements</w:t>
      </w:r>
      <w:r>
        <w:rPr>
          <w:rFonts w:ascii="Arial" w:cs="Arial" w:eastAsia="Arial" w:hAnsi="Arial"/>
          <w:sz w:val="19"/>
          <w:szCs w:val="19"/>
          <w:color w:val="auto"/>
        </w:rPr>
        <w:t>. No filing with, or authorization, approval, consent, license, order, registration, qualification or decree of, any court or governmental authority or agency is necessary or required for the performance by the Adviser or the Administrator of their obligations hereunder or, in connection with the offering, the issuance or sale of the Securities hereunder or the consummation of the transactions contemplated by this Agreement, the Investment Management Agreement, the Administration Agreement or the Prospectus (including the issuance and sale of the Securities and the use of the proceeds from the sale of the Securities as described in the Prospectus under the caption “Use of Proceeds”), except (A) such as have been already made or obtained, including under the 1933 Act, the 1933 Act Regulations, state securities laws or the rules of FINRA and (B) where the failure to obtain any such filing, authorization, approval, consent, license, order, registration, qualification or decree would not reasonably be expected, singly or in the aggregate, to result in an Adviser/Administrator Material Adverse Effect.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76" w:lineRule="exact"/>
        <w:rPr>
          <w:sz w:val="20"/>
          <w:szCs w:val="20"/>
          <w:color w:val="auto"/>
        </w:rPr>
      </w:pPr>
    </w:p>
    <w:p>
      <w:pPr>
        <w:spacing w:after="0"/>
        <w:rPr>
          <w:sz w:val="20"/>
          <w:szCs w:val="20"/>
          <w:color w:val="auto"/>
        </w:rPr>
      </w:pPr>
      <w:r>
        <w:rPr>
          <w:rFonts w:ascii="Arial" w:cs="Arial" w:eastAsia="Arial" w:hAnsi="Arial"/>
          <w:sz w:val="14"/>
          <w:szCs w:val="14"/>
          <w:color w:val="auto"/>
        </w:rPr>
        <w:t>28117901.1.BUSINESS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157720" cy="4254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81" w:name="page82"/>
    <w:bookmarkEnd w:id="81"/>
    <w:p>
      <w:pPr>
        <w:jc w:val="both"/>
        <w:ind w:left="760" w:firstLine="1494"/>
        <w:spacing w:after="0" w:line="252" w:lineRule="auto"/>
        <w:tabs>
          <w:tab w:leader="none" w:pos="3755" w:val="left"/>
        </w:tabs>
        <w:numPr>
          <w:ilvl w:val="0"/>
          <w:numId w:val="53"/>
        </w:numPr>
        <w:rPr>
          <w:rFonts w:ascii="Arial" w:cs="Arial" w:eastAsia="Arial" w:hAnsi="Arial"/>
          <w:sz w:val="21"/>
          <w:szCs w:val="21"/>
          <w:color w:val="auto"/>
        </w:rPr>
      </w:pPr>
      <w:r>
        <w:rPr>
          <w:rFonts w:ascii="Arial" w:cs="Arial" w:eastAsia="Arial" w:hAnsi="Arial"/>
          <w:sz w:val="21"/>
          <w:szCs w:val="21"/>
          <w:u w:val="single" w:color="auto"/>
          <w:color w:val="auto"/>
        </w:rPr>
        <w:t>Descriptions of Adviser and Administrator</w:t>
      </w:r>
      <w:r>
        <w:rPr>
          <w:rFonts w:ascii="Arial" w:cs="Arial" w:eastAsia="Arial" w:hAnsi="Arial"/>
          <w:sz w:val="21"/>
          <w:szCs w:val="21"/>
          <w:color w:val="auto"/>
        </w:rPr>
        <w:t>. The descriptions of the Adviser and the Administrator contained in the Registration Statement and the Prospectus does not contain any untrue statement of a material fact or omit to state a material fact required to be stated therein or necessary to make the statements therein, in the light of the circumstances under which they were made, not misleading.</w:t>
      </w:r>
    </w:p>
    <w:p>
      <w:pPr>
        <w:spacing w:after="0" w:line="173" w:lineRule="exact"/>
        <w:rPr>
          <w:rFonts w:ascii="Arial" w:cs="Arial" w:eastAsia="Arial" w:hAnsi="Arial"/>
          <w:sz w:val="21"/>
          <w:szCs w:val="21"/>
          <w:color w:val="auto"/>
        </w:rPr>
      </w:pPr>
    </w:p>
    <w:p>
      <w:pPr>
        <w:jc w:val="both"/>
        <w:ind w:left="760" w:firstLine="1494"/>
        <w:spacing w:after="0" w:line="272" w:lineRule="auto"/>
        <w:tabs>
          <w:tab w:leader="none" w:pos="3755" w:val="left"/>
        </w:tabs>
        <w:numPr>
          <w:ilvl w:val="0"/>
          <w:numId w:val="53"/>
        </w:numPr>
        <w:rPr>
          <w:rFonts w:ascii="Arial" w:cs="Arial" w:eastAsia="Arial" w:hAnsi="Arial"/>
          <w:sz w:val="19"/>
          <w:szCs w:val="19"/>
          <w:color w:val="auto"/>
        </w:rPr>
      </w:pPr>
      <w:r>
        <w:rPr>
          <w:rFonts w:ascii="Arial" w:cs="Arial" w:eastAsia="Arial" w:hAnsi="Arial"/>
          <w:sz w:val="19"/>
          <w:szCs w:val="19"/>
          <w:u w:val="single" w:color="auto"/>
          <w:color w:val="auto"/>
        </w:rPr>
        <w:t>Possession of Licenses and Permits</w:t>
      </w:r>
      <w:r>
        <w:rPr>
          <w:rFonts w:ascii="Arial" w:cs="Arial" w:eastAsia="Arial" w:hAnsi="Arial"/>
          <w:sz w:val="19"/>
          <w:szCs w:val="19"/>
          <w:color w:val="auto"/>
        </w:rPr>
        <w:t>. Each of the Adviser and the Administrator possesses such Governmental Licenses issued by the appropriate federal, state, local or foreign regulatory agencies or bodies necessary to conduct the business now operated by it, except where the failure so to possess would not reasonably be expected, singly or in the aggregate, to result in an Adviser/Administrator Material Adverse Effect. Each of the Adviser and the Administrator is in compliance with the terms and conditions of all such Governmental Licenses, except where the failure so to comply would not reasonably be expected, singly or in the aggregate, to result in an Adviser/Administrator Material Adverse Effect. All of the Governmental Licenses are valid and in full force and effect, except when the invalidity of such Governmental Licenses or the failure of such Governmental Licenses to be in full force and effect would not reasonably be expected, singly or in the aggregate, to result in an Adviser/Administrator Material Adverse Effect. Each of the Adviser and the Administrator has not received any notice of proceedings relating to the revocation or modification of any such Governmental Licenses which, singly or in the aggregate, if the subject of an unfavorable decision, ruling or finding, would reasonably be expected to result in an Adviser/Administrator Material Adverse Effect.</w:t>
      </w:r>
    </w:p>
    <w:p>
      <w:pPr>
        <w:spacing w:after="0" w:line="200" w:lineRule="exact"/>
        <w:rPr>
          <w:rFonts w:ascii="Arial" w:cs="Arial" w:eastAsia="Arial" w:hAnsi="Arial"/>
          <w:sz w:val="19"/>
          <w:szCs w:val="19"/>
          <w:color w:val="auto"/>
        </w:rPr>
      </w:pPr>
    </w:p>
    <w:p>
      <w:pPr>
        <w:spacing w:after="0" w:line="203" w:lineRule="exact"/>
        <w:rPr>
          <w:rFonts w:ascii="Arial" w:cs="Arial" w:eastAsia="Arial" w:hAnsi="Arial"/>
          <w:sz w:val="19"/>
          <w:szCs w:val="19"/>
          <w:color w:val="auto"/>
        </w:rPr>
      </w:pPr>
    </w:p>
    <w:p>
      <w:pPr>
        <w:jc w:val="both"/>
        <w:ind w:left="760" w:firstLine="1494"/>
        <w:spacing w:after="0" w:line="287" w:lineRule="auto"/>
        <w:tabs>
          <w:tab w:leader="none" w:pos="3755" w:val="left"/>
        </w:tabs>
        <w:numPr>
          <w:ilvl w:val="0"/>
          <w:numId w:val="53"/>
        </w:numPr>
        <w:rPr>
          <w:rFonts w:ascii="Arial" w:cs="Arial" w:eastAsia="Arial" w:hAnsi="Arial"/>
          <w:sz w:val="19"/>
          <w:szCs w:val="19"/>
          <w:color w:val="auto"/>
        </w:rPr>
      </w:pPr>
      <w:r>
        <w:rPr>
          <w:rFonts w:ascii="Arial" w:cs="Arial" w:eastAsia="Arial" w:hAnsi="Arial"/>
          <w:sz w:val="19"/>
          <w:szCs w:val="19"/>
          <w:u w:val="single" w:color="auto"/>
          <w:color w:val="auto"/>
        </w:rPr>
        <w:t>Stabilization and Manipulation</w:t>
      </w:r>
      <w:r>
        <w:rPr>
          <w:rFonts w:ascii="Arial" w:cs="Arial" w:eastAsia="Arial" w:hAnsi="Arial"/>
          <w:sz w:val="19"/>
          <w:szCs w:val="19"/>
          <w:color w:val="auto"/>
        </w:rPr>
        <w:t>. Neither the Adviser nor the Administrator has taken, nor will take, directly or indirectly, without giving effect to any activities by the Sales Agent, any action designed, or that would reasonably be expected, to cause or result in, or which constitutes, the stabilization or manipulation of the price of the Securities, other than activity permitted pursuant to Rule 10b-18 under the 1934 Act.</w:t>
      </w:r>
    </w:p>
    <w:p>
      <w:pPr>
        <w:spacing w:after="0" w:line="142" w:lineRule="exact"/>
        <w:rPr>
          <w:rFonts w:ascii="Arial" w:cs="Arial" w:eastAsia="Arial" w:hAnsi="Arial"/>
          <w:sz w:val="19"/>
          <w:szCs w:val="19"/>
          <w:color w:val="auto"/>
        </w:rPr>
      </w:pPr>
    </w:p>
    <w:p>
      <w:pPr>
        <w:jc w:val="both"/>
        <w:ind w:left="760" w:firstLine="1494"/>
        <w:spacing w:after="0" w:line="244" w:lineRule="auto"/>
        <w:tabs>
          <w:tab w:leader="none" w:pos="3755" w:val="left"/>
        </w:tabs>
        <w:numPr>
          <w:ilvl w:val="0"/>
          <w:numId w:val="53"/>
        </w:numPr>
        <w:rPr>
          <w:rFonts w:ascii="Arial" w:cs="Arial" w:eastAsia="Arial" w:hAnsi="Arial"/>
          <w:sz w:val="21"/>
          <w:szCs w:val="21"/>
          <w:color w:val="auto"/>
        </w:rPr>
      </w:pPr>
      <w:r>
        <w:rPr>
          <w:rFonts w:ascii="Arial" w:cs="Arial" w:eastAsia="Arial" w:hAnsi="Arial"/>
          <w:sz w:val="21"/>
          <w:szCs w:val="21"/>
          <w:u w:val="single" w:color="auto"/>
          <w:color w:val="auto"/>
        </w:rPr>
        <w:t>Foreign Corrupt Practices Act</w:t>
      </w:r>
      <w:r>
        <w:rPr>
          <w:rFonts w:ascii="Arial" w:cs="Arial" w:eastAsia="Arial" w:hAnsi="Arial"/>
          <w:sz w:val="21"/>
          <w:szCs w:val="21"/>
          <w:color w:val="auto"/>
        </w:rPr>
        <w:t>. None of the Adviser, the Administrator or, to the knowledge of the Adviser or the Administrator, any director, officer or employee of the Adviser or the Administrator or any agent, controlled affiliate or other person acting on behalf of the Adviser or the Administrator is aware of, has taken or will take any action, directly or indirectly, that would result in a violation by such persons of the FCPA, in connection with the business of the Company, including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and to the knowledge of the Adviser or the Administrator, the Adviser and the Administrator have conducted its business, in relation to the Company, in compliance with the FCPA and has instituted and maintain policies and procedures designed to ensure, and which are reasonably expected to continue to ensure, continued compliance therewith.</w:t>
      </w:r>
    </w:p>
    <w:p>
      <w:pPr>
        <w:spacing w:after="0" w:line="185" w:lineRule="exact"/>
        <w:rPr>
          <w:rFonts w:ascii="Arial" w:cs="Arial" w:eastAsia="Arial" w:hAnsi="Arial"/>
          <w:sz w:val="21"/>
          <w:szCs w:val="21"/>
          <w:color w:val="auto"/>
        </w:rPr>
      </w:pPr>
    </w:p>
    <w:p>
      <w:pPr>
        <w:ind w:left="760" w:firstLine="1494"/>
        <w:spacing w:after="0" w:line="250" w:lineRule="auto"/>
        <w:tabs>
          <w:tab w:leader="none" w:pos="3755" w:val="left"/>
        </w:tabs>
        <w:numPr>
          <w:ilvl w:val="0"/>
          <w:numId w:val="53"/>
        </w:numPr>
        <w:rPr>
          <w:rFonts w:ascii="Arial" w:cs="Arial" w:eastAsia="Arial" w:hAnsi="Arial"/>
          <w:sz w:val="22"/>
          <w:szCs w:val="22"/>
          <w:color w:val="auto"/>
        </w:rPr>
      </w:pPr>
      <w:r>
        <w:rPr>
          <w:rFonts w:ascii="Arial" w:cs="Arial" w:eastAsia="Arial" w:hAnsi="Arial"/>
          <w:sz w:val="22"/>
          <w:szCs w:val="22"/>
          <w:u w:val="single" w:color="auto"/>
          <w:color w:val="auto"/>
        </w:rPr>
        <w:t>Anti-Money Laundering Laws</w:t>
      </w:r>
      <w:r>
        <w:rPr>
          <w:rFonts w:ascii="Arial" w:cs="Arial" w:eastAsia="Arial" w:hAnsi="Arial"/>
          <w:sz w:val="22"/>
          <w:szCs w:val="22"/>
          <w:color w:val="auto"/>
        </w:rPr>
        <w:t>. The operations of the Adviser and the Administrator are and have been conducted at all times in compliance with applicable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76" w:lineRule="exact"/>
        <w:rPr>
          <w:sz w:val="20"/>
          <w:szCs w:val="20"/>
          <w:color w:val="auto"/>
        </w:rPr>
      </w:pPr>
    </w:p>
    <w:p>
      <w:pPr>
        <w:spacing w:after="0"/>
        <w:rPr>
          <w:sz w:val="20"/>
          <w:szCs w:val="20"/>
          <w:color w:val="auto"/>
        </w:rPr>
      </w:pPr>
      <w:r>
        <w:rPr>
          <w:rFonts w:ascii="Arial" w:cs="Arial" w:eastAsia="Arial" w:hAnsi="Arial"/>
          <w:sz w:val="14"/>
          <w:szCs w:val="14"/>
          <w:color w:val="auto"/>
        </w:rPr>
        <w:t>28117901.1.BUSINESS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157720" cy="4254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82" w:name="page83"/>
    <w:bookmarkEnd w:id="82"/>
    <w:p>
      <w:pPr>
        <w:jc w:val="both"/>
        <w:ind w:left="760"/>
        <w:spacing w:after="0" w:line="236" w:lineRule="auto"/>
        <w:rPr>
          <w:sz w:val="20"/>
          <w:szCs w:val="20"/>
          <w:color w:val="auto"/>
        </w:rPr>
      </w:pPr>
      <w:r>
        <w:rPr>
          <w:rFonts w:ascii="Arial" w:cs="Arial" w:eastAsia="Arial" w:hAnsi="Arial"/>
          <w:sz w:val="22"/>
          <w:szCs w:val="22"/>
          <w:color w:val="auto"/>
        </w:rPr>
        <w:t>financial recordkeeping and reporting requirements of the Anti-Money Laundering Laws; and no action, suit or proceeding by or before any arbitrator, court, governmental body, regulatory body, administrative agency or other authority, body or agency having jurisdiction over the Adviser and the Administrator or any of their properties, assets or operations involving the Adviser or the Administrator with respect to the Anti-Money Laundering Laws is pending or, to the best knowledge of the Adviser or the Administrator, threatened.</w:t>
      </w:r>
    </w:p>
    <w:p>
      <w:pPr>
        <w:spacing w:after="0" w:line="187" w:lineRule="exact"/>
        <w:rPr>
          <w:sz w:val="20"/>
          <w:szCs w:val="20"/>
          <w:color w:val="auto"/>
        </w:rPr>
      </w:pPr>
    </w:p>
    <w:p>
      <w:pPr>
        <w:jc w:val="both"/>
        <w:ind w:left="760" w:firstLine="1494"/>
        <w:spacing w:after="0" w:line="234" w:lineRule="auto"/>
        <w:tabs>
          <w:tab w:leader="none" w:pos="3755" w:val="left"/>
        </w:tabs>
        <w:numPr>
          <w:ilvl w:val="0"/>
          <w:numId w:val="54"/>
        </w:numPr>
        <w:rPr>
          <w:rFonts w:ascii="Arial" w:cs="Arial" w:eastAsia="Arial" w:hAnsi="Arial"/>
          <w:sz w:val="22"/>
          <w:szCs w:val="22"/>
          <w:color w:val="auto"/>
        </w:rPr>
      </w:pPr>
      <w:r>
        <w:rPr>
          <w:rFonts w:ascii="Arial" w:cs="Arial" w:eastAsia="Arial" w:hAnsi="Arial"/>
          <w:sz w:val="22"/>
          <w:szCs w:val="22"/>
          <w:u w:val="single" w:color="auto"/>
          <w:color w:val="auto"/>
        </w:rPr>
        <w:t>OFAC</w:t>
      </w:r>
      <w:r>
        <w:rPr>
          <w:rFonts w:ascii="Arial" w:cs="Arial" w:eastAsia="Arial" w:hAnsi="Arial"/>
          <w:sz w:val="22"/>
          <w:szCs w:val="22"/>
          <w:color w:val="auto"/>
        </w:rPr>
        <w:t>. None of the Adviser, the Administrator or, to the knowledge of the Adviser or the Administrator, any director, officer or employee of the Adviser or the Administrator or any agent, controlled affiliate or other person acting on behalf of the Adviser or the Administrator is a Person, or is controlled by a Person that is, (i) currently the subject or target of Sanctions, or (ii) located, organized or resident in a country or territory that is itself the subject of comprehensive Sanctions (currently Crimea, Cuba, Iran, North Korea, and Syria). During the last five years, neither the Adviser nor the Administrator has knowingly engaged in, and is not now knowingly engaged in, any unauthorized dealings or transactions with any Person that at the time of the dealing or transaction is or was the subject or target of Sanctions.</w:t>
      </w:r>
    </w:p>
    <w:p>
      <w:pPr>
        <w:spacing w:after="0" w:line="186" w:lineRule="exact"/>
        <w:rPr>
          <w:rFonts w:ascii="Arial" w:cs="Arial" w:eastAsia="Arial" w:hAnsi="Arial"/>
          <w:sz w:val="22"/>
          <w:szCs w:val="22"/>
          <w:color w:val="auto"/>
        </w:rPr>
      </w:pPr>
    </w:p>
    <w:p>
      <w:pPr>
        <w:jc w:val="both"/>
        <w:ind w:left="760" w:firstLine="1494"/>
        <w:spacing w:after="0" w:line="248" w:lineRule="auto"/>
        <w:tabs>
          <w:tab w:leader="none" w:pos="3755" w:val="left"/>
        </w:tabs>
        <w:numPr>
          <w:ilvl w:val="0"/>
          <w:numId w:val="54"/>
        </w:numPr>
        <w:rPr>
          <w:rFonts w:ascii="Arial" w:cs="Arial" w:eastAsia="Arial" w:hAnsi="Arial"/>
          <w:sz w:val="21"/>
          <w:szCs w:val="21"/>
          <w:color w:val="auto"/>
        </w:rPr>
      </w:pPr>
      <w:r>
        <w:rPr>
          <w:rFonts w:ascii="Arial" w:cs="Arial" w:eastAsia="Arial" w:hAnsi="Arial"/>
          <w:sz w:val="21"/>
          <w:szCs w:val="21"/>
          <w:u w:val="single" w:color="auto"/>
          <w:color w:val="auto"/>
        </w:rPr>
        <w:t>Key Employees</w:t>
      </w:r>
      <w:r>
        <w:rPr>
          <w:rFonts w:ascii="Arial" w:cs="Arial" w:eastAsia="Arial" w:hAnsi="Arial"/>
          <w:sz w:val="21"/>
          <w:szCs w:val="21"/>
          <w:color w:val="auto"/>
        </w:rPr>
        <w:t>. Neither the Adviser nor the Administrator is aware that (i) any of its executives, key employees or significant group of employees plans to terminate employment with the Adviser or the Administrator or (ii) any such executive or key employee is subject to any noncompete, nondisclosure, confidentiality, employment, consulting or similar agreement that would be violated by either the Adviser’s or the Administrator’s present or proposed business activities, except, in each case, as would not reasonably be expected, singly or in the aggregate, to result in an Adviser/Administrator Material Adverse Effect.</w:t>
      </w:r>
    </w:p>
    <w:p>
      <w:pPr>
        <w:spacing w:after="0" w:line="176" w:lineRule="exact"/>
        <w:rPr>
          <w:rFonts w:ascii="Arial" w:cs="Arial" w:eastAsia="Arial" w:hAnsi="Arial"/>
          <w:sz w:val="21"/>
          <w:szCs w:val="21"/>
          <w:color w:val="auto"/>
        </w:rPr>
      </w:pPr>
    </w:p>
    <w:p>
      <w:pPr>
        <w:jc w:val="both"/>
        <w:ind w:left="760" w:firstLine="1494"/>
        <w:spacing w:after="0" w:line="235" w:lineRule="auto"/>
        <w:tabs>
          <w:tab w:leader="none" w:pos="3755" w:val="left"/>
        </w:tabs>
        <w:numPr>
          <w:ilvl w:val="0"/>
          <w:numId w:val="54"/>
        </w:numPr>
        <w:rPr>
          <w:rFonts w:ascii="Arial" w:cs="Arial" w:eastAsia="Arial" w:hAnsi="Arial"/>
          <w:sz w:val="22"/>
          <w:szCs w:val="22"/>
          <w:color w:val="auto"/>
        </w:rPr>
      </w:pPr>
      <w:r>
        <w:rPr>
          <w:rFonts w:ascii="Arial" w:cs="Arial" w:eastAsia="Arial" w:hAnsi="Arial"/>
          <w:sz w:val="22"/>
          <w:szCs w:val="22"/>
          <w:u w:val="single" w:color="auto"/>
          <w:color w:val="auto"/>
        </w:rPr>
        <w:t>No Labor Disputes</w:t>
      </w:r>
      <w:r>
        <w:rPr>
          <w:rFonts w:ascii="Arial" w:cs="Arial" w:eastAsia="Arial" w:hAnsi="Arial"/>
          <w:sz w:val="22"/>
          <w:szCs w:val="22"/>
          <w:color w:val="auto"/>
        </w:rPr>
        <w:t>. No labor disturbance by or dispute with employees of the Adviser or the Administrator or any of their subsidiaries exists or, to the knowledge of the Adviser or the Administrator, is contemplated or threatened, and neither the Adviser nor the Administrator is aware of any existing or imminent labor disturbance by, or dispute with, the employees or any of its or its subsidiaries’ principal suppliers, contractors or customers, except in each case as would not reasonably be expected to result in an Adviser/Administrator Material Adverse Effect.</w:t>
      </w:r>
    </w:p>
    <w:p>
      <w:pPr>
        <w:spacing w:after="0" w:line="187" w:lineRule="exact"/>
        <w:rPr>
          <w:rFonts w:ascii="Arial" w:cs="Arial" w:eastAsia="Arial" w:hAnsi="Arial"/>
          <w:sz w:val="22"/>
          <w:szCs w:val="22"/>
          <w:color w:val="auto"/>
        </w:rPr>
      </w:pPr>
    </w:p>
    <w:p>
      <w:pPr>
        <w:jc w:val="both"/>
        <w:ind w:left="760" w:firstLine="1494"/>
        <w:spacing w:after="0" w:line="233" w:lineRule="auto"/>
        <w:tabs>
          <w:tab w:leader="none" w:pos="3755" w:val="left"/>
        </w:tabs>
        <w:numPr>
          <w:ilvl w:val="0"/>
          <w:numId w:val="54"/>
        </w:numPr>
        <w:rPr>
          <w:rFonts w:ascii="Arial" w:cs="Arial" w:eastAsia="Arial" w:hAnsi="Arial"/>
          <w:sz w:val="22"/>
          <w:szCs w:val="22"/>
          <w:color w:val="auto"/>
        </w:rPr>
      </w:pPr>
      <w:r>
        <w:rPr>
          <w:rFonts w:ascii="Arial" w:cs="Arial" w:eastAsia="Arial" w:hAnsi="Arial"/>
          <w:sz w:val="22"/>
          <w:szCs w:val="22"/>
          <w:u w:val="single" w:color="auto"/>
          <w:color w:val="auto"/>
        </w:rPr>
        <w:t>Accounting Controls</w:t>
      </w:r>
      <w:r>
        <w:rPr>
          <w:rFonts w:ascii="Arial" w:cs="Arial" w:eastAsia="Arial" w:hAnsi="Arial"/>
          <w:sz w:val="22"/>
          <w:szCs w:val="22"/>
          <w:color w:val="auto"/>
        </w:rPr>
        <w:t>. The Adviser and the Administrator maintain systems of internal accounting controls sufficient to provide reasonable assurance that (A) transactions effectuated by them under the Investment Management Agreement and the Administration Agreement, as applicable, are executed in accordance with its management’s general or specific authorization; (B) access to the Company’s consolidated assets that are in its possession or control is permitted only in accordance with its management’s general or specific authorization; (C) transactions for which it has bookkeeping and record-keeping responsibility under the Investment Management Agreement and the Administration Agreement are recorded as necessary to permit preparation of the Company’s financial statements in conformity with GAAP and to maintain financial statements in conformity with GAAP and to maintain accountability for</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76" w:lineRule="exact"/>
        <w:rPr>
          <w:sz w:val="20"/>
          <w:szCs w:val="20"/>
          <w:color w:val="auto"/>
        </w:rPr>
      </w:pPr>
    </w:p>
    <w:p>
      <w:pPr>
        <w:spacing w:after="0"/>
        <w:rPr>
          <w:sz w:val="20"/>
          <w:szCs w:val="20"/>
          <w:color w:val="auto"/>
        </w:rPr>
      </w:pPr>
      <w:r>
        <w:rPr>
          <w:rFonts w:ascii="Arial" w:cs="Arial" w:eastAsia="Arial" w:hAnsi="Arial"/>
          <w:sz w:val="14"/>
          <w:szCs w:val="14"/>
          <w:color w:val="auto"/>
        </w:rPr>
        <w:t>28117901.1.BUSINESS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157720" cy="4254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83" w:name="page84"/>
    <w:bookmarkEnd w:id="83"/>
    <w:p>
      <w:pPr>
        <w:ind w:left="760" w:right="20"/>
        <w:spacing w:after="0" w:line="250" w:lineRule="auto"/>
        <w:rPr>
          <w:sz w:val="20"/>
          <w:szCs w:val="20"/>
          <w:color w:val="auto"/>
        </w:rPr>
      </w:pPr>
      <w:r>
        <w:rPr>
          <w:rFonts w:ascii="Arial" w:cs="Arial" w:eastAsia="Arial" w:hAnsi="Arial"/>
          <w:sz w:val="22"/>
          <w:szCs w:val="22"/>
          <w:color w:val="auto"/>
        </w:rPr>
        <w:t>the Company’s assets and (D) the recorded accountability for such assets is compared with existing assets at reasonable intervals and appropriate action is taken with respect to any differences.</w:t>
      </w:r>
    </w:p>
    <w:p>
      <w:pPr>
        <w:spacing w:after="0" w:line="175" w:lineRule="exact"/>
        <w:rPr>
          <w:sz w:val="20"/>
          <w:szCs w:val="20"/>
          <w:color w:val="auto"/>
        </w:rPr>
      </w:pPr>
    </w:p>
    <w:p>
      <w:pPr>
        <w:jc w:val="both"/>
        <w:ind w:left="760" w:firstLine="1494"/>
        <w:spacing w:after="0"/>
        <w:tabs>
          <w:tab w:leader="none" w:pos="3755" w:val="left"/>
        </w:tabs>
        <w:numPr>
          <w:ilvl w:val="1"/>
          <w:numId w:val="55"/>
        </w:numPr>
        <w:rPr>
          <w:rFonts w:ascii="Arial" w:cs="Arial" w:eastAsia="Arial" w:hAnsi="Arial"/>
          <w:sz w:val="22"/>
          <w:szCs w:val="22"/>
          <w:color w:val="auto"/>
        </w:rPr>
      </w:pPr>
      <w:r>
        <w:rPr>
          <w:rFonts w:ascii="Arial" w:cs="Arial" w:eastAsia="Arial" w:hAnsi="Arial"/>
          <w:sz w:val="22"/>
          <w:szCs w:val="22"/>
          <w:u w:val="single" w:color="auto"/>
          <w:color w:val="auto"/>
        </w:rPr>
        <w:t>Financial Resources</w:t>
      </w:r>
      <w:r>
        <w:rPr>
          <w:rFonts w:ascii="Arial" w:cs="Arial" w:eastAsia="Arial" w:hAnsi="Arial"/>
          <w:sz w:val="22"/>
          <w:szCs w:val="22"/>
          <w:color w:val="auto"/>
        </w:rPr>
        <w:t>. Each of the Adviser and the Administrator has the financial resources available to it necessary for the performance of its services and obligations as contemplated by the Registration Statement, the Prospectus and the Investment Management Agreement.</w:t>
      </w:r>
    </w:p>
    <w:p>
      <w:pPr>
        <w:spacing w:after="0" w:line="186" w:lineRule="exact"/>
        <w:rPr>
          <w:rFonts w:ascii="Arial" w:cs="Arial" w:eastAsia="Arial" w:hAnsi="Arial"/>
          <w:sz w:val="22"/>
          <w:szCs w:val="22"/>
          <w:color w:val="auto"/>
        </w:rPr>
      </w:pPr>
    </w:p>
    <w:p>
      <w:pPr>
        <w:jc w:val="both"/>
        <w:ind w:firstLine="1505"/>
        <w:spacing w:after="0" w:line="238" w:lineRule="auto"/>
        <w:tabs>
          <w:tab w:leader="none" w:pos="2995" w:val="left"/>
        </w:tabs>
        <w:numPr>
          <w:ilvl w:val="0"/>
          <w:numId w:val="56"/>
        </w:numPr>
        <w:rPr>
          <w:rFonts w:ascii="Arial" w:cs="Arial" w:eastAsia="Arial" w:hAnsi="Arial"/>
          <w:sz w:val="22"/>
          <w:szCs w:val="22"/>
          <w:color w:val="auto"/>
        </w:rPr>
      </w:pPr>
      <w:r>
        <w:rPr>
          <w:rFonts w:ascii="Arial" w:cs="Arial" w:eastAsia="Arial" w:hAnsi="Arial"/>
          <w:sz w:val="22"/>
          <w:szCs w:val="22"/>
          <w:i w:val="1"/>
          <w:iCs w:val="1"/>
          <w:color w:val="auto"/>
        </w:rPr>
        <w:t>Officer’s Certificates</w:t>
      </w:r>
      <w:r>
        <w:rPr>
          <w:rFonts w:ascii="Arial" w:cs="Arial" w:eastAsia="Arial" w:hAnsi="Arial"/>
          <w:sz w:val="22"/>
          <w:szCs w:val="22"/>
          <w:color w:val="auto"/>
        </w:rPr>
        <w:t>. Any certificate signed by any officer of the Company, any of the</w:t>
      </w:r>
      <w:r>
        <w:rPr>
          <w:rFonts w:ascii="Arial" w:cs="Arial" w:eastAsia="Arial" w:hAnsi="Arial"/>
          <w:sz w:val="22"/>
          <w:szCs w:val="22"/>
          <w:i w:val="1"/>
          <w:iCs w:val="1"/>
          <w:color w:val="auto"/>
        </w:rPr>
        <w:t xml:space="preserve"> </w:t>
      </w:r>
      <w:r>
        <w:rPr>
          <w:rFonts w:ascii="Arial" w:cs="Arial" w:eastAsia="Arial" w:hAnsi="Arial"/>
          <w:sz w:val="22"/>
          <w:szCs w:val="22"/>
          <w:color w:val="auto"/>
        </w:rPr>
        <w:t>Subsidiaries, the Adviser or the Administrator delivered to the Sales Agent or to counsel for the Sales Agent shall be deemed a representation and warranty by the Company, the Adviser or the Administrator, as applicable, to the Sales Agent as to the matters covered thereby.</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SECTION 2.</w:t>
      </w:r>
      <w:r>
        <w:rPr>
          <w:rFonts w:ascii="Arial" w:cs="Arial" w:eastAsia="Arial" w:hAnsi="Arial"/>
          <w:sz w:val="22"/>
          <w:szCs w:val="22"/>
          <w:u w:val="single" w:color="auto"/>
          <w:color w:val="auto"/>
        </w:rPr>
        <w:t>Sale and Delivery of Securities</w:t>
      </w:r>
      <w:r>
        <w:rPr>
          <w:rFonts w:ascii="Arial" w:cs="Arial" w:eastAsia="Arial" w:hAnsi="Arial"/>
          <w:sz w:val="22"/>
          <w:szCs w:val="22"/>
          <w:color w:val="auto"/>
        </w:rPr>
        <w:t>.</w:t>
      </w:r>
    </w:p>
    <w:p>
      <w:pPr>
        <w:spacing w:after="0" w:line="206" w:lineRule="exact"/>
        <w:rPr>
          <w:sz w:val="20"/>
          <w:szCs w:val="20"/>
          <w:color w:val="auto"/>
        </w:rPr>
      </w:pPr>
    </w:p>
    <w:p>
      <w:pPr>
        <w:jc w:val="both"/>
        <w:ind w:firstLine="1505"/>
        <w:spacing w:after="0" w:line="238" w:lineRule="auto"/>
        <w:tabs>
          <w:tab w:leader="none" w:pos="2995" w:val="left"/>
        </w:tabs>
        <w:numPr>
          <w:ilvl w:val="0"/>
          <w:numId w:val="57"/>
        </w:numPr>
        <w:rPr>
          <w:rFonts w:ascii="Arial" w:cs="Arial" w:eastAsia="Arial" w:hAnsi="Arial"/>
          <w:sz w:val="22"/>
          <w:szCs w:val="22"/>
          <w:color w:val="auto"/>
        </w:rPr>
      </w:pPr>
      <w:r>
        <w:rPr>
          <w:rFonts w:ascii="Arial" w:cs="Arial" w:eastAsia="Arial" w:hAnsi="Arial"/>
          <w:sz w:val="22"/>
          <w:szCs w:val="22"/>
          <w:color w:val="auto"/>
        </w:rPr>
        <w:t>On the basis of the representations, warranties and agreements herein contained, but subject to the terms and conditions herein set forth, the Company agrees to sell Securities from time to time through the Sales Agent, and the Sales Agent agrees to use its commercially reasonable efforts to sell, as sales agent for the Company, the Securities on the following terms.</w:t>
      </w:r>
    </w:p>
    <w:p>
      <w:pPr>
        <w:spacing w:after="0" w:line="185" w:lineRule="exact"/>
        <w:rPr>
          <w:sz w:val="20"/>
          <w:szCs w:val="20"/>
          <w:color w:val="auto"/>
        </w:rPr>
      </w:pPr>
    </w:p>
    <w:p>
      <w:pPr>
        <w:jc w:val="both"/>
        <w:ind w:left="760" w:firstLine="1497"/>
        <w:spacing w:after="0" w:line="268" w:lineRule="auto"/>
        <w:rPr>
          <w:sz w:val="20"/>
          <w:szCs w:val="20"/>
          <w:color w:val="auto"/>
        </w:rPr>
      </w:pPr>
      <w:r>
        <w:rPr>
          <w:rFonts w:ascii="Arial" w:cs="Arial" w:eastAsia="Arial" w:hAnsi="Arial"/>
          <w:sz w:val="19"/>
          <w:szCs w:val="19"/>
          <w:color w:val="auto"/>
        </w:rPr>
        <w:t>(i) Each time that the Company wishes to sell Securities on any day that is a trading day for the Nasdaq Global Select Market (a “Trading Day”) (other than a Trading Day on which the Nasdaq Global Select Market is scheduled to close prior to its regular weekday closing time) pursuant to this Agreement (each, a “Placement”), the Company will instruct the Sales Agent in writing of the parameters in accordance with which it desires Securities to be sold, which shall at a minimum include the number of Securities to be offered, the time period during which sales are requested to be made, the minimum price below which sales may not be made and any limitation on the number of Securities that may be sold in any one day (a “Placement Notice”). The Sales Agent will, prior to 4:30 p.m. (New York City time) or, if later, within three hours after receipt of the Placement Notice, on the same business day (as defined below) on which such Placement Notice is delivered to the Sales Agent, issue to the Company a notice by email addressed to all of the Authorized Representatives (as defined below) confirming all of the parameters of the Placement. The Placement Notice shall be effective upon receipt by any of the Authorized Representatives of the email notice from the Sales Agent, unless and until (i) the entire amount of the Securities covered by the Placement Notice have been sold,</w:t>
      </w:r>
    </w:p>
    <w:p>
      <w:pPr>
        <w:spacing w:after="0" w:line="6" w:lineRule="exact"/>
        <w:rPr>
          <w:sz w:val="20"/>
          <w:szCs w:val="20"/>
          <w:color w:val="auto"/>
        </w:rPr>
      </w:pPr>
    </w:p>
    <w:p>
      <w:pPr>
        <w:jc w:val="both"/>
        <w:ind w:left="760" w:firstLine="64"/>
        <w:spacing w:after="0" w:line="273" w:lineRule="auto"/>
        <w:tabs>
          <w:tab w:leader="none" w:pos="1162" w:val="left"/>
        </w:tabs>
        <w:numPr>
          <w:ilvl w:val="0"/>
          <w:numId w:val="58"/>
        </w:numPr>
        <w:rPr>
          <w:rFonts w:ascii="Arial" w:cs="Arial" w:eastAsia="Arial" w:hAnsi="Arial"/>
          <w:sz w:val="19"/>
          <w:szCs w:val="19"/>
          <w:color w:val="auto"/>
        </w:rPr>
      </w:pPr>
      <w:r>
        <w:rPr>
          <w:rFonts w:ascii="Arial" w:cs="Arial" w:eastAsia="Arial" w:hAnsi="Arial"/>
          <w:sz w:val="19"/>
          <w:szCs w:val="19"/>
          <w:color w:val="auto"/>
        </w:rPr>
        <w:t xml:space="preserve">in accordance with </w:t>
      </w:r>
      <w:r>
        <w:rPr>
          <w:rFonts w:ascii="Arial" w:cs="Arial" w:eastAsia="Arial" w:hAnsi="Arial"/>
          <w:sz w:val="19"/>
          <w:szCs w:val="19"/>
          <w:u w:val="single" w:color="auto"/>
          <w:color w:val="auto"/>
        </w:rPr>
        <w:t>Section 2(a)(ii)</w:t>
      </w:r>
      <w:r>
        <w:rPr>
          <w:rFonts w:ascii="Arial" w:cs="Arial" w:eastAsia="Arial" w:hAnsi="Arial"/>
          <w:sz w:val="19"/>
          <w:szCs w:val="19"/>
          <w:color w:val="auto"/>
        </w:rPr>
        <w:t xml:space="preserve"> hereof, the Company or the Sales Agent suspends or terminates the Placement Notice, (iii) the Company issues a subsequent Placement Notice with parameters superseding those on the earlier dated Placement Notice, or (iv) this Agreement has been terminated under the provisions of </w:t>
      </w:r>
      <w:r>
        <w:rPr>
          <w:rFonts w:ascii="Arial" w:cs="Arial" w:eastAsia="Arial" w:hAnsi="Arial"/>
          <w:sz w:val="19"/>
          <w:szCs w:val="19"/>
          <w:u w:val="single" w:color="auto"/>
          <w:color w:val="auto"/>
        </w:rPr>
        <w:t>Section 9</w:t>
      </w:r>
      <w:r>
        <w:rPr>
          <w:rFonts w:ascii="Arial" w:cs="Arial" w:eastAsia="Arial" w:hAnsi="Arial"/>
          <w:sz w:val="19"/>
          <w:szCs w:val="19"/>
          <w:color w:val="auto"/>
        </w:rPr>
        <w:t>. Subject to the terms and conditions hereof, the Sales Agent shall use its commercially reasonable efforts to offer and sell all of the Securities designated in the Placement Notice; provided, however, that the Sales Agent shall have no obligation to offer or sell any Securities, and the Company acknowledges and agrees that the Sales Agent shall have no such obligation in the event an offer or sale of the Securities on behalf of the Company may in the judgment of the</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76" w:lineRule="exact"/>
        <w:rPr>
          <w:sz w:val="20"/>
          <w:szCs w:val="20"/>
          <w:color w:val="auto"/>
        </w:rPr>
      </w:pPr>
    </w:p>
    <w:p>
      <w:pPr>
        <w:spacing w:after="0"/>
        <w:rPr>
          <w:sz w:val="20"/>
          <w:szCs w:val="20"/>
          <w:color w:val="auto"/>
        </w:rPr>
      </w:pPr>
      <w:r>
        <w:rPr>
          <w:rFonts w:ascii="Arial" w:cs="Arial" w:eastAsia="Arial" w:hAnsi="Arial"/>
          <w:sz w:val="14"/>
          <w:szCs w:val="14"/>
          <w:color w:val="auto"/>
        </w:rPr>
        <w:t>28117901.1.BUSINESS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157720" cy="4254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84" w:name="page85"/>
    <w:bookmarkEnd w:id="84"/>
    <w:p>
      <w:pPr>
        <w:jc w:val="both"/>
        <w:ind w:left="760"/>
        <w:spacing w:after="0" w:line="246" w:lineRule="auto"/>
        <w:rPr>
          <w:sz w:val="20"/>
          <w:szCs w:val="20"/>
          <w:color w:val="auto"/>
        </w:rPr>
      </w:pPr>
      <w:r>
        <w:rPr>
          <w:rFonts w:ascii="Arial" w:cs="Arial" w:eastAsia="Arial" w:hAnsi="Arial"/>
          <w:sz w:val="21"/>
          <w:szCs w:val="21"/>
          <w:color w:val="auto"/>
        </w:rPr>
        <w:t>Sales Agent constitute the sale of a “block” under Rule 10b-18(a)(5) under the 1934 Act, or a “distribution” within the meaning of Rule 100 of Regulation M under the 1934 Act or the Sales Agent reasonably believes it may be deemed an “underwriter” under the 1933 Act in a transaction that is other than (A) by means of ordinary brokers’ transactions between members of the Nasdaq Global Select Market that qualify for delivery of a Prospectus to the Nasdaq Global Select Market in accordance with Rule 153 under the 1933 Act or (B) directly on or through an electronic communication network, a “dark pool” or any similar market venue (the transactions described in (A) and (B) are hereinafter referred to as “At the Market Offerings”). In the event of a conflict between the terms of this Agreement and the terms of any Placement Notice, the terms of such Placement Notice will control.</w:t>
      </w:r>
    </w:p>
    <w:p>
      <w:pPr>
        <w:spacing w:after="0" w:line="180" w:lineRule="exact"/>
        <w:rPr>
          <w:sz w:val="20"/>
          <w:szCs w:val="20"/>
          <w:color w:val="auto"/>
        </w:rPr>
      </w:pPr>
    </w:p>
    <w:p>
      <w:pPr>
        <w:jc w:val="both"/>
        <w:ind w:left="760" w:firstLine="1494"/>
        <w:spacing w:after="0" w:line="277" w:lineRule="auto"/>
        <w:tabs>
          <w:tab w:leader="none" w:pos="3755" w:val="left"/>
        </w:tabs>
        <w:numPr>
          <w:ilvl w:val="0"/>
          <w:numId w:val="59"/>
        </w:numPr>
        <w:rPr>
          <w:rFonts w:ascii="Arial" w:cs="Arial" w:eastAsia="Arial" w:hAnsi="Arial"/>
          <w:sz w:val="19"/>
          <w:szCs w:val="19"/>
          <w:color w:val="auto"/>
        </w:rPr>
      </w:pPr>
      <w:r>
        <w:rPr>
          <w:rFonts w:ascii="Arial" w:cs="Arial" w:eastAsia="Arial" w:hAnsi="Arial"/>
          <w:sz w:val="19"/>
          <w:szCs w:val="19"/>
          <w:color w:val="auto"/>
        </w:rPr>
        <w:t>Notwithstanding the foregoing, the Company or the Sales Agent may, upon notice to the other party by telephone (confirmed promptly by electronic mail from such party), suspend the offering of the Securities pursuant to this Agreement or suspend or terminate a previously issued Placement Notice; provided, however, that such suspension or termination shall not affect or impair the parties’ respective obligations with respect to the Securities sold hereunder prior to the giving of such notice. Each of the parties agrees that no such notice shall be effective against the other unless it is made to one of its authorized representatives as set forth on Schedule B hereto (the “Authorized Representatives”), as such Schedule may be amended from time to time.</w:t>
      </w:r>
    </w:p>
    <w:p>
      <w:pPr>
        <w:spacing w:after="0" w:line="151" w:lineRule="exact"/>
        <w:rPr>
          <w:rFonts w:ascii="Arial" w:cs="Arial" w:eastAsia="Arial" w:hAnsi="Arial"/>
          <w:sz w:val="19"/>
          <w:szCs w:val="19"/>
          <w:color w:val="auto"/>
        </w:rPr>
      </w:pPr>
    </w:p>
    <w:p>
      <w:pPr>
        <w:jc w:val="both"/>
        <w:ind w:left="760" w:firstLine="1494"/>
        <w:spacing w:after="0" w:line="238" w:lineRule="auto"/>
        <w:tabs>
          <w:tab w:leader="none" w:pos="3755" w:val="left"/>
        </w:tabs>
        <w:numPr>
          <w:ilvl w:val="0"/>
          <w:numId w:val="59"/>
        </w:numPr>
        <w:rPr>
          <w:rFonts w:ascii="Arial" w:cs="Arial" w:eastAsia="Arial" w:hAnsi="Arial"/>
          <w:sz w:val="22"/>
          <w:szCs w:val="22"/>
          <w:color w:val="auto"/>
        </w:rPr>
      </w:pPr>
      <w:r>
        <w:rPr>
          <w:rFonts w:ascii="Arial" w:cs="Arial" w:eastAsia="Arial" w:hAnsi="Arial"/>
          <w:sz w:val="22"/>
          <w:szCs w:val="22"/>
          <w:color w:val="auto"/>
        </w:rPr>
        <w:t xml:space="preserve">The Sales Agent hereby covenants and agrees not to make any sales of the Securities on behalf of the Company, pursuant to this </w:t>
      </w:r>
      <w:r>
        <w:rPr>
          <w:rFonts w:ascii="Arial" w:cs="Arial" w:eastAsia="Arial" w:hAnsi="Arial"/>
          <w:sz w:val="22"/>
          <w:szCs w:val="22"/>
          <w:u w:val="single" w:color="auto"/>
          <w:color w:val="auto"/>
        </w:rPr>
        <w:t>Section 2(a)</w:t>
      </w:r>
      <w:r>
        <w:rPr>
          <w:rFonts w:ascii="Arial" w:cs="Arial" w:eastAsia="Arial" w:hAnsi="Arial"/>
          <w:sz w:val="22"/>
          <w:szCs w:val="22"/>
          <w:color w:val="auto"/>
        </w:rPr>
        <w:t>, other than (A) by means of At the Market Offerings and (B) such other sales of the Securities on behalf of the Company in its capacity as agent of the Company as shall be agreed by the Company and the Sales Agent.</w:t>
      </w:r>
    </w:p>
    <w:p>
      <w:pPr>
        <w:spacing w:after="0" w:line="184" w:lineRule="exact"/>
        <w:rPr>
          <w:rFonts w:ascii="Arial" w:cs="Arial" w:eastAsia="Arial" w:hAnsi="Arial"/>
          <w:sz w:val="22"/>
          <w:szCs w:val="22"/>
          <w:color w:val="auto"/>
        </w:rPr>
      </w:pPr>
    </w:p>
    <w:p>
      <w:pPr>
        <w:jc w:val="both"/>
        <w:ind w:left="760" w:firstLine="1494"/>
        <w:spacing w:after="0" w:line="272" w:lineRule="auto"/>
        <w:tabs>
          <w:tab w:leader="none" w:pos="3755" w:val="left"/>
        </w:tabs>
        <w:numPr>
          <w:ilvl w:val="0"/>
          <w:numId w:val="59"/>
        </w:numPr>
        <w:rPr>
          <w:rFonts w:ascii="Arial" w:cs="Arial" w:eastAsia="Arial" w:hAnsi="Arial"/>
          <w:sz w:val="19"/>
          <w:szCs w:val="19"/>
          <w:color w:val="auto"/>
        </w:rPr>
      </w:pPr>
      <w:r>
        <w:rPr>
          <w:rFonts w:ascii="Arial" w:cs="Arial" w:eastAsia="Arial" w:hAnsi="Arial"/>
          <w:sz w:val="19"/>
          <w:szCs w:val="19"/>
          <w:color w:val="auto"/>
        </w:rPr>
        <w:t xml:space="preserve">The gross sales price of any Securities sold pursuant to this Agreement by the Sales Agent, as an agent of the Company, shall be the market price prevailing at the time of sale for Securities sold by the Sales Agent on the Nasdaq Global Select Market or otherwise, at prices related to prevailing market prices or, subject to specific instructions of the Company, at negotiated prices. The compensation to the Sales Agent, as an agent of the Company, for sales of the Securities shall be at a mutually agreed rate up to 2.0% of the gross sales price of the Securities sold pursuant to this </w:t>
      </w:r>
      <w:r>
        <w:rPr>
          <w:rFonts w:ascii="Arial" w:cs="Arial" w:eastAsia="Arial" w:hAnsi="Arial"/>
          <w:sz w:val="19"/>
          <w:szCs w:val="19"/>
          <w:u w:val="single" w:color="auto"/>
          <w:color w:val="auto"/>
        </w:rPr>
        <w:t>Section 2(a)</w:t>
      </w:r>
      <w:r>
        <w:rPr>
          <w:rFonts w:ascii="Arial" w:cs="Arial" w:eastAsia="Arial" w:hAnsi="Arial"/>
          <w:sz w:val="19"/>
          <w:szCs w:val="19"/>
          <w:color w:val="auto"/>
        </w:rPr>
        <w:t>. The foregoing rate of compensation shall not apply when the Sales Agent acts as principal, in which case the Company may sell Securities to the Sales Agent as principal at a price agreed upon at the relevant applicable time pursuant to a separate agreement (each, a “Terms Agreement”) relating to such sale. The remaining proceeds, after further deduction for any transaction fees imposed by any governmental or self-regulatory organization in connection with such sales, shall constitute the net proceeds to the Company for such Securities (the “Net Proceeds”). The Sales Agent shall notify the Company as promptly as practicable if any deduction referenced in the preceding sentence will be made.</w:t>
      </w:r>
    </w:p>
    <w:p>
      <w:pPr>
        <w:spacing w:after="0" w:line="200" w:lineRule="exact"/>
        <w:rPr>
          <w:rFonts w:ascii="Arial" w:cs="Arial" w:eastAsia="Arial" w:hAnsi="Arial"/>
          <w:sz w:val="19"/>
          <w:szCs w:val="19"/>
          <w:color w:val="auto"/>
        </w:rPr>
      </w:pPr>
    </w:p>
    <w:p>
      <w:pPr>
        <w:spacing w:after="0" w:line="208" w:lineRule="exact"/>
        <w:rPr>
          <w:rFonts w:ascii="Arial" w:cs="Arial" w:eastAsia="Arial" w:hAnsi="Arial"/>
          <w:sz w:val="19"/>
          <w:szCs w:val="19"/>
          <w:color w:val="auto"/>
        </w:rPr>
      </w:pPr>
    </w:p>
    <w:p>
      <w:pPr>
        <w:jc w:val="both"/>
        <w:ind w:left="760" w:firstLine="1494"/>
        <w:spacing w:after="0"/>
        <w:tabs>
          <w:tab w:leader="none" w:pos="3755" w:val="left"/>
        </w:tabs>
        <w:numPr>
          <w:ilvl w:val="0"/>
          <w:numId w:val="59"/>
        </w:numPr>
        <w:rPr>
          <w:rFonts w:ascii="Arial" w:cs="Arial" w:eastAsia="Arial" w:hAnsi="Arial"/>
          <w:sz w:val="22"/>
          <w:szCs w:val="22"/>
          <w:color w:val="auto"/>
        </w:rPr>
      </w:pPr>
      <w:r>
        <w:rPr>
          <w:rFonts w:ascii="Arial" w:cs="Arial" w:eastAsia="Arial" w:hAnsi="Arial"/>
          <w:sz w:val="22"/>
          <w:szCs w:val="22"/>
          <w:color w:val="auto"/>
        </w:rPr>
        <w:t xml:space="preserve">The Sales Agent shall provide written confirmation to the Company as soon as practicable following the close of trading on the Nasdaq Global Select Market each day on which the Securities are sold under this </w:t>
      </w:r>
      <w:r>
        <w:rPr>
          <w:rFonts w:ascii="Arial" w:cs="Arial" w:eastAsia="Arial" w:hAnsi="Arial"/>
          <w:sz w:val="22"/>
          <w:szCs w:val="22"/>
          <w:u w:val="single" w:color="auto"/>
          <w:color w:val="auto"/>
        </w:rPr>
        <w:t>Section 2(a)</w:t>
      </w:r>
      <w:r>
        <w:rPr>
          <w:rFonts w:ascii="Arial" w:cs="Arial" w:eastAsia="Arial" w:hAnsi="Arial"/>
          <w:sz w:val="22"/>
          <w:szCs w:val="22"/>
          <w:color w:val="auto"/>
        </w:rPr>
        <w:t xml:space="preserve"> setting forth the aggregate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76" w:lineRule="exact"/>
        <w:rPr>
          <w:sz w:val="20"/>
          <w:szCs w:val="20"/>
          <w:color w:val="auto"/>
        </w:rPr>
      </w:pPr>
    </w:p>
    <w:p>
      <w:pPr>
        <w:spacing w:after="0"/>
        <w:rPr>
          <w:sz w:val="20"/>
          <w:szCs w:val="20"/>
          <w:color w:val="auto"/>
        </w:rPr>
      </w:pPr>
      <w:r>
        <w:rPr>
          <w:rFonts w:ascii="Arial" w:cs="Arial" w:eastAsia="Arial" w:hAnsi="Arial"/>
          <w:sz w:val="14"/>
          <w:szCs w:val="14"/>
          <w:color w:val="auto"/>
        </w:rPr>
        <w:t>28117901.1.BUSINESS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157720" cy="4254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85" w:name="page86"/>
    <w:bookmarkEnd w:id="85"/>
    <w:p>
      <w:pPr>
        <w:ind w:left="760"/>
        <w:spacing w:after="0" w:line="250" w:lineRule="auto"/>
        <w:rPr>
          <w:sz w:val="20"/>
          <w:szCs w:val="20"/>
          <w:color w:val="auto"/>
        </w:rPr>
      </w:pPr>
      <w:r>
        <w:rPr>
          <w:rFonts w:ascii="Arial" w:cs="Arial" w:eastAsia="Arial" w:hAnsi="Arial"/>
          <w:sz w:val="22"/>
          <w:szCs w:val="22"/>
          <w:color w:val="auto"/>
        </w:rPr>
        <w:t>amount of the Securities sold on such day, the aggregate Net Proceeds to the Company, and the aggregate compensation payable by the Company to the Sales Agent with respect to such sales.</w:t>
      </w:r>
    </w:p>
    <w:p>
      <w:pPr>
        <w:spacing w:after="0" w:line="175" w:lineRule="exact"/>
        <w:rPr>
          <w:sz w:val="20"/>
          <w:szCs w:val="20"/>
          <w:color w:val="auto"/>
        </w:rPr>
      </w:pPr>
    </w:p>
    <w:p>
      <w:pPr>
        <w:jc w:val="both"/>
        <w:ind w:left="760" w:firstLine="1494"/>
        <w:spacing w:after="0" w:line="270" w:lineRule="auto"/>
        <w:tabs>
          <w:tab w:leader="none" w:pos="3755" w:val="left"/>
        </w:tabs>
        <w:numPr>
          <w:ilvl w:val="1"/>
          <w:numId w:val="60"/>
        </w:numPr>
        <w:rPr>
          <w:rFonts w:ascii="Arial" w:cs="Arial" w:eastAsia="Arial" w:hAnsi="Arial"/>
          <w:sz w:val="19"/>
          <w:szCs w:val="19"/>
          <w:color w:val="auto"/>
        </w:rPr>
      </w:pPr>
      <w:r>
        <w:rPr>
          <w:rFonts w:ascii="Arial" w:cs="Arial" w:eastAsia="Arial" w:hAnsi="Arial"/>
          <w:sz w:val="19"/>
          <w:szCs w:val="19"/>
          <w:color w:val="auto"/>
        </w:rPr>
        <w:t xml:space="preserve">Settlement for sales of the Securities pursuant to this </w:t>
      </w:r>
      <w:r>
        <w:rPr>
          <w:rFonts w:ascii="Arial" w:cs="Arial" w:eastAsia="Arial" w:hAnsi="Arial"/>
          <w:sz w:val="19"/>
          <w:szCs w:val="19"/>
          <w:u w:val="single" w:color="auto"/>
          <w:color w:val="auto"/>
        </w:rPr>
        <w:t>Section 2(a)</w:t>
      </w:r>
      <w:r>
        <w:rPr>
          <w:rFonts w:ascii="Arial" w:cs="Arial" w:eastAsia="Arial" w:hAnsi="Arial"/>
          <w:sz w:val="19"/>
          <w:szCs w:val="19"/>
          <w:color w:val="auto"/>
        </w:rPr>
        <w:t xml:space="preserve"> will occur on the second Trading Day following the date on which such sales are made, unless another date shall be agreed upon by the Company and the Sales Agent (provided that, if such Trading Day is not a business day, then settlement will occur on the next succeeding Trading Day that is also a business day) (each such date, a “Settlement Date”). As used herein, the term “business day” means any day other than a Saturday, Sunday or other day on which commercial banks in The City of New York are authorized or required by law, regulation or executive order to close. On each Settlement Date, the Securities sold through the Sales Agent for settlement on such date shall be delivered by the Company (through its transfer agent) to the Sales Agent against payment of the Net Proceeds for the sale of such Securities. Settlement for all such Securities shall be effected by electronically transferring the Securities by the Company to the Sales Agent’s account, or to the account of the Sales Agent’s designee, at DTC through its Deposit and Withdrawal at Custodian System (“DWAC”) or by such other means of delivery as may be mutually agreed upon by the Company and the Sales Agent, which in all cases shall be freely tradable, transferable, registered shares eligible for delivery through DTC, in return for payments in same day funds delivered to the account designated by the Company. If the Company (or its transfer agent) shall default on its obligation to deliver the Securities on any Settlement Date, the Company shall (A) indemnify and hold the Sales Agent harmless against any loss, claim or damage arising from or as a result of such default by the Company and (B) pay the Sales Agent any commission to which it would otherwise be entitled absent such default. The Authorized Representatives, or any designees thereof as notified to the Sales Agent in writing, shall be the contact persons for the Company for all matters related to the settlement of the transfer of the Securities through DWAC for purposes of this </w:t>
      </w:r>
      <w:r>
        <w:rPr>
          <w:rFonts w:ascii="Arial" w:cs="Arial" w:eastAsia="Arial" w:hAnsi="Arial"/>
          <w:sz w:val="19"/>
          <w:szCs w:val="19"/>
          <w:u w:val="single" w:color="auto"/>
          <w:color w:val="auto"/>
        </w:rPr>
        <w:t>Section 2(a)(vi)</w:t>
      </w:r>
      <w:r>
        <w:rPr>
          <w:rFonts w:ascii="Arial" w:cs="Arial" w:eastAsia="Arial" w:hAnsi="Arial"/>
          <w:sz w:val="19"/>
          <w:szCs w:val="19"/>
          <w:color w:val="auto"/>
        </w:rPr>
        <w:t>.</w:t>
      </w:r>
    </w:p>
    <w:p>
      <w:pPr>
        <w:spacing w:after="0" w:line="200" w:lineRule="exact"/>
        <w:rPr>
          <w:rFonts w:ascii="Arial" w:cs="Arial" w:eastAsia="Arial" w:hAnsi="Arial"/>
          <w:sz w:val="19"/>
          <w:szCs w:val="19"/>
          <w:color w:val="auto"/>
        </w:rPr>
      </w:pPr>
    </w:p>
    <w:p>
      <w:pPr>
        <w:spacing w:after="0" w:line="208" w:lineRule="exact"/>
        <w:rPr>
          <w:rFonts w:ascii="Arial" w:cs="Arial" w:eastAsia="Arial" w:hAnsi="Arial"/>
          <w:sz w:val="19"/>
          <w:szCs w:val="19"/>
          <w:color w:val="auto"/>
        </w:rPr>
      </w:pPr>
    </w:p>
    <w:p>
      <w:pPr>
        <w:jc w:val="both"/>
        <w:ind w:left="760" w:firstLine="1494"/>
        <w:spacing w:after="0" w:line="236" w:lineRule="auto"/>
        <w:tabs>
          <w:tab w:leader="none" w:pos="3755" w:val="left"/>
        </w:tabs>
        <w:numPr>
          <w:ilvl w:val="1"/>
          <w:numId w:val="60"/>
        </w:numPr>
        <w:rPr>
          <w:rFonts w:ascii="Arial" w:cs="Arial" w:eastAsia="Arial" w:hAnsi="Arial"/>
          <w:sz w:val="22"/>
          <w:szCs w:val="22"/>
          <w:color w:val="auto"/>
        </w:rPr>
      </w:pPr>
      <w:r>
        <w:rPr>
          <w:rFonts w:ascii="Arial" w:cs="Arial" w:eastAsia="Arial" w:hAnsi="Arial"/>
          <w:sz w:val="22"/>
          <w:szCs w:val="22"/>
          <w:color w:val="auto"/>
        </w:rPr>
        <w:t xml:space="preserve">Any obligation of the Sales Agent to use its commercially reasonable efforts to sell the Securities on behalf of the Company shall be subject to the continuing accuracy of the representations and warranties of the Company, the Adviser and the Administrator, to the performance by the Company, the Adviser and the Administrator of their obligations hereunder and to the continuing satisfaction of the additional conditions specified in </w:t>
      </w:r>
      <w:r>
        <w:rPr>
          <w:rFonts w:ascii="Arial" w:cs="Arial" w:eastAsia="Arial" w:hAnsi="Arial"/>
          <w:sz w:val="22"/>
          <w:szCs w:val="22"/>
          <w:u w:val="single" w:color="auto"/>
          <w:color w:val="auto"/>
        </w:rPr>
        <w:t>Section 3</w:t>
      </w:r>
      <w:r>
        <w:rPr>
          <w:rFonts w:ascii="Arial" w:cs="Arial" w:eastAsia="Arial" w:hAnsi="Arial"/>
          <w:sz w:val="22"/>
          <w:szCs w:val="22"/>
          <w:color w:val="auto"/>
        </w:rPr>
        <w:t xml:space="preserve"> of this Agreement.</w:t>
      </w:r>
    </w:p>
    <w:p>
      <w:pPr>
        <w:spacing w:after="0" w:line="187" w:lineRule="exact"/>
        <w:rPr>
          <w:rFonts w:ascii="Arial" w:cs="Arial" w:eastAsia="Arial" w:hAnsi="Arial"/>
          <w:sz w:val="22"/>
          <w:szCs w:val="22"/>
          <w:color w:val="auto"/>
        </w:rPr>
      </w:pPr>
    </w:p>
    <w:p>
      <w:pPr>
        <w:jc w:val="both"/>
        <w:ind w:firstLine="1505"/>
        <w:spacing w:after="0" w:line="234" w:lineRule="auto"/>
        <w:tabs>
          <w:tab w:leader="none" w:pos="2995" w:val="left"/>
        </w:tabs>
        <w:numPr>
          <w:ilvl w:val="0"/>
          <w:numId w:val="61"/>
        </w:numPr>
        <w:rPr>
          <w:rFonts w:ascii="Arial" w:cs="Arial" w:eastAsia="Arial" w:hAnsi="Arial"/>
          <w:sz w:val="22"/>
          <w:szCs w:val="22"/>
          <w:color w:val="auto"/>
        </w:rPr>
      </w:pPr>
      <w:r>
        <w:rPr>
          <w:rFonts w:ascii="Arial" w:cs="Arial" w:eastAsia="Arial" w:hAnsi="Arial"/>
          <w:sz w:val="22"/>
          <w:szCs w:val="22"/>
          <w:color w:val="auto"/>
        </w:rPr>
        <w:t xml:space="preserve">If the Company wishes to sell the Securities other than as set forth in </w:t>
      </w:r>
      <w:r>
        <w:rPr>
          <w:rFonts w:ascii="Arial" w:cs="Arial" w:eastAsia="Arial" w:hAnsi="Arial"/>
          <w:sz w:val="22"/>
          <w:szCs w:val="22"/>
          <w:u w:val="single" w:color="auto"/>
          <w:color w:val="auto"/>
        </w:rPr>
        <w:t>Section 2(a)</w:t>
      </w:r>
      <w:r>
        <w:rPr>
          <w:rFonts w:ascii="Arial" w:cs="Arial" w:eastAsia="Arial" w:hAnsi="Arial"/>
          <w:sz w:val="22"/>
          <w:szCs w:val="22"/>
          <w:color w:val="auto"/>
        </w:rPr>
        <w:t xml:space="preserve"> of this Agreement, it may elect, in its sole discretion, to notify the Sales Agent of the proposed terms of such sale. If the Sales Agent, acting as principal, wishes to accept such proposed terms (which it may decline to do for any reason in its sole discretion) or, following discussions with the Company, wishes to accept amended terms, the Company will enter into a Terms Agreement setting forth the terms of such Placement. In the event of a conflict between the terms of this Agreement and the terms of any Terms Agreement, the terms of such Terms Agreement will control. For avoidance of doubt, nothing contained in this Agreement shall be construed to require the Company to engage the Sales Agent in connection with the offer and sale of any of its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76" w:lineRule="exact"/>
        <w:rPr>
          <w:sz w:val="20"/>
          <w:szCs w:val="20"/>
          <w:color w:val="auto"/>
        </w:rPr>
      </w:pPr>
    </w:p>
    <w:p>
      <w:pPr>
        <w:spacing w:after="0"/>
        <w:rPr>
          <w:sz w:val="20"/>
          <w:szCs w:val="20"/>
          <w:color w:val="auto"/>
        </w:rPr>
      </w:pPr>
      <w:r>
        <w:rPr>
          <w:rFonts w:ascii="Arial" w:cs="Arial" w:eastAsia="Arial" w:hAnsi="Arial"/>
          <w:sz w:val="14"/>
          <w:szCs w:val="14"/>
          <w:color w:val="auto"/>
        </w:rPr>
        <w:t>28117901.1.BUSINESS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157720" cy="4254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86" w:name="page87"/>
    <w:bookmarkEnd w:id="86"/>
    <w:p>
      <w:pPr>
        <w:spacing w:after="0"/>
        <w:rPr>
          <w:sz w:val="20"/>
          <w:szCs w:val="20"/>
          <w:color w:val="auto"/>
        </w:rPr>
      </w:pPr>
      <w:r>
        <w:rPr>
          <w:rFonts w:ascii="Arial" w:cs="Arial" w:eastAsia="Arial" w:hAnsi="Arial"/>
          <w:sz w:val="22"/>
          <w:szCs w:val="22"/>
          <w:color w:val="auto"/>
        </w:rPr>
        <w:t>securities, including shares of the Common Stock, whether in connection with an underwritten offering or otherwise.</w:t>
      </w:r>
    </w:p>
    <w:p>
      <w:pPr>
        <w:spacing w:after="0" w:line="206" w:lineRule="exact"/>
        <w:rPr>
          <w:sz w:val="20"/>
          <w:szCs w:val="20"/>
          <w:color w:val="auto"/>
        </w:rPr>
      </w:pPr>
    </w:p>
    <w:p>
      <w:pPr>
        <w:jc w:val="both"/>
        <w:ind w:firstLine="1505"/>
        <w:spacing w:after="0" w:line="238" w:lineRule="auto"/>
        <w:tabs>
          <w:tab w:leader="none" w:pos="2995" w:val="left"/>
        </w:tabs>
        <w:numPr>
          <w:ilvl w:val="0"/>
          <w:numId w:val="62"/>
        </w:numPr>
        <w:rPr>
          <w:rFonts w:ascii="Arial" w:cs="Arial" w:eastAsia="Arial" w:hAnsi="Arial"/>
          <w:sz w:val="22"/>
          <w:szCs w:val="22"/>
          <w:color w:val="auto"/>
        </w:rPr>
      </w:pPr>
      <w:r>
        <w:rPr>
          <w:rFonts w:ascii="Arial" w:cs="Arial" w:eastAsia="Arial" w:hAnsi="Arial"/>
          <w:sz w:val="22"/>
          <w:szCs w:val="22"/>
          <w:color w:val="auto"/>
        </w:rPr>
        <w:t>In the event the Company engages the Sales Agent for a sale of Securities that would constitute the sale of a “block” under Rule 10b-18(a)(5) under the 1934 Act, or a “distribution,” within the meaning of Rule 100 of Regulation M under the 1934 Act, the Company and the Sales Agent will agree to compensation that is customary for the Sales Agent with respect to such transactions.</w:t>
      </w:r>
    </w:p>
    <w:p>
      <w:pPr>
        <w:spacing w:after="0" w:line="184" w:lineRule="exact"/>
        <w:rPr>
          <w:rFonts w:ascii="Arial" w:cs="Arial" w:eastAsia="Arial" w:hAnsi="Arial"/>
          <w:sz w:val="22"/>
          <w:szCs w:val="22"/>
          <w:color w:val="auto"/>
        </w:rPr>
      </w:pPr>
    </w:p>
    <w:p>
      <w:pPr>
        <w:jc w:val="both"/>
        <w:ind w:firstLine="1505"/>
        <w:spacing w:after="0" w:line="238" w:lineRule="auto"/>
        <w:tabs>
          <w:tab w:leader="none" w:pos="2995" w:val="left"/>
        </w:tabs>
        <w:numPr>
          <w:ilvl w:val="0"/>
          <w:numId w:val="62"/>
        </w:numPr>
        <w:rPr>
          <w:rFonts w:ascii="Arial" w:cs="Arial" w:eastAsia="Arial" w:hAnsi="Arial"/>
          <w:sz w:val="22"/>
          <w:szCs w:val="22"/>
          <w:color w:val="auto"/>
        </w:rPr>
      </w:pPr>
      <w:r>
        <w:rPr>
          <w:rFonts w:ascii="Arial" w:cs="Arial" w:eastAsia="Arial" w:hAnsi="Arial"/>
          <w:sz w:val="22"/>
          <w:szCs w:val="22"/>
          <w:color w:val="auto"/>
        </w:rPr>
        <w:t>Under no circumstances shall the Company cause or request the offer or sale of any Securities if, after giving effect to the sale of such Securities, the aggregate gross sales proceeds or the aggregate number of the Securities sold pursuant to this Agreement would exceed the amount available for offer and sale under the currently effective Registration Statement.</w:t>
      </w:r>
    </w:p>
    <w:p>
      <w:pPr>
        <w:spacing w:after="0" w:line="184" w:lineRule="exact"/>
        <w:rPr>
          <w:rFonts w:ascii="Arial" w:cs="Arial" w:eastAsia="Arial" w:hAnsi="Arial"/>
          <w:sz w:val="22"/>
          <w:szCs w:val="22"/>
          <w:color w:val="auto"/>
        </w:rPr>
      </w:pPr>
    </w:p>
    <w:p>
      <w:pPr>
        <w:jc w:val="both"/>
        <w:ind w:firstLine="1505"/>
        <w:spacing w:after="0" w:line="279" w:lineRule="auto"/>
        <w:tabs>
          <w:tab w:leader="none" w:pos="2995" w:val="left"/>
        </w:tabs>
        <w:numPr>
          <w:ilvl w:val="0"/>
          <w:numId w:val="62"/>
        </w:numPr>
        <w:rPr>
          <w:rFonts w:ascii="Arial" w:cs="Arial" w:eastAsia="Arial" w:hAnsi="Arial"/>
          <w:sz w:val="19"/>
          <w:szCs w:val="19"/>
          <w:color w:val="auto"/>
        </w:rPr>
      </w:pPr>
      <w:r>
        <w:rPr>
          <w:rFonts w:ascii="Arial" w:cs="Arial" w:eastAsia="Arial" w:hAnsi="Arial"/>
          <w:sz w:val="19"/>
          <w:szCs w:val="19"/>
          <w:color w:val="auto"/>
        </w:rPr>
        <w:t>If any party has reason to believe that the exemptive provisions set forth in Rule 101(c)(1) of Regulation M under the 1934 Act are not satisfied with respect to the Securities, it shall promptly notify the other parties and sales of the Securities under this Agreement shall be suspended until that or other exemptive provisions have been satisfied in the judgment of each party. Upon the reasonable request of the Company in writing to the Sales Agent (which such request may be by electronic mail), the Sales Agent shall promptly calculate and provide in writing to the Company a report setting forth, for the prior week, the average daily trading volume (as defined in Rule 100 of Regulation M under the 1934 Act) of the Common Stock.</w:t>
      </w:r>
    </w:p>
    <w:p>
      <w:pPr>
        <w:spacing w:after="0" w:line="150" w:lineRule="exact"/>
        <w:rPr>
          <w:sz w:val="20"/>
          <w:szCs w:val="20"/>
          <w:color w:val="auto"/>
        </w:rPr>
      </w:pPr>
    </w:p>
    <w:p>
      <w:pPr>
        <w:jc w:val="both"/>
        <w:ind w:firstLine="1497"/>
        <w:spacing w:after="0" w:line="244" w:lineRule="auto"/>
        <w:rPr>
          <w:sz w:val="20"/>
          <w:szCs w:val="20"/>
          <w:color w:val="auto"/>
        </w:rPr>
      </w:pPr>
      <w:r>
        <w:rPr>
          <w:rFonts w:ascii="Arial" w:cs="Arial" w:eastAsia="Arial" w:hAnsi="Arial"/>
          <w:sz w:val="21"/>
          <w:szCs w:val="21"/>
          <w:color w:val="auto"/>
        </w:rPr>
        <w:t xml:space="preserve">(f) Each sale of the Securities to or through the Sales Agent shall be made in accordance with the terms of this Agreement or, if applicable, a Terms Agreement. The commitment of the Sales Agent to purchase the Securities pursuant to any Terms Agreement shall be deemed to have been made on the basis of the representations and warranties of the parties herein contained and shall be subject to the terms and conditions herein set forth. Each Terms Agreement shall specify the number of the Securities to be purchased by the Sales Agent pursuant thereto, the price to be paid to the Company for such Securities, any provisions relating to rights of, and default by, underwriters acting together with the Sales Agent in the reoffering of the Securities, any provisions relating to the granting of an option to purchase additional Securities for the purpose of covering over-allotments, and the time and date (each such time and date being referred to herein as a “Date of Delivery”) and place of delivery of and payment for such Securities. Such Terms Agreement shall also specify any requirements for opinions of counsel, accountants’ letters and officers’ certificates pursuant to </w:t>
      </w:r>
      <w:r>
        <w:rPr>
          <w:rFonts w:ascii="Arial" w:cs="Arial" w:eastAsia="Arial" w:hAnsi="Arial"/>
          <w:sz w:val="21"/>
          <w:szCs w:val="21"/>
          <w:u w:val="single" w:color="auto"/>
          <w:color w:val="auto"/>
        </w:rPr>
        <w:t>Section 5</w:t>
      </w:r>
      <w:r>
        <w:rPr>
          <w:rFonts w:ascii="Arial" w:cs="Arial" w:eastAsia="Arial" w:hAnsi="Arial"/>
          <w:sz w:val="21"/>
          <w:szCs w:val="21"/>
          <w:color w:val="auto"/>
        </w:rPr>
        <w:t xml:space="preserve"> hereof and any other information or documents required by the Sales Agent.</w:t>
      </w:r>
    </w:p>
    <w:p>
      <w:pPr>
        <w:spacing w:after="0" w:line="188" w:lineRule="exact"/>
        <w:rPr>
          <w:sz w:val="20"/>
          <w:szCs w:val="20"/>
          <w:color w:val="auto"/>
        </w:rPr>
      </w:pPr>
    </w:p>
    <w:p>
      <w:pPr>
        <w:jc w:val="both"/>
        <w:ind w:firstLine="1505"/>
        <w:spacing w:after="0" w:line="287" w:lineRule="auto"/>
        <w:tabs>
          <w:tab w:leader="none" w:pos="2995" w:val="left"/>
        </w:tabs>
        <w:numPr>
          <w:ilvl w:val="0"/>
          <w:numId w:val="63"/>
        </w:numPr>
        <w:rPr>
          <w:rFonts w:ascii="Arial" w:cs="Arial" w:eastAsia="Arial" w:hAnsi="Arial"/>
          <w:sz w:val="19"/>
          <w:szCs w:val="19"/>
          <w:color w:val="auto"/>
        </w:rPr>
      </w:pPr>
      <w:r>
        <w:rPr>
          <w:rFonts w:ascii="Arial" w:cs="Arial" w:eastAsia="Arial" w:hAnsi="Arial"/>
          <w:sz w:val="19"/>
          <w:szCs w:val="19"/>
          <w:color w:val="auto"/>
        </w:rPr>
        <w:t>Subject to such further limitations on offers and sales of Securities or delivery of instructions to offer and sell Securities as are set forth herein and as may be mutually agreed upon by the Company and the Sales Agent offers and sales of Securities pursuant to this Agreement shall not be requested by the Company and need not be made by the Sales Agent at any time when or during any period in which the Company is in possession of material non-public information.</w:t>
      </w:r>
    </w:p>
    <w:p>
      <w:pPr>
        <w:spacing w:after="0" w:line="142" w:lineRule="exact"/>
        <w:rPr>
          <w:rFonts w:ascii="Arial" w:cs="Arial" w:eastAsia="Arial" w:hAnsi="Arial"/>
          <w:sz w:val="19"/>
          <w:szCs w:val="19"/>
          <w:color w:val="auto"/>
        </w:rPr>
      </w:pPr>
    </w:p>
    <w:p>
      <w:pPr>
        <w:jc w:val="both"/>
        <w:ind w:firstLine="1505"/>
        <w:spacing w:after="0"/>
        <w:tabs>
          <w:tab w:leader="none" w:pos="2995" w:val="left"/>
        </w:tabs>
        <w:numPr>
          <w:ilvl w:val="0"/>
          <w:numId w:val="63"/>
        </w:numPr>
        <w:rPr>
          <w:rFonts w:ascii="Arial" w:cs="Arial" w:eastAsia="Arial" w:hAnsi="Arial"/>
          <w:sz w:val="22"/>
          <w:szCs w:val="22"/>
          <w:color w:val="auto"/>
        </w:rPr>
      </w:pPr>
      <w:r>
        <w:rPr>
          <w:rFonts w:ascii="Arial" w:cs="Arial" w:eastAsia="Arial" w:hAnsi="Arial"/>
          <w:sz w:val="22"/>
          <w:szCs w:val="22"/>
          <w:color w:val="auto"/>
        </w:rPr>
        <w:t>The Company acknowledges and agrees that (A) there can be no assurance that the Sales Agent will be successful in selling the Securities, (B) the Sales Agent will not incur liability or obligation to the Company or any other person or entity if such Sales Agent does not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76" w:lineRule="exact"/>
        <w:rPr>
          <w:sz w:val="20"/>
          <w:szCs w:val="20"/>
          <w:color w:val="auto"/>
        </w:rPr>
      </w:pPr>
    </w:p>
    <w:p>
      <w:pPr>
        <w:spacing w:after="0"/>
        <w:rPr>
          <w:sz w:val="20"/>
          <w:szCs w:val="20"/>
          <w:color w:val="auto"/>
        </w:rPr>
      </w:pPr>
      <w:r>
        <w:rPr>
          <w:rFonts w:ascii="Arial" w:cs="Arial" w:eastAsia="Arial" w:hAnsi="Arial"/>
          <w:sz w:val="14"/>
          <w:szCs w:val="14"/>
          <w:color w:val="auto"/>
        </w:rPr>
        <w:t>28117901.1.BUSINESS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157720" cy="4254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87" w:name="page88"/>
    <w:bookmarkEnd w:id="87"/>
    <w:p>
      <w:pPr>
        <w:jc w:val="both"/>
        <w:spacing w:after="0" w:line="234" w:lineRule="auto"/>
        <w:rPr>
          <w:sz w:val="20"/>
          <w:szCs w:val="20"/>
          <w:color w:val="auto"/>
        </w:rPr>
      </w:pPr>
      <w:r>
        <w:rPr>
          <w:rFonts w:ascii="Arial" w:cs="Arial" w:eastAsia="Arial" w:hAnsi="Arial"/>
          <w:sz w:val="22"/>
          <w:szCs w:val="22"/>
          <w:color w:val="auto"/>
        </w:rPr>
        <w:t>sell Securities for any reason other than a failure by the Sales Agent to use its commercially reasonable efforts consistent with its normal trading and sales practices and applicable law and regulations to sell such Securities in accordance with the terms of this Agreement and (C) the Sales Agent shall not be under any obligation to purchase Securities on a principal basis pursuant to this Agreement, except as otherwise specifically agreed in writing by the Sales Agent and the Company. For purposes of clarification, the Sales Agent shall only be deemed to be acting as a sales agent under this Agreement during the period beginning with the delivery of a Placement Notice from the Company to the Sales Agent and ending upon the suspension or termination of such Placement Notice.</w:t>
      </w:r>
    </w:p>
    <w:p>
      <w:pPr>
        <w:spacing w:after="0" w:line="191" w:lineRule="exact"/>
        <w:rPr>
          <w:sz w:val="20"/>
          <w:szCs w:val="20"/>
          <w:color w:val="auto"/>
        </w:rPr>
      </w:pPr>
    </w:p>
    <w:p>
      <w:pPr>
        <w:jc w:val="both"/>
        <w:ind w:firstLine="1497"/>
        <w:spacing w:after="0" w:line="246" w:lineRule="auto"/>
        <w:rPr>
          <w:sz w:val="20"/>
          <w:szCs w:val="20"/>
          <w:color w:val="auto"/>
        </w:rPr>
      </w:pPr>
      <w:r>
        <w:rPr>
          <w:rFonts w:ascii="Arial" w:cs="Arial" w:eastAsia="Arial" w:hAnsi="Arial"/>
          <w:sz w:val="21"/>
          <w:szCs w:val="21"/>
          <w:color w:val="auto"/>
        </w:rPr>
        <w:t>(i) The Company agrees that, during the term of this Agreement, any offer to sell, any solicitation of an offer to buy, or any sales of Securities or sales of Common Stock pursuant to any At the Market Offering (as defined herein and within the meaning of Rule 415(a)(4) under the 1933 Act) shall only be effected by or through the Sales Agent or the Other Agent. Notwithstanding the foregoing or anything to the contrary in this Agreement, during the term of this Agreement, any offer to sell, any solicitation of an offer to buy, or any sales of Securities or sales of Common Stock that do not constitute an At the Market Offering (as defined herein and within the meaning of Rule 415(a)(4) under the 1933 Act), including any underwritten offering or private placement transaction exempt from the requirements of the 1933 Act, may be effected by the Company by or through any person or entity in the Company’s sole discretion.</w:t>
      </w:r>
    </w:p>
    <w:p>
      <w:pPr>
        <w:spacing w:after="0" w:line="180" w:lineRule="exact"/>
        <w:rPr>
          <w:sz w:val="20"/>
          <w:szCs w:val="20"/>
          <w:color w:val="auto"/>
        </w:rPr>
      </w:pPr>
    </w:p>
    <w:p>
      <w:pPr>
        <w:ind w:left="760"/>
        <w:spacing w:after="0"/>
        <w:rPr>
          <w:sz w:val="20"/>
          <w:szCs w:val="20"/>
          <w:color w:val="auto"/>
        </w:rPr>
      </w:pPr>
      <w:r>
        <w:rPr>
          <w:rFonts w:ascii="Arial" w:cs="Arial" w:eastAsia="Arial" w:hAnsi="Arial"/>
          <w:sz w:val="22"/>
          <w:szCs w:val="22"/>
          <w:color w:val="auto"/>
        </w:rPr>
        <w:t>SECTION 3.</w:t>
      </w:r>
      <w:r>
        <w:rPr>
          <w:rFonts w:ascii="Arial" w:cs="Arial" w:eastAsia="Arial" w:hAnsi="Arial"/>
          <w:sz w:val="22"/>
          <w:szCs w:val="22"/>
          <w:u w:val="single" w:color="auto"/>
          <w:color w:val="auto"/>
        </w:rPr>
        <w:t>Covenants of the Company</w:t>
      </w:r>
      <w:r>
        <w:rPr>
          <w:rFonts w:ascii="Arial" w:cs="Arial" w:eastAsia="Arial" w:hAnsi="Arial"/>
          <w:sz w:val="22"/>
          <w:szCs w:val="22"/>
          <w:color w:val="auto"/>
        </w:rPr>
        <w:t>. The Company covenants with the Sales Agent as follows:</w:t>
      </w:r>
    </w:p>
    <w:p>
      <w:pPr>
        <w:spacing w:after="0" w:line="206" w:lineRule="exact"/>
        <w:rPr>
          <w:sz w:val="20"/>
          <w:szCs w:val="20"/>
          <w:color w:val="auto"/>
        </w:rPr>
      </w:pPr>
    </w:p>
    <w:p>
      <w:pPr>
        <w:ind w:left="1500"/>
        <w:spacing w:after="0"/>
        <w:tabs>
          <w:tab w:leader="none" w:pos="2980" w:val="left"/>
        </w:tabs>
        <w:rPr>
          <w:sz w:val="20"/>
          <w:szCs w:val="20"/>
          <w:color w:val="auto"/>
        </w:rPr>
      </w:pPr>
      <w:r>
        <w:rPr>
          <w:rFonts w:ascii="Arial" w:cs="Arial" w:eastAsia="Arial" w:hAnsi="Arial"/>
          <w:sz w:val="19"/>
          <w:szCs w:val="19"/>
          <w:color w:val="auto"/>
        </w:rPr>
        <w:t>(a)</w:t>
      </w:r>
      <w:r>
        <w:rPr>
          <w:sz w:val="20"/>
          <w:szCs w:val="20"/>
          <w:color w:val="auto"/>
        </w:rPr>
        <w:tab/>
      </w:r>
      <w:r>
        <w:rPr>
          <w:rFonts w:ascii="Arial" w:cs="Arial" w:eastAsia="Arial" w:hAnsi="Arial"/>
          <w:sz w:val="19"/>
          <w:szCs w:val="19"/>
          <w:i w:val="1"/>
          <w:iCs w:val="1"/>
          <w:color w:val="auto"/>
        </w:rPr>
        <w:t>Compliance with Securities Regulations and Commission Requests</w:t>
      </w:r>
      <w:r>
        <w:rPr>
          <w:rFonts w:ascii="Arial" w:cs="Arial" w:eastAsia="Arial" w:hAnsi="Arial"/>
          <w:sz w:val="19"/>
          <w:szCs w:val="19"/>
          <w:color w:val="auto"/>
        </w:rPr>
        <w:t>. The Company, subject to</w:t>
      </w:r>
    </w:p>
    <w:p>
      <w:pPr>
        <w:spacing w:after="0" w:line="43" w:lineRule="exact"/>
        <w:rPr>
          <w:sz w:val="20"/>
          <w:szCs w:val="20"/>
          <w:color w:val="auto"/>
        </w:rPr>
      </w:pPr>
    </w:p>
    <w:p>
      <w:pPr>
        <w:jc w:val="both"/>
        <w:spacing w:after="0" w:line="269" w:lineRule="auto"/>
        <w:rPr>
          <w:sz w:val="20"/>
          <w:szCs w:val="20"/>
          <w:color w:val="auto"/>
        </w:rPr>
      </w:pPr>
      <w:r>
        <w:rPr>
          <w:rFonts w:ascii="Arial" w:cs="Arial" w:eastAsia="Arial" w:hAnsi="Arial"/>
          <w:sz w:val="19"/>
          <w:szCs w:val="19"/>
          <w:u w:val="single" w:color="auto"/>
          <w:color w:val="auto"/>
        </w:rPr>
        <w:t>Section 3(c)</w:t>
      </w:r>
      <w:r>
        <w:rPr>
          <w:rFonts w:ascii="Arial" w:cs="Arial" w:eastAsia="Arial" w:hAnsi="Arial"/>
          <w:sz w:val="19"/>
          <w:szCs w:val="19"/>
          <w:color w:val="auto"/>
        </w:rPr>
        <w:t>, will comply with the requirements of Rule 415, Rule 430B, Rule 497 and Rule 424(b), and will notify the Sales Agent immediately, and confirm the notice in writing, (i) when any post-effective amendment to the Registration Statement shall become effective or any amendment or supplement to the Prospectus shall have been filed, (ii) of the receipt of any comments from the Commission, (iii) of any request by the Commission for any amendment to the Registration Statement or any amendment or supplement to the Prospectus, or for additional information, (iv) of the issuance by the Commission of any stop order suspending the effectiveness of the Registration Statement or any post-effective amendment or of any order preventing or suspending the use of the Prospectus, or of the suspension of the qualification of the Securities for offering or sale in any jurisdiction, or of the initiation or threatening of any proceedings for any of such purposes or of any examination pursuant to Section 8(d) or 8(e) of the 1933 Act concerning the Registration Statement and (v) if the Company becomes the subject of a proceeding under Section 8A of the 1933 Act in connection with the offering of the Securities. The Company will effect all filings required under Rule 424(b) and Rule 497 within the time period required by Rule 424(b) or Rule 497, as applicable, and will take such steps as it deems necessary to ascertain promptly whether the form of prospectus transmitted for filing under Rule 424(b) was received for filing by the Commission and, in the event that it was not, it will promptly file such prospectus. The Company will use its commercially reasonable efforts to prevent the issuance of any stop order, prevention or suspension and, if any such order is issued, to obtain the lifting thereof at the earliest possible moment.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76" w:lineRule="exact"/>
        <w:rPr>
          <w:sz w:val="20"/>
          <w:szCs w:val="20"/>
          <w:color w:val="auto"/>
        </w:rPr>
      </w:pPr>
    </w:p>
    <w:p>
      <w:pPr>
        <w:spacing w:after="0"/>
        <w:rPr>
          <w:sz w:val="20"/>
          <w:szCs w:val="20"/>
          <w:color w:val="auto"/>
        </w:rPr>
      </w:pPr>
      <w:r>
        <w:rPr>
          <w:rFonts w:ascii="Arial" w:cs="Arial" w:eastAsia="Arial" w:hAnsi="Arial"/>
          <w:sz w:val="14"/>
          <w:szCs w:val="14"/>
          <w:color w:val="auto"/>
        </w:rPr>
        <w:t>28117901.1.BUSINESS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157720" cy="4254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88" w:name="page89"/>
    <w:bookmarkEnd w:id="88"/>
    <w:p>
      <w:pPr>
        <w:jc w:val="both"/>
        <w:ind w:firstLine="1497"/>
        <w:spacing w:after="0" w:line="275" w:lineRule="auto"/>
        <w:rPr>
          <w:sz w:val="20"/>
          <w:szCs w:val="20"/>
          <w:color w:val="auto"/>
        </w:rPr>
      </w:pPr>
      <w:r>
        <w:rPr>
          <w:rFonts w:ascii="Arial" w:cs="Arial" w:eastAsia="Arial" w:hAnsi="Arial"/>
          <w:sz w:val="19"/>
          <w:szCs w:val="19"/>
          <w:color w:val="auto"/>
        </w:rPr>
        <w:t xml:space="preserve">(b) </w:t>
      </w:r>
      <w:r>
        <w:rPr>
          <w:rFonts w:ascii="Arial" w:cs="Arial" w:eastAsia="Arial" w:hAnsi="Arial"/>
          <w:sz w:val="19"/>
          <w:szCs w:val="19"/>
          <w:i w:val="1"/>
          <w:iCs w:val="1"/>
          <w:color w:val="auto"/>
        </w:rPr>
        <w:t>Filing of Amendments</w:t>
      </w:r>
      <w:r>
        <w:rPr>
          <w:rFonts w:ascii="Arial" w:cs="Arial" w:eastAsia="Arial" w:hAnsi="Arial"/>
          <w:sz w:val="19"/>
          <w:szCs w:val="19"/>
          <w:color w:val="auto"/>
        </w:rPr>
        <w:t>. The Company will give the Sales Agent notice of its intention to file or prepare any amendment to the Registration Statement (including any filing under Rule 462(b)) or to the Prospectus and will furnish the Sales Agent with copies of any such documents within a reasonable amount of time prior to such proposed filing or use, as the case may be, and will not file or use any such document to which the Sales Agent or counsel for the Sales Agent shall object. The Company shall give the Sales Agent notice of its intention to make any filings pursuant to the 1934 Act or the 1934 Rules and Regulations within 48 hours prior to the Applicable Time and will furnish the Sales Agent with copies of any such documents a reasonable amount of time prior to such proposed filing, as the case may be, and will not file or use any such document to which the Sales Agent or counsel for the Sales Agent shall reasonably object.</w:t>
      </w:r>
    </w:p>
    <w:p>
      <w:pPr>
        <w:spacing w:after="0" w:line="157" w:lineRule="exact"/>
        <w:rPr>
          <w:sz w:val="20"/>
          <w:szCs w:val="20"/>
          <w:color w:val="auto"/>
        </w:rPr>
      </w:pPr>
    </w:p>
    <w:p>
      <w:pPr>
        <w:ind w:left="1500"/>
        <w:spacing w:after="0"/>
        <w:tabs>
          <w:tab w:leader="none" w:pos="2980" w:val="left"/>
        </w:tabs>
        <w:rPr>
          <w:sz w:val="20"/>
          <w:szCs w:val="20"/>
          <w:color w:val="auto"/>
        </w:rPr>
      </w:pPr>
      <w:r>
        <w:rPr>
          <w:rFonts w:ascii="Arial" w:cs="Arial" w:eastAsia="Arial" w:hAnsi="Arial"/>
          <w:sz w:val="19"/>
          <w:szCs w:val="19"/>
          <w:color w:val="auto"/>
        </w:rPr>
        <w:t>(c)</w:t>
      </w:r>
      <w:r>
        <w:rPr>
          <w:sz w:val="20"/>
          <w:szCs w:val="20"/>
          <w:color w:val="auto"/>
        </w:rPr>
        <w:tab/>
      </w:r>
      <w:r>
        <w:rPr>
          <w:rFonts w:ascii="Arial" w:cs="Arial" w:eastAsia="Arial" w:hAnsi="Arial"/>
          <w:sz w:val="19"/>
          <w:szCs w:val="19"/>
          <w:i w:val="1"/>
          <w:iCs w:val="1"/>
          <w:color w:val="auto"/>
        </w:rPr>
        <w:t>Continued  Compliance  with  Securities  Laws</w:t>
      </w:r>
      <w:r>
        <w:rPr>
          <w:rFonts w:ascii="Arial" w:cs="Arial" w:eastAsia="Arial" w:hAnsi="Arial"/>
          <w:sz w:val="19"/>
          <w:szCs w:val="19"/>
          <w:color w:val="auto"/>
        </w:rPr>
        <w:t>.  The  Company  will  use  its  commercially</w:t>
      </w:r>
    </w:p>
    <w:p>
      <w:pPr>
        <w:spacing w:after="0" w:line="43"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reasonable efforts to comply with the 1933 Act and the 1933 Act Regulations so as to permit the completion of the distribution of the Securities as contemplated in this Agreement and in the Registration Statement and the Prospectus. If at any time when a prospectus relating to the Securities is required by the 1933 Act to be delivered in connection with sales of the Securities, any event shall occur or condition shall exist as a result of which it is necessary, in the opinion of counsel for the Sales Agent or for the Company, to (i) amend the Registration Statement in order that the Registration Statement will not include an untrue statement of a material fact or omit to state a material fact required to be stated therein or necessary to make the statements therein not misleading, (ii) amend or supplement the Prospectus in order that the Prospectus, as the case may be, will not include any untrue statement of a material fact or omit to state a material fact necessary in order to make the statements therein not misleading in the light of the circumstances existing at the time it is delivered to a purchaser or (iii) amend the Registration Statement or amend or supplement the Prospectus, as the case may be, in order to comply with the requirements of the 1933 Act or the 1933 Act Regulations, the Company will promptly (A) give the Sales Agent notice of such event, (B) prepare any amendment or supplement as may be necessary to correct such statement or omission or to make the Registration Statement or the Prospectus comply with such requirements and, a reasonable amount of time prior to any proposed filing or use, furnish the Sales Agent with copies of any such amendment or supplement and (C) file with the Commission any such amendment or supplement. The Company will furnish to the Sales Agent such number of copies of such amendment or supplement as the Sales Agent may reasonably request. The Company has given the Sales Agent notice of any filings made pursuant to the 1934 Act or 1934 Act Regulations within 48 hours prior to the Applicable Time; the Company shall give the Sales Agent notice of its intention to make any such filing and shall furnish the Sales Agent with copies of any such documents a reasonable amount of time prior to such proposed filing or use, as the case may be.</w:t>
      </w:r>
    </w:p>
    <w:p>
      <w:pPr>
        <w:spacing w:after="0" w:line="200" w:lineRule="exact"/>
        <w:rPr>
          <w:sz w:val="20"/>
          <w:szCs w:val="20"/>
          <w:color w:val="auto"/>
        </w:rPr>
      </w:pPr>
    </w:p>
    <w:p>
      <w:pPr>
        <w:spacing w:after="0" w:line="207" w:lineRule="exact"/>
        <w:rPr>
          <w:sz w:val="20"/>
          <w:szCs w:val="20"/>
          <w:color w:val="auto"/>
        </w:rPr>
      </w:pPr>
    </w:p>
    <w:p>
      <w:pPr>
        <w:jc w:val="both"/>
        <w:ind w:firstLine="1497"/>
        <w:spacing w:after="0" w:line="235" w:lineRule="auto"/>
        <w:rPr>
          <w:sz w:val="20"/>
          <w:szCs w:val="20"/>
          <w:color w:val="auto"/>
        </w:rPr>
      </w:pPr>
      <w:r>
        <w:rPr>
          <w:rFonts w:ascii="Arial" w:cs="Arial" w:eastAsia="Arial" w:hAnsi="Arial"/>
          <w:sz w:val="22"/>
          <w:szCs w:val="22"/>
          <w:color w:val="auto"/>
        </w:rPr>
        <w:t xml:space="preserve">(d) </w:t>
      </w:r>
      <w:r>
        <w:rPr>
          <w:rFonts w:ascii="Arial" w:cs="Arial" w:eastAsia="Arial" w:hAnsi="Arial"/>
          <w:sz w:val="22"/>
          <w:szCs w:val="22"/>
          <w:i w:val="1"/>
          <w:iCs w:val="1"/>
          <w:color w:val="auto"/>
        </w:rPr>
        <w:t>Delivery of Commission Filings</w:t>
      </w:r>
      <w:r>
        <w:rPr>
          <w:rFonts w:ascii="Arial" w:cs="Arial" w:eastAsia="Arial" w:hAnsi="Arial"/>
          <w:sz w:val="22"/>
          <w:szCs w:val="22"/>
          <w:color w:val="auto"/>
        </w:rPr>
        <w:t>. The Company has furnished or, upon written request of the Sales Agent, shall deliver to the Sales Agent and counsel for the Sales Agent, without charge, conformed copies of the Registration Statement, as originally filed, and of each amendment thereto (including exhibits filed therewith) and conformed copies of all consents and certificates of experts, and will also deliver to the Sales Agent, without charge, a conformed copy of the Registration Statement as originally filed and of each amendment thereto (without exhibits) for the Sales Agent. The copies of the Registration Statement and each amendment thereto</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76" w:lineRule="exact"/>
        <w:rPr>
          <w:sz w:val="20"/>
          <w:szCs w:val="20"/>
          <w:color w:val="auto"/>
        </w:rPr>
      </w:pPr>
    </w:p>
    <w:p>
      <w:pPr>
        <w:spacing w:after="0"/>
        <w:rPr>
          <w:sz w:val="20"/>
          <w:szCs w:val="20"/>
          <w:color w:val="auto"/>
        </w:rPr>
      </w:pPr>
      <w:r>
        <w:rPr>
          <w:rFonts w:ascii="Arial" w:cs="Arial" w:eastAsia="Arial" w:hAnsi="Arial"/>
          <w:sz w:val="14"/>
          <w:szCs w:val="14"/>
          <w:color w:val="auto"/>
        </w:rPr>
        <w:t>28117901.1.BUSINESS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157720" cy="4254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7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89" w:name="page90"/>
    <w:bookmarkEnd w:id="89"/>
    <w:p>
      <w:pPr>
        <w:jc w:val="both"/>
        <w:spacing w:after="0" w:line="250" w:lineRule="auto"/>
        <w:rPr>
          <w:sz w:val="20"/>
          <w:szCs w:val="20"/>
          <w:color w:val="auto"/>
        </w:rPr>
      </w:pPr>
      <w:r>
        <w:rPr>
          <w:rFonts w:ascii="Arial" w:cs="Arial" w:eastAsia="Arial" w:hAnsi="Arial"/>
          <w:sz w:val="22"/>
          <w:szCs w:val="22"/>
          <w:color w:val="auto"/>
        </w:rPr>
        <w:t>furnished to the Sales Agent will be identical to the electronically transmitted copies thereof filed with the Commission pursuant to EDGAR, except to the extent permitted by Regulation S-T.</w:t>
      </w:r>
    </w:p>
    <w:p>
      <w:pPr>
        <w:spacing w:after="0" w:line="175" w:lineRule="exact"/>
        <w:rPr>
          <w:sz w:val="20"/>
          <w:szCs w:val="20"/>
          <w:color w:val="auto"/>
        </w:rPr>
      </w:pPr>
    </w:p>
    <w:p>
      <w:pPr>
        <w:jc w:val="both"/>
        <w:ind w:firstLine="1497"/>
        <w:spacing w:after="0" w:line="282" w:lineRule="auto"/>
        <w:rPr>
          <w:sz w:val="20"/>
          <w:szCs w:val="20"/>
          <w:color w:val="auto"/>
        </w:rPr>
      </w:pPr>
      <w:r>
        <w:rPr>
          <w:rFonts w:ascii="Arial" w:cs="Arial" w:eastAsia="Arial" w:hAnsi="Arial"/>
          <w:sz w:val="19"/>
          <w:szCs w:val="19"/>
          <w:color w:val="auto"/>
        </w:rPr>
        <w:t xml:space="preserve">(e) </w:t>
      </w:r>
      <w:r>
        <w:rPr>
          <w:rFonts w:ascii="Arial" w:cs="Arial" w:eastAsia="Arial" w:hAnsi="Arial"/>
          <w:sz w:val="19"/>
          <w:szCs w:val="19"/>
          <w:i w:val="1"/>
          <w:iCs w:val="1"/>
          <w:color w:val="auto"/>
        </w:rPr>
        <w:t>Delivery of Prospectuses</w:t>
      </w:r>
      <w:r>
        <w:rPr>
          <w:rFonts w:ascii="Arial" w:cs="Arial" w:eastAsia="Arial" w:hAnsi="Arial"/>
          <w:sz w:val="19"/>
          <w:szCs w:val="19"/>
          <w:color w:val="auto"/>
        </w:rPr>
        <w:t>. The Company will furnish to the Sales Agent, without charge, during the period when a prospectus relating to the Securities is required to be delivered under the 1933 Act, such number of copies of the Prospectus (as amended or supplemented) as the Sales Agent may reasonably request. The Prospectus and any amendments or supplements thereto furnished to the Sales Agent will be identical to the electronically transmitted copies thereof filed with the Commission pursuant to EDGAR, except to the extent permitted by Regulation S-T.</w:t>
      </w:r>
    </w:p>
    <w:p>
      <w:pPr>
        <w:spacing w:after="0" w:line="147" w:lineRule="exact"/>
        <w:rPr>
          <w:sz w:val="20"/>
          <w:szCs w:val="20"/>
          <w:color w:val="auto"/>
        </w:rPr>
      </w:pPr>
    </w:p>
    <w:p>
      <w:pPr>
        <w:jc w:val="both"/>
        <w:ind w:firstLine="1497"/>
        <w:spacing w:after="0" w:line="234" w:lineRule="auto"/>
        <w:rPr>
          <w:sz w:val="20"/>
          <w:szCs w:val="20"/>
          <w:color w:val="auto"/>
        </w:rPr>
      </w:pPr>
      <w:r>
        <w:rPr>
          <w:rFonts w:ascii="Arial" w:cs="Arial" w:eastAsia="Arial" w:hAnsi="Arial"/>
          <w:sz w:val="22"/>
          <w:szCs w:val="22"/>
          <w:color w:val="auto"/>
        </w:rPr>
        <w:t xml:space="preserve">(f) </w:t>
      </w:r>
      <w:r>
        <w:rPr>
          <w:rFonts w:ascii="Arial" w:cs="Arial" w:eastAsia="Arial" w:hAnsi="Arial"/>
          <w:sz w:val="22"/>
          <w:szCs w:val="22"/>
          <w:i w:val="1"/>
          <w:iCs w:val="1"/>
          <w:color w:val="auto"/>
        </w:rPr>
        <w:t>Blue Sky Qualifications</w:t>
      </w:r>
      <w:r>
        <w:rPr>
          <w:rFonts w:ascii="Arial" w:cs="Arial" w:eastAsia="Arial" w:hAnsi="Arial"/>
          <w:sz w:val="22"/>
          <w:szCs w:val="22"/>
          <w:color w:val="auto"/>
        </w:rPr>
        <w:t>. The Company will use its commercially reasonable efforts, in cooperation with the Sales Agent, to qualify the Securities for offering and sale under the applicable securities laws of such states and other jurisdictions (domestic or foreign) as the Sales Agent may designate and to maintain such qualifications in effect so long as reasonably required to complete the distribution of the Securities; provided, however, that the Company shall not be obligated to file any general consent to service of process or to qualify as a foreign corporation or as a dealer in securities in any jurisdiction in which it is not so qualified or to subject itself to taxation in respect of doing business in any jurisdiction in which it is not otherwise so subject.</w:t>
      </w:r>
    </w:p>
    <w:p>
      <w:pPr>
        <w:spacing w:after="0" w:line="191" w:lineRule="exact"/>
        <w:rPr>
          <w:sz w:val="20"/>
          <w:szCs w:val="20"/>
          <w:color w:val="auto"/>
        </w:rPr>
      </w:pPr>
    </w:p>
    <w:p>
      <w:pPr>
        <w:jc w:val="both"/>
        <w:ind w:firstLine="1497"/>
        <w:spacing w:after="0" w:line="249" w:lineRule="auto"/>
        <w:rPr>
          <w:sz w:val="20"/>
          <w:szCs w:val="20"/>
          <w:color w:val="auto"/>
        </w:rPr>
      </w:pPr>
      <w:r>
        <w:rPr>
          <w:rFonts w:ascii="Arial" w:cs="Arial" w:eastAsia="Arial" w:hAnsi="Arial"/>
          <w:sz w:val="21"/>
          <w:szCs w:val="21"/>
          <w:color w:val="auto"/>
        </w:rPr>
        <w:t xml:space="preserve">(g) </w:t>
      </w:r>
      <w:r>
        <w:rPr>
          <w:rFonts w:ascii="Arial" w:cs="Arial" w:eastAsia="Arial" w:hAnsi="Arial"/>
          <w:sz w:val="21"/>
          <w:szCs w:val="21"/>
          <w:i w:val="1"/>
          <w:iCs w:val="1"/>
          <w:color w:val="auto"/>
        </w:rPr>
        <w:t>Rule 158</w:t>
      </w:r>
      <w:r>
        <w:rPr>
          <w:rFonts w:ascii="Arial" w:cs="Arial" w:eastAsia="Arial" w:hAnsi="Arial"/>
          <w:sz w:val="21"/>
          <w:szCs w:val="21"/>
          <w:color w:val="auto"/>
        </w:rPr>
        <w:t>. The Company will make generally available to its securityholders as soon as practicable an earnings statement that satisfies the provisions of Section 11(a) of the 1933 Act and Rule 158 of the Commission promulgated thereunder covering a period of at least twelve months beginning with the first fiscal quarter of the Company occurring after the “effective date” (as defined in Rule 158) of the Registration Statement; provided that the Company will be deemed to have complied with such request by filing such an earnings statement on EDGAR.</w:t>
      </w:r>
    </w:p>
    <w:p>
      <w:pPr>
        <w:spacing w:after="0" w:line="178"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2"/>
          <w:szCs w:val="22"/>
          <w:color w:val="auto"/>
        </w:rPr>
        <w:t xml:space="preserve">(h) </w:t>
      </w:r>
      <w:r>
        <w:rPr>
          <w:rFonts w:ascii="Arial" w:cs="Arial" w:eastAsia="Arial" w:hAnsi="Arial"/>
          <w:sz w:val="22"/>
          <w:szCs w:val="22"/>
          <w:i w:val="1"/>
          <w:iCs w:val="1"/>
          <w:color w:val="auto"/>
        </w:rPr>
        <w:t>Listing</w:t>
      </w:r>
      <w:r>
        <w:rPr>
          <w:rFonts w:ascii="Arial" w:cs="Arial" w:eastAsia="Arial" w:hAnsi="Arial"/>
          <w:sz w:val="22"/>
          <w:szCs w:val="22"/>
          <w:color w:val="auto"/>
        </w:rPr>
        <w:t>. The Company will use its commercially reasonable best efforts to maintain the listing of the Common Stock (including the Securities) on the Nasdaq Global Select Market.</w:t>
      </w:r>
    </w:p>
    <w:p>
      <w:pPr>
        <w:spacing w:after="0" w:line="175"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2"/>
          <w:szCs w:val="22"/>
          <w:color w:val="auto"/>
        </w:rPr>
        <w:t xml:space="preserve">(i) </w:t>
      </w:r>
      <w:r>
        <w:rPr>
          <w:rFonts w:ascii="Arial" w:cs="Arial" w:eastAsia="Arial" w:hAnsi="Arial"/>
          <w:sz w:val="22"/>
          <w:szCs w:val="22"/>
          <w:i w:val="1"/>
          <w:iCs w:val="1"/>
          <w:color w:val="auto"/>
        </w:rPr>
        <w:t>DTC.</w:t>
      </w:r>
      <w:r>
        <w:rPr>
          <w:rFonts w:ascii="Arial" w:cs="Arial" w:eastAsia="Arial" w:hAnsi="Arial"/>
          <w:sz w:val="22"/>
          <w:szCs w:val="22"/>
          <w:color w:val="auto"/>
        </w:rPr>
        <w:t xml:space="preserve"> The Company will cooperate with the Sales Agent and use its commercially reasonable efforts to permit the offered Securities to be eligible for clearance and settlement through the facilities of DTC.</w:t>
      </w:r>
    </w:p>
    <w:p>
      <w:pPr>
        <w:spacing w:after="0" w:line="175" w:lineRule="exact"/>
        <w:rPr>
          <w:sz w:val="20"/>
          <w:szCs w:val="20"/>
          <w:color w:val="auto"/>
        </w:rPr>
      </w:pPr>
    </w:p>
    <w:p>
      <w:pPr>
        <w:ind w:left="1500"/>
        <w:spacing w:after="0"/>
        <w:tabs>
          <w:tab w:leader="none" w:pos="2980" w:val="left"/>
        </w:tabs>
        <w:rPr>
          <w:sz w:val="20"/>
          <w:szCs w:val="20"/>
          <w:color w:val="auto"/>
        </w:rPr>
      </w:pPr>
      <w:r>
        <w:rPr>
          <w:rFonts w:ascii="Arial" w:cs="Arial" w:eastAsia="Arial" w:hAnsi="Arial"/>
          <w:sz w:val="19"/>
          <w:szCs w:val="19"/>
          <w:color w:val="auto"/>
        </w:rPr>
        <w:t>(j)</w:t>
      </w:r>
      <w:r>
        <w:rPr>
          <w:sz w:val="20"/>
          <w:szCs w:val="20"/>
          <w:color w:val="auto"/>
        </w:rPr>
        <w:tab/>
      </w:r>
      <w:r>
        <w:rPr>
          <w:rFonts w:ascii="Arial" w:cs="Arial" w:eastAsia="Arial" w:hAnsi="Arial"/>
          <w:sz w:val="19"/>
          <w:szCs w:val="19"/>
          <w:i w:val="1"/>
          <w:iCs w:val="1"/>
          <w:color w:val="auto"/>
        </w:rPr>
        <w:t>Use of Proceeds; OFAC</w:t>
      </w:r>
      <w:r>
        <w:rPr>
          <w:rFonts w:ascii="Arial" w:cs="Arial" w:eastAsia="Arial" w:hAnsi="Arial"/>
          <w:sz w:val="19"/>
          <w:szCs w:val="19"/>
          <w:color w:val="auto"/>
        </w:rPr>
        <w:t>. The Company will use the net proceeds received by it from the sale</w:t>
      </w:r>
    </w:p>
    <w:p>
      <w:pPr>
        <w:spacing w:after="0" w:line="43"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of the Securities in the manner specified in the Registration Statement and the Prospectus under “Use of Proceeds.” The Company will not directly or, to its knowledge, indirectly, use the proceeds of the sale of the Securities, or lend, contribute or otherwise make available such proceeds to any subsidiaries, joint venture partners or other Person, to fund any activities of or business with any Person, or in any country or territory, that, at the time of such funding, is the subject of Sanctions (to the extent that such action would result in the violation by any person (including any person participating in the transaction, whether as underwriter, adviser, investor or otherwise) of Sanctions) or in any other manner that will result in a violation by any Person (including any Person participating in the transaction, whether as underwriter, advisor, investor or otherwise) of Sanctions.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76" w:lineRule="exact"/>
        <w:rPr>
          <w:sz w:val="20"/>
          <w:szCs w:val="20"/>
          <w:color w:val="auto"/>
        </w:rPr>
      </w:pPr>
    </w:p>
    <w:p>
      <w:pPr>
        <w:spacing w:after="0"/>
        <w:rPr>
          <w:sz w:val="20"/>
          <w:szCs w:val="20"/>
          <w:color w:val="auto"/>
        </w:rPr>
      </w:pPr>
      <w:r>
        <w:rPr>
          <w:rFonts w:ascii="Arial" w:cs="Arial" w:eastAsia="Arial" w:hAnsi="Arial"/>
          <w:sz w:val="14"/>
          <w:szCs w:val="14"/>
          <w:color w:val="auto"/>
        </w:rPr>
        <w:t>28117901.1.BUSINESS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157720" cy="4254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7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90" w:name="page91"/>
    <w:bookmarkEnd w:id="90"/>
    <w:p>
      <w:pPr>
        <w:jc w:val="both"/>
        <w:ind w:firstLine="1497"/>
        <w:spacing w:after="0"/>
        <w:rPr>
          <w:sz w:val="20"/>
          <w:szCs w:val="20"/>
          <w:color w:val="auto"/>
        </w:rPr>
      </w:pPr>
      <w:r>
        <w:rPr>
          <w:rFonts w:ascii="Arial" w:cs="Arial" w:eastAsia="Arial" w:hAnsi="Arial"/>
          <w:sz w:val="22"/>
          <w:szCs w:val="22"/>
          <w:color w:val="auto"/>
        </w:rPr>
        <w:t xml:space="preserve">(k) </w:t>
      </w:r>
      <w:r>
        <w:rPr>
          <w:rFonts w:ascii="Arial" w:cs="Arial" w:eastAsia="Arial" w:hAnsi="Arial"/>
          <w:sz w:val="22"/>
          <w:szCs w:val="22"/>
          <w:i w:val="1"/>
          <w:iCs w:val="1"/>
          <w:color w:val="auto"/>
        </w:rPr>
        <w:t>Reporting Requirements</w:t>
      </w:r>
      <w:r>
        <w:rPr>
          <w:rFonts w:ascii="Arial" w:cs="Arial" w:eastAsia="Arial" w:hAnsi="Arial"/>
          <w:sz w:val="22"/>
          <w:szCs w:val="22"/>
          <w:color w:val="auto"/>
        </w:rPr>
        <w:t>. The Company, during the period when a Prospectus relating to the Securities is required to be delivered under the 1933 Act, will file all documents required to be filed with the Commission pursuant to the 1934 Act within the time periods required by the 1934 Act and 1934 Act Regulations.</w:t>
      </w:r>
    </w:p>
    <w:p>
      <w:pPr>
        <w:spacing w:after="0" w:line="186" w:lineRule="exact"/>
        <w:rPr>
          <w:sz w:val="20"/>
          <w:szCs w:val="20"/>
          <w:color w:val="auto"/>
        </w:rPr>
      </w:pPr>
    </w:p>
    <w:p>
      <w:pPr>
        <w:jc w:val="both"/>
        <w:ind w:firstLine="1497"/>
        <w:spacing w:after="0" w:line="238" w:lineRule="auto"/>
        <w:rPr>
          <w:sz w:val="20"/>
          <w:szCs w:val="20"/>
          <w:color w:val="auto"/>
        </w:rPr>
      </w:pPr>
      <w:r>
        <w:rPr>
          <w:rFonts w:ascii="Arial" w:cs="Arial" w:eastAsia="Arial" w:hAnsi="Arial"/>
          <w:sz w:val="22"/>
          <w:szCs w:val="22"/>
          <w:color w:val="auto"/>
        </w:rPr>
        <w:t xml:space="preserve">(l) </w:t>
      </w:r>
      <w:r>
        <w:rPr>
          <w:rFonts w:ascii="Arial" w:cs="Arial" w:eastAsia="Arial" w:hAnsi="Arial"/>
          <w:sz w:val="22"/>
          <w:szCs w:val="22"/>
          <w:i w:val="1"/>
          <w:iCs w:val="1"/>
          <w:color w:val="auto"/>
        </w:rPr>
        <w:t>Business Development Company Status</w:t>
      </w:r>
      <w:r>
        <w:rPr>
          <w:rFonts w:ascii="Arial" w:cs="Arial" w:eastAsia="Arial" w:hAnsi="Arial"/>
          <w:sz w:val="22"/>
          <w:szCs w:val="22"/>
          <w:color w:val="auto"/>
        </w:rPr>
        <w:t>. The Company will use its commercially reasonable efforts to maintain its status as a business development company; provided, however, the Company may cease to be, or withdraw its election as, a business development company, with the approval of the board of directors and a vote of stockholders as required by Section 58 of the 1940 Act or any successor provision.</w:t>
      </w:r>
    </w:p>
    <w:p>
      <w:pPr>
        <w:spacing w:after="0" w:line="185" w:lineRule="exact"/>
        <w:rPr>
          <w:sz w:val="20"/>
          <w:szCs w:val="20"/>
          <w:color w:val="auto"/>
        </w:rPr>
      </w:pPr>
    </w:p>
    <w:p>
      <w:pPr>
        <w:jc w:val="both"/>
        <w:ind w:firstLine="1497"/>
        <w:spacing w:after="0"/>
        <w:rPr>
          <w:sz w:val="20"/>
          <w:szCs w:val="20"/>
          <w:color w:val="auto"/>
        </w:rPr>
      </w:pPr>
      <w:r>
        <w:rPr>
          <w:rFonts w:ascii="Arial" w:cs="Arial" w:eastAsia="Arial" w:hAnsi="Arial"/>
          <w:sz w:val="22"/>
          <w:szCs w:val="22"/>
          <w:color w:val="auto"/>
        </w:rPr>
        <w:t xml:space="preserve">(m) </w:t>
      </w:r>
      <w:r>
        <w:rPr>
          <w:rFonts w:ascii="Arial" w:cs="Arial" w:eastAsia="Arial" w:hAnsi="Arial"/>
          <w:sz w:val="22"/>
          <w:szCs w:val="22"/>
          <w:i w:val="1"/>
          <w:iCs w:val="1"/>
          <w:color w:val="auto"/>
        </w:rPr>
        <w:t>Regulated Investment Company Status</w:t>
      </w:r>
      <w:r>
        <w:rPr>
          <w:rFonts w:ascii="Arial" w:cs="Arial" w:eastAsia="Arial" w:hAnsi="Arial"/>
          <w:sz w:val="22"/>
          <w:szCs w:val="22"/>
          <w:color w:val="auto"/>
        </w:rPr>
        <w:t>. The Company will use its commercially reasonable efforts to maintain its qualification as a regulated investment company under Subchapter M of the Code for each full fiscal year during which it is a business development company under the 1940 Act.</w:t>
      </w:r>
    </w:p>
    <w:p>
      <w:pPr>
        <w:spacing w:after="0" w:line="186" w:lineRule="exact"/>
        <w:rPr>
          <w:sz w:val="20"/>
          <w:szCs w:val="20"/>
          <w:color w:val="auto"/>
        </w:rPr>
      </w:pPr>
    </w:p>
    <w:p>
      <w:pPr>
        <w:jc w:val="both"/>
        <w:ind w:firstLine="1497"/>
        <w:spacing w:after="0" w:line="287" w:lineRule="auto"/>
        <w:rPr>
          <w:sz w:val="20"/>
          <w:szCs w:val="20"/>
          <w:color w:val="auto"/>
        </w:rPr>
      </w:pPr>
      <w:r>
        <w:rPr>
          <w:rFonts w:ascii="Arial" w:cs="Arial" w:eastAsia="Arial" w:hAnsi="Arial"/>
          <w:sz w:val="19"/>
          <w:szCs w:val="19"/>
          <w:color w:val="auto"/>
        </w:rPr>
        <w:t xml:space="preserve">(n) </w:t>
      </w:r>
      <w:r>
        <w:rPr>
          <w:rFonts w:ascii="Arial" w:cs="Arial" w:eastAsia="Arial" w:hAnsi="Arial"/>
          <w:sz w:val="19"/>
          <w:szCs w:val="19"/>
          <w:i w:val="1"/>
          <w:iCs w:val="1"/>
          <w:color w:val="auto"/>
        </w:rPr>
        <w:t>Annual Compliance Reviews</w:t>
      </w:r>
      <w:r>
        <w:rPr>
          <w:rFonts w:ascii="Arial" w:cs="Arial" w:eastAsia="Arial" w:hAnsi="Arial"/>
          <w:sz w:val="19"/>
          <w:szCs w:val="19"/>
          <w:color w:val="auto"/>
        </w:rPr>
        <w:t>. The Company will retain qualified accountants and qualified tax experts to (i) test procedures and conduct annual compliance reviews designed to determine compliance with the regulated investment company provisions of the Code and (ii) otherwise assist the Company in monitoring appropriate accounting systems and procedures designed to determine compliance with the regulated investment company provisions of the Code.</w:t>
      </w:r>
    </w:p>
    <w:p>
      <w:pPr>
        <w:spacing w:after="0" w:line="143" w:lineRule="exact"/>
        <w:rPr>
          <w:sz w:val="20"/>
          <w:szCs w:val="20"/>
          <w:color w:val="auto"/>
        </w:rPr>
      </w:pPr>
    </w:p>
    <w:p>
      <w:pPr>
        <w:jc w:val="both"/>
        <w:ind w:firstLine="1497"/>
        <w:spacing w:after="0" w:line="272" w:lineRule="auto"/>
        <w:rPr>
          <w:sz w:val="20"/>
          <w:szCs w:val="20"/>
          <w:color w:val="auto"/>
        </w:rPr>
      </w:pPr>
      <w:r>
        <w:rPr>
          <w:rFonts w:ascii="Arial" w:cs="Arial" w:eastAsia="Arial" w:hAnsi="Arial"/>
          <w:sz w:val="19"/>
          <w:szCs w:val="19"/>
          <w:color w:val="auto"/>
        </w:rPr>
        <w:t xml:space="preserve">(o) </w:t>
      </w:r>
      <w:r>
        <w:rPr>
          <w:rFonts w:ascii="Arial" w:cs="Arial" w:eastAsia="Arial" w:hAnsi="Arial"/>
          <w:sz w:val="19"/>
          <w:szCs w:val="19"/>
          <w:i w:val="1"/>
          <w:iCs w:val="1"/>
          <w:color w:val="auto"/>
        </w:rPr>
        <w:t>Accounting Controls</w:t>
      </w:r>
      <w:r>
        <w:rPr>
          <w:rFonts w:ascii="Arial" w:cs="Arial" w:eastAsia="Arial" w:hAnsi="Arial"/>
          <w:sz w:val="19"/>
          <w:szCs w:val="19"/>
          <w:color w:val="auto"/>
        </w:rPr>
        <w:t>. The Company will use commercially reasonable efforts to establish and maintain a system of internal accounting controls sufficient to provide reasonable assurances that (A) transactions are executed in accordance with management’s authorization; (B) transactions are recorded as necessary to permit preparation of financial statements in conformity with GAAP and to maintain accountability for assets; (C) access to the Company’s consolidated assets is permitted only in accordance with management’s authorization; (D) the recorded accountability for assets is compared with the existing assets at reasonable intervals and appropriate action is taken with respect to any differences; (E) material information relating to the Company and the assets managed by the Adviser is promptly made known to the officers responsible for establishing and maintaining the system of internal accounting controls; and (F) any significant deficiencies or weaknesses in the design or operation of internal accounting controls that could adversely affect the Company’s ability to record, process, summarize and report financial data, and any fraud whether or not material that involves management or other employees who have a significant role in internal controls, are adequately and promptly disclosed to the Company’s independent auditors and the audit committee of the Company’s board of directors.</w:t>
      </w:r>
    </w:p>
    <w:p>
      <w:pPr>
        <w:spacing w:after="0" w:line="161" w:lineRule="exact"/>
        <w:rPr>
          <w:sz w:val="20"/>
          <w:szCs w:val="20"/>
          <w:color w:val="auto"/>
        </w:rPr>
      </w:pPr>
    </w:p>
    <w:p>
      <w:pPr>
        <w:jc w:val="both"/>
        <w:ind w:firstLine="1497"/>
        <w:spacing w:after="0" w:line="235" w:lineRule="auto"/>
        <w:rPr>
          <w:sz w:val="20"/>
          <w:szCs w:val="20"/>
          <w:color w:val="auto"/>
        </w:rPr>
      </w:pPr>
      <w:r>
        <w:rPr>
          <w:rFonts w:ascii="Arial" w:cs="Arial" w:eastAsia="Arial" w:hAnsi="Arial"/>
          <w:sz w:val="22"/>
          <w:szCs w:val="22"/>
          <w:color w:val="auto"/>
        </w:rPr>
        <w:t xml:space="preserve">(p) </w:t>
      </w:r>
      <w:r>
        <w:rPr>
          <w:rFonts w:ascii="Arial" w:cs="Arial" w:eastAsia="Arial" w:hAnsi="Arial"/>
          <w:sz w:val="22"/>
          <w:szCs w:val="22"/>
          <w:i w:val="1"/>
          <w:iCs w:val="1"/>
          <w:color w:val="auto"/>
        </w:rPr>
        <w:t>Disclosure Controls</w:t>
      </w:r>
      <w:r>
        <w:rPr>
          <w:rFonts w:ascii="Arial" w:cs="Arial" w:eastAsia="Arial" w:hAnsi="Arial"/>
          <w:sz w:val="22"/>
          <w:szCs w:val="22"/>
          <w:color w:val="auto"/>
        </w:rPr>
        <w:t>. The Company will use commercially reasonable efforts to establish and employ disclosure controls and procedures that are designed to ensure that information required to be disclosed by the Company in the reports that it files or submits under the 1934 Act is recorded, processed, summarized and reported, within the time periods specified in the Commission’s rules and forms, and is accumulated and communicated to the Company’s management, including its principal executive officer or officers and principal financial officer or officers, as appropriate to allow timely decisions regarding disclosure.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76" w:lineRule="exact"/>
        <w:rPr>
          <w:sz w:val="20"/>
          <w:szCs w:val="20"/>
          <w:color w:val="auto"/>
        </w:rPr>
      </w:pPr>
    </w:p>
    <w:p>
      <w:pPr>
        <w:spacing w:after="0"/>
        <w:rPr>
          <w:sz w:val="20"/>
          <w:szCs w:val="20"/>
          <w:color w:val="auto"/>
        </w:rPr>
      </w:pPr>
      <w:r>
        <w:rPr>
          <w:rFonts w:ascii="Arial" w:cs="Arial" w:eastAsia="Arial" w:hAnsi="Arial"/>
          <w:sz w:val="14"/>
          <w:szCs w:val="14"/>
          <w:color w:val="auto"/>
        </w:rPr>
        <w:t>28117901.1.BUSINESS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157720" cy="4254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7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91" w:name="page92"/>
    <w:bookmarkEnd w:id="91"/>
    <w:p>
      <w:pPr>
        <w:jc w:val="both"/>
        <w:ind w:firstLine="1497"/>
        <w:spacing w:after="0" w:line="234" w:lineRule="auto"/>
        <w:rPr>
          <w:sz w:val="20"/>
          <w:szCs w:val="20"/>
          <w:color w:val="auto"/>
        </w:rPr>
      </w:pPr>
      <w:r>
        <w:rPr>
          <w:rFonts w:ascii="Arial" w:cs="Arial" w:eastAsia="Arial" w:hAnsi="Arial"/>
          <w:sz w:val="22"/>
          <w:szCs w:val="22"/>
          <w:color w:val="auto"/>
        </w:rPr>
        <w:t xml:space="preserve">(q) </w:t>
      </w:r>
      <w:r>
        <w:rPr>
          <w:rFonts w:ascii="Arial" w:cs="Arial" w:eastAsia="Arial" w:hAnsi="Arial"/>
          <w:sz w:val="22"/>
          <w:szCs w:val="22"/>
          <w:i w:val="1"/>
          <w:iCs w:val="1"/>
          <w:color w:val="auto"/>
        </w:rPr>
        <w:t>Issuer Free Writing Prospectus</w:t>
      </w:r>
      <w:r>
        <w:rPr>
          <w:rFonts w:ascii="Arial" w:cs="Arial" w:eastAsia="Arial" w:hAnsi="Arial"/>
          <w:sz w:val="22"/>
          <w:szCs w:val="22"/>
          <w:color w:val="auto"/>
        </w:rPr>
        <w:t>. The Company represents and agrees that, without the prior consent of the Sales Agent (i) it will not distribute any offering material other than the Registration Statement or the Prospectus, and (ii) it has not made and will not make any offer relating to the Securities that would constitute a “free writing prospectus” as defined in Rule 405 under the 1933 Act, and which the parties agree, for the purposes of this Agreement, includes (x) any “advertisement” as defined in Rule 482 under the 1933 Act; and (y) any sales literature, materials or information provided to investors by, or with the approval of, the Company in connection with the marketing of the offering of the Securities, including any in-person roadshow or investor presentations (including slides and scripts relating thereto) made to investors by or on behalf of the Company.</w:t>
      </w:r>
    </w:p>
    <w:p>
      <w:pPr>
        <w:spacing w:after="0" w:line="187" w:lineRule="exact"/>
        <w:rPr>
          <w:sz w:val="20"/>
          <w:szCs w:val="20"/>
          <w:color w:val="auto"/>
        </w:rPr>
      </w:pPr>
    </w:p>
    <w:p>
      <w:pPr>
        <w:jc w:val="both"/>
        <w:ind w:firstLine="1497"/>
        <w:spacing w:after="0" w:line="246" w:lineRule="auto"/>
        <w:rPr>
          <w:sz w:val="20"/>
          <w:szCs w:val="20"/>
          <w:color w:val="auto"/>
        </w:rPr>
      </w:pPr>
      <w:r>
        <w:rPr>
          <w:rFonts w:ascii="Arial" w:cs="Arial" w:eastAsia="Arial" w:hAnsi="Arial"/>
          <w:sz w:val="21"/>
          <w:szCs w:val="21"/>
          <w:color w:val="auto"/>
        </w:rPr>
        <w:t xml:space="preserve">(r) </w:t>
      </w:r>
      <w:r>
        <w:rPr>
          <w:rFonts w:ascii="Arial" w:cs="Arial" w:eastAsia="Arial" w:hAnsi="Arial"/>
          <w:sz w:val="21"/>
          <w:szCs w:val="21"/>
          <w:i w:val="1"/>
          <w:iCs w:val="1"/>
          <w:color w:val="auto"/>
        </w:rPr>
        <w:t>Due Diligence Matters.</w:t>
      </w:r>
      <w:r>
        <w:rPr>
          <w:rFonts w:ascii="Arial" w:cs="Arial" w:eastAsia="Arial" w:hAnsi="Arial"/>
          <w:sz w:val="21"/>
          <w:szCs w:val="21"/>
          <w:color w:val="auto"/>
        </w:rPr>
        <w:t xml:space="preserve"> The Company will cooperate with any reasonable due diligence review conducted by the Sales Agent or its respective agents in connection with the transactions contemplated hereby, including, without limitation, providing information and making available documents and senior officers, during regular business hours and at the Company’s principal offices, as either Agent may reasonably request. The parties acknowledge that the due diligence review contemplated by this Section 2(r) will include, without limitation, during the term of this Agreement a quarterly diligence conference to occur within five business days after each 10-Q filing or 10-K filing whereby the Company will make its senior corporate officers available to address diligence inquiries of the Sales Agent and will provide such additional information and documents as the Sales Agent may reasonably request.</w:t>
      </w:r>
    </w:p>
    <w:p>
      <w:pPr>
        <w:spacing w:after="0" w:line="180"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2"/>
          <w:szCs w:val="22"/>
          <w:color w:val="auto"/>
        </w:rPr>
        <w:t xml:space="preserve">(s) </w:t>
      </w:r>
      <w:r>
        <w:rPr>
          <w:rFonts w:ascii="Arial" w:cs="Arial" w:eastAsia="Arial" w:hAnsi="Arial"/>
          <w:sz w:val="22"/>
          <w:szCs w:val="22"/>
          <w:i w:val="1"/>
          <w:iCs w:val="1"/>
          <w:color w:val="auto"/>
        </w:rPr>
        <w:t>No Stabilization.</w:t>
      </w:r>
      <w:r>
        <w:rPr>
          <w:rFonts w:ascii="Arial" w:cs="Arial" w:eastAsia="Arial" w:hAnsi="Arial"/>
          <w:sz w:val="22"/>
          <w:szCs w:val="22"/>
          <w:color w:val="auto"/>
        </w:rPr>
        <w:t xml:space="preserve"> The Company will not take, directly or indirectly, any action designed to or that could reasonably be expected to cause or result in any stabilization or manipulation of the price of the Securities.</w:t>
      </w:r>
    </w:p>
    <w:p>
      <w:pPr>
        <w:spacing w:after="0" w:line="175" w:lineRule="exact"/>
        <w:rPr>
          <w:sz w:val="20"/>
          <w:szCs w:val="20"/>
          <w:color w:val="auto"/>
        </w:rPr>
      </w:pPr>
    </w:p>
    <w:p>
      <w:pPr>
        <w:ind w:left="1500"/>
        <w:spacing w:after="0"/>
        <w:tabs>
          <w:tab w:leader="none" w:pos="2980" w:val="left"/>
        </w:tabs>
        <w:rPr>
          <w:sz w:val="20"/>
          <w:szCs w:val="20"/>
          <w:color w:val="auto"/>
        </w:rPr>
      </w:pPr>
      <w:r>
        <w:rPr>
          <w:rFonts w:ascii="Arial" w:cs="Arial" w:eastAsia="Arial" w:hAnsi="Arial"/>
          <w:sz w:val="19"/>
          <w:szCs w:val="19"/>
          <w:color w:val="auto"/>
        </w:rPr>
        <w:t>(t)</w:t>
      </w:r>
      <w:r>
        <w:rPr>
          <w:sz w:val="20"/>
          <w:szCs w:val="20"/>
          <w:color w:val="auto"/>
        </w:rPr>
        <w:tab/>
      </w:r>
      <w:r>
        <w:rPr>
          <w:rFonts w:ascii="Arial" w:cs="Arial" w:eastAsia="Arial" w:hAnsi="Arial"/>
          <w:sz w:val="19"/>
          <w:szCs w:val="19"/>
          <w:color w:val="auto"/>
        </w:rPr>
        <w:t>The Company agrees that any offer to sell, any solicitation of an offer to buy, or any sales of</w:t>
      </w:r>
    </w:p>
    <w:p>
      <w:pPr>
        <w:spacing w:after="0" w:line="43"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Securities pursuant to this Agreement, the Sales Agreement or any Terms Agreement shall only be effected by or through only one of Agent or the Other Agent, as applicable, at any given time as determined by the Company, but in no event by more than one of them, and the Company shall in no event request that more than one of Agent or the Other Agent sell Securities during such time period.</w:t>
      </w:r>
    </w:p>
    <w:p>
      <w:pPr>
        <w:spacing w:after="0" w:line="188"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9"/>
          <w:szCs w:val="19"/>
          <w:color w:val="auto"/>
        </w:rPr>
        <w:t>SECTION 4.</w:t>
      </w:r>
      <w:r>
        <w:rPr>
          <w:rFonts w:ascii="Arial" w:cs="Arial" w:eastAsia="Arial" w:hAnsi="Arial"/>
          <w:sz w:val="19"/>
          <w:szCs w:val="19"/>
          <w:u w:val="single" w:color="auto"/>
          <w:color w:val="auto"/>
        </w:rPr>
        <w:t>Payment of Expenses</w:t>
      </w:r>
      <w:r>
        <w:rPr>
          <w:rFonts w:ascii="Arial" w:cs="Arial" w:eastAsia="Arial" w:hAnsi="Arial"/>
          <w:sz w:val="19"/>
          <w:szCs w:val="19"/>
          <w:color w:val="auto"/>
        </w:rPr>
        <w:t>. The Company shall pay or cause to be paid all expenses incident to the performance of its obligations under this Agreement, including (i) the preparation and filing of the Registration Statement, the Prospectus and any amendments or supplements thereto, and the printing and furnishing of copies of each thereof to the Sales Agent (including costs of mailing and shipment), (ii) the printing and delivery to the Sales Agent of this Agreement and such other documents as may be required in connection with the offering, purchase, sale or delivery of the Securities, (iii) the delivery of Securities to the Sales Agent, including any stock or other transfer taxes and any stamp or other duties payable upon the sale or delivery of the Securities to the Sales Agent, (iv) the fees and disbursements of the Company’s counsel, accountants and other advisors, (v) the qualification of the Securities under securities laws in accordance with the provisions of this Agreement, including filing fees and the reasonable fees and disbursements of counsel for the Sales Agent in connection therewith and in connection with the preparation of blue sky surveys and any supplement thereto, (vi) the printing and delivery to the Sales Agent of copies of the Prospectus and any amendments or supplements thereto, (vii) the</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76" w:lineRule="exact"/>
        <w:rPr>
          <w:sz w:val="20"/>
          <w:szCs w:val="20"/>
          <w:color w:val="auto"/>
        </w:rPr>
      </w:pPr>
    </w:p>
    <w:p>
      <w:pPr>
        <w:spacing w:after="0"/>
        <w:rPr>
          <w:sz w:val="20"/>
          <w:szCs w:val="20"/>
          <w:color w:val="auto"/>
        </w:rPr>
      </w:pPr>
      <w:r>
        <w:rPr>
          <w:rFonts w:ascii="Arial" w:cs="Arial" w:eastAsia="Arial" w:hAnsi="Arial"/>
          <w:sz w:val="14"/>
          <w:szCs w:val="14"/>
          <w:color w:val="auto"/>
        </w:rPr>
        <w:t>28117901.1.BUSINESS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157720" cy="4254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7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92" w:name="page93"/>
    <w:bookmarkEnd w:id="92"/>
    <w:p>
      <w:pPr>
        <w:jc w:val="both"/>
        <w:spacing w:after="0" w:line="274" w:lineRule="auto"/>
        <w:rPr>
          <w:sz w:val="20"/>
          <w:szCs w:val="20"/>
          <w:color w:val="auto"/>
        </w:rPr>
      </w:pPr>
      <w:r>
        <w:rPr>
          <w:rFonts w:ascii="Arial" w:cs="Arial" w:eastAsia="Arial" w:hAnsi="Arial"/>
          <w:sz w:val="19"/>
          <w:szCs w:val="19"/>
          <w:color w:val="auto"/>
        </w:rPr>
        <w:t>preparation and delivery to the Sales Agent of copies of the blue sky survey, if any, and any supplement thereto, (viii) the fees and expenses of any transfer agent or registrar for the Securities, (ix) the reasonable legal fees and expenses of counsel to the Sales Agent in connection with their performance under this Agreement, in an aggregate amount of $40,000 in connection with the entry into this Agreement and the Sales Agreement and up to $7,500 per fiscal quarter during the term of this Agreement and the Sales Agreement, which amount shall include legal fees and expenses relating to the review by FINRA of the terms of the sale of the Securities and (x) the filing fees incident to the review by FINRA of the terms of the sale of the Securities. Except as set forth herein, the Sales Agent will pay all of its other out-of-pocket costs and expenses incurred in connection with entering into this Agreement and the transactions contemplated by this Agreement, including, without limitation, travel and similar expenses, whether or not the transactions contemplated hereby are consummated or this Agreement is terminated.</w:t>
      </w:r>
    </w:p>
    <w:p>
      <w:pPr>
        <w:spacing w:after="0" w:line="158"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2"/>
          <w:szCs w:val="22"/>
          <w:color w:val="auto"/>
        </w:rPr>
        <w:t>SECTION 5.</w:t>
      </w:r>
      <w:r>
        <w:rPr>
          <w:rFonts w:ascii="Arial" w:cs="Arial" w:eastAsia="Arial" w:hAnsi="Arial"/>
          <w:sz w:val="22"/>
          <w:szCs w:val="22"/>
          <w:u w:val="single" w:color="auto"/>
          <w:color w:val="auto"/>
        </w:rPr>
        <w:t>Conditions of the Sales Agent’s Obligations</w:t>
      </w:r>
      <w:r>
        <w:rPr>
          <w:rFonts w:ascii="Arial" w:cs="Arial" w:eastAsia="Arial" w:hAnsi="Arial"/>
          <w:sz w:val="22"/>
          <w:szCs w:val="22"/>
          <w:color w:val="auto"/>
        </w:rPr>
        <w:t>. The obligations of the Sales Agent hereunder are subject to the accuracy of the representations and warranties of the Company, the Adviser and the Administrator contained herein or in certificates of any officer of the Company, any of the Subsidiaries, the Adviser or the Administrator delivered pursuant to the provisions hereof, to the performance by the Company, the Adviser and the Administrator of their respective covenants and other obligations hereunder, and to the following further conditions:</w:t>
      </w:r>
    </w:p>
    <w:p>
      <w:pPr>
        <w:spacing w:after="0" w:line="187" w:lineRule="exact"/>
        <w:rPr>
          <w:sz w:val="20"/>
          <w:szCs w:val="20"/>
          <w:color w:val="auto"/>
        </w:rPr>
      </w:pPr>
    </w:p>
    <w:p>
      <w:pPr>
        <w:jc w:val="both"/>
        <w:ind w:firstLine="1497"/>
        <w:spacing w:after="0" w:line="234" w:lineRule="auto"/>
        <w:rPr>
          <w:sz w:val="20"/>
          <w:szCs w:val="20"/>
          <w:color w:val="auto"/>
        </w:rPr>
      </w:pPr>
      <w:r>
        <w:rPr>
          <w:rFonts w:ascii="Arial" w:cs="Arial" w:eastAsia="Arial" w:hAnsi="Arial"/>
          <w:sz w:val="22"/>
          <w:szCs w:val="22"/>
          <w:color w:val="auto"/>
        </w:rPr>
        <w:t xml:space="preserve">(a) </w:t>
      </w:r>
      <w:r>
        <w:rPr>
          <w:rFonts w:ascii="Arial" w:cs="Arial" w:eastAsia="Arial" w:hAnsi="Arial"/>
          <w:sz w:val="22"/>
          <w:szCs w:val="22"/>
          <w:i w:val="1"/>
          <w:iCs w:val="1"/>
          <w:color w:val="auto"/>
        </w:rPr>
        <w:t>Registration Statement</w:t>
      </w:r>
      <w:r>
        <w:rPr>
          <w:rFonts w:ascii="Arial" w:cs="Arial" w:eastAsia="Arial" w:hAnsi="Arial"/>
          <w:sz w:val="22"/>
          <w:szCs w:val="22"/>
          <w:color w:val="auto"/>
        </w:rPr>
        <w:t>. No stop order suspending the effectiveness of the Registration Statement or any post-effective amendment thereto has been issued under the 1933 Act, no order preventing or suspending the use of any Issuer Free Writing Prospectus or the Prospectus has been issued and no proceedings for any of those purposes have been instituted or are pending or, to the Company’s knowledge, contemplated; and the Company has complied with each request (if any) from the Commission for additional information in connection with the Registration Statement. Any required filing of each Issuer Free Writing Prospectus pursuant to Rule 433 has been made in the manner and within the time period required by Rule 433(d).</w:t>
      </w:r>
    </w:p>
    <w:p>
      <w:pPr>
        <w:spacing w:after="0" w:line="191" w:lineRule="exact"/>
        <w:rPr>
          <w:sz w:val="20"/>
          <w:szCs w:val="20"/>
          <w:color w:val="auto"/>
        </w:rPr>
      </w:pPr>
    </w:p>
    <w:p>
      <w:pPr>
        <w:ind w:left="1500"/>
        <w:spacing w:after="0"/>
        <w:tabs>
          <w:tab w:leader="none" w:pos="2980" w:val="left"/>
        </w:tabs>
        <w:rPr>
          <w:sz w:val="20"/>
          <w:szCs w:val="20"/>
          <w:color w:val="auto"/>
        </w:rPr>
      </w:pPr>
      <w:r>
        <w:rPr>
          <w:rFonts w:ascii="Arial" w:cs="Arial" w:eastAsia="Arial" w:hAnsi="Arial"/>
          <w:sz w:val="19"/>
          <w:szCs w:val="19"/>
          <w:color w:val="auto"/>
        </w:rPr>
        <w:t>(b)</w:t>
      </w:r>
      <w:r>
        <w:rPr>
          <w:sz w:val="20"/>
          <w:szCs w:val="20"/>
          <w:color w:val="auto"/>
        </w:rPr>
        <w:tab/>
      </w:r>
      <w:r>
        <w:rPr>
          <w:rFonts w:ascii="Arial" w:cs="Arial" w:eastAsia="Arial" w:hAnsi="Arial"/>
          <w:sz w:val="19"/>
          <w:szCs w:val="19"/>
          <w:i w:val="1"/>
          <w:iCs w:val="1"/>
          <w:color w:val="auto"/>
        </w:rPr>
        <w:t>Opinions of Counsel for the Company, the Adviser and the Administrator</w:t>
      </w:r>
      <w:r>
        <w:rPr>
          <w:rFonts w:ascii="Arial" w:cs="Arial" w:eastAsia="Arial" w:hAnsi="Arial"/>
          <w:sz w:val="19"/>
          <w:szCs w:val="19"/>
          <w:color w:val="auto"/>
        </w:rPr>
        <w:t>. Within five business</w:t>
      </w:r>
    </w:p>
    <w:p>
      <w:pPr>
        <w:spacing w:after="0" w:line="43"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days after (i) each date on which the Company files a quarterly report on Form 10-Q or an annual report on Form 10-K, (ii) each date on which Securities are delivered to the Sales Agent pursuant to a Terms Agreement, or (iii) such date as the Sales Agent may reasonably request (the date of commencement of the offering of the Securities under this Agreement, the date of commencement of the offering of the Securities under this Agreement following the termination of a Suspension Period and each date referred to in subclauses (i), (ii) and (iii) above, each a “Representation Date”), the Sales Agent shall have received the favorable opinions, dated the Representation Date, of Dechert LLP, counsel for the Company, the Adviser and the Administrator, and of Venable LLP, counsel for the Company, in form and substance reasonably satisfactory to counsel for the Sales Agent. Such counsels may state that insofar as such opinions involve factual matters, they have relied, to the extent they deem proper, upon certificates of officers of the Company and the Subsidiaries, the Adviser and the Administrator and certificates of public officials.</w:t>
      </w:r>
    </w:p>
    <w:p>
      <w:pPr>
        <w:spacing w:after="0" w:line="156" w:lineRule="exact"/>
        <w:rPr>
          <w:sz w:val="20"/>
          <w:szCs w:val="20"/>
          <w:color w:val="auto"/>
        </w:rPr>
      </w:pPr>
    </w:p>
    <w:p>
      <w:pPr>
        <w:jc w:val="both"/>
        <w:ind w:firstLine="1497"/>
        <w:spacing w:after="0"/>
        <w:rPr>
          <w:sz w:val="20"/>
          <w:szCs w:val="20"/>
          <w:color w:val="auto"/>
        </w:rPr>
      </w:pPr>
      <w:r>
        <w:rPr>
          <w:rFonts w:ascii="Arial" w:cs="Arial" w:eastAsia="Arial" w:hAnsi="Arial"/>
          <w:sz w:val="22"/>
          <w:szCs w:val="22"/>
          <w:color w:val="auto"/>
        </w:rPr>
        <w:t xml:space="preserve">(c) </w:t>
      </w:r>
      <w:r>
        <w:rPr>
          <w:rFonts w:ascii="Arial" w:cs="Arial" w:eastAsia="Arial" w:hAnsi="Arial"/>
          <w:sz w:val="22"/>
          <w:szCs w:val="22"/>
          <w:i w:val="1"/>
          <w:iCs w:val="1"/>
          <w:color w:val="auto"/>
        </w:rPr>
        <w:t>Opinion of Counsel for the Sales Agent</w:t>
      </w:r>
      <w:r>
        <w:rPr>
          <w:rFonts w:ascii="Arial" w:cs="Arial" w:eastAsia="Arial" w:hAnsi="Arial"/>
          <w:sz w:val="22"/>
          <w:szCs w:val="22"/>
          <w:color w:val="auto"/>
        </w:rPr>
        <w:t>. Within five business days after each Representation Date, the Sales Agent shall have received the favorable opinion, dated the Representation Date, of Proskauer Rose LLP, counsel for the Sales Agent. Such counsel may also</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76" w:lineRule="exact"/>
        <w:rPr>
          <w:sz w:val="20"/>
          <w:szCs w:val="20"/>
          <w:color w:val="auto"/>
        </w:rPr>
      </w:pPr>
    </w:p>
    <w:p>
      <w:pPr>
        <w:spacing w:after="0"/>
        <w:rPr>
          <w:sz w:val="20"/>
          <w:szCs w:val="20"/>
          <w:color w:val="auto"/>
        </w:rPr>
      </w:pPr>
      <w:r>
        <w:rPr>
          <w:rFonts w:ascii="Arial" w:cs="Arial" w:eastAsia="Arial" w:hAnsi="Arial"/>
          <w:sz w:val="14"/>
          <w:szCs w:val="14"/>
          <w:color w:val="auto"/>
        </w:rPr>
        <w:t>28117901.1.BUSINESS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157720" cy="4254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93" w:name="page94"/>
    <w:bookmarkEnd w:id="93"/>
    <w:p>
      <w:pPr>
        <w:jc w:val="both"/>
        <w:spacing w:after="0"/>
        <w:rPr>
          <w:sz w:val="20"/>
          <w:szCs w:val="20"/>
          <w:color w:val="auto"/>
        </w:rPr>
      </w:pPr>
      <w:r>
        <w:rPr>
          <w:rFonts w:ascii="Arial" w:cs="Arial" w:eastAsia="Arial" w:hAnsi="Arial"/>
          <w:sz w:val="22"/>
          <w:szCs w:val="22"/>
          <w:color w:val="auto"/>
        </w:rPr>
        <w:t>state that, insofar as such opinion involves factual matters, they have relied, to the extent they deem proper, upon certificates of officers and other representatives of the Company, the Subsidiaries, the Adviser and the Administrator and certificates of public officials.</w:t>
      </w:r>
    </w:p>
    <w:p>
      <w:pPr>
        <w:sectPr>
          <w:pgSz w:w="11900" w:h="16838" w:orient="portrait"/>
          <w:cols w:equalWidth="0" w:num="1">
            <w:col w:w="11240"/>
          </w:cols>
          <w:pgMar w:left="320" w:top="321" w:right="339" w:bottom="1440" w:gutter="0" w:footer="0" w:header="0"/>
        </w:sectPr>
      </w:pPr>
    </w:p>
    <w:p>
      <w:pPr>
        <w:spacing w:after="0" w:line="186" w:lineRule="exact"/>
        <w:rPr>
          <w:sz w:val="20"/>
          <w:szCs w:val="20"/>
          <w:color w:val="auto"/>
        </w:rPr>
      </w:pPr>
    </w:p>
    <w:p>
      <w:pPr>
        <w:ind w:left="1500"/>
        <w:spacing w:after="0"/>
        <w:rPr>
          <w:sz w:val="20"/>
          <w:szCs w:val="20"/>
          <w:color w:val="auto"/>
        </w:rPr>
      </w:pPr>
      <w:r>
        <w:rPr>
          <w:rFonts w:ascii="Arial" w:cs="Arial" w:eastAsia="Arial" w:hAnsi="Arial"/>
          <w:sz w:val="21"/>
          <w:szCs w:val="21"/>
          <w:color w:val="auto"/>
        </w:rPr>
        <w:t>(d)</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Officers’ Certificates</w:t>
      </w:r>
      <w:r>
        <w:rPr>
          <w:rFonts w:ascii="Arial" w:cs="Arial" w:eastAsia="Arial" w:hAnsi="Arial"/>
          <w:sz w:val="19"/>
          <w:szCs w:val="19"/>
          <w:color w:val="auto"/>
        </w:rPr>
        <w:t>.</w:t>
      </w:r>
    </w:p>
    <w:p>
      <w:pPr>
        <w:spacing w:after="0" w:line="222" w:lineRule="exact"/>
        <w:rPr>
          <w:sz w:val="20"/>
          <w:szCs w:val="20"/>
          <w:color w:val="auto"/>
        </w:rPr>
      </w:pPr>
    </w:p>
    <w:p>
      <w:pPr>
        <w:sectPr>
          <w:pgSz w:w="11900" w:h="16838" w:orient="portrait"/>
          <w:cols w:equalWidth="0" w:num="2">
            <w:col w:w="2280" w:space="720"/>
            <w:col w:w="8240"/>
          </w:cols>
          <w:pgMar w:left="320" w:top="321" w:right="339" w:bottom="1440" w:gutter="0" w:footer="0" w:header="0"/>
          <w:type w:val="continuous"/>
        </w:sectPr>
      </w:pPr>
    </w:p>
    <w:p>
      <w:pPr>
        <w:spacing w:after="0" w:line="18" w:lineRule="exact"/>
        <w:rPr>
          <w:sz w:val="20"/>
          <w:szCs w:val="20"/>
          <w:color w:val="auto"/>
        </w:rPr>
      </w:pPr>
    </w:p>
    <w:p>
      <w:pPr>
        <w:ind w:left="2260"/>
        <w:spacing w:after="0"/>
        <w:tabs>
          <w:tab w:leader="none" w:pos="3740" w:val="left"/>
        </w:tabs>
        <w:rPr>
          <w:sz w:val="20"/>
          <w:szCs w:val="20"/>
          <w:color w:val="auto"/>
        </w:rPr>
      </w:pPr>
      <w:r>
        <w:rPr>
          <w:rFonts w:ascii="Arial" w:cs="Arial" w:eastAsia="Arial" w:hAnsi="Arial"/>
          <w:sz w:val="19"/>
          <w:szCs w:val="19"/>
          <w:color w:val="auto"/>
        </w:rPr>
        <w:t>(i)</w:t>
      </w:r>
      <w:r>
        <w:rPr>
          <w:sz w:val="20"/>
          <w:szCs w:val="20"/>
          <w:color w:val="auto"/>
        </w:rPr>
        <w:tab/>
      </w:r>
      <w:r>
        <w:rPr>
          <w:rFonts w:ascii="Arial" w:cs="Arial" w:eastAsia="Arial" w:hAnsi="Arial"/>
          <w:sz w:val="19"/>
          <w:szCs w:val="19"/>
          <w:color w:val="auto"/>
        </w:rPr>
        <w:t>Within five business days after each Representation Date, there shall not have been,</w:t>
      </w:r>
    </w:p>
    <w:p>
      <w:pPr>
        <w:sectPr>
          <w:pgSz w:w="11900" w:h="16838" w:orient="portrait"/>
          <w:cols w:equalWidth="0" w:num="1">
            <w:col w:w="11240"/>
          </w:cols>
          <w:pgMar w:left="320" w:top="321" w:right="339" w:bottom="1440" w:gutter="0" w:footer="0" w:header="0"/>
          <w:type w:val="continuous"/>
        </w:sectPr>
      </w:pPr>
    </w:p>
    <w:p>
      <w:pPr>
        <w:spacing w:after="0" w:line="56" w:lineRule="exact"/>
        <w:rPr>
          <w:sz w:val="20"/>
          <w:szCs w:val="20"/>
          <w:color w:val="auto"/>
        </w:rPr>
      </w:pPr>
    </w:p>
    <w:p>
      <w:pPr>
        <w:jc w:val="both"/>
        <w:ind w:left="760"/>
        <w:spacing w:after="0" w:line="269" w:lineRule="auto"/>
        <w:rPr>
          <w:sz w:val="20"/>
          <w:szCs w:val="20"/>
          <w:color w:val="auto"/>
        </w:rPr>
      </w:pPr>
      <w:r>
        <w:rPr>
          <w:rFonts w:ascii="Arial" w:cs="Arial" w:eastAsia="Arial" w:hAnsi="Arial"/>
          <w:sz w:val="19"/>
          <w:szCs w:val="19"/>
          <w:color w:val="auto"/>
        </w:rPr>
        <w:t xml:space="preserve">since the date hereof or since the respective dates as of which information is given in the Registration Statement, or the Prospectus, any material adverse change in the business, properties, management, financial condition, prospects or results of operations of the Company and the Subsidiaries considered as one enterprise, whether or not arising in the ordinary course of business, and the Sales Agent shall have received a certificate of the chief executive officer or the president of the Company and of the chief financial or chief accounting officer of the Company, dated the Representation Date, to the effect that (A) there has been no such material adverse change, (B) the representations and warranties of the Company in </w:t>
      </w:r>
      <w:r>
        <w:rPr>
          <w:rFonts w:ascii="Arial" w:cs="Arial" w:eastAsia="Arial" w:hAnsi="Arial"/>
          <w:sz w:val="19"/>
          <w:szCs w:val="19"/>
          <w:u w:val="single" w:color="auto"/>
          <w:color w:val="auto"/>
        </w:rPr>
        <w:t>Section 1(a)</w:t>
      </w:r>
      <w:r>
        <w:rPr>
          <w:rFonts w:ascii="Arial" w:cs="Arial" w:eastAsia="Arial" w:hAnsi="Arial"/>
          <w:sz w:val="19"/>
          <w:szCs w:val="19"/>
          <w:color w:val="auto"/>
        </w:rPr>
        <w:t xml:space="preserve"> of this Agreement are true and correct with the same force and effect as though expressly made at and as of the Representation Date, (C) the Company has complied with all agreements and satisfied all conditions on its part to be performed or satisfied at or prior to the Representation Date, and (D) no stop order suspending the effectiveness of the Registration Statement under the 1933 Act has been issued, no order preventing or suspending the use of the Prospectus has been issued and no proceedings for any of those purposes have been instituted or are pending or, to their knowledge, contemplated by the Commission.</w:t>
      </w:r>
    </w:p>
    <w:p>
      <w:pPr>
        <w:spacing w:after="0" w:line="162" w:lineRule="exact"/>
        <w:rPr>
          <w:sz w:val="20"/>
          <w:szCs w:val="20"/>
          <w:color w:val="auto"/>
        </w:rPr>
      </w:pPr>
    </w:p>
    <w:p>
      <w:pPr>
        <w:jc w:val="both"/>
        <w:ind w:left="760" w:firstLine="1494"/>
        <w:spacing w:after="0" w:line="270" w:lineRule="auto"/>
        <w:tabs>
          <w:tab w:leader="none" w:pos="3755" w:val="left"/>
        </w:tabs>
        <w:numPr>
          <w:ilvl w:val="2"/>
          <w:numId w:val="64"/>
        </w:numPr>
        <w:rPr>
          <w:rFonts w:ascii="Arial" w:cs="Arial" w:eastAsia="Arial" w:hAnsi="Arial"/>
          <w:sz w:val="19"/>
          <w:szCs w:val="19"/>
          <w:color w:val="auto"/>
        </w:rPr>
      </w:pPr>
      <w:r>
        <w:rPr>
          <w:rFonts w:ascii="Arial" w:cs="Arial" w:eastAsia="Arial" w:hAnsi="Arial"/>
          <w:sz w:val="19"/>
          <w:szCs w:val="19"/>
          <w:color w:val="auto"/>
        </w:rPr>
        <w:t>Within five business days after each Representation Date, there shall not have been, since the date hereof or since the respective dates as of which information is given in the Prospectus, an Adviser/Administrator Material Adverse Effect, and the Sales Agent shall have received certificates of the managing member of each of the Adviser and the Administrator, dated the Representation Date, to the effect that (A) there has been no such Adviser/Administrator Material Adverse Effect with respect to the Adviser or the Administrator, as applicable,</w:t>
      </w:r>
    </w:p>
    <w:p>
      <w:pPr>
        <w:spacing w:after="0" w:line="4" w:lineRule="exact"/>
        <w:rPr>
          <w:rFonts w:ascii="Arial" w:cs="Arial" w:eastAsia="Arial" w:hAnsi="Arial"/>
          <w:sz w:val="19"/>
          <w:szCs w:val="19"/>
          <w:color w:val="auto"/>
        </w:rPr>
      </w:pPr>
    </w:p>
    <w:p>
      <w:pPr>
        <w:jc w:val="both"/>
        <w:ind w:left="760" w:firstLine="91"/>
        <w:spacing w:after="0" w:line="246" w:lineRule="auto"/>
        <w:tabs>
          <w:tab w:leader="none" w:pos="1242" w:val="left"/>
        </w:tabs>
        <w:numPr>
          <w:ilvl w:val="0"/>
          <w:numId w:val="65"/>
        </w:numPr>
        <w:rPr>
          <w:rFonts w:ascii="Arial" w:cs="Arial" w:eastAsia="Arial" w:hAnsi="Arial"/>
          <w:sz w:val="21"/>
          <w:szCs w:val="21"/>
          <w:color w:val="auto"/>
        </w:rPr>
      </w:pPr>
      <w:r>
        <w:rPr>
          <w:rFonts w:ascii="Arial" w:cs="Arial" w:eastAsia="Arial" w:hAnsi="Arial"/>
          <w:sz w:val="21"/>
          <w:szCs w:val="21"/>
          <w:color w:val="auto"/>
        </w:rPr>
        <w:t xml:space="preserve">the representations and warranties of the Adviser or the Administrator, as applicable, in </w:t>
      </w:r>
      <w:r>
        <w:rPr>
          <w:rFonts w:ascii="Arial" w:cs="Arial" w:eastAsia="Arial" w:hAnsi="Arial"/>
          <w:sz w:val="21"/>
          <w:szCs w:val="21"/>
          <w:u w:val="single" w:color="auto"/>
          <w:color w:val="auto"/>
        </w:rPr>
        <w:t>Section 1(b)</w:t>
      </w:r>
      <w:r>
        <w:rPr>
          <w:rFonts w:ascii="Arial" w:cs="Arial" w:eastAsia="Arial" w:hAnsi="Arial"/>
          <w:sz w:val="21"/>
          <w:szCs w:val="21"/>
          <w:color w:val="auto"/>
        </w:rPr>
        <w:t xml:space="preserve"> of this Agreement are true and correct with the same force and effect as though expressly made at and as of the Representation Date and (C) the Adviser or the Administrator, as applicable, has complied with all agreements and satisfied all conditions on their part to be performed or satisfied at or prior to the Representation Date.</w:t>
      </w:r>
    </w:p>
    <w:p>
      <w:pPr>
        <w:spacing w:after="0" w:line="179" w:lineRule="exact"/>
        <w:rPr>
          <w:rFonts w:ascii="Arial" w:cs="Arial" w:eastAsia="Arial" w:hAnsi="Arial"/>
          <w:sz w:val="21"/>
          <w:szCs w:val="21"/>
          <w:color w:val="auto"/>
        </w:rPr>
      </w:pPr>
    </w:p>
    <w:p>
      <w:pPr>
        <w:jc w:val="both"/>
        <w:ind w:firstLine="1505"/>
        <w:spacing w:after="0" w:line="236" w:lineRule="auto"/>
        <w:tabs>
          <w:tab w:leader="none" w:pos="2995" w:val="left"/>
        </w:tabs>
        <w:numPr>
          <w:ilvl w:val="1"/>
          <w:numId w:val="65"/>
        </w:numPr>
        <w:rPr>
          <w:rFonts w:ascii="Arial" w:cs="Arial" w:eastAsia="Arial" w:hAnsi="Arial"/>
          <w:sz w:val="22"/>
          <w:szCs w:val="22"/>
          <w:color w:val="auto"/>
        </w:rPr>
      </w:pPr>
      <w:r>
        <w:rPr>
          <w:rFonts w:ascii="Arial" w:cs="Arial" w:eastAsia="Arial" w:hAnsi="Arial"/>
          <w:sz w:val="22"/>
          <w:szCs w:val="22"/>
          <w:i w:val="1"/>
          <w:iCs w:val="1"/>
          <w:color w:val="auto"/>
        </w:rPr>
        <w:t>Accountant’s Comfort Letter</w:t>
      </w:r>
      <w:r>
        <w:rPr>
          <w:rFonts w:ascii="Arial" w:cs="Arial" w:eastAsia="Arial" w:hAnsi="Arial"/>
          <w:sz w:val="22"/>
          <w:szCs w:val="22"/>
          <w:color w:val="auto"/>
        </w:rPr>
        <w:t>. Within five business days after each Representation Date, the</w:t>
      </w:r>
      <w:r>
        <w:rPr>
          <w:rFonts w:ascii="Arial" w:cs="Arial" w:eastAsia="Arial" w:hAnsi="Arial"/>
          <w:sz w:val="22"/>
          <w:szCs w:val="22"/>
          <w:i w:val="1"/>
          <w:iCs w:val="1"/>
          <w:color w:val="auto"/>
        </w:rPr>
        <w:t xml:space="preserve"> </w:t>
      </w:r>
      <w:r>
        <w:rPr>
          <w:rFonts w:ascii="Arial" w:cs="Arial" w:eastAsia="Arial" w:hAnsi="Arial"/>
          <w:sz w:val="22"/>
          <w:szCs w:val="22"/>
          <w:color w:val="auto"/>
        </w:rPr>
        <w:t>Sales Agent shall have received from RSM US LLP a letter, dated such date, in form and substance satisfactory to the Sales Agent, containing statements and information of the type ordinarily included in accountants’ “comfort letters” to underwriters with respect to the Company’s financial statements and certain financial information included or incorporated by reference in the Registration Statement and the Prospectus.</w:t>
      </w:r>
    </w:p>
    <w:p>
      <w:pPr>
        <w:spacing w:after="0" w:line="187" w:lineRule="exact"/>
        <w:rPr>
          <w:sz w:val="20"/>
          <w:szCs w:val="20"/>
          <w:color w:val="auto"/>
        </w:rPr>
      </w:pPr>
    </w:p>
    <w:p>
      <w:pPr>
        <w:jc w:val="both"/>
        <w:ind w:firstLine="1497"/>
        <w:spacing w:after="0"/>
        <w:rPr>
          <w:sz w:val="20"/>
          <w:szCs w:val="20"/>
          <w:color w:val="auto"/>
        </w:rPr>
      </w:pPr>
      <w:r>
        <w:rPr>
          <w:rFonts w:ascii="Arial" w:cs="Arial" w:eastAsia="Arial" w:hAnsi="Arial"/>
          <w:sz w:val="22"/>
          <w:szCs w:val="22"/>
          <w:color w:val="auto"/>
        </w:rPr>
        <w:t xml:space="preserve">(f) </w:t>
      </w:r>
      <w:r>
        <w:rPr>
          <w:rFonts w:ascii="Arial" w:cs="Arial" w:eastAsia="Arial" w:hAnsi="Arial"/>
          <w:sz w:val="22"/>
          <w:szCs w:val="22"/>
          <w:i w:val="1"/>
          <w:iCs w:val="1"/>
          <w:color w:val="auto"/>
        </w:rPr>
        <w:t>Additional Documents</w:t>
      </w:r>
      <w:r>
        <w:rPr>
          <w:rFonts w:ascii="Arial" w:cs="Arial" w:eastAsia="Arial" w:hAnsi="Arial"/>
          <w:sz w:val="22"/>
          <w:szCs w:val="22"/>
          <w:color w:val="auto"/>
        </w:rPr>
        <w:t>. Within five business days after each Representation Date, counsel for the Sales Agent shall have been furnished with such documents and opinions as they may reasonably require for the purpose of enabling them to pass upon the issuance and sale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276" w:lineRule="exact"/>
        <w:rPr>
          <w:sz w:val="20"/>
          <w:szCs w:val="20"/>
          <w:color w:val="auto"/>
        </w:rPr>
      </w:pPr>
    </w:p>
    <w:p>
      <w:pPr>
        <w:spacing w:after="0"/>
        <w:rPr>
          <w:sz w:val="20"/>
          <w:szCs w:val="20"/>
          <w:color w:val="auto"/>
        </w:rPr>
      </w:pPr>
      <w:r>
        <w:rPr>
          <w:rFonts w:ascii="Arial" w:cs="Arial" w:eastAsia="Arial" w:hAnsi="Arial"/>
          <w:sz w:val="14"/>
          <w:szCs w:val="14"/>
          <w:color w:val="auto"/>
        </w:rPr>
        <w:t>28117901.1.BUSINESS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157720" cy="4254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type w:val="continuous"/>
        </w:sectPr>
      </w:pPr>
    </w:p>
    <w:bookmarkStart w:id="94" w:name="page95"/>
    <w:bookmarkEnd w:id="94"/>
    <w:p>
      <w:pPr>
        <w:jc w:val="both"/>
        <w:spacing w:after="0" w:line="238" w:lineRule="auto"/>
        <w:rPr>
          <w:sz w:val="20"/>
          <w:szCs w:val="20"/>
          <w:color w:val="auto"/>
        </w:rPr>
      </w:pPr>
      <w:r>
        <w:rPr>
          <w:rFonts w:ascii="Arial" w:cs="Arial" w:eastAsia="Arial" w:hAnsi="Arial"/>
          <w:sz w:val="22"/>
          <w:szCs w:val="22"/>
          <w:color w:val="auto"/>
        </w:rPr>
        <w:t>of the Securities as herein contemplated, or in order to evidence the accuracy of any of the representations or warranties, or the fulfillment of any of the conditions, herein contained; and all proceedings taken by the Company, the Adviser and the Administrator in connection with the issuance and sale of the Securities as herein contemplated shall be satisfactory in form and substance to the Sales Agent and counsel for the Sales Agent.</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SECTION 6.</w:t>
      </w:r>
      <w:r>
        <w:rPr>
          <w:rFonts w:ascii="Arial" w:cs="Arial" w:eastAsia="Arial" w:hAnsi="Arial"/>
          <w:sz w:val="22"/>
          <w:szCs w:val="22"/>
          <w:u w:val="single" w:color="auto"/>
          <w:color w:val="auto"/>
        </w:rPr>
        <w:t>Indemnification</w:t>
      </w:r>
      <w:r>
        <w:rPr>
          <w:rFonts w:ascii="Arial" w:cs="Arial" w:eastAsia="Arial" w:hAnsi="Arial"/>
          <w:sz w:val="22"/>
          <w:szCs w:val="22"/>
          <w:color w:val="auto"/>
        </w:rPr>
        <w:t>.</w:t>
      </w:r>
    </w:p>
    <w:p>
      <w:pPr>
        <w:spacing w:after="0" w:line="206" w:lineRule="exact"/>
        <w:rPr>
          <w:sz w:val="20"/>
          <w:szCs w:val="20"/>
          <w:color w:val="auto"/>
        </w:rPr>
      </w:pPr>
    </w:p>
    <w:p>
      <w:pPr>
        <w:ind w:left="1500"/>
        <w:spacing w:after="0"/>
        <w:tabs>
          <w:tab w:leader="none" w:pos="2980" w:val="left"/>
        </w:tabs>
        <w:rPr>
          <w:sz w:val="20"/>
          <w:szCs w:val="20"/>
          <w:color w:val="auto"/>
        </w:rPr>
      </w:pPr>
      <w:r>
        <w:rPr>
          <w:rFonts w:ascii="Arial" w:cs="Arial" w:eastAsia="Arial" w:hAnsi="Arial"/>
          <w:sz w:val="19"/>
          <w:szCs w:val="19"/>
          <w:color w:val="auto"/>
        </w:rPr>
        <w:t>(a)</w:t>
      </w:r>
      <w:r>
        <w:rPr>
          <w:sz w:val="20"/>
          <w:szCs w:val="20"/>
          <w:color w:val="auto"/>
        </w:rPr>
        <w:tab/>
      </w:r>
      <w:r>
        <w:rPr>
          <w:rFonts w:ascii="Arial" w:cs="Arial" w:eastAsia="Arial" w:hAnsi="Arial"/>
          <w:sz w:val="19"/>
          <w:szCs w:val="19"/>
          <w:i w:val="1"/>
          <w:iCs w:val="1"/>
          <w:color w:val="auto"/>
        </w:rPr>
        <w:t>Indemnification of the Sales Agent by the Company, the Adviser and the Administrator</w:t>
      </w:r>
      <w:r>
        <w:rPr>
          <w:rFonts w:ascii="Arial" w:cs="Arial" w:eastAsia="Arial" w:hAnsi="Arial"/>
          <w:sz w:val="19"/>
          <w:szCs w:val="19"/>
          <w:color w:val="auto"/>
        </w:rPr>
        <w:t>. The</w:t>
      </w:r>
    </w:p>
    <w:p>
      <w:pPr>
        <w:spacing w:after="0" w:line="43"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Company, the Adviser and the Administrator, severally and not jointly, agree to indemnify and hold harmless the Sales Agent, its affiliates (as such term is defined in Rule 501(b) under the 1933 Act (each, an “Affiliate”)), its selling agents and each person, if any, who controls the Sales Agent within the meaning of Section 15 of the 1933 Act or Section 20 of the 1934 Act as follows:</w:t>
      </w:r>
    </w:p>
    <w:p>
      <w:pPr>
        <w:spacing w:after="0" w:line="143" w:lineRule="exact"/>
        <w:rPr>
          <w:sz w:val="20"/>
          <w:szCs w:val="20"/>
          <w:color w:val="auto"/>
        </w:rPr>
      </w:pPr>
    </w:p>
    <w:p>
      <w:pPr>
        <w:jc w:val="both"/>
        <w:ind w:left="760" w:firstLine="1497"/>
        <w:spacing w:after="0" w:line="273" w:lineRule="auto"/>
        <w:rPr>
          <w:sz w:val="20"/>
          <w:szCs w:val="20"/>
          <w:color w:val="auto"/>
        </w:rPr>
      </w:pPr>
      <w:r>
        <w:rPr>
          <w:rFonts w:ascii="Arial" w:cs="Arial" w:eastAsia="Arial" w:hAnsi="Arial"/>
          <w:sz w:val="19"/>
          <w:szCs w:val="19"/>
          <w:color w:val="auto"/>
        </w:rPr>
        <w:t>(i) against any and all loss, liability, claim, damage and expense whatsoever, as incurred, arising out of any untrue statement or alleged untrue statement of a material fact contained in the Registration Statement (or any amendment thereto), including any Rule 430B Information, or the omission or alleged omission therefrom of a material fact required to be stated therein or necessary to make the statements therein not misleading or arising out of any untrue statement or alleged untrue statement of a material fact included (A) in any Issuer Free Writing Prospectus or the Prospectus (or any amendment or supplement thereto), or (B) in any materials or information provided to investors by, or with the approval of, the Company in connection with the marketing of the offering of the Securities (“Marketing Materials”), including any road show as defined in Rule 433(h) under the 1933 Act (a “road show”) or investor presentations made to investors by the Company (whether in person or electronically), or the omission or alleged omission in any Issuer Free Writing Prospectus, the Prospectus or any Marketing Materials of a material fact necessary in order to make the statements therein, in the light of the circumstances under which they were made, not misleading;</w:t>
      </w:r>
    </w:p>
    <w:p>
      <w:pPr>
        <w:spacing w:after="0" w:line="155" w:lineRule="exact"/>
        <w:rPr>
          <w:sz w:val="20"/>
          <w:szCs w:val="20"/>
          <w:color w:val="auto"/>
        </w:rPr>
      </w:pPr>
    </w:p>
    <w:p>
      <w:pPr>
        <w:jc w:val="both"/>
        <w:ind w:left="760" w:firstLine="1494"/>
        <w:spacing w:after="0" w:line="249" w:lineRule="auto"/>
        <w:tabs>
          <w:tab w:leader="none" w:pos="3755" w:val="left"/>
        </w:tabs>
        <w:numPr>
          <w:ilvl w:val="0"/>
          <w:numId w:val="66"/>
        </w:numPr>
        <w:rPr>
          <w:rFonts w:ascii="Arial" w:cs="Arial" w:eastAsia="Arial" w:hAnsi="Arial"/>
          <w:sz w:val="21"/>
          <w:szCs w:val="21"/>
          <w:color w:val="auto"/>
        </w:rPr>
      </w:pPr>
      <w:r>
        <w:rPr>
          <w:rFonts w:ascii="Arial" w:cs="Arial" w:eastAsia="Arial" w:hAnsi="Arial"/>
          <w:sz w:val="21"/>
          <w:szCs w:val="21"/>
          <w:color w:val="auto"/>
        </w:rPr>
        <w:t xml:space="preserve">against any and all loss, liability, claim, damage and expense whatsoever, as incurred, to the extent of the aggregate amount paid in settlement of any litigation, or any investigation or proceeding by any governmental agency or body, commenced or threatened, or of any claim whatsoever based upon any such untrue statement or omission, or any such alleged untrue statement or omission; provided that (subject to </w:t>
      </w:r>
      <w:r>
        <w:rPr>
          <w:rFonts w:ascii="Arial" w:cs="Arial" w:eastAsia="Arial" w:hAnsi="Arial"/>
          <w:sz w:val="21"/>
          <w:szCs w:val="21"/>
          <w:u w:val="single" w:color="auto"/>
          <w:color w:val="auto"/>
        </w:rPr>
        <w:t>Section 6(d)</w:t>
      </w:r>
      <w:r>
        <w:rPr>
          <w:rFonts w:ascii="Arial" w:cs="Arial" w:eastAsia="Arial" w:hAnsi="Arial"/>
          <w:sz w:val="21"/>
          <w:szCs w:val="21"/>
          <w:color w:val="auto"/>
        </w:rPr>
        <w:t xml:space="preserve"> below) any such settlement is effected with the written consent of the Company; and</w:t>
      </w:r>
    </w:p>
    <w:p>
      <w:pPr>
        <w:spacing w:after="0" w:line="178" w:lineRule="exact"/>
        <w:rPr>
          <w:rFonts w:ascii="Arial" w:cs="Arial" w:eastAsia="Arial" w:hAnsi="Arial"/>
          <w:sz w:val="21"/>
          <w:szCs w:val="21"/>
          <w:color w:val="auto"/>
        </w:rPr>
      </w:pPr>
    </w:p>
    <w:p>
      <w:pPr>
        <w:jc w:val="both"/>
        <w:ind w:left="760" w:firstLine="1494"/>
        <w:spacing w:after="0" w:line="279" w:lineRule="auto"/>
        <w:tabs>
          <w:tab w:leader="none" w:pos="3755" w:val="left"/>
        </w:tabs>
        <w:numPr>
          <w:ilvl w:val="0"/>
          <w:numId w:val="66"/>
        </w:numPr>
        <w:rPr>
          <w:rFonts w:ascii="Arial" w:cs="Arial" w:eastAsia="Arial" w:hAnsi="Arial"/>
          <w:sz w:val="19"/>
          <w:szCs w:val="19"/>
          <w:color w:val="auto"/>
        </w:rPr>
      </w:pPr>
      <w:r>
        <w:rPr>
          <w:rFonts w:ascii="Arial" w:cs="Arial" w:eastAsia="Arial" w:hAnsi="Arial"/>
          <w:sz w:val="19"/>
          <w:szCs w:val="19"/>
          <w:color w:val="auto"/>
        </w:rPr>
        <w:t>against any and all expense whatsoever, as incurred (including the reasonably incurred and documented fees and disbursements of counsel chosen by the Sales Agent), reasonably incurred in investigating, preparing or defending against any litigation, or any investigation or proceeding by any governmental agency or body, commenced or threatened, or any claim whatsoever based upon any such untrue statement or omission, or any such alleged untrue statement or omission, to the extent that any such expense is not paid under (i) or (ii) above; provided, however, that this indemnity agreement shall not apply to any loss, liability, claim, damage or expense to the extent</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276" w:lineRule="exact"/>
        <w:rPr>
          <w:sz w:val="20"/>
          <w:szCs w:val="20"/>
          <w:color w:val="auto"/>
        </w:rPr>
      </w:pPr>
    </w:p>
    <w:p>
      <w:pPr>
        <w:spacing w:after="0"/>
        <w:rPr>
          <w:sz w:val="20"/>
          <w:szCs w:val="20"/>
          <w:color w:val="auto"/>
        </w:rPr>
      </w:pPr>
      <w:r>
        <w:rPr>
          <w:rFonts w:ascii="Arial" w:cs="Arial" w:eastAsia="Arial" w:hAnsi="Arial"/>
          <w:sz w:val="14"/>
          <w:szCs w:val="14"/>
          <w:color w:val="auto"/>
        </w:rPr>
        <w:t>28117901.1.BUSINESS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157720" cy="4254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95" w:name="page96"/>
    <w:bookmarkEnd w:id="95"/>
    <w:p>
      <w:pPr>
        <w:jc w:val="both"/>
        <w:ind w:left="760"/>
        <w:spacing w:after="0" w:line="282" w:lineRule="auto"/>
        <w:rPr>
          <w:sz w:val="20"/>
          <w:szCs w:val="20"/>
          <w:color w:val="auto"/>
        </w:rPr>
      </w:pPr>
      <w:r>
        <w:rPr>
          <w:rFonts w:ascii="Arial" w:cs="Arial" w:eastAsia="Arial" w:hAnsi="Arial"/>
          <w:sz w:val="19"/>
          <w:szCs w:val="19"/>
          <w:color w:val="auto"/>
        </w:rPr>
        <w:t>arising out of any untrue statement or omission or alleged untrue statement or omission made in the Registration Statement (or any amendment thereto), including any Rule 430B Information or the Prospectus (or any amendment or supplement thereto) in reliance upon and in conformity with the Sales Agent Information; and provided, further the Adviser’s indemnity shall only apply to statements described in (i) above regarding the Adviser and the Administrator’s indemnity shall apply only statements described in (i) above regarding the Administrator.</w:t>
      </w:r>
    </w:p>
    <w:p>
      <w:pPr>
        <w:spacing w:after="0" w:line="147" w:lineRule="exact"/>
        <w:rPr>
          <w:sz w:val="20"/>
          <w:szCs w:val="20"/>
          <w:color w:val="auto"/>
        </w:rPr>
      </w:pPr>
    </w:p>
    <w:p>
      <w:pPr>
        <w:ind w:left="1500"/>
        <w:spacing w:after="0"/>
        <w:tabs>
          <w:tab w:leader="none" w:pos="2980" w:val="left"/>
        </w:tabs>
        <w:rPr>
          <w:sz w:val="20"/>
          <w:szCs w:val="20"/>
          <w:color w:val="auto"/>
        </w:rPr>
      </w:pPr>
      <w:r>
        <w:rPr>
          <w:rFonts w:ascii="Arial" w:cs="Arial" w:eastAsia="Arial" w:hAnsi="Arial"/>
          <w:sz w:val="19"/>
          <w:szCs w:val="19"/>
          <w:color w:val="auto"/>
        </w:rPr>
        <w:t>(b)</w:t>
      </w:r>
      <w:r>
        <w:rPr>
          <w:sz w:val="20"/>
          <w:szCs w:val="20"/>
          <w:color w:val="auto"/>
        </w:rPr>
        <w:tab/>
      </w:r>
      <w:r>
        <w:rPr>
          <w:rFonts w:ascii="Arial" w:cs="Arial" w:eastAsia="Arial" w:hAnsi="Arial"/>
          <w:sz w:val="19"/>
          <w:szCs w:val="19"/>
          <w:i w:val="1"/>
          <w:iCs w:val="1"/>
          <w:color w:val="auto"/>
        </w:rPr>
        <w:t>Indemnification of Company, Directors, Officers, Adviser and Administrator</w:t>
      </w:r>
      <w:r>
        <w:rPr>
          <w:rFonts w:ascii="Arial" w:cs="Arial" w:eastAsia="Arial" w:hAnsi="Arial"/>
          <w:sz w:val="19"/>
          <w:szCs w:val="19"/>
          <w:color w:val="auto"/>
        </w:rPr>
        <w:t>. The Sales Agent</w:t>
      </w:r>
    </w:p>
    <w:p>
      <w:pPr>
        <w:spacing w:after="0" w:line="43"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agrees to indemnify and hold harmless the Company, the Adviser, the Administrator their directors, each of the Company’s officers who signed the Registration Statement and each person, if any, who controls the Company, the Adviser or the Administrator within the meaning of Section 15 of the 1933 Act or Section 20 of the 1934 Act against any and all loss, liability, claim, damage and expense described in the indemnity contained in subsection (a) of this Section, as incurred, but only with respect to untrue statements or omissions, or alleged untrue statements or omissions, made in the Registration Statement (or any amendment thereto), including any Rule 430B Information, any Issuer Free Writing Prospectus or the Prospectus (or any amendment or supplement thereto) in reliance upon and in conformity with the Sales Agent Information.</w:t>
      </w:r>
    </w:p>
    <w:p>
      <w:pPr>
        <w:spacing w:after="0" w:line="159" w:lineRule="exact"/>
        <w:rPr>
          <w:sz w:val="20"/>
          <w:szCs w:val="20"/>
          <w:color w:val="auto"/>
        </w:rPr>
      </w:pPr>
    </w:p>
    <w:p>
      <w:pPr>
        <w:jc w:val="both"/>
        <w:ind w:firstLine="1497"/>
        <w:spacing w:after="0" w:line="270" w:lineRule="auto"/>
        <w:rPr>
          <w:sz w:val="20"/>
          <w:szCs w:val="20"/>
          <w:color w:val="auto"/>
        </w:rPr>
      </w:pPr>
      <w:r>
        <w:rPr>
          <w:rFonts w:ascii="Arial" w:cs="Arial" w:eastAsia="Arial" w:hAnsi="Arial"/>
          <w:sz w:val="19"/>
          <w:szCs w:val="19"/>
          <w:color w:val="auto"/>
        </w:rPr>
        <w:t xml:space="preserve">(c) </w:t>
      </w:r>
      <w:r>
        <w:rPr>
          <w:rFonts w:ascii="Arial" w:cs="Arial" w:eastAsia="Arial" w:hAnsi="Arial"/>
          <w:sz w:val="19"/>
          <w:szCs w:val="19"/>
          <w:i w:val="1"/>
          <w:iCs w:val="1"/>
          <w:color w:val="auto"/>
        </w:rPr>
        <w:t>Actions against Parties; Notification</w:t>
      </w:r>
      <w:r>
        <w:rPr>
          <w:rFonts w:ascii="Arial" w:cs="Arial" w:eastAsia="Arial" w:hAnsi="Arial"/>
          <w:sz w:val="19"/>
          <w:szCs w:val="19"/>
          <w:color w:val="auto"/>
        </w:rPr>
        <w:t xml:space="preserve">. Each indemnified party shall give notice as promptly as reasonably practicable to each indemnifying party of any action commenced against it in respect of which indemnity may be sought hereunder, but failure to so notify an indemnifying party shall not relieve such indemnifying party from any liability hereunder to the extent it is not materially prejudiced (through the forfeiture of substantive rights and defenses) as a result thereof and in any event shall not relieve it from any liability which it may have otherwise than on account of this indemnity agreement. In the case of parties indemnified pursuant to </w:t>
      </w:r>
      <w:r>
        <w:rPr>
          <w:rFonts w:ascii="Arial" w:cs="Arial" w:eastAsia="Arial" w:hAnsi="Arial"/>
          <w:sz w:val="19"/>
          <w:szCs w:val="19"/>
          <w:u w:val="single" w:color="auto"/>
          <w:color w:val="auto"/>
        </w:rPr>
        <w:t>Section 6(a)</w:t>
      </w:r>
      <w:r>
        <w:rPr>
          <w:rFonts w:ascii="Arial" w:cs="Arial" w:eastAsia="Arial" w:hAnsi="Arial"/>
          <w:sz w:val="19"/>
          <w:szCs w:val="19"/>
          <w:color w:val="auto"/>
        </w:rPr>
        <w:t xml:space="preserve"> above, counsel to the indemnified parties shall be selected by the Sales Agent, and, in the case of parties indemnified pursuant to </w:t>
      </w:r>
      <w:r>
        <w:rPr>
          <w:rFonts w:ascii="Arial" w:cs="Arial" w:eastAsia="Arial" w:hAnsi="Arial"/>
          <w:sz w:val="19"/>
          <w:szCs w:val="19"/>
          <w:u w:val="single" w:color="auto"/>
          <w:color w:val="auto"/>
        </w:rPr>
        <w:t>Section 6(b)</w:t>
      </w:r>
      <w:r>
        <w:rPr>
          <w:rFonts w:ascii="Arial" w:cs="Arial" w:eastAsia="Arial" w:hAnsi="Arial"/>
          <w:sz w:val="19"/>
          <w:szCs w:val="19"/>
          <w:color w:val="auto"/>
        </w:rPr>
        <w:t xml:space="preserve"> above, counsel to the indemnified parties shall be selected by the Company. An indemnifying party may participate at its own expense in the defense of any such action; provided, however, that counsel to the indemnifying party shall not (except with the consent of the indemnified party) also be counsel to the indemnified party. In no event shall the indemnifying parties be liable for fees and expenses of more than one counsel (in addition to any local counsel) separate from their own counsel for all indemnified parties in connection with any one action or separate but similar or related actions in the same jurisdiction arising out of the same general allegations or circumstances. No indemnifying party shall, without the prior written consent of the indemnified parties, settle or compromise or consent to the entry of any judgment with respect to any litigation, or any investigation or proceeding by any governmental agency or body, commenced or threatened, or any claim whatsoever in respect of which indemnification or contribution could be sought under this </w:t>
      </w:r>
      <w:r>
        <w:rPr>
          <w:rFonts w:ascii="Arial" w:cs="Arial" w:eastAsia="Arial" w:hAnsi="Arial"/>
          <w:sz w:val="19"/>
          <w:szCs w:val="19"/>
          <w:u w:val="single" w:color="auto"/>
          <w:color w:val="auto"/>
        </w:rPr>
        <w:t>Section 6</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7</w:t>
      </w:r>
      <w:r>
        <w:rPr>
          <w:rFonts w:ascii="Arial" w:cs="Arial" w:eastAsia="Arial" w:hAnsi="Arial"/>
          <w:sz w:val="19"/>
          <w:szCs w:val="19"/>
          <w:color w:val="auto"/>
        </w:rPr>
        <w:t xml:space="preserve"> hereof (whether or not the indemnified parties are actual or potential parties thereto), unless such settlement, compromise or consent (i) includes an unconditional release of each indemnified party from all liability arising out of such litigation, investigation, proceeding or claim and (ii) does not include a statement as to or an admission of fault, culpability or a failure to act by or on behalf of any indemnified party.</w:t>
      </w:r>
    </w:p>
    <w:p>
      <w:pPr>
        <w:spacing w:after="0" w:line="200" w:lineRule="exact"/>
        <w:rPr>
          <w:sz w:val="20"/>
          <w:szCs w:val="20"/>
          <w:color w:val="auto"/>
        </w:rPr>
      </w:pPr>
    </w:p>
    <w:p>
      <w:pPr>
        <w:spacing w:after="0" w:line="209" w:lineRule="exact"/>
        <w:rPr>
          <w:sz w:val="20"/>
          <w:szCs w:val="20"/>
          <w:color w:val="auto"/>
        </w:rPr>
      </w:pPr>
    </w:p>
    <w:p>
      <w:pPr>
        <w:ind w:left="1500"/>
        <w:spacing w:after="0"/>
        <w:tabs>
          <w:tab w:leader="none" w:pos="2980" w:val="left"/>
        </w:tabs>
        <w:rPr>
          <w:sz w:val="20"/>
          <w:szCs w:val="20"/>
          <w:color w:val="auto"/>
        </w:rPr>
      </w:pPr>
      <w:r>
        <w:rPr>
          <w:rFonts w:ascii="Arial" w:cs="Arial" w:eastAsia="Arial" w:hAnsi="Arial"/>
          <w:sz w:val="19"/>
          <w:szCs w:val="19"/>
          <w:color w:val="auto"/>
        </w:rPr>
        <w:t>(d)</w:t>
      </w:r>
      <w:r>
        <w:rPr>
          <w:sz w:val="20"/>
          <w:szCs w:val="20"/>
          <w:color w:val="auto"/>
        </w:rPr>
        <w:tab/>
      </w:r>
      <w:r>
        <w:rPr>
          <w:rFonts w:ascii="Arial" w:cs="Arial" w:eastAsia="Arial" w:hAnsi="Arial"/>
          <w:sz w:val="19"/>
          <w:szCs w:val="19"/>
          <w:i w:val="1"/>
          <w:iCs w:val="1"/>
          <w:color w:val="auto"/>
        </w:rPr>
        <w:t>Settlement without Consent if Failure to Reimburse</w:t>
      </w:r>
      <w:r>
        <w:rPr>
          <w:rFonts w:ascii="Arial" w:cs="Arial" w:eastAsia="Arial" w:hAnsi="Arial"/>
          <w:sz w:val="19"/>
          <w:szCs w:val="19"/>
          <w:color w:val="auto"/>
        </w:rPr>
        <w:t>. If at any time an indemnified party shall</w:t>
      </w:r>
    </w:p>
    <w:p>
      <w:pPr>
        <w:spacing w:after="0" w:line="43" w:lineRule="exact"/>
        <w:rPr>
          <w:sz w:val="20"/>
          <w:szCs w:val="20"/>
          <w:color w:val="auto"/>
        </w:rPr>
      </w:pPr>
    </w:p>
    <w:p>
      <w:pPr>
        <w:ind w:left="5520" w:right="4920" w:hanging="5507"/>
        <w:spacing w:after="0" w:line="532" w:lineRule="auto"/>
        <w:rPr>
          <w:sz w:val="20"/>
          <w:szCs w:val="20"/>
          <w:color w:val="auto"/>
        </w:rPr>
      </w:pPr>
      <w:r>
        <w:rPr>
          <w:rFonts w:ascii="Arial" w:cs="Arial" w:eastAsia="Arial" w:hAnsi="Arial"/>
          <w:sz w:val="19"/>
          <w:szCs w:val="19"/>
          <w:color w:val="auto"/>
        </w:rPr>
        <w:t>have requested an indemnifying party to reimburse the indemnified party 30</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28117901.1.BUSINESS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157720" cy="4254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96" w:name="page97"/>
    <w:bookmarkEnd w:id="96"/>
    <w:p>
      <w:pPr>
        <w:jc w:val="both"/>
        <w:spacing w:after="0" w:line="282" w:lineRule="auto"/>
        <w:rPr>
          <w:sz w:val="20"/>
          <w:szCs w:val="20"/>
          <w:color w:val="auto"/>
        </w:rPr>
      </w:pPr>
      <w:r>
        <w:rPr>
          <w:rFonts w:ascii="Arial" w:cs="Arial" w:eastAsia="Arial" w:hAnsi="Arial"/>
          <w:sz w:val="19"/>
          <w:szCs w:val="19"/>
          <w:color w:val="auto"/>
        </w:rPr>
        <w:t xml:space="preserve">for fees and expenses of counsel, such indemnifying party agrees that it shall be liable for any settlement of the nature contemplated by </w:t>
      </w:r>
      <w:r>
        <w:rPr>
          <w:rFonts w:ascii="Arial" w:cs="Arial" w:eastAsia="Arial" w:hAnsi="Arial"/>
          <w:sz w:val="19"/>
          <w:szCs w:val="19"/>
          <w:u w:val="single" w:color="auto"/>
          <w:color w:val="auto"/>
        </w:rPr>
        <w:t>Section 6(a)(ii)</w:t>
      </w:r>
      <w:r>
        <w:rPr>
          <w:rFonts w:ascii="Arial" w:cs="Arial" w:eastAsia="Arial" w:hAnsi="Arial"/>
          <w:sz w:val="19"/>
          <w:szCs w:val="19"/>
          <w:color w:val="auto"/>
        </w:rPr>
        <w:t xml:space="preserve"> effected without its written consent if (i) such settlement is entered into more than 45 days after receipt by such indemnifying party of the aforesaid request, (ii) such indemnifying party shall have received notice of the terms of such settlement at least 30 days prior to such settlement being entered into and (iii) such indemnifying party shall not have reimbursed such indemnified party in accordance with such request prior to the date of such settlement.</w:t>
      </w:r>
    </w:p>
    <w:p>
      <w:pPr>
        <w:spacing w:after="0" w:line="147"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21"/>
          <w:szCs w:val="21"/>
          <w:color w:val="auto"/>
        </w:rPr>
        <w:t>SECTION 7.</w:t>
      </w:r>
      <w:r>
        <w:rPr>
          <w:rFonts w:ascii="Arial" w:cs="Arial" w:eastAsia="Arial" w:hAnsi="Arial"/>
          <w:sz w:val="21"/>
          <w:szCs w:val="21"/>
          <w:u w:val="single" w:color="auto"/>
          <w:color w:val="auto"/>
        </w:rPr>
        <w:t>Contribution</w:t>
      </w:r>
      <w:r>
        <w:rPr>
          <w:rFonts w:ascii="Arial" w:cs="Arial" w:eastAsia="Arial" w:hAnsi="Arial"/>
          <w:sz w:val="21"/>
          <w:szCs w:val="21"/>
          <w:color w:val="auto"/>
        </w:rPr>
        <w:t xml:space="preserve">. If the indemnification provided for in </w:t>
      </w:r>
      <w:r>
        <w:rPr>
          <w:rFonts w:ascii="Arial" w:cs="Arial" w:eastAsia="Arial" w:hAnsi="Arial"/>
          <w:sz w:val="21"/>
          <w:szCs w:val="21"/>
          <w:u w:val="single" w:color="auto"/>
          <w:color w:val="auto"/>
        </w:rPr>
        <w:t>Section 6</w:t>
      </w:r>
      <w:r>
        <w:rPr>
          <w:rFonts w:ascii="Arial" w:cs="Arial" w:eastAsia="Arial" w:hAnsi="Arial"/>
          <w:sz w:val="21"/>
          <w:szCs w:val="21"/>
          <w:color w:val="auto"/>
        </w:rPr>
        <w:t xml:space="preserve"> hereof is for any reason unavailable to or insufficient to hold harmless an indemnified party in respect of any losses, liabilities, claims, damages or expenses referred to therein, then each indemnifying party shall contribute to the aggregate amount of such losses, liabilities, claims, damages and expenses incurred by such indemnified party, as incurred, (i) in such proportion as is appropriate to reflect the relative benefits received by the Company, the Adviser and the Administrator, on the one hand, and the Sales Agent, on the other hand, from the offering of the Securities pursuant to this Agreement or (ii) if the allocation provided by clause (i) is not permitted by applicable law, in such proportion as is appropriate to reflect not only the relative benefits referred to in clause (i) above but also the relative fault of the Company, the Adviser and the Administrator, on the one hand, and of the Sales Agent, on the other hand, in connection with the statements or omissions which resulted in such losses, liabilities, claims, damages or expenses, as well as any other relevant equitable considerations. For the avoidance of doubt, the Adviser’s and the Administrator’s contribution agreement shall only apply to instances in which the Adviser or the Administrator has an indemnity obligation as described above in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6(a)</w:t>
      </w:r>
      <w:r>
        <w:rPr>
          <w:rFonts w:ascii="Arial" w:cs="Arial" w:eastAsia="Arial" w:hAnsi="Arial"/>
          <w:sz w:val="21"/>
          <w:szCs w:val="21"/>
          <w:color w:val="auto"/>
        </w:rPr>
        <w:t>.</w:t>
      </w:r>
    </w:p>
    <w:p>
      <w:pPr>
        <w:spacing w:after="0" w:line="186"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The relative benefits received by the Company, the Adviser and the Administrator, on the one hand, and the Sales Agent, on the other hand, in connection with the offering of the Securities pursuant to this Agreement shall be deemed to be in the same respective proportions as the total net proceeds from the offering of the Securities pursuant to this Agreement (before deducting expenses) received by the Company, on the one hand, and the total commissions received by the Sales Agent, on the other hand, in each case as set forth on the cover of the Prospectus, bear to the aggregate Net Proceeds.</w:t>
      </w:r>
    </w:p>
    <w:p>
      <w:pPr>
        <w:spacing w:after="0" w:line="147"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The relative fault of the Company, the Adviser and the Administrator, on the one hand, and the Sales Agent, on the other hand, shall be determined by reference to, among other things, whether any such untrue or alleged untrue statement of a material fact or omission or alleged omission to state a material fact relates to information supplied by the Company, the Adviser and the Administrator or by the Sales Agent and the parties’ relative intent, knowledge, access to information and opportunity to correct or prevent such statement or omission.</w:t>
      </w:r>
    </w:p>
    <w:p>
      <w:pPr>
        <w:spacing w:after="0" w:line="187"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 xml:space="preserve">The Company, the Adviser, the Administrator and the Sales Agent agree that it would not be just and equitable if contribution pursuant to this </w:t>
      </w:r>
      <w:r>
        <w:rPr>
          <w:rFonts w:ascii="Arial" w:cs="Arial" w:eastAsia="Arial" w:hAnsi="Arial"/>
          <w:sz w:val="22"/>
          <w:szCs w:val="22"/>
          <w:u w:val="single" w:color="auto"/>
          <w:color w:val="auto"/>
        </w:rPr>
        <w:t>Section 7</w:t>
      </w:r>
      <w:r>
        <w:rPr>
          <w:rFonts w:ascii="Arial" w:cs="Arial" w:eastAsia="Arial" w:hAnsi="Arial"/>
          <w:sz w:val="22"/>
          <w:szCs w:val="22"/>
          <w:color w:val="auto"/>
        </w:rPr>
        <w:t xml:space="preserve"> were determined by pro rata allocation or by any other method of allocation which does not take account of the equitable considerations referred to above in this </w:t>
      </w:r>
      <w:r>
        <w:rPr>
          <w:rFonts w:ascii="Arial" w:cs="Arial" w:eastAsia="Arial" w:hAnsi="Arial"/>
          <w:sz w:val="22"/>
          <w:szCs w:val="22"/>
          <w:u w:val="single" w:color="auto"/>
          <w:color w:val="auto"/>
        </w:rPr>
        <w:t>Section 7</w:t>
      </w:r>
      <w:r>
        <w:rPr>
          <w:rFonts w:ascii="Arial" w:cs="Arial" w:eastAsia="Arial" w:hAnsi="Arial"/>
          <w:sz w:val="22"/>
          <w:szCs w:val="22"/>
          <w:color w:val="auto"/>
        </w:rPr>
        <w:t xml:space="preserve">. The aggregate amount of losses, liabilities, claims, damages and expenses incurred by an indemnified party and referred to above in this </w:t>
      </w:r>
      <w:r>
        <w:rPr>
          <w:rFonts w:ascii="Arial" w:cs="Arial" w:eastAsia="Arial" w:hAnsi="Arial"/>
          <w:sz w:val="22"/>
          <w:szCs w:val="22"/>
          <w:u w:val="single" w:color="auto"/>
          <w:color w:val="auto"/>
        </w:rPr>
        <w:t>Section 7</w:t>
      </w:r>
      <w:r>
        <w:rPr>
          <w:rFonts w:ascii="Arial" w:cs="Arial" w:eastAsia="Arial" w:hAnsi="Arial"/>
          <w:sz w:val="22"/>
          <w:szCs w:val="22"/>
          <w:color w:val="auto"/>
        </w:rPr>
        <w:t xml:space="preserve"> shall be deemed to include any legal or other expenses reasonably incurred by such indemnified party in investigating, preparing or defending against any litigation, or any investigation or proceeding by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line="276" w:lineRule="exact"/>
        <w:rPr>
          <w:sz w:val="20"/>
          <w:szCs w:val="20"/>
          <w:color w:val="auto"/>
        </w:rPr>
      </w:pPr>
    </w:p>
    <w:p>
      <w:pPr>
        <w:spacing w:after="0"/>
        <w:rPr>
          <w:sz w:val="20"/>
          <w:szCs w:val="20"/>
          <w:color w:val="auto"/>
        </w:rPr>
      </w:pPr>
      <w:r>
        <w:rPr>
          <w:rFonts w:ascii="Arial" w:cs="Arial" w:eastAsia="Arial" w:hAnsi="Arial"/>
          <w:sz w:val="14"/>
          <w:szCs w:val="14"/>
          <w:color w:val="auto"/>
        </w:rPr>
        <w:t>28117901.1.BUSINESS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157720" cy="4254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97" w:name="page98"/>
    <w:bookmarkEnd w:id="97"/>
    <w:p>
      <w:pPr>
        <w:jc w:val="both"/>
        <w:spacing w:after="0" w:line="250" w:lineRule="auto"/>
        <w:rPr>
          <w:sz w:val="20"/>
          <w:szCs w:val="20"/>
          <w:color w:val="auto"/>
        </w:rPr>
      </w:pPr>
      <w:r>
        <w:rPr>
          <w:rFonts w:ascii="Arial" w:cs="Arial" w:eastAsia="Arial" w:hAnsi="Arial"/>
          <w:sz w:val="22"/>
          <w:szCs w:val="22"/>
          <w:color w:val="auto"/>
        </w:rPr>
        <w:t>any governmental agency or body, commenced or threatened, or any claim whatsoever based upon any such untrue or alleged untrue statement or omission or alleged omission.</w:t>
      </w:r>
    </w:p>
    <w:p>
      <w:pPr>
        <w:spacing w:after="0" w:line="17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 xml:space="preserve">Notwithstanding the provisions of this </w:t>
      </w:r>
      <w:r>
        <w:rPr>
          <w:rFonts w:ascii="Arial" w:cs="Arial" w:eastAsia="Arial" w:hAnsi="Arial"/>
          <w:sz w:val="22"/>
          <w:szCs w:val="22"/>
          <w:u w:val="single" w:color="auto"/>
          <w:color w:val="auto"/>
        </w:rPr>
        <w:t>Section 7</w:t>
      </w:r>
      <w:r>
        <w:rPr>
          <w:rFonts w:ascii="Arial" w:cs="Arial" w:eastAsia="Arial" w:hAnsi="Arial"/>
          <w:sz w:val="22"/>
          <w:szCs w:val="22"/>
          <w:color w:val="auto"/>
        </w:rPr>
        <w:t>, the Sales Agent shall not be required to contribute any amount in excess of the commissions received by the Sales Agent in connection with the Securities sold by it.</w:t>
      </w:r>
    </w:p>
    <w:p>
      <w:pPr>
        <w:spacing w:after="0" w:line="17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No person guilty of fraudulent misrepresentation (within the meaning of Section 11(f) of the 1933 Act) shall be entitled to contribution from any person who was not guilty of such fraudulent misrepresentation.</w:t>
      </w:r>
    </w:p>
    <w:p>
      <w:pPr>
        <w:spacing w:after="0" w:line="175" w:lineRule="exact"/>
        <w:rPr>
          <w:sz w:val="20"/>
          <w:szCs w:val="20"/>
          <w:color w:val="auto"/>
        </w:rPr>
      </w:pPr>
    </w:p>
    <w:p>
      <w:pPr>
        <w:jc w:val="both"/>
        <w:spacing w:after="0"/>
        <w:rPr>
          <w:sz w:val="20"/>
          <w:szCs w:val="20"/>
          <w:color w:val="auto"/>
        </w:rPr>
      </w:pPr>
      <w:r>
        <w:rPr>
          <w:rFonts w:ascii="Arial" w:cs="Arial" w:eastAsia="Arial" w:hAnsi="Arial"/>
          <w:sz w:val="22"/>
          <w:szCs w:val="22"/>
          <w:color w:val="auto"/>
        </w:rPr>
        <w:t>Notwithstanding anything in this Agreement to the contrary, any indemnification and contribution by the Company shall be subject to the requirements and limitations of Section 17(i) of the 1940 Act and any applicable guidance from the Commission or its staff thereunder.</w:t>
      </w:r>
    </w:p>
    <w:p>
      <w:pPr>
        <w:spacing w:after="0" w:line="186"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 xml:space="preserve">For purposes of this </w:t>
      </w:r>
      <w:r>
        <w:rPr>
          <w:rFonts w:ascii="Arial" w:cs="Arial" w:eastAsia="Arial" w:hAnsi="Arial"/>
          <w:sz w:val="22"/>
          <w:szCs w:val="22"/>
          <w:u w:val="single" w:color="auto"/>
          <w:color w:val="auto"/>
        </w:rPr>
        <w:t>Section 7</w:t>
      </w:r>
      <w:r>
        <w:rPr>
          <w:rFonts w:ascii="Arial" w:cs="Arial" w:eastAsia="Arial" w:hAnsi="Arial"/>
          <w:sz w:val="22"/>
          <w:szCs w:val="22"/>
          <w:color w:val="auto"/>
        </w:rPr>
        <w:t>, each person, if any, who controls the Sales Agent within the meaning of Section 15 of the 1933 Act or Section 20 of the 1934 Act and the Sales Agent’s Affiliates and selling agents shall have the same rights to contribution as the Sales Agent, and each director of the Company, each officer of the Company who signed the Registration Statement, and each person, if any, who controls the Company, the Adviser or the Administrator within the meaning of Section 15 of the 1933 Act or Section 20 of the 1934 Act shall have the same rights to contribution as the Company, the Adviser or the Administrator, as the case may be.</w:t>
      </w:r>
    </w:p>
    <w:p>
      <w:pPr>
        <w:spacing w:after="0" w:line="188"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1"/>
          <w:szCs w:val="21"/>
          <w:color w:val="auto"/>
        </w:rPr>
        <w:t>SECTION 8.</w:t>
      </w:r>
      <w:r>
        <w:rPr>
          <w:rFonts w:ascii="Arial" w:cs="Arial" w:eastAsia="Arial" w:hAnsi="Arial"/>
          <w:sz w:val="21"/>
          <w:szCs w:val="21"/>
          <w:u w:val="single" w:color="auto"/>
          <w:color w:val="auto"/>
        </w:rPr>
        <w:t>Representations, Warranties and Agreements to Survive</w:t>
      </w:r>
      <w:r>
        <w:rPr>
          <w:rFonts w:ascii="Arial" w:cs="Arial" w:eastAsia="Arial" w:hAnsi="Arial"/>
          <w:sz w:val="21"/>
          <w:szCs w:val="21"/>
          <w:color w:val="auto"/>
        </w:rPr>
        <w:t>. All representations, warranties and agreements contained in this Agreement or in certificates of officers of the Company, any of the Subsidiaries, the Adviser or the Administrator submitted pursuant hereto, shall remain operative and in full force and effect regardless of (i) any investigation made by or on behalf of the Sales Agent or its Affiliates or selling agents, any person controlling the Sales Agent, its officers or directors or any person controlling the Company and (ii) delivery of and payment for the Securities.</w:t>
      </w:r>
    </w:p>
    <w:p>
      <w:pPr>
        <w:spacing w:after="0" w:line="178" w:lineRule="exact"/>
        <w:rPr>
          <w:sz w:val="20"/>
          <w:szCs w:val="20"/>
          <w:color w:val="auto"/>
        </w:rPr>
      </w:pPr>
    </w:p>
    <w:p>
      <w:pPr>
        <w:ind w:left="760"/>
        <w:spacing w:after="0"/>
        <w:rPr>
          <w:sz w:val="20"/>
          <w:szCs w:val="20"/>
          <w:color w:val="auto"/>
        </w:rPr>
      </w:pPr>
      <w:r>
        <w:rPr>
          <w:rFonts w:ascii="Arial" w:cs="Arial" w:eastAsia="Arial" w:hAnsi="Arial"/>
          <w:sz w:val="22"/>
          <w:szCs w:val="22"/>
          <w:color w:val="auto"/>
        </w:rPr>
        <w:t>SECTION 9.</w:t>
      </w:r>
      <w:r>
        <w:rPr>
          <w:rFonts w:ascii="Arial" w:cs="Arial" w:eastAsia="Arial" w:hAnsi="Arial"/>
          <w:sz w:val="22"/>
          <w:szCs w:val="22"/>
          <w:u w:val="single" w:color="auto"/>
          <w:color w:val="auto"/>
        </w:rPr>
        <w:t>Termination of Agreement</w:t>
      </w:r>
      <w:r>
        <w:rPr>
          <w:rFonts w:ascii="Arial" w:cs="Arial" w:eastAsia="Arial" w:hAnsi="Arial"/>
          <w:sz w:val="22"/>
          <w:szCs w:val="22"/>
          <w:color w:val="auto"/>
        </w:rPr>
        <w:t>.</w:t>
      </w:r>
    </w:p>
    <w:p>
      <w:pPr>
        <w:spacing w:after="0" w:line="206"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2"/>
          <w:szCs w:val="22"/>
          <w:color w:val="auto"/>
        </w:rPr>
        <w:t xml:space="preserve">(a) </w:t>
      </w:r>
      <w:r>
        <w:rPr>
          <w:rFonts w:ascii="Arial" w:cs="Arial" w:eastAsia="Arial" w:hAnsi="Arial"/>
          <w:sz w:val="22"/>
          <w:szCs w:val="22"/>
          <w:i w:val="1"/>
          <w:iCs w:val="1"/>
          <w:color w:val="auto"/>
        </w:rPr>
        <w:t>Termination by the Company, the Adviser and the Administrator</w:t>
      </w:r>
      <w:r>
        <w:rPr>
          <w:rFonts w:ascii="Arial" w:cs="Arial" w:eastAsia="Arial" w:hAnsi="Arial"/>
          <w:sz w:val="22"/>
          <w:szCs w:val="22"/>
          <w:color w:val="auto"/>
        </w:rPr>
        <w:t>. The Company, the Adviser and the Administrator may terminate this Agreement, by giving one day advance notice to the Sales Agent, at any time.</w:t>
      </w:r>
    </w:p>
    <w:p>
      <w:pPr>
        <w:spacing w:after="0" w:line="175" w:lineRule="exact"/>
        <w:rPr>
          <w:sz w:val="20"/>
          <w:szCs w:val="20"/>
          <w:color w:val="auto"/>
        </w:rPr>
      </w:pPr>
    </w:p>
    <w:p>
      <w:pPr>
        <w:ind w:left="1500"/>
        <w:spacing w:after="0"/>
        <w:tabs>
          <w:tab w:leader="none" w:pos="2980" w:val="left"/>
          <w:tab w:leader="none" w:pos="598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22"/>
          <w:szCs w:val="22"/>
          <w:i w:val="1"/>
          <w:iCs w:val="1"/>
          <w:color w:val="auto"/>
        </w:rPr>
        <w:t>Termination by the Sales Agent</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The Sales Agent may terminate this Agreement, by giving</w:t>
      </w:r>
    </w:p>
    <w:p>
      <w:pPr>
        <w:spacing w:after="0" w:line="8"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one day advance notice to the Company, at any time (i) if there has been, in the judgment of the Sales Agent, since the time of execution of this Agreement or since the respective dates as of which information is given in the Registration Statement or the Prospectus, any material adverse change in the business, properties, management, financial condition, prospects or results of operations of the Company and the Subsidiaries taken as one enterprise or the Adviser or the Administrator, whether or not arising in the ordinary course of business, which would make it impracticable or inadvisable to proceed with the public offering or the delivery of the Securities on the terms and in the manner contemplated in the Registration Statement and the Prospectus, (ii) if there has occurred any material adverse change in the financial markets in the</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pacing w:after="0" w:line="276" w:lineRule="exact"/>
        <w:rPr>
          <w:sz w:val="20"/>
          <w:szCs w:val="20"/>
          <w:color w:val="auto"/>
        </w:rPr>
      </w:pPr>
    </w:p>
    <w:p>
      <w:pPr>
        <w:spacing w:after="0"/>
        <w:rPr>
          <w:sz w:val="20"/>
          <w:szCs w:val="20"/>
          <w:color w:val="auto"/>
        </w:rPr>
      </w:pPr>
      <w:r>
        <w:rPr>
          <w:rFonts w:ascii="Arial" w:cs="Arial" w:eastAsia="Arial" w:hAnsi="Arial"/>
          <w:sz w:val="14"/>
          <w:szCs w:val="14"/>
          <w:color w:val="auto"/>
        </w:rPr>
        <w:t>28117901.1.BUSINESS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157720" cy="4254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98" w:name="page99"/>
    <w:bookmarkEnd w:id="98"/>
    <w:p>
      <w:pPr>
        <w:jc w:val="both"/>
        <w:spacing w:after="0" w:line="273" w:lineRule="auto"/>
        <w:rPr>
          <w:sz w:val="20"/>
          <w:szCs w:val="20"/>
          <w:color w:val="auto"/>
        </w:rPr>
      </w:pPr>
      <w:r>
        <w:rPr>
          <w:rFonts w:ascii="Arial" w:cs="Arial" w:eastAsia="Arial" w:hAnsi="Arial"/>
          <w:sz w:val="19"/>
          <w:szCs w:val="19"/>
          <w:color w:val="auto"/>
        </w:rPr>
        <w:t>United States or the international financial markets, any outbreak of hostilities or escalation thereof or other calamity or crisis or any change or development involving a prospective change in national or international political, financial or economic conditions, in each case the effect of which is such as to make it, in the judgment of the Sales Agent, impracticable or inadvisable to proceed with the completion of the offering or to enforce contracts for the sale of the Securities, (iii) if trading in any securities of the Company has been suspended or materially limited by the Commission or The Nasdaq Stock Market, (iv) if trading generally on the NYSE Amex or The New York Stock Exchange or The Nasdaq Stock Market has been suspended or materially limited, or minimum or maximum prices for trading have been fixed, or maximum ranges for prices have been required, by any of said exchanges or by order of the Commission, FINRA or any other governmental authority, (v) a material disruption has occurred in commercial banking or securities settlement or clearance services in the United States or with respect to Clearstream or Euroclear systems in Europe, or (vi) if a banking moratorium has been declared by either Federal or New York authorities.</w:t>
      </w:r>
    </w:p>
    <w:p>
      <w:pPr>
        <w:spacing w:after="0" w:line="161" w:lineRule="exact"/>
        <w:rPr>
          <w:sz w:val="20"/>
          <w:szCs w:val="20"/>
          <w:color w:val="auto"/>
        </w:rPr>
      </w:pPr>
    </w:p>
    <w:p>
      <w:pPr>
        <w:jc w:val="both"/>
        <w:ind w:firstLine="1497"/>
        <w:spacing w:after="0"/>
        <w:rPr>
          <w:sz w:val="20"/>
          <w:szCs w:val="20"/>
          <w:color w:val="auto"/>
        </w:rPr>
      </w:pPr>
      <w:r>
        <w:rPr>
          <w:rFonts w:ascii="Arial" w:cs="Arial" w:eastAsia="Arial" w:hAnsi="Arial"/>
          <w:sz w:val="22"/>
          <w:szCs w:val="22"/>
          <w:color w:val="auto"/>
        </w:rPr>
        <w:t xml:space="preserve">(c) </w:t>
      </w:r>
      <w:r>
        <w:rPr>
          <w:rFonts w:ascii="Arial" w:cs="Arial" w:eastAsia="Arial" w:hAnsi="Arial"/>
          <w:sz w:val="22"/>
          <w:szCs w:val="22"/>
          <w:i w:val="1"/>
          <w:iCs w:val="1"/>
          <w:color w:val="auto"/>
        </w:rPr>
        <w:t>Liabilities</w:t>
      </w:r>
      <w:r>
        <w:rPr>
          <w:rFonts w:ascii="Arial" w:cs="Arial" w:eastAsia="Arial" w:hAnsi="Arial"/>
          <w:sz w:val="22"/>
          <w:szCs w:val="22"/>
          <w:color w:val="auto"/>
        </w:rPr>
        <w:t xml:space="preserve">. If this Agreement is terminated pursuant to this Section, such termination shall be without liability of any party to any other party except as provided in </w:t>
      </w:r>
      <w:r>
        <w:rPr>
          <w:rFonts w:ascii="Arial" w:cs="Arial" w:eastAsia="Arial" w:hAnsi="Arial"/>
          <w:sz w:val="22"/>
          <w:szCs w:val="22"/>
          <w:u w:val="single" w:color="auto"/>
          <w:color w:val="auto"/>
        </w:rPr>
        <w:t>Section 4</w:t>
      </w:r>
      <w:r>
        <w:rPr>
          <w:rFonts w:ascii="Arial" w:cs="Arial" w:eastAsia="Arial" w:hAnsi="Arial"/>
          <w:sz w:val="22"/>
          <w:szCs w:val="22"/>
          <w:color w:val="auto"/>
        </w:rPr>
        <w:t xml:space="preserve"> hereof, provided that </w:t>
      </w:r>
      <w:r>
        <w:rPr>
          <w:rFonts w:ascii="Arial" w:cs="Arial" w:eastAsia="Arial" w:hAnsi="Arial"/>
          <w:sz w:val="22"/>
          <w:szCs w:val="22"/>
          <w:u w:val="single" w:color="auto"/>
          <w:color w:val="auto"/>
        </w:rPr>
        <w:t>Sections 1</w:t>
      </w:r>
      <w:r>
        <w:rPr>
          <w:rFonts w:ascii="Arial" w:cs="Arial" w:eastAsia="Arial" w:hAnsi="Arial"/>
          <w:sz w:val="22"/>
          <w:szCs w:val="22"/>
          <w:color w:val="auto"/>
        </w:rPr>
        <w:t xml:space="preserve">, </w:t>
      </w:r>
      <w:r>
        <w:rPr>
          <w:rFonts w:ascii="Arial" w:cs="Arial" w:eastAsia="Arial" w:hAnsi="Arial"/>
          <w:sz w:val="22"/>
          <w:szCs w:val="22"/>
          <w:u w:val="single" w:color="auto"/>
          <w:color w:val="auto"/>
        </w:rPr>
        <w:t>6, 7</w:t>
      </w:r>
      <w:r>
        <w:rPr>
          <w:rFonts w:ascii="Arial" w:cs="Arial" w:eastAsia="Arial" w:hAnsi="Arial"/>
          <w:sz w:val="22"/>
          <w:szCs w:val="22"/>
          <w:color w:val="auto"/>
        </w:rPr>
        <w:t xml:space="preserve">, </w:t>
      </w:r>
      <w:r>
        <w:rPr>
          <w:rFonts w:ascii="Arial" w:cs="Arial" w:eastAsia="Arial" w:hAnsi="Arial"/>
          <w:sz w:val="22"/>
          <w:szCs w:val="22"/>
          <w:u w:val="single" w:color="auto"/>
          <w:color w:val="auto"/>
        </w:rPr>
        <w:t>8</w:t>
      </w:r>
      <w:r>
        <w:rPr>
          <w:rFonts w:ascii="Arial" w:cs="Arial" w:eastAsia="Arial" w:hAnsi="Arial"/>
          <w:sz w:val="22"/>
          <w:szCs w:val="22"/>
          <w:color w:val="auto"/>
        </w:rPr>
        <w:t xml:space="preserve">, 14, 15 and </w:t>
      </w:r>
      <w:r>
        <w:rPr>
          <w:rFonts w:ascii="Arial" w:cs="Arial" w:eastAsia="Arial" w:hAnsi="Arial"/>
          <w:sz w:val="22"/>
          <w:szCs w:val="22"/>
          <w:u w:val="single" w:color="auto"/>
          <w:color w:val="auto"/>
        </w:rPr>
        <w:t>16</w:t>
      </w:r>
      <w:r>
        <w:rPr>
          <w:rFonts w:ascii="Arial" w:cs="Arial" w:eastAsia="Arial" w:hAnsi="Arial"/>
          <w:sz w:val="22"/>
          <w:szCs w:val="22"/>
          <w:color w:val="auto"/>
        </w:rPr>
        <w:t xml:space="preserve"> shall survive such termination and remain in full force and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6739255</wp:posOffset>
            </wp:positionH>
            <wp:positionV relativeFrom="paragraph">
              <wp:posOffset>-184785</wp:posOffset>
            </wp:positionV>
            <wp:extent cx="394335" cy="825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10">
                      <a:extLst>
                        <a:ext uri="{28A0092B-C50C-407E-A947-70E740481C1C}"/>
                      </a:extLst>
                    </a:blip>
                    <a:srcRect/>
                    <a:stretch>
                      <a:fillRect/>
                    </a:stretch>
                  </pic:blipFill>
                  <pic:spPr bwMode="auto">
                    <a:xfrm>
                      <a:off x="0" y="0"/>
                      <a:ext cx="394335" cy="8255"/>
                    </a:xfrm>
                    <a:prstGeom prst="rect">
                      <a:avLst/>
                    </a:prstGeom>
                    <a:noFill/>
                  </pic:spPr>
                </pic:pic>
              </a:graphicData>
            </a:graphic>
          </wp:anchor>
        </w:drawing>
      </w:r>
    </w:p>
    <w:p>
      <w:pPr>
        <w:spacing w:after="0" w:line="166" w:lineRule="exact"/>
        <w:rPr>
          <w:sz w:val="20"/>
          <w:szCs w:val="20"/>
          <w:color w:val="auto"/>
        </w:rPr>
      </w:pPr>
    </w:p>
    <w:p>
      <w:pPr>
        <w:jc w:val="both"/>
        <w:ind w:firstLine="749"/>
        <w:spacing w:after="0" w:line="234" w:lineRule="auto"/>
        <w:rPr>
          <w:sz w:val="20"/>
          <w:szCs w:val="20"/>
          <w:color w:val="auto"/>
        </w:rPr>
      </w:pPr>
      <w:r>
        <w:rPr>
          <w:rFonts w:ascii="Arial" w:cs="Arial" w:eastAsia="Arial" w:hAnsi="Arial"/>
          <w:sz w:val="22"/>
          <w:szCs w:val="22"/>
          <w:color w:val="auto"/>
        </w:rPr>
        <w:t>SECTION 10.</w:t>
      </w:r>
      <w:r>
        <w:rPr>
          <w:rFonts w:ascii="Arial" w:cs="Arial" w:eastAsia="Arial" w:hAnsi="Arial"/>
          <w:sz w:val="22"/>
          <w:szCs w:val="22"/>
          <w:u w:val="single" w:color="auto"/>
          <w:color w:val="auto"/>
        </w:rPr>
        <w:t>No Joint Venture</w:t>
      </w:r>
      <w:r>
        <w:rPr>
          <w:rFonts w:ascii="Arial" w:cs="Arial" w:eastAsia="Arial" w:hAnsi="Arial"/>
          <w:sz w:val="22"/>
          <w:szCs w:val="22"/>
          <w:color w:val="auto"/>
        </w:rPr>
        <w:t>. The Company, the Adviser, the Administrator and the Sales Agent expressly acknowledge, understand and agree that the Sales Agent and the Other Agent are not, and shall not be deemed for any purpose, to be acting as an joint venture or partner of one another and that neither the Sales Agent nor the Other Agent assume responsibility or liability, express or implied, for any actions or omissions of, or the performance of services by the Sales Agent or the Other Agent, respectively, in connection with the offering of the shares of Common Stock pursuant to this Agreement or the Sales Agreement, or otherwise. The obligations of the Sales Agent hereunder and of the Other Agent under the Sales Agreement shall be several and not joint.</w:t>
      </w:r>
    </w:p>
    <w:p>
      <w:pPr>
        <w:spacing w:after="0" w:line="191" w:lineRule="exact"/>
        <w:rPr>
          <w:sz w:val="20"/>
          <w:szCs w:val="20"/>
          <w:color w:val="auto"/>
        </w:rPr>
      </w:pPr>
    </w:p>
    <w:p>
      <w:pPr>
        <w:jc w:val="both"/>
        <w:ind w:firstLine="749"/>
        <w:spacing w:after="0" w:line="234" w:lineRule="auto"/>
        <w:rPr>
          <w:sz w:val="20"/>
          <w:szCs w:val="20"/>
          <w:color w:val="auto"/>
        </w:rPr>
      </w:pPr>
      <w:r>
        <w:rPr>
          <w:rFonts w:ascii="Arial" w:cs="Arial" w:eastAsia="Arial" w:hAnsi="Arial"/>
          <w:sz w:val="22"/>
          <w:szCs w:val="22"/>
          <w:color w:val="auto"/>
        </w:rPr>
        <w:t>SECTION 11.</w:t>
      </w:r>
      <w:r>
        <w:rPr>
          <w:rFonts w:ascii="Arial" w:cs="Arial" w:eastAsia="Arial" w:hAnsi="Arial"/>
          <w:sz w:val="22"/>
          <w:szCs w:val="22"/>
          <w:u w:val="single" w:color="auto"/>
          <w:color w:val="auto"/>
        </w:rPr>
        <w:t>Notices</w:t>
      </w:r>
      <w:r>
        <w:rPr>
          <w:rFonts w:ascii="Arial" w:cs="Arial" w:eastAsia="Arial" w:hAnsi="Arial"/>
          <w:sz w:val="22"/>
          <w:szCs w:val="22"/>
          <w:color w:val="auto"/>
        </w:rPr>
        <w:t>. All notices and other communications hereunder shall be in writing and shall be deemed to have been duly given if mailed or transmitted by any standard form of telecommunication. Notices to the Sales Agent shall be directed to JMP Securities LLC at 600 Montgomery Street, Suite 1100, San Francisco, California 94111, Facsimile: (415) 835-8920, Attention: Equity Securities, with a copy (which shall not constitute notice) to Proskauer Rose LLP at 1001 Pennsylvania Ave., NW, Suite 600 South, Washington, D.C. 20004, Attention: William Tuttle. Notices to the Company, the Adviser and the Administrator shall be directed to them at 590 Madison Avenue, 15th Floor, New York, NY 10022, facsimile No. (212) 905-1075, Attention: Arthur Penn.</w:t>
      </w:r>
    </w:p>
    <w:p>
      <w:pPr>
        <w:spacing w:after="0" w:line="191" w:lineRule="exact"/>
        <w:rPr>
          <w:sz w:val="20"/>
          <w:szCs w:val="20"/>
          <w:color w:val="auto"/>
        </w:rPr>
      </w:pPr>
    </w:p>
    <w:p>
      <w:pPr>
        <w:jc w:val="both"/>
        <w:ind w:firstLine="749"/>
        <w:spacing w:after="0" w:line="235" w:lineRule="auto"/>
        <w:rPr>
          <w:sz w:val="20"/>
          <w:szCs w:val="20"/>
          <w:color w:val="auto"/>
        </w:rPr>
      </w:pPr>
      <w:r>
        <w:rPr>
          <w:rFonts w:ascii="Arial" w:cs="Arial" w:eastAsia="Arial" w:hAnsi="Arial"/>
          <w:sz w:val="22"/>
          <w:szCs w:val="22"/>
          <w:color w:val="auto"/>
        </w:rPr>
        <w:t>SECTION 12.</w:t>
      </w:r>
      <w:r>
        <w:rPr>
          <w:rFonts w:ascii="Arial" w:cs="Arial" w:eastAsia="Arial" w:hAnsi="Arial"/>
          <w:sz w:val="22"/>
          <w:szCs w:val="22"/>
          <w:u w:val="single" w:color="auto"/>
          <w:color w:val="auto"/>
        </w:rPr>
        <w:t>No Advisory or Fiduciary Relationship</w:t>
      </w:r>
      <w:r>
        <w:rPr>
          <w:rFonts w:ascii="Arial" w:cs="Arial" w:eastAsia="Arial" w:hAnsi="Arial"/>
          <w:sz w:val="22"/>
          <w:szCs w:val="22"/>
          <w:color w:val="auto"/>
        </w:rPr>
        <w:t>. The Company acknowledges and agrees that (a) the purchase and sale of the Securities pursuant to this Agreement, including the determination of the public offering price of the Securities and any related discounts and commissions, is an arm’s-length commercial transaction between the Company, on the one hand, and the Sales Agent, on the other hand, (b) in connection with the offering of the Securities and the process leading thereto, the Sales Agent is and has been acting solely as a principal and is not the agent or fiduciary of the Company, any of the Subsidiaries or their respective stockholders,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pacing w:after="0" w:line="276" w:lineRule="exact"/>
        <w:rPr>
          <w:sz w:val="20"/>
          <w:szCs w:val="20"/>
          <w:color w:val="auto"/>
        </w:rPr>
      </w:pPr>
    </w:p>
    <w:p>
      <w:pPr>
        <w:spacing w:after="0"/>
        <w:rPr>
          <w:sz w:val="20"/>
          <w:szCs w:val="20"/>
          <w:color w:val="auto"/>
        </w:rPr>
      </w:pPr>
      <w:r>
        <w:rPr>
          <w:rFonts w:ascii="Arial" w:cs="Arial" w:eastAsia="Arial" w:hAnsi="Arial"/>
          <w:sz w:val="14"/>
          <w:szCs w:val="14"/>
          <w:color w:val="auto"/>
        </w:rPr>
        <w:t>28117901.1.BUSINESS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157720" cy="4254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99" w:name="page100"/>
    <w:bookmarkEnd w:id="99"/>
    <w:p>
      <w:pPr>
        <w:jc w:val="both"/>
        <w:spacing w:after="0" w:line="275" w:lineRule="auto"/>
        <w:rPr>
          <w:sz w:val="20"/>
          <w:szCs w:val="20"/>
          <w:color w:val="auto"/>
        </w:rPr>
      </w:pPr>
      <w:r>
        <w:rPr>
          <w:rFonts w:ascii="Arial" w:cs="Arial" w:eastAsia="Arial" w:hAnsi="Arial"/>
          <w:sz w:val="19"/>
          <w:szCs w:val="19"/>
          <w:color w:val="auto"/>
        </w:rPr>
        <w:t>creditors, employees or any other party, (c) the Sales Agent has not assumed or will assume an advisory or fiduciary responsibility in favor of the Company with respect to the offering of the Securities or the process leading thereto (irrespective of whether the Sales Agent has advised or is currently advising the Company or any of its subsidiaries on other matters) and the Sales Agent has no obligation to the Company with respect to the offering of the Securities except the obligations expressly set forth in this Agreement, (d) the Sales Agent and its respective affiliates may be engaged in a broad range of transactions that involve interests that differ from those of the Company and (e) the Sales Agent has not provided any legal, accounting, regulatory or tax advice with respect to the offering of the Securities and the Company has consulted its own respective legal, accounting, regulatory and tax advisors to the extent it deemed appropriate.</w:t>
      </w:r>
    </w:p>
    <w:p>
      <w:pPr>
        <w:spacing w:after="0" w:line="157"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21"/>
          <w:szCs w:val="21"/>
          <w:color w:val="auto"/>
        </w:rPr>
        <w:t>SECTION 13.</w:t>
      </w:r>
      <w:r>
        <w:rPr>
          <w:rFonts w:ascii="Arial" w:cs="Arial" w:eastAsia="Arial" w:hAnsi="Arial"/>
          <w:sz w:val="21"/>
          <w:szCs w:val="21"/>
          <w:u w:val="single" w:color="auto"/>
          <w:color w:val="auto"/>
        </w:rPr>
        <w:t>Parties</w:t>
      </w:r>
      <w:r>
        <w:rPr>
          <w:rFonts w:ascii="Arial" w:cs="Arial" w:eastAsia="Arial" w:hAnsi="Arial"/>
          <w:sz w:val="21"/>
          <w:szCs w:val="21"/>
          <w:color w:val="auto"/>
        </w:rPr>
        <w:t xml:space="preserve">. This Agreement shall each inure to the benefit of and be binding upon the Sales Agent, the Company, the Adviser, the Administrator and their respective successors. Nothing expressed or mentioned in this Agreement is intended or shall be construed to give any person, firm or corporation, other than the Sales Agent, the Company, the Adviser and the Administrator and their respective successors and the controlling persons and officers and directors referred to in </w:t>
      </w:r>
      <w:r>
        <w:rPr>
          <w:rFonts w:ascii="Arial" w:cs="Arial" w:eastAsia="Arial" w:hAnsi="Arial"/>
          <w:sz w:val="21"/>
          <w:szCs w:val="21"/>
          <w:u w:val="single" w:color="auto"/>
          <w:color w:val="auto"/>
        </w:rPr>
        <w:t>Section 6</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7</w:t>
      </w:r>
      <w:r>
        <w:rPr>
          <w:rFonts w:ascii="Arial" w:cs="Arial" w:eastAsia="Arial" w:hAnsi="Arial"/>
          <w:sz w:val="21"/>
          <w:szCs w:val="21"/>
          <w:color w:val="auto"/>
        </w:rPr>
        <w:t xml:space="preserve"> and their heirs and legal representatives, any legal or equitable right, remedy or claim under or in respect of this Agreement or any provision herein contained. This Agreement and all conditions and provisions hereof are intended to be for the sole and exclusive benefit of the Sales Agent, the Company, the Adviser and the Administrator and their respective successors, and said controlling persons and officers and directors and their heirs and legal representatives, and for the benefit of no other person, firm or corporation. No purchaser of Securities from the Sales Agent shall be deemed to be a successor by reason merely of such purchase.</w:t>
      </w:r>
    </w:p>
    <w:p>
      <w:pPr>
        <w:spacing w:after="0" w:line="181"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SECTION 14.</w:t>
      </w:r>
      <w:r>
        <w:rPr>
          <w:rFonts w:ascii="Arial" w:cs="Arial" w:eastAsia="Arial" w:hAnsi="Arial"/>
          <w:sz w:val="22"/>
          <w:szCs w:val="22"/>
          <w:u w:val="single" w:color="auto"/>
          <w:color w:val="auto"/>
        </w:rPr>
        <w:t>Trial by Jury</w:t>
      </w:r>
      <w:r>
        <w:rPr>
          <w:rFonts w:ascii="Arial" w:cs="Arial" w:eastAsia="Arial" w:hAnsi="Arial"/>
          <w:sz w:val="22"/>
          <w:szCs w:val="22"/>
          <w:color w:val="auto"/>
        </w:rPr>
        <w:t>. The Company (on its behalf and, to the extent permitted by applicable law, on behalf of its stockholders and affiliates), the Adviser, the Administrator and the Sales Agent hereby irrevocably waives, to the fullest extent permitted by applicable law, any and all right to trial by jury in any legal proceeding arising out of or relating to this Agreement or the transactions contemplated hereby.</w:t>
      </w:r>
    </w:p>
    <w:p>
      <w:pPr>
        <w:spacing w:after="0" w:line="185"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SECTION 15.</w:t>
      </w: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AND ANY CLAIM, CONTROVERSY OR DISPUTE ARISING UNDER OR RELATED TO THIS AGREEMENT SHALL BE GOVERNED BY, AND CONSTRUED IN ACCORDANCE WITH THE LAWS OF, THE STATE OF NEW YORK.</w:t>
      </w:r>
    </w:p>
    <w:p>
      <w:pPr>
        <w:spacing w:after="0" w:line="186"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21"/>
          <w:szCs w:val="21"/>
          <w:color w:val="auto"/>
        </w:rPr>
        <w:t>SECTION 16.</w:t>
      </w:r>
      <w:r>
        <w:rPr>
          <w:rFonts w:ascii="Arial" w:cs="Arial" w:eastAsia="Arial" w:hAnsi="Arial"/>
          <w:sz w:val="21"/>
          <w:szCs w:val="21"/>
          <w:u w:val="single" w:color="auto"/>
          <w:color w:val="auto"/>
        </w:rPr>
        <w:t>Consent to Jurisdiction; Waiver of Immunity</w:t>
      </w:r>
      <w:r>
        <w:rPr>
          <w:rFonts w:ascii="Arial" w:cs="Arial" w:eastAsia="Arial" w:hAnsi="Arial"/>
          <w:sz w:val="21"/>
          <w:szCs w:val="21"/>
          <w:color w:val="auto"/>
        </w:rPr>
        <w:t>. Any legal suit, action or proceeding arising out of or based upon this Agreement or the transactions contemplated hereby shall be instituted in (i) the federal courts of the United States of America located in the City and County of New York, Borough of Manhattan or (ii) the courts of the State of New York located in the City and County of New York, Borough of Manhattan (collectively, the “Specified Courts”), and each party irrevocably submits to the exclusive jurisdiction (except for proceedings instituted in regard to the enforcement of a judgment of any such court, as to which such jurisdiction is non-exclusive) of such courts in any such suit, action or 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 of venue of any suit, action or other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pacing w:after="0" w:line="276" w:lineRule="exact"/>
        <w:rPr>
          <w:sz w:val="20"/>
          <w:szCs w:val="20"/>
          <w:color w:val="auto"/>
        </w:rPr>
      </w:pPr>
    </w:p>
    <w:p>
      <w:pPr>
        <w:spacing w:after="0"/>
        <w:rPr>
          <w:sz w:val="20"/>
          <w:szCs w:val="20"/>
          <w:color w:val="auto"/>
        </w:rPr>
      </w:pPr>
      <w:r>
        <w:rPr>
          <w:rFonts w:ascii="Arial" w:cs="Arial" w:eastAsia="Arial" w:hAnsi="Arial"/>
          <w:sz w:val="14"/>
          <w:szCs w:val="14"/>
          <w:color w:val="auto"/>
        </w:rPr>
        <w:t>28117901.1.BUSINESS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157720" cy="4254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00" w:name="page101"/>
    <w:bookmarkEnd w:id="100"/>
    <w:p>
      <w:pPr>
        <w:jc w:val="both"/>
        <w:spacing w:after="0" w:line="274" w:lineRule="auto"/>
        <w:rPr>
          <w:sz w:val="20"/>
          <w:szCs w:val="20"/>
          <w:color w:val="auto"/>
        </w:rPr>
      </w:pPr>
      <w:r>
        <w:rPr>
          <w:rFonts w:ascii="Arial" w:cs="Arial" w:eastAsia="Arial" w:hAnsi="Arial"/>
          <w:sz w:val="21"/>
          <w:szCs w:val="21"/>
          <w:color w:val="auto"/>
        </w:rPr>
        <w:t>proceeding in the Specified Courts and irrevocably and unconditionally waive and agree not to plead or claim in any such court that any such suit, action or other proceeding brought in any such court has been brought in an inconvenient forum.</w:t>
      </w:r>
    </w:p>
    <w:p>
      <w:pPr>
        <w:spacing w:after="0" w:line="151" w:lineRule="exact"/>
        <w:rPr>
          <w:sz w:val="20"/>
          <w:szCs w:val="20"/>
          <w:color w:val="auto"/>
        </w:rPr>
      </w:pPr>
    </w:p>
    <w:p>
      <w:pPr>
        <w:jc w:val="both"/>
        <w:ind w:right="20" w:firstLine="749"/>
        <w:spacing w:after="0" w:line="250" w:lineRule="auto"/>
        <w:rPr>
          <w:sz w:val="20"/>
          <w:szCs w:val="20"/>
          <w:color w:val="auto"/>
        </w:rPr>
      </w:pPr>
      <w:r>
        <w:rPr>
          <w:rFonts w:ascii="Arial" w:cs="Arial" w:eastAsia="Arial" w:hAnsi="Arial"/>
          <w:sz w:val="22"/>
          <w:szCs w:val="22"/>
          <w:color w:val="auto"/>
        </w:rPr>
        <w:t>SECTION 17.</w:t>
      </w:r>
      <w:r>
        <w:rPr>
          <w:rFonts w:ascii="Arial" w:cs="Arial" w:eastAsia="Arial" w:hAnsi="Arial"/>
          <w:sz w:val="22"/>
          <w:szCs w:val="22"/>
          <w:u w:val="single" w:color="auto"/>
          <w:color w:val="auto"/>
        </w:rPr>
        <w:t>TIME</w:t>
      </w:r>
      <w:r>
        <w:rPr>
          <w:rFonts w:ascii="Arial" w:cs="Arial" w:eastAsia="Arial" w:hAnsi="Arial"/>
          <w:sz w:val="22"/>
          <w:szCs w:val="22"/>
          <w:color w:val="auto"/>
        </w:rPr>
        <w:t>. TIME SHALL BE OF THE ESSENCE OF THIS AGREEMENT. EXCEPT AS OTHERWISE SET FORTH HEREIN, SPECIFIED TIMES OF DAY REFER TO NEW YORK CITY TIME.</w:t>
      </w:r>
    </w:p>
    <w:p>
      <w:pPr>
        <w:spacing w:after="0" w:line="175" w:lineRule="exact"/>
        <w:rPr>
          <w:sz w:val="20"/>
          <w:szCs w:val="20"/>
          <w:color w:val="auto"/>
        </w:rPr>
      </w:pPr>
    </w:p>
    <w:p>
      <w:pPr>
        <w:jc w:val="both"/>
        <w:ind w:firstLine="749"/>
        <w:spacing w:after="0" w:line="235" w:lineRule="auto"/>
        <w:rPr>
          <w:sz w:val="20"/>
          <w:szCs w:val="20"/>
          <w:color w:val="auto"/>
        </w:rPr>
      </w:pPr>
      <w:r>
        <w:rPr>
          <w:rFonts w:ascii="Arial" w:cs="Arial" w:eastAsia="Arial" w:hAnsi="Arial"/>
          <w:sz w:val="22"/>
          <w:szCs w:val="22"/>
          <w:color w:val="auto"/>
        </w:rPr>
        <w:t>SECTION 18.</w:t>
      </w: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any number of counterparts, each of which shall be deemed to be an original, but all such counterparts shall together constitute one and the same Agreement.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w:t>
      </w:r>
    </w:p>
    <w:p>
      <w:pPr>
        <w:spacing w:after="0" w:line="188"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SECTION 19.</w:t>
      </w:r>
      <w:r>
        <w:rPr>
          <w:rFonts w:ascii="Arial" w:cs="Arial" w:eastAsia="Arial" w:hAnsi="Arial"/>
          <w:sz w:val="22"/>
          <w:szCs w:val="22"/>
          <w:u w:val="single" w:color="auto"/>
          <w:color w:val="auto"/>
        </w:rPr>
        <w:t>Effect of Headings</w:t>
      </w:r>
      <w:r>
        <w:rPr>
          <w:rFonts w:ascii="Arial" w:cs="Arial" w:eastAsia="Arial" w:hAnsi="Arial"/>
          <w:sz w:val="22"/>
          <w:szCs w:val="22"/>
          <w:color w:val="auto"/>
        </w:rPr>
        <w:t>. The Section headings herein are for convenience only and shall not affect the construction hereof.</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SECTION 20.</w:t>
      </w:r>
      <w:r>
        <w:rPr>
          <w:rFonts w:ascii="Arial" w:cs="Arial" w:eastAsia="Arial" w:hAnsi="Arial"/>
          <w:sz w:val="22"/>
          <w:szCs w:val="22"/>
          <w:u w:val="single" w:color="auto"/>
          <w:color w:val="auto"/>
        </w:rPr>
        <w:t>Recognition of the U.S. Special Resolution Regimes</w:t>
      </w:r>
      <w:r>
        <w:rPr>
          <w:rFonts w:ascii="Arial" w:cs="Arial" w:eastAsia="Arial" w:hAnsi="Arial"/>
          <w:sz w:val="22"/>
          <w:szCs w:val="22"/>
          <w:color w:val="auto"/>
        </w:rPr>
        <w:t>.</w:t>
      </w:r>
    </w:p>
    <w:p>
      <w:pPr>
        <w:spacing w:after="0" w:line="206" w:lineRule="exact"/>
        <w:rPr>
          <w:sz w:val="20"/>
          <w:szCs w:val="20"/>
          <w:color w:val="auto"/>
        </w:rPr>
      </w:pPr>
    </w:p>
    <w:p>
      <w:pPr>
        <w:jc w:val="both"/>
        <w:ind w:firstLine="1505"/>
        <w:spacing w:after="0" w:line="226" w:lineRule="auto"/>
        <w:tabs>
          <w:tab w:leader="none" w:pos="2995" w:val="left"/>
        </w:tabs>
        <w:numPr>
          <w:ilvl w:val="0"/>
          <w:numId w:val="67"/>
        </w:numPr>
        <w:rPr>
          <w:rFonts w:ascii="Arial" w:cs="Arial" w:eastAsia="Arial" w:hAnsi="Arial"/>
          <w:sz w:val="22"/>
          <w:szCs w:val="22"/>
          <w:color w:val="auto"/>
        </w:rPr>
      </w:pPr>
      <w:r>
        <w:rPr>
          <w:rFonts w:ascii="Arial" w:cs="Arial" w:eastAsia="Arial" w:hAnsi="Arial"/>
          <w:sz w:val="22"/>
          <w:szCs w:val="22"/>
          <w:color w:val="auto"/>
        </w:rPr>
        <w:t>In the event that the Sales Agent that is a Covered Entity becomes subject to a proceeding under a U.S. Special Resolution Regime, the transfer from the Sales Agent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72" w:lineRule="exact"/>
        <w:rPr>
          <w:rFonts w:ascii="Arial" w:cs="Arial" w:eastAsia="Arial" w:hAnsi="Arial"/>
          <w:sz w:val="22"/>
          <w:szCs w:val="22"/>
          <w:color w:val="auto"/>
        </w:rPr>
      </w:pPr>
    </w:p>
    <w:p>
      <w:pPr>
        <w:jc w:val="both"/>
        <w:ind w:firstLine="1505"/>
        <w:spacing w:after="0" w:line="226" w:lineRule="auto"/>
        <w:tabs>
          <w:tab w:leader="none" w:pos="2995" w:val="left"/>
        </w:tabs>
        <w:numPr>
          <w:ilvl w:val="0"/>
          <w:numId w:val="67"/>
        </w:numPr>
        <w:rPr>
          <w:rFonts w:ascii="Arial" w:cs="Arial" w:eastAsia="Arial" w:hAnsi="Arial"/>
          <w:sz w:val="22"/>
          <w:szCs w:val="22"/>
          <w:color w:val="auto"/>
        </w:rPr>
      </w:pPr>
      <w:r>
        <w:rPr>
          <w:rFonts w:ascii="Arial" w:cs="Arial" w:eastAsia="Arial" w:hAnsi="Arial"/>
          <w:sz w:val="22"/>
          <w:szCs w:val="22"/>
          <w:color w:val="auto"/>
        </w:rPr>
        <w:t>In the event that the Sales Agent that is a Covered Entity or a BHC Act Affiliate of the Sales Agent becomes subject to a proceeding under a U.S. Special Resolution Regime, Default Rights under this Agreement that may be exercised against the Sales Agent are permitted to be exercised to no greater extent than such Default Rights could be exercised under the U.S. Special Resolution Regime if this Agreement were governed by the laws of the United States or a state of the United States.</w:t>
      </w:r>
    </w:p>
    <w:p>
      <w:pPr>
        <w:spacing w:after="0" w:line="172" w:lineRule="exact"/>
        <w:rPr>
          <w:rFonts w:ascii="Arial" w:cs="Arial" w:eastAsia="Arial" w:hAnsi="Arial"/>
          <w:sz w:val="22"/>
          <w:szCs w:val="22"/>
          <w:color w:val="auto"/>
        </w:rPr>
      </w:pPr>
    </w:p>
    <w:p>
      <w:pPr>
        <w:jc w:val="both"/>
        <w:ind w:firstLine="1505"/>
        <w:spacing w:after="0" w:line="260" w:lineRule="auto"/>
        <w:tabs>
          <w:tab w:leader="none" w:pos="2995" w:val="left"/>
        </w:tabs>
        <w:numPr>
          <w:ilvl w:val="0"/>
          <w:numId w:val="67"/>
        </w:numPr>
        <w:rPr>
          <w:rFonts w:ascii="Arial" w:cs="Arial" w:eastAsia="Arial" w:hAnsi="Arial"/>
          <w:sz w:val="19"/>
          <w:szCs w:val="19"/>
          <w:color w:val="auto"/>
        </w:rPr>
      </w:pPr>
      <w:r>
        <w:rPr>
          <w:rFonts w:ascii="Arial" w:cs="Arial" w:eastAsia="Arial" w:hAnsi="Arial"/>
          <w:sz w:val="19"/>
          <w:szCs w:val="19"/>
          <w:color w:val="auto"/>
        </w:rPr>
        <w:t xml:space="preserve">For purposes of this </w:t>
      </w:r>
      <w:r>
        <w:rPr>
          <w:rFonts w:ascii="Arial" w:cs="Arial" w:eastAsia="Arial" w:hAnsi="Arial"/>
          <w:sz w:val="19"/>
          <w:szCs w:val="19"/>
          <w:u w:val="single" w:color="auto"/>
          <w:color w:val="auto"/>
        </w:rPr>
        <w:t>Section 20</w:t>
      </w:r>
      <w:r>
        <w:rPr>
          <w:rFonts w:ascii="Arial" w:cs="Arial" w:eastAsia="Arial" w:hAnsi="Arial"/>
          <w:sz w:val="19"/>
          <w:szCs w:val="19"/>
          <w:color w:val="auto"/>
        </w:rPr>
        <w:t>, a “BHC Act Affiliate” has the meaning assigned to the term “affiliate” in, and shall be interpreted in accordance with, 12 U.S.C. § 1841(k). “Covered Entity”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“Default Right” has the meaning assigned to that term in, and shall be interpreted in accordance with, 12 C.F.R. §§ 252.81, 47.2 or 382.1, as applicable. “U.S. Special Resolution Regime” means each of (i) the Federal Deposit Insurance Act and the regulations promulgated thereunder and (ii) Title II of the Dodd-Frank Wall Street Reform and Consumer Protection Act and the regulations promulgated thereunder.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pacing w:after="0" w:line="276" w:lineRule="exact"/>
        <w:rPr>
          <w:sz w:val="20"/>
          <w:szCs w:val="20"/>
          <w:color w:val="auto"/>
        </w:rPr>
      </w:pPr>
    </w:p>
    <w:p>
      <w:pPr>
        <w:spacing w:after="0"/>
        <w:rPr>
          <w:sz w:val="20"/>
          <w:szCs w:val="20"/>
          <w:color w:val="auto"/>
        </w:rPr>
      </w:pPr>
      <w:r>
        <w:rPr>
          <w:rFonts w:ascii="Arial" w:cs="Arial" w:eastAsia="Arial" w:hAnsi="Arial"/>
          <w:sz w:val="14"/>
          <w:szCs w:val="14"/>
          <w:color w:val="auto"/>
        </w:rPr>
        <w:t>28117901.1.BUSINESS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157720" cy="4254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01" w:name="page102"/>
    <w:bookmarkEnd w:id="101"/>
    <w:p>
      <w:pPr>
        <w:jc w:val="both"/>
        <w:spacing w:after="0"/>
        <w:rPr>
          <w:sz w:val="20"/>
          <w:szCs w:val="20"/>
          <w:color w:val="auto"/>
        </w:rPr>
      </w:pPr>
      <w:r>
        <w:rPr>
          <w:rFonts w:ascii="Arial" w:cs="Arial" w:eastAsia="Arial" w:hAnsi="Arial"/>
          <w:sz w:val="22"/>
          <w:szCs w:val="22"/>
          <w:color w:val="auto"/>
        </w:rPr>
        <w:t>If the foregoing is in accordance with your understanding of our agreement, please sign and return to the Company a counterpart hereof, whereupon this instrument, along with all counterparts, will become a binding agreement among the Sales Agent, the Company, the Adviser and the Administrator in accordance with its terms.</w:t>
      </w:r>
    </w:p>
    <w:p>
      <w:pPr>
        <w:spacing w:after="0" w:line="186"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Very truly yours,</w:t>
      </w:r>
    </w:p>
    <w:p>
      <w:pPr>
        <w:spacing w:after="0" w:line="179"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PENNANTPARK FLOATING RATE CAPITAL LTD.</w:t>
      </w:r>
    </w:p>
    <w:p>
      <w:pPr>
        <w:spacing w:after="0" w:line="376"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By: /s/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2887345</wp:posOffset>
            </wp:positionH>
            <wp:positionV relativeFrom="paragraph">
              <wp:posOffset>-5715</wp:posOffset>
            </wp:positionV>
            <wp:extent cx="1097280" cy="825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4">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ind w:left="4580"/>
        <w:spacing w:after="0" w:line="204" w:lineRule="auto"/>
        <w:rPr>
          <w:sz w:val="20"/>
          <w:szCs w:val="20"/>
          <w:color w:val="auto"/>
        </w:rPr>
      </w:pPr>
      <w:r>
        <w:rPr>
          <w:rFonts w:ascii="Arial" w:cs="Arial" w:eastAsia="Arial" w:hAnsi="Arial"/>
          <w:sz w:val="22"/>
          <w:szCs w:val="22"/>
          <w:color w:val="auto"/>
        </w:rPr>
        <w:t>Name: Arthur H. Penn</w:t>
      </w:r>
    </w:p>
    <w:p>
      <w:pPr>
        <w:spacing w:after="0" w:line="1" w:lineRule="exact"/>
        <w:rPr>
          <w:sz w:val="20"/>
          <w:szCs w:val="20"/>
          <w:color w:val="auto"/>
        </w:rPr>
      </w:pPr>
    </w:p>
    <w:p>
      <w:pPr>
        <w:ind w:left="4580"/>
        <w:spacing w:after="0"/>
        <w:tabs>
          <w:tab w:leader="none" w:pos="52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Chief Executive Officer</w:t>
      </w:r>
    </w:p>
    <w:p>
      <w:pPr>
        <w:spacing w:after="0" w:line="215"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PENNANTPARK INVESTMENT ADVISERS, LLC</w:t>
      </w:r>
    </w:p>
    <w:p>
      <w:pPr>
        <w:spacing w:after="0" w:line="376"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By: /s/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2924810</wp:posOffset>
            </wp:positionH>
            <wp:positionV relativeFrom="paragraph">
              <wp:posOffset>-5715</wp:posOffset>
            </wp:positionV>
            <wp:extent cx="1059180" cy="825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5">
                      <a:extLst>
                        <a:ext uri="{28A0092B-C50C-407E-A947-70E740481C1C}"/>
                      </a:extLst>
                    </a:blip>
                    <a:srcRect/>
                    <a:stretch>
                      <a:fillRect/>
                    </a:stretch>
                  </pic:blipFill>
                  <pic:spPr bwMode="auto">
                    <a:xfrm>
                      <a:off x="0" y="0"/>
                      <a:ext cx="1059180" cy="8255"/>
                    </a:xfrm>
                    <a:prstGeom prst="rect">
                      <a:avLst/>
                    </a:prstGeom>
                    <a:noFill/>
                  </pic:spPr>
                </pic:pic>
              </a:graphicData>
            </a:graphic>
          </wp:anchor>
        </w:drawing>
      </w:r>
    </w:p>
    <w:p>
      <w:pPr>
        <w:ind w:left="4580"/>
        <w:spacing w:after="0" w:line="204" w:lineRule="auto"/>
        <w:rPr>
          <w:sz w:val="20"/>
          <w:szCs w:val="20"/>
          <w:color w:val="auto"/>
        </w:rPr>
      </w:pPr>
      <w:r>
        <w:rPr>
          <w:rFonts w:ascii="Arial" w:cs="Arial" w:eastAsia="Arial" w:hAnsi="Arial"/>
          <w:sz w:val="22"/>
          <w:szCs w:val="22"/>
          <w:color w:val="auto"/>
        </w:rPr>
        <w:t>Name: Arthur H. Penn</w:t>
      </w:r>
    </w:p>
    <w:p>
      <w:pPr>
        <w:spacing w:after="0" w:line="1" w:lineRule="exact"/>
        <w:rPr>
          <w:sz w:val="20"/>
          <w:szCs w:val="20"/>
          <w:color w:val="auto"/>
        </w:rPr>
      </w:pPr>
    </w:p>
    <w:p>
      <w:pPr>
        <w:ind w:left="4580"/>
        <w:spacing w:after="0"/>
        <w:tabs>
          <w:tab w:leader="none" w:pos="52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Managing Member</w:t>
      </w:r>
    </w:p>
    <w:p>
      <w:pPr>
        <w:spacing w:after="0" w:line="215"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PENNANTPARK INVESTMENT ADMINISTRATION, LLC</w:t>
      </w:r>
    </w:p>
    <w:p>
      <w:pPr>
        <w:spacing w:after="0" w:line="160"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By: /s/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2887345</wp:posOffset>
            </wp:positionH>
            <wp:positionV relativeFrom="paragraph">
              <wp:posOffset>-5715</wp:posOffset>
            </wp:positionV>
            <wp:extent cx="1097280" cy="825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6">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ind w:left="4580"/>
        <w:spacing w:after="0" w:line="204" w:lineRule="auto"/>
        <w:rPr>
          <w:sz w:val="20"/>
          <w:szCs w:val="20"/>
          <w:color w:val="auto"/>
        </w:rPr>
      </w:pPr>
      <w:r>
        <w:rPr>
          <w:rFonts w:ascii="Arial" w:cs="Arial" w:eastAsia="Arial" w:hAnsi="Arial"/>
          <w:sz w:val="22"/>
          <w:szCs w:val="22"/>
          <w:color w:val="auto"/>
        </w:rPr>
        <w:t>Name: Arthur H. Penn</w:t>
      </w:r>
    </w:p>
    <w:p>
      <w:pPr>
        <w:spacing w:after="0" w:line="1" w:lineRule="exact"/>
        <w:rPr>
          <w:sz w:val="20"/>
          <w:szCs w:val="20"/>
          <w:color w:val="auto"/>
        </w:rPr>
      </w:pPr>
    </w:p>
    <w:p>
      <w:pPr>
        <w:ind w:left="4580"/>
        <w:spacing w:after="0"/>
        <w:tabs>
          <w:tab w:leader="none" w:pos="52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Managing Member</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Sales Agreement – JMP]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02" w:name="page103"/>
    <w:bookmarkEnd w:id="102"/>
    <w:p>
      <w:pPr>
        <w:spacing w:after="0"/>
        <w:rPr>
          <w:sz w:val="20"/>
          <w:szCs w:val="20"/>
          <w:color w:val="auto"/>
        </w:rPr>
      </w:pPr>
      <w:r>
        <w:rPr>
          <w:rFonts w:ascii="Arial" w:cs="Arial" w:eastAsia="Arial" w:hAnsi="Arial"/>
          <w:sz w:val="22"/>
          <w:szCs w:val="22"/>
          <w:color w:val="auto"/>
        </w:rPr>
        <w:t>CONFIRMED AND ACCEPTED,</w:t>
      </w:r>
    </w:p>
    <w:p>
      <w:pPr>
        <w:spacing w:after="0" w:line="8" w:lineRule="exact"/>
        <w:rPr>
          <w:sz w:val="20"/>
          <w:szCs w:val="20"/>
          <w:color w:val="auto"/>
        </w:rPr>
      </w:pPr>
    </w:p>
    <w:p>
      <w:pPr>
        <w:ind w:left="540"/>
        <w:spacing w:after="0"/>
        <w:rPr>
          <w:sz w:val="20"/>
          <w:szCs w:val="20"/>
          <w:color w:val="auto"/>
        </w:rPr>
      </w:pPr>
      <w:r>
        <w:rPr>
          <w:rFonts w:ascii="Arial" w:cs="Arial" w:eastAsia="Arial" w:hAnsi="Arial"/>
          <w:sz w:val="22"/>
          <w:szCs w:val="22"/>
          <w:color w:val="auto"/>
        </w:rPr>
        <w:t>as of the date first above written:</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JMP SECURITIES LLC</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auto"/>
        </w:rPr>
        <w:t>By: /s/ Jonathan Dever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-17780</wp:posOffset>
            </wp:positionV>
            <wp:extent cx="1097280" cy="825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8">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ind w:left="760"/>
        <w:spacing w:after="0" w:line="238" w:lineRule="auto"/>
        <w:rPr>
          <w:sz w:val="20"/>
          <w:szCs w:val="20"/>
          <w:color w:val="auto"/>
        </w:rPr>
      </w:pPr>
      <w:r>
        <w:rPr>
          <w:rFonts w:ascii="Arial" w:cs="Arial" w:eastAsia="Arial" w:hAnsi="Arial"/>
          <w:sz w:val="22"/>
          <w:szCs w:val="22"/>
          <w:color w:val="auto"/>
        </w:rPr>
        <w:t>Name: Jonathan Dever</w:t>
      </w:r>
    </w:p>
    <w:p>
      <w:pPr>
        <w:ind w:left="760"/>
        <w:spacing w:after="0"/>
        <w:rPr>
          <w:sz w:val="20"/>
          <w:szCs w:val="20"/>
          <w:color w:val="auto"/>
        </w:rPr>
      </w:pPr>
      <w:r>
        <w:rPr>
          <w:rFonts w:ascii="Arial" w:cs="Arial" w:eastAsia="Arial" w:hAnsi="Arial"/>
          <w:sz w:val="22"/>
          <w:szCs w:val="22"/>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right"/>
        <w:ind w:right="2939"/>
        <w:spacing w:after="0"/>
        <w:rPr>
          <w:sz w:val="20"/>
          <w:szCs w:val="20"/>
          <w:color w:val="auto"/>
        </w:rPr>
      </w:pPr>
      <w:r>
        <w:rPr>
          <w:rFonts w:ascii="Arial" w:cs="Arial" w:eastAsia="Arial" w:hAnsi="Arial"/>
          <w:sz w:val="18"/>
          <w:szCs w:val="18"/>
          <w:color w:val="auto"/>
        </w:rPr>
        <w:t>[Signature Page to Sales Agreement – JMP]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103" w:name="page104"/>
    <w:bookmarkEnd w:id="103"/>
    <w:p>
      <w:pPr>
        <w:jc w:val="right"/>
        <w:ind w:right="2079"/>
        <w:spacing w:after="0"/>
        <w:rPr>
          <w:sz w:val="20"/>
          <w:szCs w:val="20"/>
          <w:color w:val="auto"/>
        </w:rPr>
      </w:pPr>
      <w:r>
        <w:rPr>
          <w:rFonts w:ascii="Arial" w:cs="Arial" w:eastAsia="Arial" w:hAnsi="Arial"/>
          <w:sz w:val="22"/>
          <w:szCs w:val="22"/>
          <w:b w:val="1"/>
          <w:bCs w:val="1"/>
          <w:u w:val="single" w:color="auto"/>
          <w:color w:val="auto"/>
        </w:rPr>
        <w:t>SCHEDULE SEQ SCHEDULE \* ALPHABETIC A</w:t>
      </w:r>
    </w:p>
    <w:p>
      <w:pPr>
        <w:spacing w:after="0" w:line="374" w:lineRule="exact"/>
        <w:rPr>
          <w:sz w:val="20"/>
          <w:szCs w:val="20"/>
          <w:color w:val="auto"/>
        </w:rPr>
      </w:pPr>
    </w:p>
    <w:p>
      <w:pPr>
        <w:spacing w:after="0"/>
        <w:rPr>
          <w:sz w:val="20"/>
          <w:szCs w:val="20"/>
          <w:color w:val="auto"/>
        </w:rPr>
      </w:pPr>
      <w:r>
        <w:rPr>
          <w:rFonts w:ascii="Arial" w:cs="Arial" w:eastAsia="Arial" w:hAnsi="Arial"/>
          <w:sz w:val="22"/>
          <w:szCs w:val="22"/>
          <w:color w:val="auto"/>
        </w:rPr>
        <w:t>Consolidated subsidiaries of the Company: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PennantPark Floating Rate Funding I, LLC</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PennantPark Floating Rate Funding II, LLC</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PennantPark CLO I, LLC</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PennantPark CLO I, Ltd.</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PennantPark CLO I Depositor, LLC</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PFLT Investment Holdings, LLC</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[Signature Page to Sales Agreement – JMP]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15" w:right="1440" w:bottom="1440" w:gutter="0" w:footer="0" w:header="0"/>
        </w:sectPr>
      </w:pPr>
    </w:p>
    <w:bookmarkStart w:id="104" w:name="page105"/>
    <w:bookmarkEnd w:id="104"/>
    <w:p>
      <w:pPr>
        <w:ind w:right="2079" w:firstLine="3179"/>
        <w:spacing w:after="0" w:line="419" w:lineRule="auto"/>
        <w:rPr>
          <w:sz w:val="20"/>
          <w:szCs w:val="20"/>
          <w:color w:val="auto"/>
        </w:rPr>
      </w:pPr>
      <w:r>
        <w:rPr>
          <w:rFonts w:ascii="Arial" w:cs="Arial" w:eastAsia="Arial" w:hAnsi="Arial"/>
          <w:sz w:val="22"/>
          <w:szCs w:val="22"/>
          <w:b w:val="1"/>
          <w:bCs w:val="1"/>
          <w:u w:val="single" w:color="auto"/>
          <w:color w:val="auto"/>
        </w:rPr>
        <w:t xml:space="preserve">SCHEDULE SEQ SCHEDULE \* ALPHABETIC B </w:t>
      </w:r>
      <w:r>
        <w:rPr>
          <w:rFonts w:ascii="Arial" w:cs="Arial" w:eastAsia="Arial" w:hAnsi="Arial"/>
          <w:sz w:val="22"/>
          <w:szCs w:val="22"/>
          <w:b w:val="1"/>
          <w:bCs w:val="1"/>
          <w:color w:val="auto"/>
        </w:rPr>
        <w:t>Company Authorized Representatives</w:t>
      </w:r>
    </w:p>
    <w:p>
      <w:pPr>
        <w:spacing w:after="0"/>
        <w:rPr>
          <w:sz w:val="20"/>
          <w:szCs w:val="20"/>
          <w:color w:val="auto"/>
        </w:rPr>
      </w:pPr>
      <w:r>
        <w:rPr>
          <w:rFonts w:ascii="Arial" w:cs="Arial" w:eastAsia="Arial" w:hAnsi="Arial"/>
          <w:sz w:val="22"/>
          <w:szCs w:val="22"/>
          <w:color w:val="auto"/>
        </w:rPr>
        <w:t>Arthur H. Penn</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Richard Cheung</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Sales Agent Authorized Representatives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Jonathan Dever</w:t>
      </w:r>
    </w:p>
    <w:p>
      <w:pPr>
        <w:spacing w:after="0" w:line="238" w:lineRule="auto"/>
        <w:rPr>
          <w:sz w:val="20"/>
          <w:szCs w:val="20"/>
          <w:color w:val="auto"/>
        </w:rPr>
      </w:pPr>
      <w:r>
        <w:rPr>
          <w:rFonts w:ascii="Arial" w:cs="Arial" w:eastAsia="Arial" w:hAnsi="Arial"/>
          <w:sz w:val="22"/>
          <w:szCs w:val="22"/>
          <w:color w:val="auto"/>
        </w:rPr>
        <w:t>Aidan Whitehead</w:t>
      </w:r>
    </w:p>
    <w:p>
      <w:pPr>
        <w:spacing w:after="0" w:line="230" w:lineRule="auto"/>
        <w:rPr>
          <w:sz w:val="20"/>
          <w:szCs w:val="20"/>
          <w:color w:val="auto"/>
        </w:rPr>
      </w:pPr>
      <w:r>
        <w:rPr>
          <w:rFonts w:ascii="Arial" w:cs="Arial" w:eastAsia="Arial" w:hAnsi="Arial"/>
          <w:sz w:val="22"/>
          <w:szCs w:val="22"/>
          <w:color w:val="auto"/>
        </w:rPr>
        <w:t>Walter Conroy</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JMP Compliance</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60"/>
        <w:spacing w:after="0"/>
        <w:rPr>
          <w:sz w:val="20"/>
          <w:szCs w:val="20"/>
          <w:color w:val="auto"/>
        </w:rPr>
      </w:pPr>
      <w:r>
        <w:rPr>
          <w:rFonts w:ascii="Arial" w:cs="Arial" w:eastAsia="Arial" w:hAnsi="Arial"/>
          <w:sz w:val="15"/>
          <w:szCs w:val="15"/>
          <w:color w:val="auto"/>
        </w:rPr>
        <w:t>IF "1" = "1" "125213972v2" "" 125213972v2</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28117901.1.BUSINESS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157720" cy="4254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15" w:right="1440" w:bottom="1440" w:gutter="0" w:footer="0" w:header="0"/>
        </w:sectPr>
      </w:pPr>
    </w:p>
    <w:bookmarkStart w:id="105" w:name="page106"/>
    <w:bookmarkEnd w:id="105"/>
    <w:p>
      <w:pPr>
        <w:jc w:val="right"/>
        <w:spacing w:after="0"/>
        <w:rPr>
          <w:sz w:val="20"/>
          <w:szCs w:val="20"/>
          <w:color w:val="auto"/>
        </w:rPr>
      </w:pPr>
      <w:r>
        <w:rPr>
          <w:rFonts w:ascii="Arial" w:cs="Arial" w:eastAsia="Arial" w:hAnsi="Arial"/>
          <w:sz w:val="22"/>
          <w:szCs w:val="22"/>
          <w:b w:val="1"/>
          <w:bCs w:val="1"/>
          <w:color w:val="auto"/>
        </w:rPr>
        <w:t>Execution Version</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22"/>
          <w:szCs w:val="22"/>
          <w:b w:val="1"/>
          <w:bCs w:val="1"/>
          <w:u w:val="single" w:color="auto"/>
          <w:color w:val="auto"/>
        </w:rPr>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132320" cy="825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2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801370</wp:posOffset>
            </wp:positionV>
            <wp:extent cx="7132320" cy="825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PENNANTPARK FLOATING RATE CAPITAL LTD.</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 Maryland corporation)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Common Stock, Par Value $0.001 Per Share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EQUITY DISTRIBUTION AGREEMENT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Dated: August 20,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1353185</wp:posOffset>
            </wp:positionV>
            <wp:extent cx="7132320" cy="825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60"/>
        <w:spacing w:after="0"/>
        <w:rPr>
          <w:sz w:val="20"/>
          <w:szCs w:val="20"/>
          <w:color w:val="auto"/>
        </w:rPr>
      </w:pPr>
      <w:r>
        <w:rPr>
          <w:rFonts w:ascii="Arial" w:cs="Arial" w:eastAsia="Arial" w:hAnsi="Arial"/>
          <w:sz w:val="15"/>
          <w:szCs w:val="15"/>
          <w:color w:val="auto"/>
        </w:rPr>
        <w:t>IF "1" = "1" "125213972v2" "" 125213972v2</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28117909.1.BUSINESS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157720" cy="4254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06" w:name="page107"/>
    <w:bookmarkEnd w:id="106"/>
    <w:p>
      <w:pPr>
        <w:jc w:val="right"/>
        <w:spacing w:after="0"/>
        <w:rPr>
          <w:sz w:val="20"/>
          <w:szCs w:val="20"/>
          <w:color w:val="auto"/>
        </w:rPr>
      </w:pPr>
      <w:r>
        <w:rPr>
          <w:rFonts w:ascii="Arial" w:cs="Arial" w:eastAsia="Arial" w:hAnsi="Arial"/>
          <w:sz w:val="22"/>
          <w:szCs w:val="22"/>
          <w:b w:val="1"/>
          <w:bCs w:val="1"/>
          <w:color w:val="auto"/>
        </w:rPr>
        <w:t>Execution Version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PENNANTPARK FLOATING RATE CAPITAL LTD.</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 Maryland corporation)</w:t>
      </w:r>
    </w:p>
    <w:p>
      <w:pPr>
        <w:spacing w:after="0" w:line="233" w:lineRule="exact"/>
        <w:rPr>
          <w:sz w:val="20"/>
          <w:szCs w:val="20"/>
          <w:color w:val="auto"/>
        </w:rPr>
      </w:pPr>
    </w:p>
    <w:p>
      <w:pPr>
        <w:ind w:left="3720"/>
        <w:spacing w:after="0"/>
        <w:rPr>
          <w:sz w:val="20"/>
          <w:szCs w:val="20"/>
          <w:color w:val="auto"/>
        </w:rPr>
      </w:pPr>
      <w:r>
        <w:rPr>
          <w:rFonts w:ascii="Arial" w:cs="Arial" w:eastAsia="Arial" w:hAnsi="Arial"/>
          <w:sz w:val="22"/>
          <w:szCs w:val="22"/>
          <w:color w:val="auto"/>
        </w:rPr>
        <w:t>Common Stock, Par Value $0.001 Per Share</w:t>
      </w:r>
    </w:p>
    <w:p>
      <w:pPr>
        <w:spacing w:after="0" w:line="8" w:lineRule="exact"/>
        <w:rPr>
          <w:sz w:val="20"/>
          <w:szCs w:val="20"/>
          <w:color w:val="auto"/>
        </w:rPr>
      </w:pPr>
    </w:p>
    <w:p>
      <w:pPr>
        <w:ind w:left="3740"/>
        <w:spacing w:after="0"/>
        <w:rPr>
          <w:sz w:val="20"/>
          <w:szCs w:val="20"/>
          <w:color w:val="auto"/>
        </w:rPr>
      </w:pPr>
      <w:r>
        <w:rPr>
          <w:rFonts w:ascii="Arial" w:cs="Arial" w:eastAsia="Arial" w:hAnsi="Arial"/>
          <w:sz w:val="22"/>
          <w:szCs w:val="22"/>
          <w:color w:val="auto"/>
        </w:rPr>
        <w:t>EQUITY DISTRIBUTION AGREEMENT</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Raymond James &amp; Associates, Inc.</w:t>
      </w:r>
    </w:p>
    <w:p>
      <w:pPr>
        <w:spacing w:after="0" w:line="238" w:lineRule="auto"/>
        <w:rPr>
          <w:sz w:val="20"/>
          <w:szCs w:val="20"/>
          <w:color w:val="auto"/>
        </w:rPr>
      </w:pPr>
      <w:r>
        <w:rPr>
          <w:rFonts w:ascii="Arial" w:cs="Arial" w:eastAsia="Arial" w:hAnsi="Arial"/>
          <w:sz w:val="22"/>
          <w:szCs w:val="22"/>
          <w:color w:val="auto"/>
        </w:rPr>
        <w:t>880 Carillon Parkway|</w:t>
      </w:r>
    </w:p>
    <w:p>
      <w:pPr>
        <w:spacing w:after="0"/>
        <w:rPr>
          <w:sz w:val="20"/>
          <w:szCs w:val="20"/>
          <w:color w:val="auto"/>
        </w:rPr>
      </w:pPr>
      <w:r>
        <w:rPr>
          <w:rFonts w:ascii="Arial" w:cs="Arial" w:eastAsia="Arial" w:hAnsi="Arial"/>
          <w:sz w:val="22"/>
          <w:szCs w:val="22"/>
          <w:color w:val="auto"/>
        </w:rPr>
        <w:t>St. Petersburg, Florida 33716</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06"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PennantPark Floating Rate Capital Ltd., a Maryland corporation (the “Company”), PennantPark Investment Advisers, LLC, a Delaware limited liability company (the “Adviser”) and PennantPark Investment Administration, LLC, a Delaware limited liability company (the “Administrator”), each confirms its agreement with Raymond James &amp; Associates, Inc. (the “Sales Agent”) with respect to the sale by the Company of shares of common stock, par value $0.001 per share, of the Company (“Common Stock”), having an aggregate offering price of up to $75 million. The shares of Common Stock to be sold by the Sales Agent are herein called, collectively, the “Securities.” The Company, the Adviser and the Administrator have also entered into a sales agreement in substantially similar form to this Agreement (the “Sales Agreement”), dated of even date herewith, with JMP Securities LLC (the “Other Agent”). The aggregate amount of Securities that may be sold collectively pursuant to this Agreement and the Sales Agreement shall not exceed the lesser of $75 million and the dollar amount of Securities permitted to be sold under the Registration Statement (as defined below).</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The Company has filed with the Securities and Exchange Commission (the “Commission”) a shelf registration statement on Form N-2 (File No. 333-235532), relating to the registration of the Securities and certain of the Company’s other securities under the Securities Act of 1933, as amended (the “1933 Act”), which registration statement was most declared effective by the Commission on January 29, 2020. The Company has also filed with the Commission a prospectus supplement, dated the date hereof, as such prospectus supplement may be amended (the “Prospectus”), which contains a base prospectus, dated January 29, 2020, in accordance with the provisions of Rule 430B (“Rule 430B”) of the rules and regulations of the Commission promulgated under the 1933 Act (such provisions, the “1933 Act Regulations”) and Rule 424(b) (“Rule 424(b)”) of the 1933 Act Regulations. The information, if any, included or incorporated by reference in such prospectus that was omitted from such registration statement at the time it became effective but that is deemed to be a part of such registration statement pursuant to Rule 430B is referred to as “Rule 430B Information.” Unless the context otherwise requires, such registration statement, including all documents filed as part thereof and any Rule 430B Information contained in a prospectus subsequently filed with the Commission pursuant to Rule 424(b) under the 1933 Act and deemed to be part of the registration statement and also including any registration statement filed pursuant to Rule 462(b) of the 1933 Act Regulations, is herein called the “Registration Statement.” All references in this Agreement to amendments or supplements to the Registration Statement or the Prospectus, including those made pursuant to Rule 424(b) under the</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4"/>
          <w:szCs w:val="14"/>
          <w:color w:val="auto"/>
        </w:rPr>
        <w:t>28117909.1.BUSINESS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157720" cy="4254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07" w:name="page108"/>
    <w:bookmarkEnd w:id="107"/>
    <w:p>
      <w:pPr>
        <w:jc w:val="both"/>
        <w:spacing w:after="0" w:line="234" w:lineRule="auto"/>
        <w:rPr>
          <w:sz w:val="20"/>
          <w:szCs w:val="20"/>
          <w:color w:val="auto"/>
        </w:rPr>
      </w:pPr>
      <w:r>
        <w:rPr>
          <w:rFonts w:ascii="Arial" w:cs="Arial" w:eastAsia="Arial" w:hAnsi="Arial"/>
          <w:sz w:val="22"/>
          <w:szCs w:val="22"/>
          <w:color w:val="auto"/>
        </w:rPr>
        <w:t>1933 Act or such other rule under the 1933 Act as may be applicable to the Company, shall be deemed to mean and include, without limitation the filing of any document under the Securities Exchange Act of 1934, as amended (the “1934 Act”), which is or is deemed to be incorporated by reference in or otherwise to be a part of or included in the Registration Statement or the Prospectus, as the case may be, as of any specified date. For purposes of this Agreement, all references to the Registration Statement, the Prospectus or any amendment or supplement to any of the foregoing shall be deemed to include the copy filed with the Commission pursuant to its Electronic Data Gathering, Analysis and Retrieval system or any successor system (“EDGAR”).</w:t>
      </w:r>
    </w:p>
    <w:p>
      <w:pPr>
        <w:spacing w:after="0" w:line="191" w:lineRule="exact"/>
        <w:rPr>
          <w:sz w:val="20"/>
          <w:szCs w:val="20"/>
          <w:color w:val="auto"/>
        </w:rPr>
      </w:pPr>
    </w:p>
    <w:p>
      <w:pPr>
        <w:jc w:val="both"/>
        <w:ind w:right="20"/>
        <w:spacing w:after="0" w:line="252" w:lineRule="auto"/>
        <w:rPr>
          <w:sz w:val="20"/>
          <w:szCs w:val="20"/>
          <w:color w:val="auto"/>
        </w:rPr>
      </w:pPr>
      <w:r>
        <w:rPr>
          <w:rFonts w:ascii="Arial" w:cs="Arial" w:eastAsia="Arial" w:hAnsi="Arial"/>
          <w:sz w:val="21"/>
          <w:szCs w:val="21"/>
          <w:color w:val="auto"/>
        </w:rPr>
        <w:t>A Form N-54A Notification of Election to be Subject to Sections 55 through 65 of the Investment Company Act of 1940 Filed Pursuant to Section 54(a) of the Investment Company Act (File No. 814-00743) was filed with the Commission on April 7, 2011 under the Investment Company Act of 1940, as amended (the “1940 Act”), and the rules and regulations and any applicable guidance and/or interpretation of the Commission or its staff thereunder (the “1940 Act Regulations”).</w:t>
      </w:r>
    </w:p>
    <w:p>
      <w:pPr>
        <w:spacing w:after="0" w:line="174"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The Company has entered into that certain Second Amended and Restated Investment Advisory Agreement, dated as of February 2, 2016 (the “Investment Management Agreement”), with the Adviser. The Company has entered into that certain Administration Agreement, dated as of April 7, 2011 (the “Administration Agreement”), with the Administrator.</w:t>
      </w:r>
    </w:p>
    <w:p>
      <w:pPr>
        <w:spacing w:after="0" w:line="169"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As used in this Agreement, “Applicable Time” means the time of each sale of the applicable Securities pursuant to this Agreement.</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SECTION 1.</w:t>
      </w:r>
      <w:r>
        <w:rPr>
          <w:rFonts w:ascii="Arial" w:cs="Arial" w:eastAsia="Arial" w:hAnsi="Arial"/>
          <w:sz w:val="22"/>
          <w:szCs w:val="22"/>
          <w:u w:val="single" w:color="auto"/>
          <w:color w:val="auto"/>
        </w:rPr>
        <w:t>Representations and Warranties</w:t>
      </w:r>
      <w:r>
        <w:rPr>
          <w:rFonts w:ascii="Arial" w:cs="Arial" w:eastAsia="Arial" w:hAnsi="Arial"/>
          <w:sz w:val="22"/>
          <w:szCs w:val="22"/>
          <w:color w:val="auto"/>
        </w:rPr>
        <w:t>.</w:t>
      </w:r>
    </w:p>
    <w:p>
      <w:pPr>
        <w:spacing w:after="0" w:line="206" w:lineRule="exact"/>
        <w:rPr>
          <w:sz w:val="20"/>
          <w:szCs w:val="20"/>
          <w:color w:val="auto"/>
        </w:rPr>
      </w:pPr>
    </w:p>
    <w:p>
      <w:pPr>
        <w:jc w:val="both"/>
        <w:ind w:firstLine="1497"/>
        <w:spacing w:after="0" w:line="236" w:lineRule="auto"/>
        <w:rPr>
          <w:sz w:val="20"/>
          <w:szCs w:val="20"/>
          <w:color w:val="auto"/>
        </w:rPr>
      </w:pPr>
      <w:r>
        <w:rPr>
          <w:rFonts w:ascii="Arial" w:cs="Arial" w:eastAsia="Arial" w:hAnsi="Arial"/>
          <w:sz w:val="22"/>
          <w:szCs w:val="22"/>
          <w:color w:val="auto"/>
        </w:rPr>
        <w:t xml:space="preserve">(a) </w:t>
      </w:r>
      <w:r>
        <w:rPr>
          <w:rFonts w:ascii="Arial" w:cs="Arial" w:eastAsia="Arial" w:hAnsi="Arial"/>
          <w:sz w:val="22"/>
          <w:szCs w:val="22"/>
          <w:i w:val="1"/>
          <w:iCs w:val="1"/>
          <w:color w:val="auto"/>
        </w:rPr>
        <w:t>Representations and Warranties by the Company</w:t>
      </w:r>
      <w:r>
        <w:rPr>
          <w:rFonts w:ascii="Arial" w:cs="Arial" w:eastAsia="Arial" w:hAnsi="Arial"/>
          <w:sz w:val="22"/>
          <w:szCs w:val="22"/>
          <w:color w:val="auto"/>
        </w:rPr>
        <w:t>. The Company represents and warrants to the Sales Agent as of the date hereof, the Applicable Time, each Representation Date (as defined below) and any Date of Delivery (as defined below) and agrees with the Sales Agent, and the Adviser and the Administrator, jointly and severally, represent and warrant to and agree with the Sales Agent as of the date hereof, the Applicable Time, each Representation Date (as defined below) and any Date of Delivery Time (as defined below), as follows:</w:t>
      </w:r>
    </w:p>
    <w:p>
      <w:pPr>
        <w:spacing w:after="0" w:line="187" w:lineRule="exact"/>
        <w:rPr>
          <w:sz w:val="20"/>
          <w:szCs w:val="20"/>
          <w:color w:val="auto"/>
        </w:rPr>
      </w:pPr>
    </w:p>
    <w:p>
      <w:pPr>
        <w:jc w:val="both"/>
        <w:ind w:left="760" w:firstLine="1497"/>
        <w:spacing w:after="0" w:line="234" w:lineRule="auto"/>
        <w:rPr>
          <w:sz w:val="20"/>
          <w:szCs w:val="20"/>
          <w:color w:val="auto"/>
        </w:rPr>
      </w:pPr>
      <w:r>
        <w:rPr>
          <w:rFonts w:ascii="Arial" w:cs="Arial" w:eastAsia="Arial" w:hAnsi="Arial"/>
          <w:sz w:val="22"/>
          <w:szCs w:val="22"/>
          <w:color w:val="auto"/>
        </w:rPr>
        <w:t xml:space="preserve">(i) </w:t>
      </w:r>
      <w:r>
        <w:rPr>
          <w:rFonts w:ascii="Arial" w:cs="Arial" w:eastAsia="Arial" w:hAnsi="Arial"/>
          <w:sz w:val="22"/>
          <w:szCs w:val="22"/>
          <w:u w:val="single" w:color="auto"/>
          <w:color w:val="auto"/>
        </w:rPr>
        <w:t>Registration Statement and Prospectuses</w:t>
      </w:r>
      <w:r>
        <w:rPr>
          <w:rFonts w:ascii="Arial" w:cs="Arial" w:eastAsia="Arial" w:hAnsi="Arial"/>
          <w:sz w:val="22"/>
          <w:szCs w:val="22"/>
          <w:color w:val="auto"/>
        </w:rPr>
        <w:t>. The Company is eligible to use Form N-2. Each of the Registration Statement and any amendment thereto have been declared effective by the Commission under the 1933 Act or have become effective pursuant to Rule 462 under the 1933 Act. No stop order suspending the effectiveness of the Registration Statement or any post-effective amendment thereto has been issued under the 1933 Act, no order preventing or suspending the use of the Prospectus has been issued and no proceedings for any of those purposes have been instituted or are pending or, to the Company’s knowledge, contemplated. The Company has complied with each request (if any) from the Commission for additional information in connection with the Registration Statement.</w:t>
      </w:r>
    </w:p>
    <w:p>
      <w:pPr>
        <w:spacing w:after="0" w:line="187" w:lineRule="exact"/>
        <w:rPr>
          <w:sz w:val="20"/>
          <w:szCs w:val="20"/>
          <w:color w:val="auto"/>
        </w:rPr>
      </w:pPr>
    </w:p>
    <w:p>
      <w:pPr>
        <w:jc w:val="both"/>
        <w:ind w:left="760"/>
        <w:spacing w:after="0" w:line="297" w:lineRule="auto"/>
        <w:rPr>
          <w:sz w:val="20"/>
          <w:szCs w:val="20"/>
          <w:color w:val="auto"/>
        </w:rPr>
      </w:pPr>
      <w:r>
        <w:rPr>
          <w:rFonts w:ascii="Arial" w:cs="Arial" w:eastAsia="Arial" w:hAnsi="Arial"/>
          <w:sz w:val="19"/>
          <w:szCs w:val="19"/>
          <w:color w:val="auto"/>
        </w:rPr>
        <w:t>Each of the Registration Statement and any post-effective amendment thereto, at the time it became effective, complied in all material respects with the requirements of the 1933 Act, the 1933 Act Regulations, the 1940 Act and the 1940 Act Regulations. The Prospectus and any amendment or supplement thereto, at the time each was filed with the Commission,</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76" w:lineRule="exact"/>
        <w:rPr>
          <w:sz w:val="20"/>
          <w:szCs w:val="20"/>
          <w:color w:val="auto"/>
        </w:rPr>
      </w:pPr>
    </w:p>
    <w:p>
      <w:pPr>
        <w:spacing w:after="0"/>
        <w:rPr>
          <w:sz w:val="20"/>
          <w:szCs w:val="20"/>
          <w:color w:val="auto"/>
        </w:rPr>
      </w:pPr>
      <w:r>
        <w:rPr>
          <w:rFonts w:ascii="Arial" w:cs="Arial" w:eastAsia="Arial" w:hAnsi="Arial"/>
          <w:sz w:val="14"/>
          <w:szCs w:val="14"/>
          <w:color w:val="auto"/>
        </w:rPr>
        <w:t>28117909.1.BUSINESS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157720" cy="4254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08" w:name="page109"/>
    <w:bookmarkEnd w:id="108"/>
    <w:p>
      <w:pPr>
        <w:jc w:val="both"/>
        <w:ind w:left="760"/>
        <w:spacing w:after="0" w:line="238" w:lineRule="auto"/>
        <w:rPr>
          <w:sz w:val="20"/>
          <w:szCs w:val="20"/>
          <w:color w:val="auto"/>
        </w:rPr>
      </w:pPr>
      <w:r>
        <w:rPr>
          <w:rFonts w:ascii="Arial" w:cs="Arial" w:eastAsia="Arial" w:hAnsi="Arial"/>
          <w:sz w:val="22"/>
          <w:szCs w:val="22"/>
          <w:color w:val="auto"/>
        </w:rPr>
        <w:t>complied in all material respects with the requirements of the 1933 Act, the 1933 Act Regulations, the 1940 Act and the 1940 Act Regulations. The Prospectus delivered to the Sales Agent for use in connection with this offering was or will be identical to the electronically transmitted copies thereof filed with the Commission pursuant to EDGAR, except to the extent permitted by Regulation S-T.</w:t>
      </w:r>
    </w:p>
    <w:p>
      <w:pPr>
        <w:spacing w:after="0" w:line="185" w:lineRule="exact"/>
        <w:rPr>
          <w:sz w:val="20"/>
          <w:szCs w:val="20"/>
          <w:color w:val="auto"/>
        </w:rPr>
      </w:pPr>
    </w:p>
    <w:p>
      <w:pPr>
        <w:jc w:val="both"/>
        <w:ind w:left="760" w:firstLine="1494"/>
        <w:spacing w:after="0" w:line="268" w:lineRule="auto"/>
        <w:tabs>
          <w:tab w:leader="none" w:pos="3755" w:val="left"/>
        </w:tabs>
        <w:numPr>
          <w:ilvl w:val="1"/>
          <w:numId w:val="68"/>
        </w:numPr>
        <w:rPr>
          <w:rFonts w:ascii="Arial" w:cs="Arial" w:eastAsia="Arial" w:hAnsi="Arial"/>
          <w:sz w:val="19"/>
          <w:szCs w:val="19"/>
          <w:color w:val="auto"/>
        </w:rPr>
      </w:pPr>
      <w:r>
        <w:rPr>
          <w:rFonts w:ascii="Arial" w:cs="Arial" w:eastAsia="Arial" w:hAnsi="Arial"/>
          <w:sz w:val="19"/>
          <w:szCs w:val="19"/>
          <w:u w:val="single" w:color="auto"/>
          <w:color w:val="auto"/>
        </w:rPr>
        <w:t>Issuer Free Writing Prospectus</w:t>
      </w:r>
      <w:r>
        <w:rPr>
          <w:rFonts w:ascii="Arial" w:cs="Arial" w:eastAsia="Arial" w:hAnsi="Arial"/>
          <w:sz w:val="19"/>
          <w:szCs w:val="19"/>
          <w:color w:val="auto"/>
        </w:rPr>
        <w:t>. The Company (including its agents and representatives, other than the Sales Agent in its capacity as such) has not made, used, prepared, authorized, approved or referred to and will not prepare, make, use, authorize, approve or refer to any “written communication” (as defined in Rule 405 under the 1933 Act) that constitutes an offer to sell or solicitation of an offer to buy the Securities (each such communication by the Company or its agents and representatives (other than a communication referred to in clauses (i), (ii), (iii) and (iv) below) an “Issuer Free Writing Prospectus”) other than (i) any document not constituting a prospectus pursuant to Section 2(a)(10)(a) of the 1933 Act or Rule 134 under the 1933 Act, (ii) the Registration Statement, (iii) the Prospectus, and (iv) any electronic road show or other written communications, in each case approved in writing in advance by the Sales Agent, such approval not to be unreasonably withheld. Each such Issuer Free Writing Prospectus, if any, complies in all material respects with the 1933 Act, has been or will be (within the time period specified in Rule</w:t>
      </w:r>
    </w:p>
    <w:p>
      <w:pPr>
        <w:spacing w:after="0" w:line="8" w:lineRule="exact"/>
        <w:rPr>
          <w:rFonts w:ascii="Arial" w:cs="Arial" w:eastAsia="Arial" w:hAnsi="Arial"/>
          <w:sz w:val="19"/>
          <w:szCs w:val="19"/>
          <w:color w:val="auto"/>
        </w:rPr>
      </w:pPr>
    </w:p>
    <w:p>
      <w:pPr>
        <w:jc w:val="both"/>
        <w:ind w:left="760" w:firstLine="51"/>
        <w:spacing w:after="0" w:line="234" w:lineRule="auto"/>
        <w:tabs>
          <w:tab w:leader="none" w:pos="1269" w:val="left"/>
        </w:tabs>
        <w:numPr>
          <w:ilvl w:val="0"/>
          <w:numId w:val="69"/>
        </w:numPr>
        <w:rPr>
          <w:rFonts w:ascii="Arial" w:cs="Arial" w:eastAsia="Arial" w:hAnsi="Arial"/>
          <w:sz w:val="22"/>
          <w:szCs w:val="22"/>
          <w:color w:val="auto"/>
        </w:rPr>
      </w:pPr>
      <w:r>
        <w:rPr>
          <w:rFonts w:ascii="Arial" w:cs="Arial" w:eastAsia="Arial" w:hAnsi="Arial"/>
          <w:sz w:val="22"/>
          <w:szCs w:val="22"/>
          <w:color w:val="auto"/>
        </w:rPr>
        <w:t>filed in accordance with the 1933 Act (to the extent required thereby). No Issuer Free Writing Prospectus conflicts or will conflict with the information contained in the Registration Statement or the Prospectus that has not been superseded or modified.</w:t>
      </w:r>
    </w:p>
    <w:p>
      <w:pPr>
        <w:spacing w:after="0" w:line="187" w:lineRule="exact"/>
        <w:rPr>
          <w:rFonts w:ascii="Arial" w:cs="Arial" w:eastAsia="Arial" w:hAnsi="Arial"/>
          <w:sz w:val="22"/>
          <w:szCs w:val="22"/>
          <w:color w:val="auto"/>
        </w:rPr>
      </w:pPr>
    </w:p>
    <w:p>
      <w:pPr>
        <w:jc w:val="both"/>
        <w:ind w:left="760" w:firstLine="1494"/>
        <w:spacing w:after="0" w:line="297" w:lineRule="auto"/>
        <w:tabs>
          <w:tab w:leader="none" w:pos="3755" w:val="left"/>
        </w:tabs>
        <w:numPr>
          <w:ilvl w:val="1"/>
          <w:numId w:val="69"/>
        </w:numPr>
        <w:rPr>
          <w:rFonts w:ascii="Arial" w:cs="Arial" w:eastAsia="Arial" w:hAnsi="Arial"/>
          <w:sz w:val="19"/>
          <w:szCs w:val="19"/>
          <w:color w:val="auto"/>
        </w:rPr>
      </w:pPr>
      <w:r>
        <w:rPr>
          <w:rFonts w:ascii="Arial" w:cs="Arial" w:eastAsia="Arial" w:hAnsi="Arial"/>
          <w:sz w:val="19"/>
          <w:szCs w:val="19"/>
          <w:u w:val="single" w:color="auto"/>
          <w:color w:val="auto"/>
        </w:rPr>
        <w:t>Documents Incorporated by Reference</w:t>
      </w:r>
      <w:r>
        <w:rPr>
          <w:rFonts w:ascii="Arial" w:cs="Arial" w:eastAsia="Arial" w:hAnsi="Arial"/>
          <w:sz w:val="19"/>
          <w:szCs w:val="19"/>
          <w:color w:val="auto"/>
        </w:rPr>
        <w:t>. The documents incorporated by reference in each of the Registration Statement, the Prospectus, when they were filed or when they will be filed with the Commission, as the case may be, conformed or will conform in all material respects to the requirements of the 1934 Act.</w:t>
      </w:r>
    </w:p>
    <w:p>
      <w:pPr>
        <w:spacing w:after="0" w:line="133" w:lineRule="exact"/>
        <w:rPr>
          <w:rFonts w:ascii="Arial" w:cs="Arial" w:eastAsia="Arial" w:hAnsi="Arial"/>
          <w:sz w:val="19"/>
          <w:szCs w:val="19"/>
          <w:color w:val="auto"/>
        </w:rPr>
      </w:pPr>
    </w:p>
    <w:p>
      <w:pPr>
        <w:jc w:val="both"/>
        <w:ind w:left="760" w:firstLine="1494"/>
        <w:spacing w:after="0" w:line="234" w:lineRule="auto"/>
        <w:tabs>
          <w:tab w:leader="none" w:pos="3755" w:val="left"/>
        </w:tabs>
        <w:numPr>
          <w:ilvl w:val="1"/>
          <w:numId w:val="69"/>
        </w:numPr>
        <w:rPr>
          <w:rFonts w:ascii="Arial" w:cs="Arial" w:eastAsia="Arial" w:hAnsi="Arial"/>
          <w:sz w:val="22"/>
          <w:szCs w:val="22"/>
          <w:color w:val="auto"/>
        </w:rPr>
      </w:pPr>
      <w:r>
        <w:rPr>
          <w:rFonts w:ascii="Arial" w:cs="Arial" w:eastAsia="Arial" w:hAnsi="Arial"/>
          <w:sz w:val="22"/>
          <w:szCs w:val="22"/>
          <w:u w:val="single" w:color="auto"/>
          <w:color w:val="auto"/>
        </w:rPr>
        <w:t>Accurate Disclosure</w:t>
      </w:r>
      <w:r>
        <w:rPr>
          <w:rFonts w:ascii="Arial" w:cs="Arial" w:eastAsia="Arial" w:hAnsi="Arial"/>
          <w:sz w:val="22"/>
          <w:szCs w:val="22"/>
          <w:color w:val="auto"/>
        </w:rPr>
        <w:t>. Neither the Registration Statement nor any amendment thereto, at its effective time, at the Applicable Time or at any Date of Delivery, contained, contains or will contain an untrue statement of a material fact or omitted, omits or will omit to state a material fact required to be stated therein or necessary to make the statements therein, not misleading. Neither the Prospectus nor any amendment or supplement thereto, as of their respective date(s), at the time of any filing with the Commission pursuant to Rule 424(b) or at any Date of Delivery, included, includes or will include an untrue statement of a material fact or omitted, omits or will omit to state a material fact necessary in order to make the statements therein, in the light of the circumstances under which they were made, not misleading.</w:t>
      </w:r>
    </w:p>
    <w:p>
      <w:pPr>
        <w:spacing w:after="0" w:line="187" w:lineRule="exact"/>
        <w:rPr>
          <w:sz w:val="20"/>
          <w:szCs w:val="20"/>
          <w:color w:val="auto"/>
        </w:rPr>
      </w:pPr>
    </w:p>
    <w:p>
      <w:pPr>
        <w:jc w:val="both"/>
        <w:ind w:left="760"/>
        <w:spacing w:after="0" w:line="249" w:lineRule="auto"/>
        <w:rPr>
          <w:sz w:val="20"/>
          <w:szCs w:val="20"/>
          <w:color w:val="auto"/>
        </w:rPr>
      </w:pPr>
      <w:r>
        <w:rPr>
          <w:rFonts w:ascii="Arial" w:cs="Arial" w:eastAsia="Arial" w:hAnsi="Arial"/>
          <w:sz w:val="21"/>
          <w:szCs w:val="21"/>
          <w:color w:val="auto"/>
        </w:rPr>
        <w:t>The representations and warranties in this subsection shall not apply to statements in or omissions from the Registration Statement (or any amendment thereto) or the Prospectus (or any amendment or supplement thereto) made in reliance upon and in conformity with written information furnished to the Company by the Sales Agent expressly for use therein (collectively, the “Sales Agent Information”). For purposes of this Agreement, the only Sales Agent Information shall be the final paragraph of the “Plan of Distribution” in the Prospectus.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76" w:lineRule="exact"/>
        <w:rPr>
          <w:sz w:val="20"/>
          <w:szCs w:val="20"/>
          <w:color w:val="auto"/>
        </w:rPr>
      </w:pPr>
    </w:p>
    <w:p>
      <w:pPr>
        <w:spacing w:after="0"/>
        <w:rPr>
          <w:sz w:val="20"/>
          <w:szCs w:val="20"/>
          <w:color w:val="auto"/>
        </w:rPr>
      </w:pPr>
      <w:r>
        <w:rPr>
          <w:rFonts w:ascii="Arial" w:cs="Arial" w:eastAsia="Arial" w:hAnsi="Arial"/>
          <w:sz w:val="14"/>
          <w:szCs w:val="14"/>
          <w:color w:val="auto"/>
        </w:rPr>
        <w:t>28117909.1.BUSINESS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157720" cy="4254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09" w:name="page110"/>
    <w:bookmarkEnd w:id="109"/>
    <w:p>
      <w:pPr>
        <w:jc w:val="both"/>
        <w:ind w:left="760" w:firstLine="1494"/>
        <w:spacing w:after="0" w:line="235" w:lineRule="auto"/>
        <w:tabs>
          <w:tab w:leader="none" w:pos="3755" w:val="left"/>
        </w:tabs>
        <w:numPr>
          <w:ilvl w:val="0"/>
          <w:numId w:val="70"/>
        </w:numPr>
        <w:rPr>
          <w:rFonts w:ascii="Arial" w:cs="Arial" w:eastAsia="Arial" w:hAnsi="Arial"/>
          <w:sz w:val="22"/>
          <w:szCs w:val="22"/>
          <w:color w:val="auto"/>
        </w:rPr>
      </w:pPr>
      <w:r>
        <w:rPr>
          <w:rFonts w:ascii="Arial" w:cs="Arial" w:eastAsia="Arial" w:hAnsi="Arial"/>
          <w:sz w:val="22"/>
          <w:szCs w:val="22"/>
          <w:u w:val="single" w:color="auto"/>
          <w:color w:val="auto"/>
        </w:rPr>
        <w:t>Company Not Ineligible Issuer</w:t>
      </w:r>
      <w:r>
        <w:rPr>
          <w:rFonts w:ascii="Arial" w:cs="Arial" w:eastAsia="Arial" w:hAnsi="Arial"/>
          <w:sz w:val="22"/>
          <w:szCs w:val="22"/>
          <w:color w:val="auto"/>
        </w:rPr>
        <w:t>. At the time of filing the Registration Statement and any post-effective amendment thereto, at the earliest time thereafter that the Company or another offering participant made a bona fide offer (within the meaning of Rule 164(h)(2) of the 1933 Act Regulations) of the Securities and at the date hereof, the Company was not and is not an “ineligible issuer,” as defined in Rule 405, without taking account of any determination by the Commission pursuant to Rule 405 that it is not necessary that the Company be considered an ineligible issuer.</w:t>
      </w:r>
    </w:p>
    <w:p>
      <w:pPr>
        <w:spacing w:after="0" w:line="187" w:lineRule="exact"/>
        <w:rPr>
          <w:rFonts w:ascii="Arial" w:cs="Arial" w:eastAsia="Arial" w:hAnsi="Arial"/>
          <w:sz w:val="22"/>
          <w:szCs w:val="22"/>
          <w:color w:val="auto"/>
        </w:rPr>
      </w:pPr>
    </w:p>
    <w:p>
      <w:pPr>
        <w:jc w:val="both"/>
        <w:ind w:left="760" w:firstLine="1494"/>
        <w:spacing w:after="0" w:line="236" w:lineRule="auto"/>
        <w:tabs>
          <w:tab w:leader="none" w:pos="3755" w:val="left"/>
        </w:tabs>
        <w:numPr>
          <w:ilvl w:val="0"/>
          <w:numId w:val="70"/>
        </w:numPr>
        <w:rPr>
          <w:rFonts w:ascii="Arial" w:cs="Arial" w:eastAsia="Arial" w:hAnsi="Arial"/>
          <w:sz w:val="22"/>
          <w:szCs w:val="22"/>
          <w:color w:val="auto"/>
        </w:rPr>
      </w:pPr>
      <w:r>
        <w:rPr>
          <w:rFonts w:ascii="Arial" w:cs="Arial" w:eastAsia="Arial" w:hAnsi="Arial"/>
          <w:sz w:val="22"/>
          <w:szCs w:val="22"/>
          <w:u w:val="single" w:color="auto"/>
          <w:color w:val="auto"/>
        </w:rPr>
        <w:t>Independent Accountants of the Company</w:t>
      </w:r>
      <w:r>
        <w:rPr>
          <w:rFonts w:ascii="Arial" w:cs="Arial" w:eastAsia="Arial" w:hAnsi="Arial"/>
          <w:sz w:val="22"/>
          <w:szCs w:val="22"/>
          <w:color w:val="auto"/>
        </w:rPr>
        <w:t>. The accountants who audited or reviewed the financial statements and supporting schedules of the Company included or incorporated by reference in the Registration Statement and the Prospectus are independent registered public accountants with respect to the Company within the applicable rules and regulations of the Commission and the Public Company Accounting Oversight Board (United States) and as required by the 1933 Act.</w:t>
      </w:r>
    </w:p>
    <w:p>
      <w:pPr>
        <w:spacing w:after="0" w:line="187" w:lineRule="exact"/>
        <w:rPr>
          <w:rFonts w:ascii="Arial" w:cs="Arial" w:eastAsia="Arial" w:hAnsi="Arial"/>
          <w:sz w:val="22"/>
          <w:szCs w:val="22"/>
          <w:color w:val="auto"/>
        </w:rPr>
      </w:pPr>
    </w:p>
    <w:p>
      <w:pPr>
        <w:jc w:val="both"/>
        <w:ind w:left="760" w:firstLine="1494"/>
        <w:spacing w:after="0" w:line="271" w:lineRule="auto"/>
        <w:tabs>
          <w:tab w:leader="none" w:pos="3755" w:val="left"/>
        </w:tabs>
        <w:numPr>
          <w:ilvl w:val="0"/>
          <w:numId w:val="70"/>
        </w:numPr>
        <w:rPr>
          <w:rFonts w:ascii="Arial" w:cs="Arial" w:eastAsia="Arial" w:hAnsi="Arial"/>
          <w:sz w:val="19"/>
          <w:szCs w:val="19"/>
          <w:color w:val="auto"/>
        </w:rPr>
      </w:pPr>
      <w:r>
        <w:rPr>
          <w:rFonts w:ascii="Arial" w:cs="Arial" w:eastAsia="Arial" w:hAnsi="Arial"/>
          <w:sz w:val="19"/>
          <w:szCs w:val="19"/>
          <w:u w:val="single" w:color="auto"/>
          <w:color w:val="auto"/>
        </w:rPr>
        <w:t>Financial Statements</w:t>
      </w:r>
      <w:r>
        <w:rPr>
          <w:rFonts w:ascii="Arial" w:cs="Arial" w:eastAsia="Arial" w:hAnsi="Arial"/>
          <w:sz w:val="19"/>
          <w:szCs w:val="19"/>
          <w:color w:val="auto"/>
        </w:rPr>
        <w:t>. The financial statements included or incorporated by reference in the Registration Statement and the Prospectus, together with the related schedules and notes, present fairly in all material respects the financial position of the Company and the Subsidiaries (as defined below) at the dates indicated and the results of their operations and the changes in the cash flows of the Company and the Subsidiaries for the periods specified (except that the unaudited financial statements were or are subject to normal year-end adjustments which were not, or are not expected to be, material in amount to the Company); said financial statements have been prepared in conformity with U.S. generally accepted accounting principles (“GAAP”) applied on a consistent basis throughout the periods involved (except, in each case, as may be permitted by the rules and regulations of the Commission). The supporting schedules, if any, included or incorporated by reference in the Registration Statement and the Prospectus present fairly in all material respects in accordance with GAAP the information required to be stated therein. The selected financial data and the summary financial information of the Company and the Subsidiaries included or incorporated by reference in the Registration Statement and the Prospectus have been derived from the accounting records and other books and records of the Company and the Subsidiaries and present fairly in all material respects the information shown therein. Except as included therein, no historical or pro forma financial statements or supporting schedules are required to be included in the Registration Statement or the Prospectus under the 1933 Act or the 1933 Act Regulations.</w:t>
      </w:r>
    </w:p>
    <w:p>
      <w:pPr>
        <w:spacing w:after="0" w:line="200" w:lineRule="exact"/>
        <w:rPr>
          <w:rFonts w:ascii="Arial" w:cs="Arial" w:eastAsia="Arial" w:hAnsi="Arial"/>
          <w:sz w:val="19"/>
          <w:szCs w:val="19"/>
          <w:color w:val="auto"/>
        </w:rPr>
      </w:pPr>
    </w:p>
    <w:p>
      <w:pPr>
        <w:spacing w:after="0" w:line="203" w:lineRule="exact"/>
        <w:rPr>
          <w:rFonts w:ascii="Arial" w:cs="Arial" w:eastAsia="Arial" w:hAnsi="Arial"/>
          <w:sz w:val="19"/>
          <w:szCs w:val="19"/>
          <w:color w:val="auto"/>
        </w:rPr>
      </w:pPr>
    </w:p>
    <w:p>
      <w:pPr>
        <w:jc w:val="both"/>
        <w:ind w:left="760" w:firstLine="1494"/>
        <w:spacing w:after="0" w:line="275" w:lineRule="auto"/>
        <w:tabs>
          <w:tab w:leader="none" w:pos="3755" w:val="left"/>
        </w:tabs>
        <w:numPr>
          <w:ilvl w:val="0"/>
          <w:numId w:val="70"/>
        </w:numPr>
        <w:rPr>
          <w:rFonts w:ascii="Arial" w:cs="Arial" w:eastAsia="Arial" w:hAnsi="Arial"/>
          <w:sz w:val="19"/>
          <w:szCs w:val="19"/>
          <w:color w:val="auto"/>
        </w:rPr>
      </w:pPr>
      <w:r>
        <w:rPr>
          <w:rFonts w:ascii="Arial" w:cs="Arial" w:eastAsia="Arial" w:hAnsi="Arial"/>
          <w:sz w:val="19"/>
          <w:szCs w:val="19"/>
          <w:u w:val="single" w:color="auto"/>
          <w:color w:val="auto"/>
        </w:rPr>
        <w:t>No Material Adverse Change in Business</w:t>
      </w:r>
      <w:r>
        <w:rPr>
          <w:rFonts w:ascii="Arial" w:cs="Arial" w:eastAsia="Arial" w:hAnsi="Arial"/>
          <w:sz w:val="19"/>
          <w:szCs w:val="19"/>
          <w:color w:val="auto"/>
        </w:rPr>
        <w:t>. Except as otherwise stated therein, since the respective dates as of which information is given in the Registration Statement or the Prospectus, (A) there has been no material adverse change in the business, management, financial condition, results of operations or prospects of the Company and the Subsidiaries considered as one enterprise, whether or not arising in the ordinary course of business (a “Material Adverse Effect”), (B) there have been no transactions entered into by the Company or any of the Subsidiaries, other than those in the ordinary course of business, which are material with respect to the Company and the Subsidiaries considered as one enterprise and (C) there has been no dividend or distribution of any kind declared, paid or made by the Company on any class of its capital stock.</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76" w:lineRule="exact"/>
        <w:rPr>
          <w:sz w:val="20"/>
          <w:szCs w:val="20"/>
          <w:color w:val="auto"/>
        </w:rPr>
      </w:pPr>
    </w:p>
    <w:p>
      <w:pPr>
        <w:spacing w:after="0"/>
        <w:rPr>
          <w:sz w:val="20"/>
          <w:szCs w:val="20"/>
          <w:color w:val="auto"/>
        </w:rPr>
      </w:pPr>
      <w:r>
        <w:rPr>
          <w:rFonts w:ascii="Arial" w:cs="Arial" w:eastAsia="Arial" w:hAnsi="Arial"/>
          <w:sz w:val="14"/>
          <w:szCs w:val="14"/>
          <w:color w:val="auto"/>
        </w:rPr>
        <w:t>28117909.1.BUSINESS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157720" cy="4254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10" w:name="page111"/>
    <w:bookmarkEnd w:id="110"/>
    <w:p>
      <w:pPr>
        <w:jc w:val="both"/>
        <w:ind w:left="760" w:firstLine="1494"/>
        <w:spacing w:after="0" w:line="275" w:lineRule="auto"/>
        <w:tabs>
          <w:tab w:leader="none" w:pos="3755" w:val="left"/>
        </w:tabs>
        <w:numPr>
          <w:ilvl w:val="0"/>
          <w:numId w:val="71"/>
        </w:numPr>
        <w:rPr>
          <w:rFonts w:ascii="Arial" w:cs="Arial" w:eastAsia="Arial" w:hAnsi="Arial"/>
          <w:sz w:val="19"/>
          <w:szCs w:val="19"/>
          <w:color w:val="auto"/>
        </w:rPr>
      </w:pPr>
      <w:r>
        <w:rPr>
          <w:rFonts w:ascii="Arial" w:cs="Arial" w:eastAsia="Arial" w:hAnsi="Arial"/>
          <w:sz w:val="19"/>
          <w:szCs w:val="19"/>
          <w:u w:val="single" w:color="auto"/>
          <w:color w:val="auto"/>
        </w:rPr>
        <w:t>Good Standing of the Company</w:t>
      </w:r>
      <w:r>
        <w:rPr>
          <w:rFonts w:ascii="Arial" w:cs="Arial" w:eastAsia="Arial" w:hAnsi="Arial"/>
          <w:sz w:val="19"/>
          <w:szCs w:val="19"/>
          <w:color w:val="auto"/>
        </w:rPr>
        <w:t>. The Company has been duly organized and is validly existing as a corporation in good standing under the laws of the State of Maryland and has corporate power and authority to own, lease and operate its properties and to conduct its business as described in the Registration Statement and the Prospectus and to enter into this Agreement and perform its obligations under this Agreement, the Investment Management Agreement, the Administration Agreement and the Securities; and the Company is duly qualified as a foreign corporation to transact business and is in good standing in each other jurisdiction in which such qualification is required, whether by reason of the ownership or leasing of property or the conduct of business, except where the failure so to qualify or to be in good standing would not reasonably be expected to result in a Material Adverse Effect.</w:t>
      </w:r>
    </w:p>
    <w:p>
      <w:pPr>
        <w:spacing w:after="0" w:line="157" w:lineRule="exact"/>
        <w:rPr>
          <w:rFonts w:ascii="Arial" w:cs="Arial" w:eastAsia="Arial" w:hAnsi="Arial"/>
          <w:sz w:val="19"/>
          <w:szCs w:val="19"/>
          <w:color w:val="auto"/>
        </w:rPr>
      </w:pPr>
    </w:p>
    <w:p>
      <w:pPr>
        <w:jc w:val="both"/>
        <w:ind w:left="760" w:firstLine="1494"/>
        <w:spacing w:after="0" w:line="270" w:lineRule="auto"/>
        <w:tabs>
          <w:tab w:leader="none" w:pos="3755" w:val="left"/>
        </w:tabs>
        <w:numPr>
          <w:ilvl w:val="0"/>
          <w:numId w:val="71"/>
        </w:numPr>
        <w:rPr>
          <w:rFonts w:ascii="Arial" w:cs="Arial" w:eastAsia="Arial" w:hAnsi="Arial"/>
          <w:sz w:val="19"/>
          <w:szCs w:val="19"/>
          <w:color w:val="auto"/>
        </w:rPr>
      </w:pPr>
      <w:r>
        <w:rPr>
          <w:rFonts w:ascii="Arial" w:cs="Arial" w:eastAsia="Arial" w:hAnsi="Arial"/>
          <w:sz w:val="19"/>
          <w:szCs w:val="19"/>
          <w:u w:val="single" w:color="auto"/>
          <w:color w:val="auto"/>
        </w:rPr>
        <w:t>Subsidiaries of the Company; Portfolio Companies</w:t>
      </w:r>
      <w:r>
        <w:rPr>
          <w:rFonts w:ascii="Arial" w:cs="Arial" w:eastAsia="Arial" w:hAnsi="Arial"/>
          <w:sz w:val="19"/>
          <w:szCs w:val="19"/>
          <w:color w:val="auto"/>
        </w:rPr>
        <w:t xml:space="preserve">. The Company’s only subsidiaries that were consolidated with the Company for financial reporting purposes under GAAP as of June 30, 2021 are those listed on </w:t>
      </w:r>
      <w:r>
        <w:rPr>
          <w:rFonts w:ascii="Arial" w:cs="Arial" w:eastAsia="Arial" w:hAnsi="Arial"/>
          <w:sz w:val="19"/>
          <w:szCs w:val="19"/>
          <w:u w:val="single" w:color="auto"/>
          <w:color w:val="auto"/>
        </w:rPr>
        <w:t>Schedule A</w:t>
      </w:r>
      <w:r>
        <w:rPr>
          <w:rFonts w:ascii="Arial" w:cs="Arial" w:eastAsia="Arial" w:hAnsi="Arial"/>
          <w:sz w:val="19"/>
          <w:szCs w:val="19"/>
          <w:color w:val="auto"/>
        </w:rPr>
        <w:t xml:space="preserve"> hereto (each a “Subsidiary” and, collectively, the “Subsidiaries”). Each of the Subsidiaries has been duly organized and is validly existing as a corporation, limited liability company or limited partnership in good standing under the laws of the jurisdiction of its organization, has power and authority to own, lease and operate its properties and to conduct its business as described in the Prospectus and is duly qualified as a foreign corporation, limited liability company or limited partnership to transact business and is in good standing in each jurisdiction in which such qualification is required, whether by reason of the ownership or leasing of property or the conduct of business, except where the failure to be so qualified or in good standing would not reasonably be expected to result in a Material Adverse Effect; except as disclosed in the Prospectus, all of the issued and outstanding capital stock of each such Subsidiary has been duly authorized and validly issued and is fully paid and non-assessable; none of the outstanding shares of capital stock of any of the Subsidiaries was issued in violation of the preemptive or other similar rights of any securityholder of such Subsidiary. Except for any investments made in the ordinary course of business since the most recent quarter end, the Company does not own, directly or indirectly, any investments or shares of stock or any other equity or long-term debt securities of any corporation or other entity other than (A) the Subsidiaries and (B) those corporations or other entities described in the Registration Statement and the Prospectus under the caption “Portfolio Companies” (each a “Portfolio Company” and collectively the “Portfolio Companies”). Except as otherwise disclosed in the Prospectus, the Company does not control (as such term is defined in Section 2(a)(9) of the 1940 Act), any of the Portfolio Companies or any corporation or other entity in which it invested since the most recent quarter end.</w:t>
      </w:r>
    </w:p>
    <w:p>
      <w:pPr>
        <w:spacing w:after="0" w:line="162" w:lineRule="exact"/>
        <w:rPr>
          <w:rFonts w:ascii="Arial" w:cs="Arial" w:eastAsia="Arial" w:hAnsi="Arial"/>
          <w:sz w:val="19"/>
          <w:szCs w:val="19"/>
          <w:color w:val="auto"/>
        </w:rPr>
      </w:pPr>
    </w:p>
    <w:p>
      <w:pPr>
        <w:jc w:val="both"/>
        <w:ind w:left="760" w:firstLine="1494"/>
        <w:spacing w:after="0" w:line="234" w:lineRule="auto"/>
        <w:tabs>
          <w:tab w:leader="none" w:pos="3755" w:val="left"/>
        </w:tabs>
        <w:numPr>
          <w:ilvl w:val="0"/>
          <w:numId w:val="71"/>
        </w:numPr>
        <w:rPr>
          <w:rFonts w:ascii="Arial" w:cs="Arial" w:eastAsia="Arial" w:hAnsi="Arial"/>
          <w:sz w:val="22"/>
          <w:szCs w:val="22"/>
          <w:color w:val="auto"/>
        </w:rPr>
      </w:pPr>
      <w:r>
        <w:rPr>
          <w:rFonts w:ascii="Arial" w:cs="Arial" w:eastAsia="Arial" w:hAnsi="Arial"/>
          <w:sz w:val="22"/>
          <w:szCs w:val="22"/>
          <w:u w:val="single" w:color="auto"/>
          <w:color w:val="auto"/>
        </w:rPr>
        <w:t>Capitalization</w:t>
      </w:r>
      <w:r>
        <w:rPr>
          <w:rFonts w:ascii="Arial" w:cs="Arial" w:eastAsia="Arial" w:hAnsi="Arial"/>
          <w:sz w:val="22"/>
          <w:szCs w:val="22"/>
          <w:color w:val="auto"/>
        </w:rPr>
        <w:t>. The authorized shares of capital stock of the Company are as set forth in the Registration Statement and the Prospectus under the caption “Description of Our Capital Stock.” The total issued and outstanding shares of capital stock of the Company as of August 19, 2021 are as set forth in the Prospectus Supplement under the caption “The Offering.” The outstanding shares of capital stock of the Company have been duly authorized and validly issued and are fully paid and non-assessable. None of the outstanding shares of capital stock of the Company were issued in violation of the preemptive or other similar rights of any securityholder of the Company. Except as set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76" w:lineRule="exact"/>
        <w:rPr>
          <w:sz w:val="20"/>
          <w:szCs w:val="20"/>
          <w:color w:val="auto"/>
        </w:rPr>
      </w:pPr>
    </w:p>
    <w:p>
      <w:pPr>
        <w:spacing w:after="0"/>
        <w:rPr>
          <w:sz w:val="20"/>
          <w:szCs w:val="20"/>
          <w:color w:val="auto"/>
        </w:rPr>
      </w:pPr>
      <w:r>
        <w:rPr>
          <w:rFonts w:ascii="Arial" w:cs="Arial" w:eastAsia="Arial" w:hAnsi="Arial"/>
          <w:sz w:val="14"/>
          <w:szCs w:val="14"/>
          <w:color w:val="auto"/>
        </w:rPr>
        <w:t>28117909.1.BUSINESS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157720" cy="4254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11" w:name="page112"/>
    <w:bookmarkEnd w:id="111"/>
    <w:p>
      <w:pPr>
        <w:jc w:val="both"/>
        <w:ind w:left="760" w:right="20"/>
        <w:spacing w:after="0"/>
        <w:rPr>
          <w:sz w:val="20"/>
          <w:szCs w:val="20"/>
          <w:color w:val="auto"/>
        </w:rPr>
      </w:pPr>
      <w:r>
        <w:rPr>
          <w:rFonts w:ascii="Arial" w:cs="Arial" w:eastAsia="Arial" w:hAnsi="Arial"/>
          <w:sz w:val="22"/>
          <w:szCs w:val="22"/>
          <w:color w:val="auto"/>
        </w:rPr>
        <w:t>forth in the Registration Statement and the Prospectus, no options, warrants or other rights to purchase, agreements or other obligations to issue, or rights to convert any obligations into or exchange any securities for, shares of capital stock of or ownership interests in the Company are outstanding.</w:t>
      </w:r>
    </w:p>
    <w:p>
      <w:pPr>
        <w:spacing w:after="0" w:line="186" w:lineRule="exact"/>
        <w:rPr>
          <w:sz w:val="20"/>
          <w:szCs w:val="20"/>
          <w:color w:val="auto"/>
        </w:rPr>
      </w:pPr>
    </w:p>
    <w:p>
      <w:pPr>
        <w:ind w:left="3760" w:hanging="1506"/>
        <w:spacing w:after="0"/>
        <w:tabs>
          <w:tab w:leader="none" w:pos="3760" w:val="left"/>
        </w:tabs>
        <w:numPr>
          <w:ilvl w:val="0"/>
          <w:numId w:val="72"/>
        </w:numPr>
        <w:rPr>
          <w:rFonts w:ascii="Arial" w:cs="Arial" w:eastAsia="Arial" w:hAnsi="Arial"/>
          <w:sz w:val="19"/>
          <w:szCs w:val="19"/>
          <w:color w:val="auto"/>
        </w:rPr>
      </w:pPr>
      <w:r>
        <w:rPr>
          <w:rFonts w:ascii="Arial" w:cs="Arial" w:eastAsia="Arial" w:hAnsi="Arial"/>
          <w:sz w:val="19"/>
          <w:szCs w:val="19"/>
          <w:u w:val="single" w:color="auto"/>
          <w:color w:val="auto"/>
        </w:rPr>
        <w:t>Authorization of Agreements</w:t>
      </w:r>
      <w:r>
        <w:rPr>
          <w:rFonts w:ascii="Arial" w:cs="Arial" w:eastAsia="Arial" w:hAnsi="Arial"/>
          <w:sz w:val="19"/>
          <w:szCs w:val="19"/>
          <w:color w:val="auto"/>
        </w:rPr>
        <w:t>. This Agreement has been duly authorized, executed and</w:t>
      </w:r>
    </w:p>
    <w:p>
      <w:pPr>
        <w:spacing w:after="0" w:line="42" w:lineRule="exact"/>
        <w:rPr>
          <w:rFonts w:ascii="Arial" w:cs="Arial" w:eastAsia="Arial" w:hAnsi="Arial"/>
          <w:sz w:val="19"/>
          <w:szCs w:val="19"/>
          <w:color w:val="auto"/>
        </w:rPr>
      </w:pPr>
    </w:p>
    <w:p>
      <w:pPr>
        <w:ind w:left="760"/>
        <w:spacing w:after="0"/>
        <w:rPr>
          <w:rFonts w:ascii="Arial" w:cs="Arial" w:eastAsia="Arial" w:hAnsi="Arial"/>
          <w:sz w:val="19"/>
          <w:szCs w:val="19"/>
          <w:color w:val="auto"/>
        </w:rPr>
      </w:pPr>
      <w:r>
        <w:rPr>
          <w:rFonts w:ascii="Arial" w:cs="Arial" w:eastAsia="Arial" w:hAnsi="Arial"/>
          <w:sz w:val="22"/>
          <w:szCs w:val="22"/>
          <w:color w:val="auto"/>
        </w:rPr>
        <w:t>delivered by the Company.</w:t>
      </w:r>
    </w:p>
    <w:p>
      <w:pPr>
        <w:spacing w:after="0" w:line="188" w:lineRule="exact"/>
        <w:rPr>
          <w:rFonts w:ascii="Arial" w:cs="Arial" w:eastAsia="Arial" w:hAnsi="Arial"/>
          <w:sz w:val="19"/>
          <w:szCs w:val="19"/>
          <w:color w:val="auto"/>
        </w:rPr>
      </w:pPr>
    </w:p>
    <w:p>
      <w:pPr>
        <w:jc w:val="both"/>
        <w:ind w:left="760" w:firstLine="1494"/>
        <w:spacing w:after="0" w:line="275" w:lineRule="auto"/>
        <w:tabs>
          <w:tab w:leader="none" w:pos="3755" w:val="left"/>
        </w:tabs>
        <w:numPr>
          <w:ilvl w:val="0"/>
          <w:numId w:val="72"/>
        </w:numPr>
        <w:rPr>
          <w:rFonts w:ascii="Arial" w:cs="Arial" w:eastAsia="Arial" w:hAnsi="Arial"/>
          <w:sz w:val="19"/>
          <w:szCs w:val="19"/>
          <w:color w:val="auto"/>
        </w:rPr>
      </w:pPr>
      <w:r>
        <w:rPr>
          <w:rFonts w:ascii="Arial" w:cs="Arial" w:eastAsia="Arial" w:hAnsi="Arial"/>
          <w:sz w:val="19"/>
          <w:szCs w:val="19"/>
          <w:u w:val="single" w:color="auto"/>
          <w:color w:val="auto"/>
        </w:rPr>
        <w:t>Authorization and Description of Securities</w:t>
      </w:r>
      <w:r>
        <w:rPr>
          <w:rFonts w:ascii="Arial" w:cs="Arial" w:eastAsia="Arial" w:hAnsi="Arial"/>
          <w:sz w:val="19"/>
          <w:szCs w:val="19"/>
          <w:color w:val="auto"/>
        </w:rPr>
        <w:t>. The Securities to be issued and sold by the Company hereunder have been duly authorized and when issued and paid for as contemplated herein will be validly issued, fully paid and non-assessable; and no preemptive rights of stockholders exist with respect to any of the Securities or the issue and sale thereof. The Common Stock conforms to all statements relating thereto contained in the Registration Statement and the Prospectus and such description conforms to the rights set forth in the instruments defining the same. No holder of the Common Stock will be subject to personal liability by reason of being such a holder. The Company acknowledges and agrees that all stock-related numbers contained in this Agreement shall be adjusted to take into account any stock split, stock dividend or similar event effected with respect to the Securities.</w:t>
      </w:r>
    </w:p>
    <w:p>
      <w:pPr>
        <w:spacing w:after="0" w:line="157" w:lineRule="exact"/>
        <w:rPr>
          <w:rFonts w:ascii="Arial" w:cs="Arial" w:eastAsia="Arial" w:hAnsi="Arial"/>
          <w:sz w:val="19"/>
          <w:szCs w:val="19"/>
          <w:color w:val="auto"/>
        </w:rPr>
      </w:pPr>
    </w:p>
    <w:p>
      <w:pPr>
        <w:jc w:val="both"/>
        <w:ind w:left="760" w:firstLine="1494"/>
        <w:spacing w:after="0"/>
        <w:tabs>
          <w:tab w:leader="none" w:pos="3755" w:val="left"/>
        </w:tabs>
        <w:numPr>
          <w:ilvl w:val="0"/>
          <w:numId w:val="72"/>
        </w:numPr>
        <w:rPr>
          <w:rFonts w:ascii="Arial" w:cs="Arial" w:eastAsia="Arial" w:hAnsi="Arial"/>
          <w:sz w:val="22"/>
          <w:szCs w:val="22"/>
          <w:color w:val="auto"/>
        </w:rPr>
      </w:pPr>
      <w:r>
        <w:rPr>
          <w:rFonts w:ascii="Arial" w:cs="Arial" w:eastAsia="Arial" w:hAnsi="Arial"/>
          <w:sz w:val="22"/>
          <w:szCs w:val="22"/>
          <w:u w:val="single" w:color="auto"/>
          <w:color w:val="auto"/>
        </w:rPr>
        <w:t>Registration Rights</w:t>
      </w:r>
      <w:r>
        <w:rPr>
          <w:rFonts w:ascii="Arial" w:cs="Arial" w:eastAsia="Arial" w:hAnsi="Arial"/>
          <w:sz w:val="22"/>
          <w:szCs w:val="22"/>
          <w:color w:val="auto"/>
        </w:rPr>
        <w:t>. There are no persons with registration rights or other similar rights to have any securities registered for sale pursuant to the Registration Statement or otherwise registered for sale or sold by the Company under the 1933 Act pursuant to this Agreement.</w:t>
      </w:r>
    </w:p>
    <w:p>
      <w:pPr>
        <w:spacing w:after="0" w:line="186" w:lineRule="exact"/>
        <w:rPr>
          <w:rFonts w:ascii="Arial" w:cs="Arial" w:eastAsia="Arial" w:hAnsi="Arial"/>
          <w:sz w:val="22"/>
          <w:szCs w:val="22"/>
          <w:color w:val="auto"/>
        </w:rPr>
      </w:pPr>
    </w:p>
    <w:p>
      <w:pPr>
        <w:jc w:val="both"/>
        <w:ind w:left="760" w:firstLine="1494"/>
        <w:spacing w:after="0" w:line="273" w:lineRule="auto"/>
        <w:tabs>
          <w:tab w:leader="none" w:pos="3755" w:val="left"/>
        </w:tabs>
        <w:numPr>
          <w:ilvl w:val="0"/>
          <w:numId w:val="72"/>
        </w:numPr>
        <w:rPr>
          <w:rFonts w:ascii="Arial" w:cs="Arial" w:eastAsia="Arial" w:hAnsi="Arial"/>
          <w:sz w:val="19"/>
          <w:szCs w:val="19"/>
          <w:color w:val="auto"/>
        </w:rPr>
      </w:pPr>
      <w:r>
        <w:rPr>
          <w:rFonts w:ascii="Arial" w:cs="Arial" w:eastAsia="Arial" w:hAnsi="Arial"/>
          <w:sz w:val="19"/>
          <w:szCs w:val="19"/>
          <w:u w:val="single" w:color="auto"/>
          <w:color w:val="auto"/>
        </w:rPr>
        <w:t>Absence of Violations and Defaults</w:t>
      </w:r>
      <w:r>
        <w:rPr>
          <w:rFonts w:ascii="Arial" w:cs="Arial" w:eastAsia="Arial" w:hAnsi="Arial"/>
          <w:sz w:val="19"/>
          <w:szCs w:val="19"/>
          <w:color w:val="auto"/>
        </w:rPr>
        <w:t>. Neither the Company nor any of the Subsidiaries is (A) in violation of its charter, bylaws or similar organizational document, each as amended or supplemented from time to time, (B) in default under any contract, indenture, mortgage, deed of trust, loan or credit agreement, note, lease or other agreement or instrument to which the Company or any of the Subsidiaries is a party or by which it or any of them may be bound or to which any of the properties or assets of the Company or any of the Subsidiaries is subject (collectively, “Agreements and Instruments”), except for such defaults that would not reasonably be expected, singly or in the aggregate, to result in a Material Adverse Effect, or (C) in violation of any law, statute, rule, regulation, judgment, order, writ or decree of any arbitrator, court, governmental body, regulatory body, administrative agency or other authority, body or agency having jurisdiction over the Company or any of the Subsidiaries or any of their respective properties, assets or operations (each, a “Governmental Entity”), except for such violations that would not reasonably be expected, singly or in the aggregate, to result in a Material Adverse Effect.</w:t>
      </w:r>
    </w:p>
    <w:p>
      <w:pPr>
        <w:spacing w:after="0" w:line="155" w:lineRule="exact"/>
        <w:rPr>
          <w:rFonts w:ascii="Arial" w:cs="Arial" w:eastAsia="Arial" w:hAnsi="Arial"/>
          <w:sz w:val="19"/>
          <w:szCs w:val="19"/>
          <w:color w:val="auto"/>
        </w:rPr>
      </w:pPr>
    </w:p>
    <w:p>
      <w:pPr>
        <w:jc w:val="both"/>
        <w:ind w:left="760" w:firstLine="1494"/>
        <w:spacing w:after="0" w:line="279" w:lineRule="auto"/>
        <w:tabs>
          <w:tab w:leader="none" w:pos="3755" w:val="left"/>
        </w:tabs>
        <w:numPr>
          <w:ilvl w:val="0"/>
          <w:numId w:val="72"/>
        </w:numPr>
        <w:rPr>
          <w:rFonts w:ascii="Arial" w:cs="Arial" w:eastAsia="Arial" w:hAnsi="Arial"/>
          <w:sz w:val="19"/>
          <w:szCs w:val="19"/>
          <w:color w:val="auto"/>
        </w:rPr>
      </w:pPr>
      <w:r>
        <w:rPr>
          <w:rFonts w:ascii="Arial" w:cs="Arial" w:eastAsia="Arial" w:hAnsi="Arial"/>
          <w:sz w:val="19"/>
          <w:szCs w:val="19"/>
          <w:u w:val="single" w:color="auto"/>
          <w:color w:val="auto"/>
        </w:rPr>
        <w:t>Absence of Conflicts</w:t>
      </w:r>
      <w:r>
        <w:rPr>
          <w:rFonts w:ascii="Arial" w:cs="Arial" w:eastAsia="Arial" w:hAnsi="Arial"/>
          <w:sz w:val="19"/>
          <w:szCs w:val="19"/>
          <w:color w:val="auto"/>
        </w:rPr>
        <w:t>. The execution, delivery and performance of this Agreement, and the Securities, the performance of the Investment Management Agreement and the Administration Agreement and the consummation of the transactions contemplated herein and therein and in the Registration Statement and the Prospectus (including the issuance and sale of the Securities and the use of the proceeds from the sale of the Securities as described therein under the caption “Use of Proceeds”) and compliance by the Company with its obligations hereunder and thereunder have been duly authorized by all necessary</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76" w:lineRule="exact"/>
        <w:rPr>
          <w:sz w:val="20"/>
          <w:szCs w:val="20"/>
          <w:color w:val="auto"/>
        </w:rPr>
      </w:pPr>
    </w:p>
    <w:p>
      <w:pPr>
        <w:spacing w:after="0"/>
        <w:rPr>
          <w:sz w:val="20"/>
          <w:szCs w:val="20"/>
          <w:color w:val="auto"/>
        </w:rPr>
      </w:pPr>
      <w:r>
        <w:rPr>
          <w:rFonts w:ascii="Arial" w:cs="Arial" w:eastAsia="Arial" w:hAnsi="Arial"/>
          <w:sz w:val="14"/>
          <w:szCs w:val="14"/>
          <w:color w:val="auto"/>
        </w:rPr>
        <w:t>28117909.1.BUSINESS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157720" cy="4254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12" w:name="page113"/>
    <w:bookmarkEnd w:id="112"/>
    <w:p>
      <w:pPr>
        <w:jc w:val="both"/>
        <w:ind w:left="760"/>
        <w:spacing w:after="0" w:line="272" w:lineRule="auto"/>
        <w:rPr>
          <w:sz w:val="20"/>
          <w:szCs w:val="20"/>
          <w:color w:val="auto"/>
        </w:rPr>
      </w:pPr>
      <w:r>
        <w:rPr>
          <w:rFonts w:ascii="Arial" w:cs="Arial" w:eastAsia="Arial" w:hAnsi="Arial"/>
          <w:sz w:val="19"/>
          <w:szCs w:val="19"/>
          <w:color w:val="auto"/>
        </w:rPr>
        <w:t>corporate action and do not and will not, whether with or without the giving of notice or passage of time or both, conflict with or constitute a breach of, or default or Repayment Event (as defined below) under, or result in the creation or imposition of any lien, charge or encumbrance upon any properties or assets of the Company or any of the Subsidiaries pursuant to, the Agreements and Instruments (except for such conflicts, breaches, defaults or Repayment Events or liens, charges or encumbrances that would not reasonably be expected, singly or in the aggregate, to result in a Material Adverse Effect), nor will such action result in any violation of the provisions of (a) the charter, bylaws or similar organizational document of the Company or any of the Subsidiaries or (b) any law, statute, rule, regulation, judgment, order, writ or decree of any Governmental Entity, except, in the case of (b) above, for any violation that would not reasonably be expected, singly or in the aggregate, to result in a Material Adverse Effect. As used herein, a “Repayment Event” means any event or condition which gives the holder of any note, debenture or other evidence of indebtedness (or any person acting on such holder’s behalf) the right to require the repurchase, redemption or repayment of all or a portion of such indebtedness by the Company or any of the Subsidiaries.</w:t>
      </w:r>
    </w:p>
    <w:p>
      <w:pPr>
        <w:spacing w:after="0" w:line="161" w:lineRule="exact"/>
        <w:rPr>
          <w:sz w:val="20"/>
          <w:szCs w:val="20"/>
          <w:color w:val="auto"/>
        </w:rPr>
      </w:pPr>
    </w:p>
    <w:p>
      <w:pPr>
        <w:ind w:left="3760" w:hanging="1506"/>
        <w:spacing w:after="0"/>
        <w:tabs>
          <w:tab w:leader="none" w:pos="3760" w:val="left"/>
        </w:tabs>
        <w:numPr>
          <w:ilvl w:val="0"/>
          <w:numId w:val="73"/>
        </w:numPr>
        <w:rPr>
          <w:rFonts w:ascii="Arial" w:cs="Arial" w:eastAsia="Arial" w:hAnsi="Arial"/>
          <w:sz w:val="19"/>
          <w:szCs w:val="19"/>
          <w:color w:val="auto"/>
        </w:rPr>
      </w:pPr>
      <w:r>
        <w:rPr>
          <w:rFonts w:ascii="Arial" w:cs="Arial" w:eastAsia="Arial" w:hAnsi="Arial"/>
          <w:sz w:val="19"/>
          <w:szCs w:val="19"/>
          <w:u w:val="single" w:color="auto"/>
          <w:color w:val="auto"/>
        </w:rPr>
        <w:t>Employees</w:t>
      </w:r>
      <w:r>
        <w:rPr>
          <w:rFonts w:ascii="Arial" w:cs="Arial" w:eastAsia="Arial" w:hAnsi="Arial"/>
          <w:sz w:val="19"/>
          <w:szCs w:val="19"/>
          <w:color w:val="auto"/>
        </w:rPr>
        <w:t>. Neither the Company nor any of the Subsidiaries has any employees.</w:t>
      </w:r>
    </w:p>
    <w:p>
      <w:pPr>
        <w:spacing w:after="0" w:line="240" w:lineRule="exact"/>
        <w:rPr>
          <w:rFonts w:ascii="Arial" w:cs="Arial" w:eastAsia="Arial" w:hAnsi="Arial"/>
          <w:sz w:val="19"/>
          <w:szCs w:val="19"/>
          <w:color w:val="auto"/>
        </w:rPr>
      </w:pPr>
    </w:p>
    <w:p>
      <w:pPr>
        <w:jc w:val="both"/>
        <w:ind w:left="760" w:firstLine="1494"/>
        <w:spacing w:after="0" w:line="277" w:lineRule="auto"/>
        <w:tabs>
          <w:tab w:leader="none" w:pos="3755" w:val="left"/>
        </w:tabs>
        <w:numPr>
          <w:ilvl w:val="0"/>
          <w:numId w:val="73"/>
        </w:numPr>
        <w:rPr>
          <w:rFonts w:ascii="Arial" w:cs="Arial" w:eastAsia="Arial" w:hAnsi="Arial"/>
          <w:sz w:val="19"/>
          <w:szCs w:val="19"/>
          <w:color w:val="auto"/>
        </w:rPr>
      </w:pPr>
      <w:r>
        <w:rPr>
          <w:rFonts w:ascii="Arial" w:cs="Arial" w:eastAsia="Arial" w:hAnsi="Arial"/>
          <w:sz w:val="19"/>
          <w:szCs w:val="19"/>
          <w:u w:val="single" w:color="auto"/>
          <w:color w:val="auto"/>
        </w:rPr>
        <w:t>Absence of Proceedings</w:t>
      </w:r>
      <w:r>
        <w:rPr>
          <w:rFonts w:ascii="Arial" w:cs="Arial" w:eastAsia="Arial" w:hAnsi="Arial"/>
          <w:sz w:val="19"/>
          <w:szCs w:val="19"/>
          <w:color w:val="auto"/>
        </w:rPr>
        <w:t>. Except as disclosed in the Registration Statement and the Prospectus, there is no action, suit, proceeding or, to the knowledge of the Company, inquiry or investigation before or brought by any Governmental Entity now pending or, to the knowledge of the Company, threatened, against or affecting the Company or any of the Subsidiaries, which would reasonably be expected to result in a Material Adverse Effect, or which would reasonably be expected to materially and adversely affect the consummation of the transactions contemplated in this Agreement, the Investment Management Agreement, the Administration Agreement or the Securities or the performance by the Company of its obligations hereunder or thereunder.</w:t>
      </w:r>
    </w:p>
    <w:p>
      <w:pPr>
        <w:spacing w:after="0" w:line="151" w:lineRule="exact"/>
        <w:rPr>
          <w:rFonts w:ascii="Arial" w:cs="Arial" w:eastAsia="Arial" w:hAnsi="Arial"/>
          <w:sz w:val="19"/>
          <w:szCs w:val="19"/>
          <w:color w:val="auto"/>
        </w:rPr>
      </w:pPr>
    </w:p>
    <w:p>
      <w:pPr>
        <w:jc w:val="both"/>
        <w:ind w:left="760" w:firstLine="1494"/>
        <w:spacing w:after="0"/>
        <w:tabs>
          <w:tab w:leader="none" w:pos="3755" w:val="left"/>
        </w:tabs>
        <w:numPr>
          <w:ilvl w:val="0"/>
          <w:numId w:val="73"/>
        </w:numPr>
        <w:rPr>
          <w:rFonts w:ascii="Arial" w:cs="Arial" w:eastAsia="Arial" w:hAnsi="Arial"/>
          <w:sz w:val="22"/>
          <w:szCs w:val="22"/>
          <w:color w:val="auto"/>
        </w:rPr>
      </w:pPr>
      <w:r>
        <w:rPr>
          <w:rFonts w:ascii="Arial" w:cs="Arial" w:eastAsia="Arial" w:hAnsi="Arial"/>
          <w:sz w:val="22"/>
          <w:szCs w:val="22"/>
          <w:u w:val="single" w:color="auto"/>
          <w:color w:val="auto"/>
        </w:rPr>
        <w:t>Accuracy of Exhibits</w:t>
      </w:r>
      <w:r>
        <w:rPr>
          <w:rFonts w:ascii="Arial" w:cs="Arial" w:eastAsia="Arial" w:hAnsi="Arial"/>
          <w:sz w:val="22"/>
          <w:szCs w:val="22"/>
          <w:color w:val="auto"/>
        </w:rPr>
        <w:t>. There are no contracts or documents which are required to be described in the Registration Statement or the Prospectus or to be filed as exhibits to the Registration Statement which have not been so described and filed as required.</w:t>
      </w:r>
    </w:p>
    <w:p>
      <w:pPr>
        <w:spacing w:after="0" w:line="186" w:lineRule="exact"/>
        <w:rPr>
          <w:rFonts w:ascii="Arial" w:cs="Arial" w:eastAsia="Arial" w:hAnsi="Arial"/>
          <w:sz w:val="22"/>
          <w:szCs w:val="22"/>
          <w:color w:val="auto"/>
        </w:rPr>
      </w:pPr>
    </w:p>
    <w:p>
      <w:pPr>
        <w:jc w:val="both"/>
        <w:ind w:left="760" w:firstLine="1494"/>
        <w:spacing w:after="0" w:line="245" w:lineRule="auto"/>
        <w:tabs>
          <w:tab w:leader="none" w:pos="3755" w:val="left"/>
        </w:tabs>
        <w:numPr>
          <w:ilvl w:val="0"/>
          <w:numId w:val="73"/>
        </w:numPr>
        <w:rPr>
          <w:rFonts w:ascii="Arial" w:cs="Arial" w:eastAsia="Arial" w:hAnsi="Arial"/>
          <w:sz w:val="21"/>
          <w:szCs w:val="21"/>
          <w:color w:val="auto"/>
        </w:rPr>
      </w:pPr>
      <w:r>
        <w:rPr>
          <w:rFonts w:ascii="Arial" w:cs="Arial" w:eastAsia="Arial" w:hAnsi="Arial"/>
          <w:sz w:val="21"/>
          <w:szCs w:val="21"/>
          <w:u w:val="single" w:color="auto"/>
          <w:color w:val="auto"/>
        </w:rPr>
        <w:t>Absence of Further Requirements</w:t>
      </w:r>
      <w:r>
        <w:rPr>
          <w:rFonts w:ascii="Arial" w:cs="Arial" w:eastAsia="Arial" w:hAnsi="Arial"/>
          <w:sz w:val="21"/>
          <w:szCs w:val="21"/>
          <w:color w:val="auto"/>
        </w:rPr>
        <w:t>. No filing with, or authorization, approval, consent, license, order, registration, qualification or decree of, any Governmental Entity is necessary or required for the performance by the Company of its obligations hereunder, in connection with the offering, issuance or sale of the Securities hereunder or the consummation of the transactions contemplated by this Agreement, the Investment Management Agreement, the Administration Agreement, the Securities or the Prospectus (including the issuance and sale of the Securities and the use of the proceeds from the sale of the Securities as described in the Prospectus under the caption “Use of Proceeds”), except (A) such as have been already made or obtained, including under the 1933 Act, the 1933 Act Regulations, the 1940 Act, the 1940 Act Regulations, state securities laws or the rules of the Financial Industry Regulatory Authority, Inc. (“FINRA”), (B) the filing of the Notifications of Election under the 1940 Act, which has been effected and (C) where the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76" w:lineRule="exact"/>
        <w:rPr>
          <w:sz w:val="20"/>
          <w:szCs w:val="20"/>
          <w:color w:val="auto"/>
        </w:rPr>
      </w:pPr>
    </w:p>
    <w:p>
      <w:pPr>
        <w:spacing w:after="0"/>
        <w:rPr>
          <w:sz w:val="20"/>
          <w:szCs w:val="20"/>
          <w:color w:val="auto"/>
        </w:rPr>
      </w:pPr>
      <w:r>
        <w:rPr>
          <w:rFonts w:ascii="Arial" w:cs="Arial" w:eastAsia="Arial" w:hAnsi="Arial"/>
          <w:sz w:val="14"/>
          <w:szCs w:val="14"/>
          <w:color w:val="auto"/>
        </w:rPr>
        <w:t>28117909.1.BUSINESS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157720" cy="4254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13" w:name="page114"/>
    <w:bookmarkEnd w:id="113"/>
    <w:p>
      <w:pPr>
        <w:ind w:left="760"/>
        <w:spacing w:after="0" w:line="250" w:lineRule="auto"/>
        <w:rPr>
          <w:sz w:val="20"/>
          <w:szCs w:val="20"/>
          <w:color w:val="auto"/>
        </w:rPr>
      </w:pPr>
      <w:r>
        <w:rPr>
          <w:rFonts w:ascii="Arial" w:cs="Arial" w:eastAsia="Arial" w:hAnsi="Arial"/>
          <w:sz w:val="22"/>
          <w:szCs w:val="22"/>
          <w:color w:val="auto"/>
        </w:rPr>
        <w:t>failure to obtain any such filing, authorization, approval, consent, license, order, registration, qualification or decree would not reasonably be expected, singly or in the aggregate, to have a Material Adverse Effect.</w:t>
      </w:r>
    </w:p>
    <w:p>
      <w:pPr>
        <w:spacing w:after="0" w:line="175" w:lineRule="exact"/>
        <w:rPr>
          <w:sz w:val="20"/>
          <w:szCs w:val="20"/>
          <w:color w:val="auto"/>
        </w:rPr>
      </w:pPr>
    </w:p>
    <w:p>
      <w:pPr>
        <w:jc w:val="both"/>
        <w:ind w:left="760" w:firstLine="1494"/>
        <w:spacing w:after="0" w:line="272" w:lineRule="auto"/>
        <w:tabs>
          <w:tab w:leader="none" w:pos="3755" w:val="left"/>
        </w:tabs>
        <w:numPr>
          <w:ilvl w:val="0"/>
          <w:numId w:val="74"/>
        </w:numPr>
        <w:rPr>
          <w:rFonts w:ascii="Arial" w:cs="Arial" w:eastAsia="Arial" w:hAnsi="Arial"/>
          <w:sz w:val="19"/>
          <w:szCs w:val="19"/>
          <w:color w:val="auto"/>
        </w:rPr>
      </w:pPr>
      <w:r>
        <w:rPr>
          <w:rFonts w:ascii="Arial" w:cs="Arial" w:eastAsia="Arial" w:hAnsi="Arial"/>
          <w:sz w:val="19"/>
          <w:szCs w:val="19"/>
          <w:u w:val="single" w:color="auto"/>
          <w:color w:val="auto"/>
        </w:rPr>
        <w:t>Possession of Licenses and Permits</w:t>
      </w:r>
      <w:r>
        <w:rPr>
          <w:rFonts w:ascii="Arial" w:cs="Arial" w:eastAsia="Arial" w:hAnsi="Arial"/>
          <w:sz w:val="19"/>
          <w:szCs w:val="19"/>
          <w:color w:val="auto"/>
        </w:rPr>
        <w:t>. The Company and the Subsidiaries possess such permits, licenses, approvals, consents and other authorizations (collectively, “Governmental Licenses”) issued by the appropriate Governmental Entities necessary to conduct the business now operated by them, except where the failure so to possess would not reasonably be expected, singly or in the aggregate, to result in a Material Adverse Effect. The Company and the Subsidiaries are in compliance with the terms and conditions of all Governmental Licenses, except where the failure so to comply would not reasonably be expected, singly or in the aggregate, to result in a Material Adverse Effect. All of the Governmental Licenses are valid and in full force and effect, except when the invalidity of such Governmental Licenses or the failure of such Governmental Licenses to be in full force and effect would not reasonably be expected, singly or in the aggregate, to result in a Material Adverse Effect. Neither the Company nor any of the Subsidiaries has received any notice of proceedings relating to the revocation or modification of any Governmental Licenses which, singly or in the aggregate, if the subject of an unfavorable decision, ruling or finding, would reasonably be expected to result in a Material Adverse Effect.</w:t>
      </w:r>
    </w:p>
    <w:p>
      <w:pPr>
        <w:spacing w:after="0" w:line="200" w:lineRule="exact"/>
        <w:rPr>
          <w:rFonts w:ascii="Arial" w:cs="Arial" w:eastAsia="Arial" w:hAnsi="Arial"/>
          <w:sz w:val="19"/>
          <w:szCs w:val="19"/>
          <w:color w:val="auto"/>
        </w:rPr>
      </w:pPr>
    </w:p>
    <w:p>
      <w:pPr>
        <w:spacing w:after="0" w:line="208" w:lineRule="exact"/>
        <w:rPr>
          <w:rFonts w:ascii="Arial" w:cs="Arial" w:eastAsia="Arial" w:hAnsi="Arial"/>
          <w:sz w:val="19"/>
          <w:szCs w:val="19"/>
          <w:color w:val="auto"/>
        </w:rPr>
      </w:pPr>
    </w:p>
    <w:p>
      <w:pPr>
        <w:jc w:val="both"/>
        <w:ind w:left="760" w:firstLine="1494"/>
        <w:spacing w:after="0" w:line="277" w:lineRule="auto"/>
        <w:tabs>
          <w:tab w:leader="none" w:pos="3755" w:val="left"/>
        </w:tabs>
        <w:numPr>
          <w:ilvl w:val="0"/>
          <w:numId w:val="74"/>
        </w:numPr>
        <w:rPr>
          <w:rFonts w:ascii="Arial" w:cs="Arial" w:eastAsia="Arial" w:hAnsi="Arial"/>
          <w:sz w:val="19"/>
          <w:szCs w:val="19"/>
          <w:color w:val="auto"/>
        </w:rPr>
      </w:pPr>
      <w:r>
        <w:rPr>
          <w:rFonts w:ascii="Arial" w:cs="Arial" w:eastAsia="Arial" w:hAnsi="Arial"/>
          <w:sz w:val="19"/>
          <w:szCs w:val="19"/>
          <w:u w:val="single" w:color="auto"/>
          <w:color w:val="auto"/>
        </w:rPr>
        <w:t>Title to Property</w:t>
      </w:r>
      <w:r>
        <w:rPr>
          <w:rFonts w:ascii="Arial" w:cs="Arial" w:eastAsia="Arial" w:hAnsi="Arial"/>
          <w:sz w:val="19"/>
          <w:szCs w:val="19"/>
          <w:color w:val="auto"/>
        </w:rPr>
        <w:t>. The Company and the Subsidiaries do not own any real property; and all of the leases and subleases material to the business of the Company and the Subsidiaries, considered as one enterprise, and under which the Company or any of the Subsidiaries holds properties, are in full force and effect, and neither the Company nor any such Subsidiary has received any notice of any material claim of any sort that has been asserted by anyone adverse to the rights of the Company or any Subsidiary under any of the leases or subleases mentioned above, or affecting or questioning the rights of the Company or such Subsidiary to the continued possession of the leased or subleased premises under any such lease or sublease.</w:t>
      </w:r>
    </w:p>
    <w:p>
      <w:pPr>
        <w:spacing w:after="0" w:line="151" w:lineRule="exact"/>
        <w:rPr>
          <w:rFonts w:ascii="Arial" w:cs="Arial" w:eastAsia="Arial" w:hAnsi="Arial"/>
          <w:sz w:val="19"/>
          <w:szCs w:val="19"/>
          <w:color w:val="auto"/>
        </w:rPr>
      </w:pPr>
    </w:p>
    <w:p>
      <w:pPr>
        <w:jc w:val="both"/>
        <w:ind w:left="760" w:firstLine="1494"/>
        <w:spacing w:after="0" w:line="273" w:lineRule="auto"/>
        <w:tabs>
          <w:tab w:leader="none" w:pos="3755" w:val="left"/>
        </w:tabs>
        <w:numPr>
          <w:ilvl w:val="0"/>
          <w:numId w:val="74"/>
        </w:numPr>
        <w:rPr>
          <w:rFonts w:ascii="Arial" w:cs="Arial" w:eastAsia="Arial" w:hAnsi="Arial"/>
          <w:sz w:val="19"/>
          <w:szCs w:val="19"/>
          <w:color w:val="auto"/>
        </w:rPr>
      </w:pPr>
      <w:r>
        <w:rPr>
          <w:rFonts w:ascii="Arial" w:cs="Arial" w:eastAsia="Arial" w:hAnsi="Arial"/>
          <w:sz w:val="19"/>
          <w:szCs w:val="19"/>
          <w:u w:val="single" w:color="auto"/>
          <w:color w:val="auto"/>
        </w:rPr>
        <w:t>Possession of Intellectual Property</w:t>
      </w:r>
      <w:r>
        <w:rPr>
          <w:rFonts w:ascii="Arial" w:cs="Arial" w:eastAsia="Arial" w:hAnsi="Arial"/>
          <w:sz w:val="19"/>
          <w:szCs w:val="19"/>
          <w:color w:val="auto"/>
        </w:rPr>
        <w:t>. Except as would not reasonably be expected, singly or in the aggregate, to have a Material Adverse Effect, the Company and the Subsidiaries own or possess, or can acquire on reasonable terms, adequate patents, patent rights, licenses, inventions, copyrights, know-how (including trade secrets and other unpatented and/or unpatentable proprietary or confidential information, systems or procedures), trademarks, service marks, trade names or other intellectual property (collectively, “Intellectual Property”) necessary to carry on the business now operated by them, and neither the Company nor any of the Subsidiaries has received any notice or is otherwise aware of any infringement of or conflict with asserted rights of others with respect to any Intellectual Property or of any facts or circumstances which would render any Intellectual Property invalid or inadequate to protect the interest of the Company or any of the Subsidiaries therein, and which infringement or conflict (if the subject of any unfavorable decision, ruling or finding) or invalidity or inadequacy, singly or in the aggregate, would reasonably be expected to result in a Material Adverse Effect.</w:t>
      </w:r>
    </w:p>
    <w:p>
      <w:pPr>
        <w:spacing w:after="0" w:line="155" w:lineRule="exact"/>
        <w:rPr>
          <w:rFonts w:ascii="Arial" w:cs="Arial" w:eastAsia="Arial" w:hAnsi="Arial"/>
          <w:sz w:val="19"/>
          <w:szCs w:val="19"/>
          <w:color w:val="auto"/>
        </w:rPr>
      </w:pPr>
    </w:p>
    <w:p>
      <w:pPr>
        <w:ind w:left="760" w:right="20" w:firstLine="1494"/>
        <w:spacing w:after="0" w:line="250" w:lineRule="auto"/>
        <w:tabs>
          <w:tab w:leader="none" w:pos="3755" w:val="left"/>
        </w:tabs>
        <w:numPr>
          <w:ilvl w:val="0"/>
          <w:numId w:val="74"/>
        </w:numPr>
        <w:rPr>
          <w:rFonts w:ascii="Arial" w:cs="Arial" w:eastAsia="Arial" w:hAnsi="Arial"/>
          <w:sz w:val="22"/>
          <w:szCs w:val="22"/>
          <w:color w:val="auto"/>
        </w:rPr>
      </w:pPr>
      <w:r>
        <w:rPr>
          <w:rFonts w:ascii="Arial" w:cs="Arial" w:eastAsia="Arial" w:hAnsi="Arial"/>
          <w:sz w:val="22"/>
          <w:szCs w:val="22"/>
          <w:u w:val="single" w:color="auto"/>
          <w:color w:val="auto"/>
        </w:rPr>
        <w:t>Accounting Controls</w:t>
      </w:r>
      <w:r>
        <w:rPr>
          <w:rFonts w:ascii="Arial" w:cs="Arial" w:eastAsia="Arial" w:hAnsi="Arial"/>
          <w:sz w:val="22"/>
          <w:szCs w:val="22"/>
          <w:color w:val="auto"/>
        </w:rPr>
        <w:t>. The Company, on a consolidated basis, maintains a system of internal control over financial reporting (as defined under Rule 13a-15(f) and</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76" w:lineRule="exact"/>
        <w:rPr>
          <w:sz w:val="20"/>
          <w:szCs w:val="20"/>
          <w:color w:val="auto"/>
        </w:rPr>
      </w:pPr>
    </w:p>
    <w:p>
      <w:pPr>
        <w:spacing w:after="0"/>
        <w:rPr>
          <w:sz w:val="20"/>
          <w:szCs w:val="20"/>
          <w:color w:val="auto"/>
        </w:rPr>
      </w:pPr>
      <w:r>
        <w:rPr>
          <w:rFonts w:ascii="Arial" w:cs="Arial" w:eastAsia="Arial" w:hAnsi="Arial"/>
          <w:sz w:val="14"/>
          <w:szCs w:val="14"/>
          <w:color w:val="auto"/>
        </w:rPr>
        <w:t>28117909.1.BUSINESS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157720" cy="4254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14" w:name="page115"/>
    <w:bookmarkEnd w:id="114"/>
    <w:p>
      <w:pPr>
        <w:jc w:val="both"/>
        <w:ind w:left="760"/>
        <w:spacing w:after="0" w:line="272" w:lineRule="auto"/>
        <w:rPr>
          <w:sz w:val="20"/>
          <w:szCs w:val="20"/>
          <w:color w:val="auto"/>
        </w:rPr>
      </w:pPr>
      <w:r>
        <w:rPr>
          <w:rFonts w:ascii="Arial" w:cs="Arial" w:eastAsia="Arial" w:hAnsi="Arial"/>
          <w:sz w:val="19"/>
          <w:szCs w:val="19"/>
          <w:color w:val="auto"/>
        </w:rPr>
        <w:t>15d-15(f) under the rules and regulations of the Commission under the 1934 Act (such rules and regulations, the “1934 Act Regulations”)) and a system of internal accounting controls sufficient to provide reasonable assurances that (A) transactions are executed in accordance with management’s general or specific authorization; (B) transactions are recorded as necessary to permit preparation of financial statements in conformity with GAAP and to maintain accountability for assets; (C) access to the Company’s consolidated assets is permitted only in accordance with management’s general or specific authorization; and (D) the recorded accountability for assets is compared with the existing assets at reasonable intervals and appropriate action is taken with respect to any differences. Except as described in the Registration Statement and the Prospectus, since the end of the Company’s most recent audited fiscal year, there has been (1) no material weakness in the Company’s internal control over financial reporting (whether or not remediated) and (2) no change in the Company’s internal control over financial reporting that has materially affected, or is reasonably likely to materially affect, the Company’s internal control over financial reporting (it being understood that the Company is not as of the date hereof required to comply with the auditor attestation requirements under Section 404 of the Sarbanes Oxley Act of 2002, as amended).</w:t>
      </w:r>
    </w:p>
    <w:p>
      <w:pPr>
        <w:spacing w:after="0" w:line="200" w:lineRule="exact"/>
        <w:rPr>
          <w:sz w:val="20"/>
          <w:szCs w:val="20"/>
          <w:color w:val="auto"/>
        </w:rPr>
      </w:pPr>
    </w:p>
    <w:p>
      <w:pPr>
        <w:spacing w:after="0" w:line="204" w:lineRule="exact"/>
        <w:rPr>
          <w:sz w:val="20"/>
          <w:szCs w:val="20"/>
          <w:color w:val="auto"/>
        </w:rPr>
      </w:pPr>
    </w:p>
    <w:p>
      <w:pPr>
        <w:jc w:val="both"/>
        <w:ind w:left="760" w:firstLine="1494"/>
        <w:spacing w:after="0" w:line="271" w:lineRule="auto"/>
        <w:tabs>
          <w:tab w:leader="none" w:pos="3755" w:val="left"/>
        </w:tabs>
        <w:numPr>
          <w:ilvl w:val="0"/>
          <w:numId w:val="75"/>
        </w:numPr>
        <w:rPr>
          <w:rFonts w:ascii="Arial" w:cs="Arial" w:eastAsia="Arial" w:hAnsi="Arial"/>
          <w:sz w:val="19"/>
          <w:szCs w:val="19"/>
          <w:color w:val="auto"/>
        </w:rPr>
      </w:pPr>
      <w:r>
        <w:rPr>
          <w:rFonts w:ascii="Arial" w:cs="Arial" w:eastAsia="Arial" w:hAnsi="Arial"/>
          <w:sz w:val="19"/>
          <w:szCs w:val="19"/>
          <w:u w:val="single" w:color="auto"/>
          <w:color w:val="auto"/>
        </w:rPr>
        <w:t>Taxes and Tax Returns</w:t>
      </w:r>
      <w:r>
        <w:rPr>
          <w:rFonts w:ascii="Arial" w:cs="Arial" w:eastAsia="Arial" w:hAnsi="Arial"/>
          <w:sz w:val="19"/>
          <w:szCs w:val="19"/>
          <w:color w:val="auto"/>
        </w:rPr>
        <w:t>. All United States federal income tax returns of the Company and the Subsidiaries required by law to have been filed by them (taking into account any applicable extensions) have been filed and all taxes shown by such returns or otherwise assessed, which are due and payable, have been paid, in each case, except assessments against which appeals have been or will be promptly taken and as to which adequate reserves have been provided or insofar as the failure to do so would not reasonably be expected, singly or in the aggregate, to result in a Material Adverse Effect. The United States federal income tax returns of the Company through the fiscal year ended September 30, 2020 have been filed, and no assessment in connection therewith has been made against the Company. The Company and the Subsidiaries have filed all other tax returns that are required to have been filed by them (taking into account any applicable extensions) pursuant to applicable foreign, state, local or other law and have paid all taxes due pursuant to such returns or pursuant to any assessment received by the Company and the Subsidiaries, except for such taxes, if any, as are being contested in good faith and as to which adequate reserves have been established by the Company or, in each case, insofar as the failure to pay such taxes or file such returns would not reasonably be expected to result in a Material Adverse Effect. The charges, accruals and reserves on the books of the Company in respect of any income and corporation tax liability for any years not finally determined are adequate to meet any current assessments or re-assessments for additional income tax for any years not finally determined, except to the extent of any inadequacy that would not reasonably be expected to result in a Material Adverse Effect.</w:t>
      </w:r>
    </w:p>
    <w:p>
      <w:pPr>
        <w:spacing w:after="0" w:line="156" w:lineRule="exact"/>
        <w:rPr>
          <w:rFonts w:ascii="Arial" w:cs="Arial" w:eastAsia="Arial" w:hAnsi="Arial"/>
          <w:sz w:val="19"/>
          <w:szCs w:val="19"/>
          <w:color w:val="auto"/>
        </w:rPr>
      </w:pPr>
    </w:p>
    <w:p>
      <w:pPr>
        <w:jc w:val="both"/>
        <w:ind w:left="760" w:firstLine="1494"/>
        <w:spacing w:after="0" w:line="249" w:lineRule="auto"/>
        <w:tabs>
          <w:tab w:leader="none" w:pos="3755" w:val="left"/>
        </w:tabs>
        <w:numPr>
          <w:ilvl w:val="0"/>
          <w:numId w:val="75"/>
        </w:numPr>
        <w:rPr>
          <w:rFonts w:ascii="Arial" w:cs="Arial" w:eastAsia="Arial" w:hAnsi="Arial"/>
          <w:sz w:val="21"/>
          <w:szCs w:val="21"/>
          <w:color w:val="auto"/>
        </w:rPr>
      </w:pPr>
      <w:r>
        <w:rPr>
          <w:rFonts w:ascii="Arial" w:cs="Arial" w:eastAsia="Arial" w:hAnsi="Arial"/>
          <w:sz w:val="21"/>
          <w:szCs w:val="21"/>
          <w:u w:val="single" w:color="auto"/>
          <w:color w:val="auto"/>
        </w:rPr>
        <w:t>Insurance</w:t>
      </w:r>
      <w:r>
        <w:rPr>
          <w:rFonts w:ascii="Arial" w:cs="Arial" w:eastAsia="Arial" w:hAnsi="Arial"/>
          <w:sz w:val="21"/>
          <w:szCs w:val="21"/>
          <w:color w:val="auto"/>
        </w:rPr>
        <w:t>. The Company and the Subsidiaries carry or are entitled to the benefits of insurance, with financially sound and reputable insurers, in such amounts and covering such risks as the Company reasonably believes is prudent, and all such insurance is in full force and effect. The Company has no reason to believe that it or any of the Subsidiaries will not be able (A) to renew its existing insurance coverage as and when such policies expire or (B) to obtain comparable coverage from similar institutions as may be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76" w:lineRule="exact"/>
        <w:rPr>
          <w:sz w:val="20"/>
          <w:szCs w:val="20"/>
          <w:color w:val="auto"/>
        </w:rPr>
      </w:pPr>
    </w:p>
    <w:p>
      <w:pPr>
        <w:spacing w:after="0"/>
        <w:rPr>
          <w:sz w:val="20"/>
          <w:szCs w:val="20"/>
          <w:color w:val="auto"/>
        </w:rPr>
      </w:pPr>
      <w:r>
        <w:rPr>
          <w:rFonts w:ascii="Arial" w:cs="Arial" w:eastAsia="Arial" w:hAnsi="Arial"/>
          <w:sz w:val="14"/>
          <w:szCs w:val="14"/>
          <w:color w:val="auto"/>
        </w:rPr>
        <w:t>28117909.1.BUSINESS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157720" cy="4254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15" w:name="page116"/>
    <w:bookmarkEnd w:id="115"/>
    <w:p>
      <w:pPr>
        <w:ind w:left="760"/>
        <w:spacing w:after="0" w:line="250" w:lineRule="auto"/>
        <w:rPr>
          <w:sz w:val="20"/>
          <w:szCs w:val="20"/>
          <w:color w:val="auto"/>
        </w:rPr>
      </w:pPr>
      <w:r>
        <w:rPr>
          <w:rFonts w:ascii="Arial" w:cs="Arial" w:eastAsia="Arial" w:hAnsi="Arial"/>
          <w:sz w:val="22"/>
          <w:szCs w:val="22"/>
          <w:color w:val="auto"/>
        </w:rPr>
        <w:t>necessary or appropriate to conduct its business as now conducted and at a cost that would not reasonably be expected to result in a Material Adverse Effect.</w:t>
      </w:r>
    </w:p>
    <w:p>
      <w:pPr>
        <w:spacing w:after="0" w:line="175" w:lineRule="exact"/>
        <w:rPr>
          <w:sz w:val="20"/>
          <w:szCs w:val="20"/>
          <w:color w:val="auto"/>
        </w:rPr>
      </w:pPr>
    </w:p>
    <w:p>
      <w:pPr>
        <w:jc w:val="both"/>
        <w:ind w:left="760" w:firstLine="1494"/>
        <w:spacing w:after="0" w:line="297" w:lineRule="auto"/>
        <w:tabs>
          <w:tab w:leader="none" w:pos="3755" w:val="left"/>
        </w:tabs>
        <w:numPr>
          <w:ilvl w:val="0"/>
          <w:numId w:val="76"/>
        </w:numPr>
        <w:rPr>
          <w:rFonts w:ascii="Arial" w:cs="Arial" w:eastAsia="Arial" w:hAnsi="Arial"/>
          <w:sz w:val="19"/>
          <w:szCs w:val="19"/>
          <w:color w:val="auto"/>
        </w:rPr>
      </w:pPr>
      <w:r>
        <w:rPr>
          <w:rFonts w:ascii="Arial" w:cs="Arial" w:eastAsia="Arial" w:hAnsi="Arial"/>
          <w:sz w:val="19"/>
          <w:szCs w:val="19"/>
          <w:u w:val="single" w:color="auto"/>
          <w:color w:val="auto"/>
        </w:rPr>
        <w:t>Investment Company Act</w:t>
      </w:r>
      <w:r>
        <w:rPr>
          <w:rFonts w:ascii="Arial" w:cs="Arial" w:eastAsia="Arial" w:hAnsi="Arial"/>
          <w:sz w:val="19"/>
          <w:szCs w:val="19"/>
          <w:color w:val="auto"/>
        </w:rPr>
        <w:t>. The Company is not required and, upon the issuance and sale of the Securities as herein contemplated and the application of the net proceeds therefrom as described in the Prospectus, will not be required to register as an “investment company” as such term is used in the 1940 Act.</w:t>
      </w:r>
    </w:p>
    <w:p>
      <w:pPr>
        <w:spacing w:after="0" w:line="133" w:lineRule="exact"/>
        <w:rPr>
          <w:rFonts w:ascii="Arial" w:cs="Arial" w:eastAsia="Arial" w:hAnsi="Arial"/>
          <w:sz w:val="19"/>
          <w:szCs w:val="19"/>
          <w:color w:val="auto"/>
        </w:rPr>
      </w:pPr>
    </w:p>
    <w:p>
      <w:pPr>
        <w:jc w:val="both"/>
        <w:ind w:left="760" w:firstLine="1494"/>
        <w:spacing w:after="0" w:line="238" w:lineRule="auto"/>
        <w:tabs>
          <w:tab w:leader="none" w:pos="3755" w:val="left"/>
        </w:tabs>
        <w:numPr>
          <w:ilvl w:val="0"/>
          <w:numId w:val="76"/>
        </w:numPr>
        <w:rPr>
          <w:rFonts w:ascii="Arial" w:cs="Arial" w:eastAsia="Arial" w:hAnsi="Arial"/>
          <w:sz w:val="22"/>
          <w:szCs w:val="22"/>
          <w:color w:val="auto"/>
        </w:rPr>
      </w:pPr>
      <w:r>
        <w:rPr>
          <w:rFonts w:ascii="Arial" w:cs="Arial" w:eastAsia="Arial" w:hAnsi="Arial"/>
          <w:sz w:val="22"/>
          <w:szCs w:val="22"/>
          <w:u w:val="single" w:color="auto"/>
          <w:color w:val="auto"/>
        </w:rPr>
        <w:t>Stabilization and Manipulation</w:t>
      </w:r>
      <w:r>
        <w:rPr>
          <w:rFonts w:ascii="Arial" w:cs="Arial" w:eastAsia="Arial" w:hAnsi="Arial"/>
          <w:sz w:val="22"/>
          <w:szCs w:val="22"/>
          <w:color w:val="auto"/>
        </w:rPr>
        <w:t>. The Company has not taken, nor will it take, directly or indirectly, without giving effect to any activities by the Sales Agent, any action designed, or that would reasonably be expected, to cause or result in, or that constitutes, any stabilization or manipulation of the price of the Securities, other than activity permitted pursuant to Rule 10b-18 under the 1934 Act.</w:t>
      </w:r>
    </w:p>
    <w:p>
      <w:pPr>
        <w:spacing w:after="0" w:line="184" w:lineRule="exact"/>
        <w:rPr>
          <w:rFonts w:ascii="Arial" w:cs="Arial" w:eastAsia="Arial" w:hAnsi="Arial"/>
          <w:sz w:val="22"/>
          <w:szCs w:val="22"/>
          <w:color w:val="auto"/>
        </w:rPr>
      </w:pPr>
    </w:p>
    <w:p>
      <w:pPr>
        <w:jc w:val="both"/>
        <w:ind w:left="760" w:firstLine="1494"/>
        <w:spacing w:after="0" w:line="272" w:lineRule="auto"/>
        <w:tabs>
          <w:tab w:leader="none" w:pos="3755" w:val="left"/>
        </w:tabs>
        <w:numPr>
          <w:ilvl w:val="0"/>
          <w:numId w:val="76"/>
        </w:numPr>
        <w:rPr>
          <w:rFonts w:ascii="Arial" w:cs="Arial" w:eastAsia="Arial" w:hAnsi="Arial"/>
          <w:sz w:val="19"/>
          <w:szCs w:val="19"/>
          <w:color w:val="auto"/>
        </w:rPr>
      </w:pPr>
      <w:r>
        <w:rPr>
          <w:rFonts w:ascii="Arial" w:cs="Arial" w:eastAsia="Arial" w:hAnsi="Arial"/>
          <w:sz w:val="19"/>
          <w:szCs w:val="19"/>
          <w:u w:val="single" w:color="auto"/>
          <w:color w:val="auto"/>
        </w:rPr>
        <w:t>Foreign Corrupt Practices Act</w:t>
      </w:r>
      <w:r>
        <w:rPr>
          <w:rFonts w:ascii="Arial" w:cs="Arial" w:eastAsia="Arial" w:hAnsi="Arial"/>
          <w:sz w:val="19"/>
          <w:szCs w:val="19"/>
          <w:color w:val="auto"/>
        </w:rPr>
        <w:t>. None of the Company, any of the Subsidiaries, or, to the knowledge of the Company, any director, officer or employee of the Company or any of the Subsidiaries or any agent, controlled affiliate or other person acting on behalf of the Company or any of the Subsidiaries is aware of, has taken or will take any action, directly or indirectly, that would result in a violation by such persons of the Foreign Corrupt Practices Act of 1977, as amended, and the rules and regulations thereunder (the “FCPA”), including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and to the knowledge of the Company, the Company and its Subsidiaries have conducted their businesses in compliance with the FCPA and have instituted and maintain policies and procedures designed to ensure, and which are reasonably expected to continue to ensure, continued compliance therewith.</w:t>
      </w:r>
    </w:p>
    <w:p>
      <w:pPr>
        <w:spacing w:after="0" w:line="200" w:lineRule="exact"/>
        <w:rPr>
          <w:rFonts w:ascii="Arial" w:cs="Arial" w:eastAsia="Arial" w:hAnsi="Arial"/>
          <w:sz w:val="19"/>
          <w:szCs w:val="19"/>
          <w:color w:val="auto"/>
        </w:rPr>
      </w:pPr>
    </w:p>
    <w:p>
      <w:pPr>
        <w:spacing w:after="0" w:line="208" w:lineRule="exact"/>
        <w:rPr>
          <w:rFonts w:ascii="Arial" w:cs="Arial" w:eastAsia="Arial" w:hAnsi="Arial"/>
          <w:sz w:val="19"/>
          <w:szCs w:val="19"/>
          <w:color w:val="auto"/>
        </w:rPr>
      </w:pPr>
    </w:p>
    <w:p>
      <w:pPr>
        <w:jc w:val="both"/>
        <w:ind w:left="760" w:firstLine="1494"/>
        <w:spacing w:after="0" w:line="275" w:lineRule="auto"/>
        <w:tabs>
          <w:tab w:leader="none" w:pos="3755" w:val="left"/>
        </w:tabs>
        <w:numPr>
          <w:ilvl w:val="0"/>
          <w:numId w:val="76"/>
        </w:numPr>
        <w:rPr>
          <w:rFonts w:ascii="Arial" w:cs="Arial" w:eastAsia="Arial" w:hAnsi="Arial"/>
          <w:sz w:val="19"/>
          <w:szCs w:val="19"/>
          <w:color w:val="auto"/>
        </w:rPr>
      </w:pPr>
      <w:r>
        <w:rPr>
          <w:rFonts w:ascii="Arial" w:cs="Arial" w:eastAsia="Arial" w:hAnsi="Arial"/>
          <w:sz w:val="19"/>
          <w:szCs w:val="19"/>
          <w:u w:val="single" w:color="auto"/>
          <w:color w:val="auto"/>
        </w:rPr>
        <w:t>Anti-Money Laundering Laws</w:t>
      </w:r>
      <w:r>
        <w:rPr>
          <w:rFonts w:ascii="Arial" w:cs="Arial" w:eastAsia="Arial" w:hAnsi="Arial"/>
          <w:sz w:val="19"/>
          <w:szCs w:val="19"/>
          <w:color w:val="auto"/>
        </w:rPr>
        <w:t>. The operations of the Company and the Subsidiaries are and have been conducted at all times in compliance with applicable financial recordkeeping and reporting requirements of the Currency and Foreign Transactions Reporting Act of 1970, as amended, the applicable anti-money laundering statutes of the jurisdictions in which the Company and the Subsidiaries conduct business, the rules and regulations thereunder and any other relevant laws, rules, regulations or guidelines, issued, administered or enforced by any Governmental Entity (collectively, the “Anti-Money Laundering Laws”); and no action, suit or proceeding by or before any Governmental Entity involving the Company or any of the Subsidiaries with respect to the Anti-Money Laundering Laws is pending or, to the best knowledge of the Company, threatened.</w:t>
      </w:r>
    </w:p>
    <w:p>
      <w:pPr>
        <w:spacing w:after="0" w:line="157" w:lineRule="exact"/>
        <w:rPr>
          <w:rFonts w:ascii="Arial" w:cs="Arial" w:eastAsia="Arial" w:hAnsi="Arial"/>
          <w:sz w:val="19"/>
          <w:szCs w:val="19"/>
          <w:color w:val="auto"/>
        </w:rPr>
      </w:pPr>
    </w:p>
    <w:p>
      <w:pPr>
        <w:jc w:val="both"/>
        <w:ind w:left="760" w:firstLine="1494"/>
        <w:spacing w:after="0" w:line="238" w:lineRule="auto"/>
        <w:tabs>
          <w:tab w:leader="none" w:pos="3755" w:val="left"/>
        </w:tabs>
        <w:numPr>
          <w:ilvl w:val="0"/>
          <w:numId w:val="76"/>
        </w:numPr>
        <w:rPr>
          <w:rFonts w:ascii="Arial" w:cs="Arial" w:eastAsia="Arial" w:hAnsi="Arial"/>
          <w:sz w:val="22"/>
          <w:szCs w:val="22"/>
          <w:color w:val="auto"/>
        </w:rPr>
      </w:pPr>
      <w:r>
        <w:rPr>
          <w:rFonts w:ascii="Arial" w:cs="Arial" w:eastAsia="Arial" w:hAnsi="Arial"/>
          <w:sz w:val="22"/>
          <w:szCs w:val="22"/>
          <w:u w:val="single" w:color="auto"/>
          <w:color w:val="auto"/>
        </w:rPr>
        <w:t>OFAC</w:t>
      </w:r>
      <w:r>
        <w:rPr>
          <w:rFonts w:ascii="Arial" w:cs="Arial" w:eastAsia="Arial" w:hAnsi="Arial"/>
          <w:sz w:val="22"/>
          <w:szCs w:val="22"/>
          <w:color w:val="auto"/>
        </w:rPr>
        <w:t>. None of the Company, any of the Subsidiaries, or, to the knowledge of the Company, any director, officer or employee of the Company or any of the Subsidiaries or any agent, controlled affiliate or other person acting on behalf of the Company or any of the Subsidiaries is an individual or entity (“Person”), or is controlled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76" w:lineRule="exact"/>
        <w:rPr>
          <w:sz w:val="20"/>
          <w:szCs w:val="20"/>
          <w:color w:val="auto"/>
        </w:rPr>
      </w:pPr>
    </w:p>
    <w:p>
      <w:pPr>
        <w:spacing w:after="0"/>
        <w:rPr>
          <w:sz w:val="20"/>
          <w:szCs w:val="20"/>
          <w:color w:val="auto"/>
        </w:rPr>
      </w:pPr>
      <w:r>
        <w:rPr>
          <w:rFonts w:ascii="Arial" w:cs="Arial" w:eastAsia="Arial" w:hAnsi="Arial"/>
          <w:sz w:val="14"/>
          <w:szCs w:val="14"/>
          <w:color w:val="auto"/>
        </w:rPr>
        <w:t>28117909.1.BUSINESS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157720" cy="4254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16" w:name="page117"/>
    <w:bookmarkEnd w:id="116"/>
    <w:p>
      <w:pPr>
        <w:jc w:val="both"/>
        <w:ind w:left="760"/>
        <w:spacing w:after="0" w:line="246" w:lineRule="auto"/>
        <w:rPr>
          <w:sz w:val="20"/>
          <w:szCs w:val="20"/>
          <w:color w:val="auto"/>
        </w:rPr>
      </w:pPr>
      <w:r>
        <w:rPr>
          <w:rFonts w:ascii="Arial" w:cs="Arial" w:eastAsia="Arial" w:hAnsi="Arial"/>
          <w:sz w:val="21"/>
          <w:szCs w:val="21"/>
          <w:color w:val="auto"/>
        </w:rPr>
        <w:t>by a Person that is, (i) currently the subject or target of any sanctions administered or enforced by the United States Government, including the U.S. Department of the Treasury’s Office of Foreign Assets Control (“OFAC”), the United Nations Security Council, the European Union, Her Majesty’s Treasury, or other relevant sanctions authority (collectively, “Sanctions”), or (ii) located, organized or resident in a country or territory that is itself the subject of Sanctions. In the past five (5) years, the Company and the Subsidiaries have not knowingly engaged in, and are not now knowingly engaged in, any unauthorized dealings or transactions with any Person that at the time of the dealing or transaction is or was the subject or target of Sanctions.</w:t>
      </w:r>
    </w:p>
    <w:p>
      <w:pPr>
        <w:spacing w:after="0" w:line="184" w:lineRule="exact"/>
        <w:rPr>
          <w:sz w:val="20"/>
          <w:szCs w:val="20"/>
          <w:color w:val="auto"/>
        </w:rPr>
      </w:pPr>
    </w:p>
    <w:p>
      <w:pPr>
        <w:jc w:val="both"/>
        <w:ind w:left="760" w:firstLine="1494"/>
        <w:spacing w:after="0" w:line="238" w:lineRule="auto"/>
        <w:tabs>
          <w:tab w:leader="none" w:pos="3755" w:val="left"/>
        </w:tabs>
        <w:numPr>
          <w:ilvl w:val="0"/>
          <w:numId w:val="77"/>
        </w:numPr>
        <w:rPr>
          <w:rFonts w:ascii="Arial" w:cs="Arial" w:eastAsia="Arial" w:hAnsi="Arial"/>
          <w:sz w:val="22"/>
          <w:szCs w:val="22"/>
          <w:color w:val="auto"/>
        </w:rPr>
      </w:pPr>
      <w:r>
        <w:rPr>
          <w:rFonts w:ascii="Arial" w:cs="Arial" w:eastAsia="Arial" w:hAnsi="Arial"/>
          <w:sz w:val="22"/>
          <w:szCs w:val="22"/>
          <w:u w:val="single" w:color="auto"/>
          <w:color w:val="auto"/>
        </w:rPr>
        <w:t>Lending Relationship</w:t>
      </w:r>
      <w:r>
        <w:rPr>
          <w:rFonts w:ascii="Arial" w:cs="Arial" w:eastAsia="Arial" w:hAnsi="Arial"/>
          <w:sz w:val="22"/>
          <w:szCs w:val="22"/>
          <w:color w:val="auto"/>
        </w:rPr>
        <w:t>. Except as disclosed in the Registration Statement and the Prospectus, the Company (i) does not have any material lending or other relationship with any bank or lending affiliate of the Sales Agent and (ii) does not intend to use any of the proceeds from the sale of the Securities to repay any outstanding debt owed to any affiliate of the Sales Agent.</w:t>
      </w:r>
    </w:p>
    <w:p>
      <w:pPr>
        <w:spacing w:after="0" w:line="184" w:lineRule="exact"/>
        <w:rPr>
          <w:rFonts w:ascii="Arial" w:cs="Arial" w:eastAsia="Arial" w:hAnsi="Arial"/>
          <w:sz w:val="22"/>
          <w:szCs w:val="22"/>
          <w:color w:val="auto"/>
        </w:rPr>
      </w:pPr>
    </w:p>
    <w:p>
      <w:pPr>
        <w:jc w:val="both"/>
        <w:ind w:left="760" w:firstLine="1494"/>
        <w:spacing w:after="0" w:line="238" w:lineRule="auto"/>
        <w:tabs>
          <w:tab w:leader="none" w:pos="3755" w:val="left"/>
        </w:tabs>
        <w:numPr>
          <w:ilvl w:val="0"/>
          <w:numId w:val="77"/>
        </w:numPr>
        <w:rPr>
          <w:rFonts w:ascii="Arial" w:cs="Arial" w:eastAsia="Arial" w:hAnsi="Arial"/>
          <w:sz w:val="22"/>
          <w:szCs w:val="22"/>
          <w:color w:val="auto"/>
        </w:rPr>
      </w:pPr>
      <w:r>
        <w:rPr>
          <w:rFonts w:ascii="Arial" w:cs="Arial" w:eastAsia="Arial" w:hAnsi="Arial"/>
          <w:sz w:val="22"/>
          <w:szCs w:val="22"/>
          <w:u w:val="single" w:color="auto"/>
          <w:color w:val="auto"/>
        </w:rPr>
        <w:t>Statistical and Market-Related Data</w:t>
      </w:r>
      <w:r>
        <w:rPr>
          <w:rFonts w:ascii="Arial" w:cs="Arial" w:eastAsia="Arial" w:hAnsi="Arial"/>
          <w:sz w:val="22"/>
          <w:szCs w:val="22"/>
          <w:color w:val="auto"/>
        </w:rPr>
        <w:t>. Any statistical and market-related data included or incorporated by reference in the Registration Statement or the Prospectus are based on or derived from sources that the Company believes to be reliable and accurate and, to the extent required, the Company has obtained the written consent to the use of such data from such sources.</w:t>
      </w:r>
    </w:p>
    <w:p>
      <w:pPr>
        <w:spacing w:after="0" w:line="184" w:lineRule="exact"/>
        <w:rPr>
          <w:rFonts w:ascii="Arial" w:cs="Arial" w:eastAsia="Arial" w:hAnsi="Arial"/>
          <w:sz w:val="22"/>
          <w:szCs w:val="22"/>
          <w:color w:val="auto"/>
        </w:rPr>
      </w:pPr>
    </w:p>
    <w:p>
      <w:pPr>
        <w:jc w:val="both"/>
        <w:ind w:left="760" w:firstLine="1494"/>
        <w:spacing w:after="0"/>
        <w:tabs>
          <w:tab w:leader="none" w:pos="3755" w:val="left"/>
        </w:tabs>
        <w:numPr>
          <w:ilvl w:val="0"/>
          <w:numId w:val="77"/>
        </w:numPr>
        <w:rPr>
          <w:rFonts w:ascii="Arial" w:cs="Arial" w:eastAsia="Arial" w:hAnsi="Arial"/>
          <w:sz w:val="22"/>
          <w:szCs w:val="22"/>
          <w:color w:val="auto"/>
        </w:rPr>
      </w:pPr>
      <w:r>
        <w:rPr>
          <w:rFonts w:ascii="Arial" w:cs="Arial" w:eastAsia="Arial" w:hAnsi="Arial"/>
          <w:sz w:val="22"/>
          <w:szCs w:val="22"/>
          <w:u w:val="single" w:color="auto"/>
          <w:color w:val="auto"/>
        </w:rPr>
        <w:t>Related Party Transactions</w:t>
      </w:r>
      <w:r>
        <w:rPr>
          <w:rFonts w:ascii="Arial" w:cs="Arial" w:eastAsia="Arial" w:hAnsi="Arial"/>
          <w:sz w:val="22"/>
          <w:szCs w:val="22"/>
          <w:color w:val="auto"/>
        </w:rPr>
        <w:t>. There are no business relationships or related party transactions involving the Company, any of the Subsidiaries or any other person required to be described in the Registration Statement or the Prospectus which have not been described as required.</w:t>
      </w:r>
    </w:p>
    <w:p>
      <w:pPr>
        <w:spacing w:after="0" w:line="186" w:lineRule="exact"/>
        <w:rPr>
          <w:rFonts w:ascii="Arial" w:cs="Arial" w:eastAsia="Arial" w:hAnsi="Arial"/>
          <w:sz w:val="22"/>
          <w:szCs w:val="22"/>
          <w:color w:val="auto"/>
        </w:rPr>
      </w:pPr>
    </w:p>
    <w:p>
      <w:pPr>
        <w:jc w:val="both"/>
        <w:ind w:left="760" w:firstLine="1494"/>
        <w:spacing w:after="0" w:line="236" w:lineRule="auto"/>
        <w:tabs>
          <w:tab w:leader="none" w:pos="3755" w:val="left"/>
        </w:tabs>
        <w:numPr>
          <w:ilvl w:val="0"/>
          <w:numId w:val="77"/>
        </w:numPr>
        <w:rPr>
          <w:rFonts w:ascii="Arial" w:cs="Arial" w:eastAsia="Arial" w:hAnsi="Arial"/>
          <w:sz w:val="22"/>
          <w:szCs w:val="22"/>
          <w:color w:val="auto"/>
        </w:rPr>
      </w:pPr>
      <w:r>
        <w:rPr>
          <w:rFonts w:ascii="Arial" w:cs="Arial" w:eastAsia="Arial" w:hAnsi="Arial"/>
          <w:sz w:val="22"/>
          <w:szCs w:val="22"/>
          <w:u w:val="single" w:color="auto"/>
          <w:color w:val="auto"/>
        </w:rPr>
        <w:t>Notification of Election</w:t>
      </w:r>
      <w:r>
        <w:rPr>
          <w:rFonts w:ascii="Arial" w:cs="Arial" w:eastAsia="Arial" w:hAnsi="Arial"/>
          <w:sz w:val="22"/>
          <w:szCs w:val="22"/>
          <w:color w:val="auto"/>
        </w:rPr>
        <w:t>. When the Notification of Election was filed with the Commission, it (A) contained all statements required to be stated therein in accordance with, and complied in all material respects with the requirements of, the 1940 Act and (B) did not include any untrue statement of a material fact or omit to state a material fact necessary in order to make the statements therein, in the light of the circumstances under which they were made, not misleading.</w:t>
      </w:r>
    </w:p>
    <w:p>
      <w:pPr>
        <w:spacing w:after="0" w:line="187" w:lineRule="exact"/>
        <w:rPr>
          <w:rFonts w:ascii="Arial" w:cs="Arial" w:eastAsia="Arial" w:hAnsi="Arial"/>
          <w:sz w:val="22"/>
          <w:szCs w:val="22"/>
          <w:color w:val="auto"/>
        </w:rPr>
      </w:pPr>
    </w:p>
    <w:p>
      <w:pPr>
        <w:jc w:val="both"/>
        <w:ind w:left="760" w:firstLine="1494"/>
        <w:spacing w:after="0" w:line="273" w:lineRule="auto"/>
        <w:tabs>
          <w:tab w:leader="none" w:pos="3755" w:val="left"/>
        </w:tabs>
        <w:numPr>
          <w:ilvl w:val="0"/>
          <w:numId w:val="77"/>
        </w:numPr>
        <w:rPr>
          <w:rFonts w:ascii="Arial" w:cs="Arial" w:eastAsia="Arial" w:hAnsi="Arial"/>
          <w:sz w:val="19"/>
          <w:szCs w:val="19"/>
          <w:color w:val="auto"/>
        </w:rPr>
      </w:pPr>
      <w:r>
        <w:rPr>
          <w:rFonts w:ascii="Arial" w:cs="Arial" w:eastAsia="Arial" w:hAnsi="Arial"/>
          <w:sz w:val="19"/>
          <w:szCs w:val="19"/>
          <w:u w:val="single" w:color="auto"/>
          <w:color w:val="auto"/>
        </w:rPr>
        <w:t>Investment Management Agreement and Administration Agreement</w:t>
      </w:r>
      <w:r>
        <w:rPr>
          <w:rFonts w:ascii="Arial" w:cs="Arial" w:eastAsia="Arial" w:hAnsi="Arial"/>
          <w:sz w:val="19"/>
          <w:szCs w:val="19"/>
          <w:color w:val="auto"/>
        </w:rPr>
        <w:t>. (A) The terms of the Investment Management Agreement and the Administration Agreement, including compensation terms, comply in all material respects with all applicable provisions of the 1940 Act, the 1940 Act Regulations and the Investment Advisers Act of 1940, as amended, and the rules and regulations thereunder (collectively, the “Advisers Act”) and (B) the approvals by the board of directors and the stockholders of the Company of the Investment Management Agreement and the Administration Agreement have been made in accordance with the requirements of Section 15(a) and (c) of the 1940 Act and the 1940 Act Regulations applicable to companies that have elected to be regulated as business development companies under the 1940 Act. Each of the Investment Management Agreement and the Administration Agreement has been duly authorized, executed and delivered by the Company and is a valid and binding obligation of the Company, enforceable against the Company in accordance with its terms, except as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76" w:lineRule="exact"/>
        <w:rPr>
          <w:sz w:val="20"/>
          <w:szCs w:val="20"/>
          <w:color w:val="auto"/>
        </w:rPr>
      </w:pPr>
    </w:p>
    <w:p>
      <w:pPr>
        <w:spacing w:after="0"/>
        <w:rPr>
          <w:sz w:val="20"/>
          <w:szCs w:val="20"/>
          <w:color w:val="auto"/>
        </w:rPr>
      </w:pPr>
      <w:r>
        <w:rPr>
          <w:rFonts w:ascii="Arial" w:cs="Arial" w:eastAsia="Arial" w:hAnsi="Arial"/>
          <w:sz w:val="14"/>
          <w:szCs w:val="14"/>
          <w:color w:val="auto"/>
        </w:rPr>
        <w:t>28117909.1.BUSINESS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157720" cy="4254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17" w:name="page118"/>
    <w:bookmarkEnd w:id="117"/>
    <w:p>
      <w:pPr>
        <w:jc w:val="both"/>
        <w:ind w:left="760"/>
        <w:spacing w:after="0"/>
        <w:rPr>
          <w:sz w:val="20"/>
          <w:szCs w:val="20"/>
          <w:color w:val="auto"/>
        </w:rPr>
      </w:pPr>
      <w:r>
        <w:rPr>
          <w:rFonts w:ascii="Arial" w:cs="Arial" w:eastAsia="Arial" w:hAnsi="Arial"/>
          <w:sz w:val="22"/>
          <w:szCs w:val="22"/>
          <w:color w:val="auto"/>
        </w:rPr>
        <w:t>the enforcement thereof may be subject to (i) bankruptcy, insolvency, reorganization, moratorium or other similar laws now or thereafter in effect relating to creditors’ rights generally and (ii) general principles of equity and the discretion of the court before which any proceeding therefor may be brought.</w:t>
      </w:r>
    </w:p>
    <w:p>
      <w:pPr>
        <w:spacing w:after="0" w:line="186" w:lineRule="exact"/>
        <w:rPr>
          <w:sz w:val="20"/>
          <w:szCs w:val="20"/>
          <w:color w:val="auto"/>
        </w:rPr>
      </w:pPr>
    </w:p>
    <w:p>
      <w:pPr>
        <w:jc w:val="both"/>
        <w:ind w:left="760" w:firstLine="1494"/>
        <w:spacing w:after="0" w:line="236" w:lineRule="auto"/>
        <w:tabs>
          <w:tab w:leader="none" w:pos="3755" w:val="left"/>
        </w:tabs>
        <w:numPr>
          <w:ilvl w:val="0"/>
          <w:numId w:val="78"/>
        </w:numPr>
        <w:rPr>
          <w:rFonts w:ascii="Arial" w:cs="Arial" w:eastAsia="Arial" w:hAnsi="Arial"/>
          <w:sz w:val="22"/>
          <w:szCs w:val="22"/>
          <w:color w:val="auto"/>
        </w:rPr>
      </w:pPr>
      <w:r>
        <w:rPr>
          <w:rFonts w:ascii="Arial" w:cs="Arial" w:eastAsia="Arial" w:hAnsi="Arial"/>
          <w:sz w:val="22"/>
          <w:szCs w:val="22"/>
          <w:u w:val="single" w:color="auto"/>
          <w:color w:val="auto"/>
        </w:rPr>
        <w:t>Interested Persons</w:t>
      </w:r>
      <w:r>
        <w:rPr>
          <w:rFonts w:ascii="Arial" w:cs="Arial" w:eastAsia="Arial" w:hAnsi="Arial"/>
          <w:sz w:val="22"/>
          <w:szCs w:val="22"/>
          <w:color w:val="auto"/>
        </w:rPr>
        <w:t>. Except as disclosed in the Registration Statement and the Prospectus (A) no person is serving or acting as an officer, director or investment adviser of the Company, except in accordance with the provisions of the 1940 Act and the Advisers Act, and (B) to the knowledge of the Company, no director of the Company is an “interested person” (as defined in the 1940 Act) of the Company or an “affiliated person” (as defined in the 1940 Act) of the Sales Agent.</w:t>
      </w:r>
    </w:p>
    <w:p>
      <w:pPr>
        <w:spacing w:after="0" w:line="187" w:lineRule="exact"/>
        <w:rPr>
          <w:rFonts w:ascii="Arial" w:cs="Arial" w:eastAsia="Arial" w:hAnsi="Arial"/>
          <w:sz w:val="22"/>
          <w:szCs w:val="22"/>
          <w:color w:val="auto"/>
        </w:rPr>
      </w:pPr>
    </w:p>
    <w:p>
      <w:pPr>
        <w:jc w:val="both"/>
        <w:ind w:left="760" w:firstLine="1494"/>
        <w:spacing w:after="0" w:line="246" w:lineRule="auto"/>
        <w:tabs>
          <w:tab w:leader="none" w:pos="3755" w:val="left"/>
        </w:tabs>
        <w:numPr>
          <w:ilvl w:val="0"/>
          <w:numId w:val="78"/>
        </w:numPr>
        <w:rPr>
          <w:rFonts w:ascii="Arial" w:cs="Arial" w:eastAsia="Arial" w:hAnsi="Arial"/>
          <w:sz w:val="21"/>
          <w:szCs w:val="21"/>
          <w:color w:val="auto"/>
        </w:rPr>
      </w:pPr>
      <w:r>
        <w:rPr>
          <w:rFonts w:ascii="Arial" w:cs="Arial" w:eastAsia="Arial" w:hAnsi="Arial"/>
          <w:sz w:val="21"/>
          <w:szCs w:val="21"/>
          <w:u w:val="single" w:color="auto"/>
          <w:color w:val="auto"/>
        </w:rPr>
        <w:t>Business Development Company</w:t>
      </w:r>
      <w:r>
        <w:rPr>
          <w:rFonts w:ascii="Arial" w:cs="Arial" w:eastAsia="Arial" w:hAnsi="Arial"/>
          <w:sz w:val="21"/>
          <w:szCs w:val="21"/>
          <w:color w:val="auto"/>
        </w:rPr>
        <w:t>. (A) The Company has duly elected to be treated by the Commission under the 1940 Act as a business development company, such election is effective and all required action has been taken by the Company under the 1933 Act and the 1940 Act to make the public offering and consummate the sale of the Securities as provided in this Agreement; (B) the provisions of the charter and bylaws of the Company, and the investment objectives, policies and restrictions described in the Prospectus comply in all material respects with the requirements of the 1940 Act applicable to business development companies; and (C) the operations of the Company are in compliance in all material respects with the provisions of the 1940 Act and the 1940 Act Regulations applicable to business development companies.</w:t>
      </w:r>
    </w:p>
    <w:p>
      <w:pPr>
        <w:spacing w:after="0" w:line="179" w:lineRule="exact"/>
        <w:rPr>
          <w:rFonts w:ascii="Arial" w:cs="Arial" w:eastAsia="Arial" w:hAnsi="Arial"/>
          <w:sz w:val="21"/>
          <w:szCs w:val="21"/>
          <w:color w:val="auto"/>
        </w:rPr>
      </w:pPr>
    </w:p>
    <w:p>
      <w:pPr>
        <w:jc w:val="both"/>
        <w:ind w:left="760" w:firstLine="1494"/>
        <w:spacing w:after="0" w:line="252" w:lineRule="auto"/>
        <w:tabs>
          <w:tab w:leader="none" w:pos="3755" w:val="left"/>
        </w:tabs>
        <w:numPr>
          <w:ilvl w:val="0"/>
          <w:numId w:val="78"/>
        </w:numPr>
        <w:rPr>
          <w:rFonts w:ascii="Arial" w:cs="Arial" w:eastAsia="Arial" w:hAnsi="Arial"/>
          <w:sz w:val="21"/>
          <w:szCs w:val="21"/>
          <w:color w:val="auto"/>
        </w:rPr>
      </w:pPr>
      <w:r>
        <w:rPr>
          <w:rFonts w:ascii="Arial" w:cs="Arial" w:eastAsia="Arial" w:hAnsi="Arial"/>
          <w:sz w:val="21"/>
          <w:szCs w:val="21"/>
          <w:u w:val="single" w:color="auto"/>
          <w:color w:val="auto"/>
        </w:rPr>
        <w:t>No Extension of Credit</w:t>
      </w:r>
      <w:r>
        <w:rPr>
          <w:rFonts w:ascii="Arial" w:cs="Arial" w:eastAsia="Arial" w:hAnsi="Arial"/>
          <w:sz w:val="21"/>
          <w:szCs w:val="21"/>
          <w:color w:val="auto"/>
        </w:rPr>
        <w:t>. The Company has not, directly or indirectly, extended credit, agreed to extend credit, arranged to extend credit or renewed any extension of credit, in the form of a personal loan, to or for any director or executive officer of the Company or any of the Subsidiaries, or to or for any family member or affiliate of any director or executive officer of the Company or any of the Subsidiaries.</w:t>
      </w:r>
    </w:p>
    <w:p>
      <w:pPr>
        <w:spacing w:after="0" w:line="174" w:lineRule="exact"/>
        <w:rPr>
          <w:sz w:val="20"/>
          <w:szCs w:val="20"/>
          <w:color w:val="auto"/>
        </w:rPr>
      </w:pPr>
    </w:p>
    <w:p>
      <w:pPr>
        <w:jc w:val="both"/>
        <w:ind w:left="760" w:firstLine="1497"/>
        <w:spacing w:after="0" w:line="236" w:lineRule="auto"/>
        <w:rPr>
          <w:sz w:val="20"/>
          <w:szCs w:val="20"/>
          <w:color w:val="auto"/>
        </w:rPr>
      </w:pPr>
      <w:r>
        <w:rPr>
          <w:rFonts w:ascii="Arial" w:cs="Arial" w:eastAsia="Arial" w:hAnsi="Arial"/>
          <w:sz w:val="22"/>
          <w:szCs w:val="22"/>
          <w:color w:val="auto"/>
        </w:rPr>
        <w:t xml:space="preserve">(xl) </w:t>
      </w:r>
      <w:r>
        <w:rPr>
          <w:rFonts w:ascii="Arial" w:cs="Arial" w:eastAsia="Arial" w:hAnsi="Arial"/>
          <w:sz w:val="22"/>
          <w:szCs w:val="22"/>
          <w:u w:val="single" w:color="auto"/>
          <w:color w:val="auto"/>
        </w:rPr>
        <w:t>Regulated Investment Company</w:t>
      </w:r>
      <w:r>
        <w:rPr>
          <w:rFonts w:ascii="Arial" w:cs="Arial" w:eastAsia="Arial" w:hAnsi="Arial"/>
          <w:sz w:val="22"/>
          <w:szCs w:val="22"/>
          <w:color w:val="auto"/>
        </w:rPr>
        <w:t>. The Company has elected to be treated, and has operated, and intends to continue to operate, its business in such a manner as to enable the Company to continue to qualify as a regulated investment company under Subchapter M of U.S. Internal Revenue Code of 1986, as amended (the “Code”). The Company intends to direct the investment of the proceeds of the offering of the Securities in a manner as to comply with the requirements of Subchapter M of the Code.</w:t>
      </w:r>
    </w:p>
    <w:p>
      <w:pPr>
        <w:spacing w:after="0" w:line="187" w:lineRule="exact"/>
        <w:rPr>
          <w:sz w:val="20"/>
          <w:szCs w:val="20"/>
          <w:color w:val="auto"/>
        </w:rPr>
      </w:pPr>
    </w:p>
    <w:p>
      <w:pPr>
        <w:jc w:val="both"/>
        <w:ind w:left="760" w:firstLine="1497"/>
        <w:spacing w:after="0" w:line="236" w:lineRule="auto"/>
        <w:rPr>
          <w:sz w:val="20"/>
          <w:szCs w:val="20"/>
          <w:color w:val="auto"/>
        </w:rPr>
      </w:pPr>
      <w:r>
        <w:rPr>
          <w:rFonts w:ascii="Arial" w:cs="Arial" w:eastAsia="Arial" w:hAnsi="Arial"/>
          <w:sz w:val="22"/>
          <w:szCs w:val="22"/>
          <w:color w:val="auto"/>
        </w:rPr>
        <w:t xml:space="preserve">(xli) </w:t>
      </w:r>
      <w:r>
        <w:rPr>
          <w:rFonts w:ascii="Arial" w:cs="Arial" w:eastAsia="Arial" w:hAnsi="Arial"/>
          <w:sz w:val="22"/>
          <w:szCs w:val="22"/>
          <w:u w:val="single" w:color="auto"/>
          <w:color w:val="auto"/>
        </w:rPr>
        <w:t>Sarbanes-Oxley Act</w:t>
      </w:r>
      <w:r>
        <w:rPr>
          <w:rFonts w:ascii="Arial" w:cs="Arial" w:eastAsia="Arial" w:hAnsi="Arial"/>
          <w:sz w:val="22"/>
          <w:szCs w:val="22"/>
          <w:color w:val="auto"/>
        </w:rPr>
        <w:t>. To the extent applicable to the Company on the date hereof, there is and has been no failure on the part of the Company or, to the knowledge of the Company, any of the Company’s directors or officers, in their capacities as such, to comply in all material respects with any provision of the Sarbanes-Oxley Act of 2002 and the rules and regulations promulgated in connection therewith, including Section 402 related to loans and Sections 302 and 906 related to certifications.</w:t>
      </w:r>
    </w:p>
    <w:p>
      <w:pPr>
        <w:spacing w:after="0" w:line="187" w:lineRule="exact"/>
        <w:rPr>
          <w:sz w:val="20"/>
          <w:szCs w:val="20"/>
          <w:color w:val="auto"/>
        </w:rPr>
      </w:pPr>
    </w:p>
    <w:p>
      <w:pPr>
        <w:jc w:val="both"/>
        <w:ind w:left="760" w:firstLine="1497"/>
        <w:spacing w:after="0" w:line="257" w:lineRule="auto"/>
        <w:rPr>
          <w:sz w:val="20"/>
          <w:szCs w:val="20"/>
          <w:color w:val="auto"/>
        </w:rPr>
      </w:pPr>
      <w:r>
        <w:rPr>
          <w:rFonts w:ascii="Arial" w:cs="Arial" w:eastAsia="Arial" w:hAnsi="Arial"/>
          <w:sz w:val="21"/>
          <w:szCs w:val="21"/>
          <w:color w:val="auto"/>
        </w:rPr>
        <w:t xml:space="preserve">(xlii) </w:t>
      </w:r>
      <w:r>
        <w:rPr>
          <w:rFonts w:ascii="Arial" w:cs="Arial" w:eastAsia="Arial" w:hAnsi="Arial"/>
          <w:sz w:val="21"/>
          <w:szCs w:val="21"/>
          <w:u w:val="single" w:color="auto"/>
          <w:color w:val="auto"/>
        </w:rPr>
        <w:t>Forward-Looking Statements</w:t>
      </w:r>
      <w:r>
        <w:rPr>
          <w:rFonts w:ascii="Arial" w:cs="Arial" w:eastAsia="Arial" w:hAnsi="Arial"/>
          <w:sz w:val="21"/>
          <w:szCs w:val="21"/>
          <w:i w:val="1"/>
          <w:iCs w:val="1"/>
          <w:color w:val="auto"/>
        </w:rPr>
        <w:t>.</w:t>
      </w:r>
      <w:r>
        <w:rPr>
          <w:rFonts w:ascii="Arial" w:cs="Arial" w:eastAsia="Arial" w:hAnsi="Arial"/>
          <w:sz w:val="21"/>
          <w:szCs w:val="21"/>
          <w:color w:val="auto"/>
        </w:rPr>
        <w:t xml:space="preserve"> No forward-looking statement (within the meaning of Section 27A of the 1933 Act and Section 21E of the 1934 Act) contained in the Registration Statement or the Prospectus has been made or reaffirmed without a reasonable basis or has been disclosed other than in good faith.</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76" w:lineRule="exact"/>
        <w:rPr>
          <w:sz w:val="20"/>
          <w:szCs w:val="20"/>
          <w:color w:val="auto"/>
        </w:rPr>
      </w:pPr>
    </w:p>
    <w:p>
      <w:pPr>
        <w:spacing w:after="0"/>
        <w:rPr>
          <w:sz w:val="20"/>
          <w:szCs w:val="20"/>
          <w:color w:val="auto"/>
        </w:rPr>
      </w:pPr>
      <w:r>
        <w:rPr>
          <w:rFonts w:ascii="Arial" w:cs="Arial" w:eastAsia="Arial" w:hAnsi="Arial"/>
          <w:sz w:val="14"/>
          <w:szCs w:val="14"/>
          <w:color w:val="auto"/>
        </w:rPr>
        <w:t>28117909.1.BUSINESS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157720" cy="4254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18" w:name="page119"/>
    <w:bookmarkEnd w:id="118"/>
    <w:p>
      <w:pPr>
        <w:jc w:val="both"/>
        <w:ind w:left="760" w:firstLine="1497"/>
        <w:spacing w:after="0" w:line="270" w:lineRule="auto"/>
        <w:rPr>
          <w:sz w:val="20"/>
          <w:szCs w:val="20"/>
          <w:color w:val="auto"/>
        </w:rPr>
      </w:pPr>
      <w:r>
        <w:rPr>
          <w:rFonts w:ascii="Arial" w:cs="Arial" w:eastAsia="Arial" w:hAnsi="Arial"/>
          <w:sz w:val="19"/>
          <w:szCs w:val="19"/>
          <w:color w:val="auto"/>
        </w:rPr>
        <w:t xml:space="preserve">(xliii) </w:t>
      </w:r>
      <w:r>
        <w:rPr>
          <w:rFonts w:ascii="Arial" w:cs="Arial" w:eastAsia="Arial" w:hAnsi="Arial"/>
          <w:sz w:val="19"/>
          <w:szCs w:val="19"/>
          <w:u w:val="single" w:color="auto"/>
          <w:color w:val="auto"/>
        </w:rPr>
        <w:t>IT Systems</w:t>
      </w:r>
      <w:r>
        <w:rPr>
          <w:rFonts w:ascii="Arial" w:cs="Arial" w:eastAsia="Arial" w:hAnsi="Arial"/>
          <w:sz w:val="19"/>
          <w:szCs w:val="19"/>
          <w:color w:val="auto"/>
        </w:rPr>
        <w:t>. The Company and the Subsidiaries’ information technology assets and equipment, computers, systems, networks, hardware, software, websites, applications, and databases (collectively, “IT Systems”) are adequate for, and operate and perform in all material respects as required in connection with the operation of the business of the Company and the Subsidiaries as currently conducted, free and clear of all material bugs, errors, defects, Trojan horses, time bombs, malware and other corruptants, except, in each case, as would not reasonably be expected to, individually or in the aggregate, have a Material Adverse Effect. The Company and the Subsidiaries have implemented and maintained commercially reasonable controls, policies, procedures, and safeguards to maintain and protect their material confidential information and the integrity, continuous operation, redundancy and security of all material IT Systems and data (including all personal, personally identifiable, sensitive, confidential or regulated data (“Personal Data”)) used in connection with their businesses, and there have been no breaches, violations, outages or unauthorized uses of or accesses to same, except, in each case, as would not reasonably be expected to, individually or in the aggregate, have a Material Adverse Effect. The Company and the Subsidiaries are presently in material compliance with all applicable laws or statutes and all judgments, orders, rules and regulations of any court or arbitrator or governmental or regulatory authority, internal policies and contractual obligations relating to the privacy and security of IT Systems and Personal Data and to the protection of such IT Systems and Personal Data from unauthorized use, access, misappropriation or modification, except, in each case, as would not reasonably be expected to, individually or in the aggregate, have a Material Adverse Effect.</w:t>
      </w:r>
    </w:p>
    <w:p>
      <w:pPr>
        <w:spacing w:after="0" w:line="200" w:lineRule="exact"/>
        <w:rPr>
          <w:sz w:val="20"/>
          <w:szCs w:val="20"/>
          <w:color w:val="auto"/>
        </w:rPr>
      </w:pPr>
    </w:p>
    <w:p>
      <w:pPr>
        <w:spacing w:after="0" w:line="214" w:lineRule="exact"/>
        <w:rPr>
          <w:sz w:val="20"/>
          <w:szCs w:val="20"/>
          <w:color w:val="auto"/>
        </w:rPr>
      </w:pPr>
    </w:p>
    <w:p>
      <w:pPr>
        <w:ind w:left="1500"/>
        <w:spacing w:after="0"/>
        <w:tabs>
          <w:tab w:leader="none" w:pos="2980" w:val="left"/>
        </w:tabs>
        <w:rPr>
          <w:sz w:val="20"/>
          <w:szCs w:val="20"/>
          <w:color w:val="auto"/>
        </w:rPr>
      </w:pPr>
      <w:r>
        <w:rPr>
          <w:rFonts w:ascii="Arial" w:cs="Arial" w:eastAsia="Arial" w:hAnsi="Arial"/>
          <w:sz w:val="19"/>
          <w:szCs w:val="19"/>
          <w:color w:val="auto"/>
        </w:rPr>
        <w:t>(b)</w:t>
      </w:r>
      <w:r>
        <w:rPr>
          <w:sz w:val="20"/>
          <w:szCs w:val="20"/>
          <w:color w:val="auto"/>
        </w:rPr>
        <w:tab/>
      </w:r>
      <w:r>
        <w:rPr>
          <w:rFonts w:ascii="Arial" w:cs="Arial" w:eastAsia="Arial" w:hAnsi="Arial"/>
          <w:sz w:val="19"/>
          <w:szCs w:val="19"/>
          <w:i w:val="1"/>
          <w:iCs w:val="1"/>
          <w:color w:val="auto"/>
        </w:rPr>
        <w:t>Representations and Warranties by the Adviser and the Administrator</w:t>
      </w:r>
      <w:r>
        <w:rPr>
          <w:rFonts w:ascii="Arial" w:cs="Arial" w:eastAsia="Arial" w:hAnsi="Arial"/>
          <w:sz w:val="19"/>
          <w:szCs w:val="19"/>
          <w:color w:val="auto"/>
        </w:rPr>
        <w:t>. The Adviser and the</w:t>
      </w:r>
    </w:p>
    <w:p>
      <w:pPr>
        <w:spacing w:after="0" w:line="43" w:lineRule="exact"/>
        <w:rPr>
          <w:sz w:val="20"/>
          <w:szCs w:val="20"/>
          <w:color w:val="auto"/>
        </w:rPr>
      </w:pPr>
    </w:p>
    <w:p>
      <w:pPr>
        <w:ind w:right="20"/>
        <w:spacing w:after="0" w:line="308" w:lineRule="auto"/>
        <w:rPr>
          <w:sz w:val="20"/>
          <w:szCs w:val="20"/>
          <w:color w:val="auto"/>
        </w:rPr>
      </w:pPr>
      <w:r>
        <w:rPr>
          <w:rFonts w:ascii="Arial" w:cs="Arial" w:eastAsia="Arial" w:hAnsi="Arial"/>
          <w:sz w:val="19"/>
          <w:szCs w:val="19"/>
          <w:color w:val="auto"/>
        </w:rPr>
        <w:t>Administrator, jointly and severally, represent to the Sales Agent as of the date hereof, the Applicable Time, each Representation Date (as defined below) and any Date of Delivery (as defined below), and agrees with the Sales Agent, as follows:</w:t>
      </w:r>
    </w:p>
    <w:p>
      <w:pPr>
        <w:spacing w:after="0" w:line="123" w:lineRule="exact"/>
        <w:rPr>
          <w:sz w:val="20"/>
          <w:szCs w:val="20"/>
          <w:color w:val="auto"/>
        </w:rPr>
      </w:pPr>
    </w:p>
    <w:p>
      <w:pPr>
        <w:jc w:val="both"/>
        <w:ind w:left="760" w:firstLine="1497"/>
        <w:spacing w:after="0" w:line="234" w:lineRule="auto"/>
        <w:rPr>
          <w:sz w:val="20"/>
          <w:szCs w:val="20"/>
          <w:color w:val="auto"/>
        </w:rPr>
      </w:pPr>
      <w:r>
        <w:rPr>
          <w:rFonts w:ascii="Arial" w:cs="Arial" w:eastAsia="Arial" w:hAnsi="Arial"/>
          <w:sz w:val="22"/>
          <w:szCs w:val="22"/>
          <w:color w:val="auto"/>
        </w:rPr>
        <w:t xml:space="preserve">(i) </w:t>
      </w:r>
      <w:r>
        <w:rPr>
          <w:rFonts w:ascii="Arial" w:cs="Arial" w:eastAsia="Arial" w:hAnsi="Arial"/>
          <w:sz w:val="22"/>
          <w:szCs w:val="22"/>
          <w:u w:val="single" w:color="auto"/>
          <w:color w:val="auto"/>
        </w:rPr>
        <w:t>No Material Adverse Change in Business</w:t>
      </w:r>
      <w:r>
        <w:rPr>
          <w:rFonts w:ascii="Arial" w:cs="Arial" w:eastAsia="Arial" w:hAnsi="Arial"/>
          <w:sz w:val="22"/>
          <w:szCs w:val="22"/>
          <w:color w:val="auto"/>
        </w:rPr>
        <w:t>. Except as otherwise stated therein, since the respective dates as of which information is given or incorporated by reference in the Registration Statement or the Prospectus, there has been no material adverse change in the condition, financial or otherwise, or in the business, financial condition, capitalization, prospects or regulatory status of the Adviser or the Administrator, whether or not arising in the ordinary course of business, or on the ability of the Adviser or the Administrator to carry out its obligations under this Agreement, the Investment Management Agreement or the Administration Agreement (collectively, an “Adviser/Administrator Material Adverse Effect”).</w:t>
      </w:r>
    </w:p>
    <w:p>
      <w:pPr>
        <w:spacing w:after="0" w:line="191" w:lineRule="exact"/>
        <w:rPr>
          <w:sz w:val="20"/>
          <w:szCs w:val="20"/>
          <w:color w:val="auto"/>
        </w:rPr>
      </w:pPr>
    </w:p>
    <w:p>
      <w:pPr>
        <w:jc w:val="both"/>
        <w:ind w:left="760" w:firstLine="1494"/>
        <w:spacing w:after="0" w:line="277" w:lineRule="auto"/>
        <w:tabs>
          <w:tab w:leader="none" w:pos="3755" w:val="left"/>
        </w:tabs>
        <w:numPr>
          <w:ilvl w:val="0"/>
          <w:numId w:val="79"/>
        </w:numPr>
        <w:rPr>
          <w:rFonts w:ascii="Arial" w:cs="Arial" w:eastAsia="Arial" w:hAnsi="Arial"/>
          <w:sz w:val="19"/>
          <w:szCs w:val="19"/>
          <w:color w:val="auto"/>
        </w:rPr>
      </w:pPr>
      <w:r>
        <w:rPr>
          <w:rFonts w:ascii="Arial" w:cs="Arial" w:eastAsia="Arial" w:hAnsi="Arial"/>
          <w:sz w:val="19"/>
          <w:szCs w:val="19"/>
          <w:u w:val="single" w:color="auto"/>
          <w:color w:val="auto"/>
        </w:rPr>
        <w:t>Good Standing</w:t>
      </w:r>
      <w:r>
        <w:rPr>
          <w:rFonts w:ascii="Arial" w:cs="Arial" w:eastAsia="Arial" w:hAnsi="Arial"/>
          <w:sz w:val="19"/>
          <w:szCs w:val="19"/>
          <w:color w:val="auto"/>
        </w:rPr>
        <w:t>. Each of the Adviser and the Administrator has been duly organized and is validly existing as a limited liability company, in good standing under the laws of its state of organization and has limited liability company power and authority to own, lease and operate its properties and to conduct its business as described in the Registration Statement and the Prospectus and to enter into this Agreement and perform its obligations under this Agreement and the Investment Management Agreement; and each of the Adviser and the Administrator is duly qualified as a foreign entity to transact business and is in good standing in each other jurisdiction in which such qualification is required, whether by reason of the ownership or leasing of property or the conduct of</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76" w:lineRule="exact"/>
        <w:rPr>
          <w:sz w:val="20"/>
          <w:szCs w:val="20"/>
          <w:color w:val="auto"/>
        </w:rPr>
      </w:pPr>
    </w:p>
    <w:p>
      <w:pPr>
        <w:spacing w:after="0"/>
        <w:rPr>
          <w:sz w:val="20"/>
          <w:szCs w:val="20"/>
          <w:color w:val="auto"/>
        </w:rPr>
      </w:pPr>
      <w:r>
        <w:rPr>
          <w:rFonts w:ascii="Arial" w:cs="Arial" w:eastAsia="Arial" w:hAnsi="Arial"/>
          <w:sz w:val="14"/>
          <w:szCs w:val="14"/>
          <w:color w:val="auto"/>
        </w:rPr>
        <w:t>28117909.1.BUSINESS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157720" cy="4254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19" w:name="page120"/>
    <w:bookmarkEnd w:id="119"/>
    <w:p>
      <w:pPr>
        <w:ind w:left="760"/>
        <w:spacing w:after="0" w:line="250" w:lineRule="auto"/>
        <w:rPr>
          <w:sz w:val="20"/>
          <w:szCs w:val="20"/>
          <w:color w:val="auto"/>
        </w:rPr>
      </w:pPr>
      <w:r>
        <w:rPr>
          <w:rFonts w:ascii="Arial" w:cs="Arial" w:eastAsia="Arial" w:hAnsi="Arial"/>
          <w:sz w:val="22"/>
          <w:szCs w:val="22"/>
          <w:color w:val="auto"/>
        </w:rPr>
        <w:t>business, except where the failure so to qualify or to be in good standing would not otherwise reasonably be expected to result in an Adviser/Administrator Material Adverse Effect.</w:t>
      </w:r>
    </w:p>
    <w:p>
      <w:pPr>
        <w:spacing w:after="0" w:line="175" w:lineRule="exact"/>
        <w:rPr>
          <w:sz w:val="20"/>
          <w:szCs w:val="20"/>
          <w:color w:val="auto"/>
        </w:rPr>
      </w:pPr>
    </w:p>
    <w:p>
      <w:pPr>
        <w:jc w:val="both"/>
        <w:ind w:left="760" w:firstLine="1494"/>
        <w:spacing w:after="0" w:line="282" w:lineRule="auto"/>
        <w:tabs>
          <w:tab w:leader="none" w:pos="3755" w:val="left"/>
        </w:tabs>
        <w:numPr>
          <w:ilvl w:val="0"/>
          <w:numId w:val="80"/>
        </w:numPr>
        <w:rPr>
          <w:rFonts w:ascii="Arial" w:cs="Arial" w:eastAsia="Arial" w:hAnsi="Arial"/>
          <w:sz w:val="19"/>
          <w:szCs w:val="19"/>
          <w:color w:val="auto"/>
        </w:rPr>
      </w:pPr>
      <w:r>
        <w:rPr>
          <w:rFonts w:ascii="Arial" w:cs="Arial" w:eastAsia="Arial" w:hAnsi="Arial"/>
          <w:sz w:val="19"/>
          <w:szCs w:val="19"/>
          <w:u w:val="single" w:color="auto"/>
          <w:color w:val="auto"/>
        </w:rPr>
        <w:t>Registration Under Advisers Act</w:t>
      </w:r>
      <w:r>
        <w:rPr>
          <w:rFonts w:ascii="Arial" w:cs="Arial" w:eastAsia="Arial" w:hAnsi="Arial"/>
          <w:sz w:val="19"/>
          <w:szCs w:val="19"/>
          <w:color w:val="auto"/>
        </w:rPr>
        <w:t>. The Adviser is duly registered with the Commission as an investment adviser under the Advisers Act and is not prohibited by the Advisers Act or the 1940 Act from acting under the Investment Management Agreement for the Company as contemplated by the Registration Statement and the Prospectus. There does not exist any proceeding or, to the Adviser’s knowledge, any facts or circumstances the existence of which could lead to any proceeding which might adversely affect the registration of the Adviser with the Commission.</w:t>
      </w:r>
    </w:p>
    <w:p>
      <w:pPr>
        <w:spacing w:after="0" w:line="147" w:lineRule="exact"/>
        <w:rPr>
          <w:rFonts w:ascii="Arial" w:cs="Arial" w:eastAsia="Arial" w:hAnsi="Arial"/>
          <w:sz w:val="19"/>
          <w:szCs w:val="19"/>
          <w:color w:val="auto"/>
        </w:rPr>
      </w:pPr>
    </w:p>
    <w:p>
      <w:pPr>
        <w:jc w:val="both"/>
        <w:ind w:left="760" w:firstLine="1494"/>
        <w:spacing w:after="0" w:line="273" w:lineRule="auto"/>
        <w:tabs>
          <w:tab w:leader="none" w:pos="3755" w:val="left"/>
        </w:tabs>
        <w:numPr>
          <w:ilvl w:val="0"/>
          <w:numId w:val="80"/>
        </w:numPr>
        <w:rPr>
          <w:rFonts w:ascii="Arial" w:cs="Arial" w:eastAsia="Arial" w:hAnsi="Arial"/>
          <w:sz w:val="19"/>
          <w:szCs w:val="19"/>
          <w:color w:val="auto"/>
        </w:rPr>
      </w:pPr>
      <w:r>
        <w:rPr>
          <w:rFonts w:ascii="Arial" w:cs="Arial" w:eastAsia="Arial" w:hAnsi="Arial"/>
          <w:sz w:val="19"/>
          <w:szCs w:val="19"/>
          <w:u w:val="single" w:color="auto"/>
          <w:color w:val="auto"/>
        </w:rPr>
        <w:t>Absence of Proceedings</w:t>
      </w:r>
      <w:r>
        <w:rPr>
          <w:rFonts w:ascii="Arial" w:cs="Arial" w:eastAsia="Arial" w:hAnsi="Arial"/>
          <w:sz w:val="19"/>
          <w:szCs w:val="19"/>
          <w:color w:val="auto"/>
        </w:rPr>
        <w:t>. Except as disclosed in the Registration Statement and the Prospectus, there is no action, suit, proceeding or, to the knowledge of the Adviser or the Administrator, inquiry or investigation before or brought by any arbitrator, court, governmental body, regulatory body, administrative agency or other authority, body or agency having jurisdiction over the Adviser or the Administrator or any of their properties, assets or operations now pending or, to the knowledge of the Adviser or the Administrator, threatened, against or affecting the Adviser or the Administrator, which is required to be disclosed in the Registration Statement (other than as disclosed therein) or which would reasonably be expected to result in an Adviser/Administrator Material Adverse Effect, or which would reasonably be expected to materially and adversely affect the consummation of the transactions contemplated in this Agreement, the Securities, the Investment Management Agreement or the Administration Agreement or the performance by the Adviser or the Administrator of its obligations hereunder or thereunder.</w:t>
      </w:r>
    </w:p>
    <w:p>
      <w:pPr>
        <w:spacing w:after="0" w:line="160" w:lineRule="exact"/>
        <w:rPr>
          <w:rFonts w:ascii="Arial" w:cs="Arial" w:eastAsia="Arial" w:hAnsi="Arial"/>
          <w:sz w:val="19"/>
          <w:szCs w:val="19"/>
          <w:color w:val="auto"/>
        </w:rPr>
      </w:pPr>
    </w:p>
    <w:p>
      <w:pPr>
        <w:jc w:val="both"/>
        <w:ind w:left="760" w:firstLine="1494"/>
        <w:spacing w:after="0" w:line="273" w:lineRule="auto"/>
        <w:tabs>
          <w:tab w:leader="none" w:pos="3755" w:val="left"/>
        </w:tabs>
        <w:numPr>
          <w:ilvl w:val="0"/>
          <w:numId w:val="80"/>
        </w:numPr>
        <w:rPr>
          <w:rFonts w:ascii="Arial" w:cs="Arial" w:eastAsia="Arial" w:hAnsi="Arial"/>
          <w:sz w:val="19"/>
          <w:szCs w:val="19"/>
          <w:color w:val="auto"/>
        </w:rPr>
      </w:pPr>
      <w:r>
        <w:rPr>
          <w:rFonts w:ascii="Arial" w:cs="Arial" w:eastAsia="Arial" w:hAnsi="Arial"/>
          <w:sz w:val="19"/>
          <w:szCs w:val="19"/>
          <w:u w:val="single" w:color="auto"/>
          <w:color w:val="auto"/>
        </w:rPr>
        <w:t>Absence of Violations and Defaults</w:t>
      </w:r>
      <w:r>
        <w:rPr>
          <w:rFonts w:ascii="Arial" w:cs="Arial" w:eastAsia="Arial" w:hAnsi="Arial"/>
          <w:sz w:val="19"/>
          <w:szCs w:val="19"/>
          <w:color w:val="auto"/>
        </w:rPr>
        <w:t>. Neither the Adviser nor the Administrator is (A) in violation of its limited liability company agreement, (B) in default under any contract, indenture, mortgage, deed of trust, loan or credit agreement, note, lease or other agreement or instrument to which the Adviser or the Administrator is a party or by which it may be bound or to which any of its properties or assets is subject (collectively, the “Adviser/Administrator Agreements and Instruments”), except for such defaults that would not reasonably be expected, singly or in the aggregate, to result in an Adviser/Administrator Material Adverse Effect, or (C) in violation of any applicable law, statute, rule, regulation, judgment, order, writ or decree of any arbitrator, court, governmental body, regulatory body, administrative agency or other authority, body or agency having jurisdiction over the Adviser or the Administrator or any of their properties, assets or operations, except for such violations that would not reasonably be expected, singly or in the aggregate, to result in an Adviser/Administrator Material Adverse Effect.</w:t>
      </w:r>
    </w:p>
    <w:p>
      <w:pPr>
        <w:spacing w:after="0" w:line="160" w:lineRule="exact"/>
        <w:rPr>
          <w:rFonts w:ascii="Arial" w:cs="Arial" w:eastAsia="Arial" w:hAnsi="Arial"/>
          <w:sz w:val="19"/>
          <w:szCs w:val="19"/>
          <w:color w:val="auto"/>
        </w:rPr>
      </w:pPr>
    </w:p>
    <w:p>
      <w:pPr>
        <w:jc w:val="both"/>
        <w:ind w:left="760" w:firstLine="1494"/>
        <w:spacing w:after="0" w:line="249" w:lineRule="auto"/>
        <w:tabs>
          <w:tab w:leader="none" w:pos="3755" w:val="left"/>
        </w:tabs>
        <w:numPr>
          <w:ilvl w:val="0"/>
          <w:numId w:val="80"/>
        </w:numPr>
        <w:rPr>
          <w:rFonts w:ascii="Arial" w:cs="Arial" w:eastAsia="Arial" w:hAnsi="Arial"/>
          <w:sz w:val="21"/>
          <w:szCs w:val="21"/>
          <w:color w:val="auto"/>
        </w:rPr>
      </w:pPr>
      <w:r>
        <w:rPr>
          <w:rFonts w:ascii="Arial" w:cs="Arial" w:eastAsia="Arial" w:hAnsi="Arial"/>
          <w:sz w:val="21"/>
          <w:szCs w:val="21"/>
          <w:u w:val="single" w:color="auto"/>
          <w:color w:val="auto"/>
        </w:rPr>
        <w:t>Absence of Conflicts</w:t>
      </w:r>
      <w:r>
        <w:rPr>
          <w:rFonts w:ascii="Arial" w:cs="Arial" w:eastAsia="Arial" w:hAnsi="Arial"/>
          <w:sz w:val="21"/>
          <w:szCs w:val="21"/>
          <w:color w:val="auto"/>
        </w:rPr>
        <w:t>. The execution, delivery and performance of this Agreement, the performance of the Investment Management Agreement and the Administration Agreement and the consummation of the transactions contemplated herein and therein and in the Registration Statement and the Prospectus (including the issuance and sale of the Securities and the use of the proceeds from the sale of the Securities as described therein under the caption “Use of Proceeds”) and compliance by the Adviser and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76" w:lineRule="exact"/>
        <w:rPr>
          <w:sz w:val="20"/>
          <w:szCs w:val="20"/>
          <w:color w:val="auto"/>
        </w:rPr>
      </w:pPr>
    </w:p>
    <w:p>
      <w:pPr>
        <w:spacing w:after="0"/>
        <w:rPr>
          <w:sz w:val="20"/>
          <w:szCs w:val="20"/>
          <w:color w:val="auto"/>
        </w:rPr>
      </w:pPr>
      <w:r>
        <w:rPr>
          <w:rFonts w:ascii="Arial" w:cs="Arial" w:eastAsia="Arial" w:hAnsi="Arial"/>
          <w:sz w:val="14"/>
          <w:szCs w:val="14"/>
          <w:color w:val="auto"/>
        </w:rPr>
        <w:t>28117909.1.BUSINESS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157720" cy="4254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20" w:name="page121"/>
    <w:bookmarkEnd w:id="120"/>
    <w:p>
      <w:pPr>
        <w:jc w:val="both"/>
        <w:ind w:left="760"/>
        <w:spacing w:after="0" w:line="244" w:lineRule="auto"/>
        <w:rPr>
          <w:sz w:val="20"/>
          <w:szCs w:val="20"/>
          <w:color w:val="auto"/>
        </w:rPr>
      </w:pPr>
      <w:r>
        <w:rPr>
          <w:rFonts w:ascii="Arial" w:cs="Arial" w:eastAsia="Arial" w:hAnsi="Arial"/>
          <w:sz w:val="21"/>
          <w:szCs w:val="21"/>
          <w:color w:val="auto"/>
        </w:rPr>
        <w:t>the Administrator with their obligations hereunder and thereunder do not and will not, whether with or without the giving of notice of passage of time or both, conflict with or constitute a breach of, or default under, or result in the creation or imposition of any lien, charge or encumbrance upon any properties or assets of the Adviser or the Administrator or pursuant to, the Adviser/Administrator Agreements and Instruments (except for such conflicts, breaches, defaults, events or conditions giving the holder of any note, debenture or other evidence of indebtedness (or any person acting on such holder’s behalf) the right to require the repurchase, redemption or repayment of all or a portion of such indebtedness by the Adviser or the Administrator, or liens, charges or encumbrances that would not reasonably be expected, singly or in the aggregate, to result in an Adviser/Administrator Material Adverse Effect), nor will such action result in any violation of the provisions of (a) the limited liability company agreement of the Adviser or the Administrator, or (b) any applicable law, statute, rule, regulation, judgment, order, writ or decree of any arbitrator, court, governmental body, regulatory body, administrative agency or other authority, body or agency having jurisdiction over the Adviser or the Administrator or any of their properties, assets or operations except, in the case of (b) above, for any violation that would not reasonably be expected, singly or in the aggregate, to result in an Adviser/Administrator Material Adverse Effect.</w:t>
      </w:r>
    </w:p>
    <w:p>
      <w:pPr>
        <w:spacing w:after="0" w:line="181" w:lineRule="exact"/>
        <w:rPr>
          <w:sz w:val="20"/>
          <w:szCs w:val="20"/>
          <w:color w:val="auto"/>
        </w:rPr>
      </w:pPr>
    </w:p>
    <w:p>
      <w:pPr>
        <w:ind w:left="760" w:firstLine="1494"/>
        <w:spacing w:after="0" w:line="250" w:lineRule="auto"/>
        <w:tabs>
          <w:tab w:leader="none" w:pos="3755" w:val="left"/>
        </w:tabs>
        <w:numPr>
          <w:ilvl w:val="0"/>
          <w:numId w:val="81"/>
        </w:numPr>
        <w:rPr>
          <w:rFonts w:ascii="Arial" w:cs="Arial" w:eastAsia="Arial" w:hAnsi="Arial"/>
          <w:sz w:val="22"/>
          <w:szCs w:val="22"/>
          <w:color w:val="auto"/>
        </w:rPr>
      </w:pPr>
      <w:r>
        <w:rPr>
          <w:rFonts w:ascii="Arial" w:cs="Arial" w:eastAsia="Arial" w:hAnsi="Arial"/>
          <w:sz w:val="22"/>
          <w:szCs w:val="22"/>
          <w:u w:val="single" w:color="auto"/>
          <w:color w:val="auto"/>
        </w:rPr>
        <w:t>Authorization of this Agreement</w:t>
      </w:r>
      <w:r>
        <w:rPr>
          <w:rFonts w:ascii="Arial" w:cs="Arial" w:eastAsia="Arial" w:hAnsi="Arial"/>
          <w:sz w:val="22"/>
          <w:szCs w:val="22"/>
          <w:color w:val="auto"/>
        </w:rPr>
        <w:t>. This Agreement has been duly authorized, executed and delivered by each of the Adviser and the Administrator.</w:t>
      </w:r>
    </w:p>
    <w:p>
      <w:pPr>
        <w:spacing w:after="0" w:line="174" w:lineRule="exact"/>
        <w:rPr>
          <w:rFonts w:ascii="Arial" w:cs="Arial" w:eastAsia="Arial" w:hAnsi="Arial"/>
          <w:sz w:val="22"/>
          <w:szCs w:val="22"/>
          <w:color w:val="auto"/>
        </w:rPr>
      </w:pPr>
    </w:p>
    <w:p>
      <w:pPr>
        <w:jc w:val="both"/>
        <w:ind w:left="760" w:firstLine="1494"/>
        <w:spacing w:after="0" w:line="246" w:lineRule="auto"/>
        <w:tabs>
          <w:tab w:leader="none" w:pos="3755" w:val="left"/>
        </w:tabs>
        <w:numPr>
          <w:ilvl w:val="0"/>
          <w:numId w:val="81"/>
        </w:numPr>
        <w:rPr>
          <w:rFonts w:ascii="Arial" w:cs="Arial" w:eastAsia="Arial" w:hAnsi="Arial"/>
          <w:sz w:val="21"/>
          <w:szCs w:val="21"/>
          <w:color w:val="auto"/>
        </w:rPr>
      </w:pPr>
      <w:r>
        <w:rPr>
          <w:rFonts w:ascii="Arial" w:cs="Arial" w:eastAsia="Arial" w:hAnsi="Arial"/>
          <w:sz w:val="21"/>
          <w:szCs w:val="21"/>
          <w:u w:val="single" w:color="auto"/>
          <w:color w:val="auto"/>
        </w:rPr>
        <w:t>Investment Management Agreement and Administration Agreement</w:t>
      </w:r>
      <w:r>
        <w:rPr>
          <w:rFonts w:ascii="Arial" w:cs="Arial" w:eastAsia="Arial" w:hAnsi="Arial"/>
          <w:sz w:val="21"/>
          <w:szCs w:val="21"/>
          <w:color w:val="auto"/>
        </w:rPr>
        <w:t>. Each of the Investment Management Agreement and Administration Agreement has been duly authorized, executed and delivered by the Adviser or the Administrator, as applicable, and is a valid and binding obligation of the Adviser or the Administrator, as applicable, enforceable against it in accordance with its terms, except as the enforcement thereof may be subject to (i) bankruptcy, insolvency, reorganization, moratorium or other similar laws now or thereafter in effect relating to creditors’ rights generally and (ii) general principles of equity and the discretion of the court before which any proceeding therefor may be brought.</w:t>
      </w:r>
    </w:p>
    <w:p>
      <w:pPr>
        <w:spacing w:after="0" w:line="184" w:lineRule="exact"/>
        <w:rPr>
          <w:rFonts w:ascii="Arial" w:cs="Arial" w:eastAsia="Arial" w:hAnsi="Arial"/>
          <w:sz w:val="21"/>
          <w:szCs w:val="21"/>
          <w:color w:val="auto"/>
        </w:rPr>
      </w:pPr>
    </w:p>
    <w:p>
      <w:pPr>
        <w:jc w:val="both"/>
        <w:ind w:left="760" w:firstLine="1494"/>
        <w:spacing w:after="0" w:line="273" w:lineRule="auto"/>
        <w:tabs>
          <w:tab w:leader="none" w:pos="3755" w:val="left"/>
        </w:tabs>
        <w:numPr>
          <w:ilvl w:val="0"/>
          <w:numId w:val="81"/>
        </w:numPr>
        <w:rPr>
          <w:rFonts w:ascii="Arial" w:cs="Arial" w:eastAsia="Arial" w:hAnsi="Arial"/>
          <w:sz w:val="19"/>
          <w:szCs w:val="19"/>
          <w:color w:val="auto"/>
        </w:rPr>
      </w:pPr>
      <w:r>
        <w:rPr>
          <w:rFonts w:ascii="Arial" w:cs="Arial" w:eastAsia="Arial" w:hAnsi="Arial"/>
          <w:sz w:val="19"/>
          <w:szCs w:val="19"/>
          <w:u w:val="single" w:color="auto"/>
          <w:color w:val="auto"/>
        </w:rPr>
        <w:t>Absence of Further Requirements</w:t>
      </w:r>
      <w:r>
        <w:rPr>
          <w:rFonts w:ascii="Arial" w:cs="Arial" w:eastAsia="Arial" w:hAnsi="Arial"/>
          <w:sz w:val="19"/>
          <w:szCs w:val="19"/>
          <w:color w:val="auto"/>
        </w:rPr>
        <w:t>. No filing with, or authorization, approval, consent, license, order, registration, qualification or decree of, any court or governmental authority or agency is necessary or required for the performance by the Adviser or the Administrator of their obligations hereunder or, in connection with the offering, the issuance or sale of the Securities hereunder or the consummation of the transactions contemplated by this Agreement, the Investment Management Agreement, the Administration Agreement or the Prospectus (including the issuance and sale of the Securities and the use of the proceeds from the sale of the Securities as described in the Prospectus under the caption “Use of Proceeds”), except (A) such as have been already made or obtained, including under the 1933 Act, the 1933 Act Regulations, state securities laws or the rules of FINRA and (B) where the failure to obtain any such filing, authorization, approval, consent, license, order, registration, qualification or decree would not reasonably be expected, singly or in the aggregate, to result in an Adviser/Administrator Material Adverse Effect.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76" w:lineRule="exact"/>
        <w:rPr>
          <w:sz w:val="20"/>
          <w:szCs w:val="20"/>
          <w:color w:val="auto"/>
        </w:rPr>
      </w:pPr>
    </w:p>
    <w:p>
      <w:pPr>
        <w:spacing w:after="0"/>
        <w:rPr>
          <w:sz w:val="20"/>
          <w:szCs w:val="20"/>
          <w:color w:val="auto"/>
        </w:rPr>
      </w:pPr>
      <w:r>
        <w:rPr>
          <w:rFonts w:ascii="Arial" w:cs="Arial" w:eastAsia="Arial" w:hAnsi="Arial"/>
          <w:sz w:val="14"/>
          <w:szCs w:val="14"/>
          <w:color w:val="auto"/>
        </w:rPr>
        <w:t>28117909.1.BUSINESS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157720" cy="4254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21" w:name="page122"/>
    <w:bookmarkEnd w:id="121"/>
    <w:p>
      <w:pPr>
        <w:jc w:val="both"/>
        <w:ind w:left="760" w:firstLine="1494"/>
        <w:spacing w:after="0" w:line="252" w:lineRule="auto"/>
        <w:tabs>
          <w:tab w:leader="none" w:pos="3755" w:val="left"/>
        </w:tabs>
        <w:numPr>
          <w:ilvl w:val="0"/>
          <w:numId w:val="82"/>
        </w:numPr>
        <w:rPr>
          <w:rFonts w:ascii="Arial" w:cs="Arial" w:eastAsia="Arial" w:hAnsi="Arial"/>
          <w:sz w:val="21"/>
          <w:szCs w:val="21"/>
          <w:color w:val="auto"/>
        </w:rPr>
      </w:pPr>
      <w:r>
        <w:rPr>
          <w:rFonts w:ascii="Arial" w:cs="Arial" w:eastAsia="Arial" w:hAnsi="Arial"/>
          <w:sz w:val="21"/>
          <w:szCs w:val="21"/>
          <w:u w:val="single" w:color="auto"/>
          <w:color w:val="auto"/>
        </w:rPr>
        <w:t>Descriptions of Adviser and Administrator</w:t>
      </w:r>
      <w:r>
        <w:rPr>
          <w:rFonts w:ascii="Arial" w:cs="Arial" w:eastAsia="Arial" w:hAnsi="Arial"/>
          <w:sz w:val="21"/>
          <w:szCs w:val="21"/>
          <w:color w:val="auto"/>
        </w:rPr>
        <w:t>. The descriptions of the Adviser and the Administrator contained in the Registration Statement and the Prospectus does not contain any untrue statement of a material fact or omit to state a material fact required to be stated therein or necessary to make the statements therein, in the light of the circumstances under which they were made, not misleading.</w:t>
      </w:r>
    </w:p>
    <w:p>
      <w:pPr>
        <w:spacing w:after="0" w:line="173" w:lineRule="exact"/>
        <w:rPr>
          <w:rFonts w:ascii="Arial" w:cs="Arial" w:eastAsia="Arial" w:hAnsi="Arial"/>
          <w:sz w:val="21"/>
          <w:szCs w:val="21"/>
          <w:color w:val="auto"/>
        </w:rPr>
      </w:pPr>
    </w:p>
    <w:p>
      <w:pPr>
        <w:jc w:val="both"/>
        <w:ind w:left="760" w:firstLine="1494"/>
        <w:spacing w:after="0" w:line="272" w:lineRule="auto"/>
        <w:tabs>
          <w:tab w:leader="none" w:pos="3755" w:val="left"/>
        </w:tabs>
        <w:numPr>
          <w:ilvl w:val="0"/>
          <w:numId w:val="82"/>
        </w:numPr>
        <w:rPr>
          <w:rFonts w:ascii="Arial" w:cs="Arial" w:eastAsia="Arial" w:hAnsi="Arial"/>
          <w:sz w:val="19"/>
          <w:szCs w:val="19"/>
          <w:color w:val="auto"/>
        </w:rPr>
      </w:pPr>
      <w:r>
        <w:rPr>
          <w:rFonts w:ascii="Arial" w:cs="Arial" w:eastAsia="Arial" w:hAnsi="Arial"/>
          <w:sz w:val="19"/>
          <w:szCs w:val="19"/>
          <w:u w:val="single" w:color="auto"/>
          <w:color w:val="auto"/>
        </w:rPr>
        <w:t>Possession of Licenses and Permits</w:t>
      </w:r>
      <w:r>
        <w:rPr>
          <w:rFonts w:ascii="Arial" w:cs="Arial" w:eastAsia="Arial" w:hAnsi="Arial"/>
          <w:sz w:val="19"/>
          <w:szCs w:val="19"/>
          <w:color w:val="auto"/>
        </w:rPr>
        <w:t>. Each of the Adviser and the Administrator possesses such Governmental Licenses issued by the appropriate federal, state, local or foreign regulatory agencies or bodies necessary to conduct the business now operated by it, except where the failure so to possess would not reasonably be expected, singly or in the aggregate, to result in an Adviser/Administrator Material Adverse Effect. Each of the Adviser and the Administrator is in compliance with the terms and conditions of all such Governmental Licenses, except where the failure so to comply would not reasonably be expected, singly or in the aggregate, to result in an Adviser/Administrator Material Adverse Effect. All of the Governmental Licenses are valid and in full force and effect, except when the invalidity of such Governmental Licenses or the failure of such Governmental Licenses to be in full force and effect would not reasonably be expected, singly or in the aggregate, to result in an Adviser/Administrator Material Adverse Effect. Each of the Adviser and the Administrator has not received any notice of proceedings relating to the revocation or modification of any such Governmental Licenses which, singly or in the aggregate, if the subject of an unfavorable decision, ruling or finding, would reasonably be expected to result in an Adviser/Administrator Material Adverse Effect.</w:t>
      </w:r>
    </w:p>
    <w:p>
      <w:pPr>
        <w:spacing w:after="0" w:line="200" w:lineRule="exact"/>
        <w:rPr>
          <w:rFonts w:ascii="Arial" w:cs="Arial" w:eastAsia="Arial" w:hAnsi="Arial"/>
          <w:sz w:val="19"/>
          <w:szCs w:val="19"/>
          <w:color w:val="auto"/>
        </w:rPr>
      </w:pPr>
    </w:p>
    <w:p>
      <w:pPr>
        <w:spacing w:after="0" w:line="203" w:lineRule="exact"/>
        <w:rPr>
          <w:rFonts w:ascii="Arial" w:cs="Arial" w:eastAsia="Arial" w:hAnsi="Arial"/>
          <w:sz w:val="19"/>
          <w:szCs w:val="19"/>
          <w:color w:val="auto"/>
        </w:rPr>
      </w:pPr>
    </w:p>
    <w:p>
      <w:pPr>
        <w:jc w:val="both"/>
        <w:ind w:left="760" w:firstLine="1494"/>
        <w:spacing w:after="0" w:line="287" w:lineRule="auto"/>
        <w:tabs>
          <w:tab w:leader="none" w:pos="3755" w:val="left"/>
        </w:tabs>
        <w:numPr>
          <w:ilvl w:val="0"/>
          <w:numId w:val="82"/>
        </w:numPr>
        <w:rPr>
          <w:rFonts w:ascii="Arial" w:cs="Arial" w:eastAsia="Arial" w:hAnsi="Arial"/>
          <w:sz w:val="19"/>
          <w:szCs w:val="19"/>
          <w:color w:val="auto"/>
        </w:rPr>
      </w:pPr>
      <w:r>
        <w:rPr>
          <w:rFonts w:ascii="Arial" w:cs="Arial" w:eastAsia="Arial" w:hAnsi="Arial"/>
          <w:sz w:val="19"/>
          <w:szCs w:val="19"/>
          <w:u w:val="single" w:color="auto"/>
          <w:color w:val="auto"/>
        </w:rPr>
        <w:t>Stabilization and Manipulation</w:t>
      </w:r>
      <w:r>
        <w:rPr>
          <w:rFonts w:ascii="Arial" w:cs="Arial" w:eastAsia="Arial" w:hAnsi="Arial"/>
          <w:sz w:val="19"/>
          <w:szCs w:val="19"/>
          <w:color w:val="auto"/>
        </w:rPr>
        <w:t>. Neither the Adviser nor the Administrator has taken, nor will take, directly or indirectly, without giving effect to any activities by the Sales Agent, any action designed, or that would reasonably be expected, to cause or result in, or which constitutes, the stabilization or manipulation of the price of the Securities, other than activity permitted pursuant to Rule 10b-18 under the 1934 Act.</w:t>
      </w:r>
    </w:p>
    <w:p>
      <w:pPr>
        <w:spacing w:after="0" w:line="142" w:lineRule="exact"/>
        <w:rPr>
          <w:rFonts w:ascii="Arial" w:cs="Arial" w:eastAsia="Arial" w:hAnsi="Arial"/>
          <w:sz w:val="19"/>
          <w:szCs w:val="19"/>
          <w:color w:val="auto"/>
        </w:rPr>
      </w:pPr>
    </w:p>
    <w:p>
      <w:pPr>
        <w:jc w:val="both"/>
        <w:ind w:left="760" w:firstLine="1494"/>
        <w:spacing w:after="0" w:line="244" w:lineRule="auto"/>
        <w:tabs>
          <w:tab w:leader="none" w:pos="3755" w:val="left"/>
        </w:tabs>
        <w:numPr>
          <w:ilvl w:val="0"/>
          <w:numId w:val="82"/>
        </w:numPr>
        <w:rPr>
          <w:rFonts w:ascii="Arial" w:cs="Arial" w:eastAsia="Arial" w:hAnsi="Arial"/>
          <w:sz w:val="21"/>
          <w:szCs w:val="21"/>
          <w:color w:val="auto"/>
        </w:rPr>
      </w:pPr>
      <w:r>
        <w:rPr>
          <w:rFonts w:ascii="Arial" w:cs="Arial" w:eastAsia="Arial" w:hAnsi="Arial"/>
          <w:sz w:val="21"/>
          <w:szCs w:val="21"/>
          <w:u w:val="single" w:color="auto"/>
          <w:color w:val="auto"/>
        </w:rPr>
        <w:t>Foreign Corrupt Practices Act</w:t>
      </w:r>
      <w:r>
        <w:rPr>
          <w:rFonts w:ascii="Arial" w:cs="Arial" w:eastAsia="Arial" w:hAnsi="Arial"/>
          <w:sz w:val="21"/>
          <w:szCs w:val="21"/>
          <w:color w:val="auto"/>
        </w:rPr>
        <w:t>. None of the Adviser, the Administrator or, to the knowledge of the Adviser or the Administrator, any director, officer or employee of the Adviser or the Administrator or any agent, controlled affiliate or other person acting on behalf of the Adviser or the Administrator is aware of, has taken or will take any action, directly or indirectly, that would result in a violation by such persons of the FCPA, in connection with the business of the Company, including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and to the knowledge of the Adviser or the Administrator, the Adviser and the Administrator have conducted its business, in relation to the Company, in compliance with the FCPA and has instituted and maintain policies and procedures designed to ensure, and which are reasonably expected to continue to ensure, continued compliance therewith.</w:t>
      </w:r>
    </w:p>
    <w:p>
      <w:pPr>
        <w:spacing w:after="0" w:line="185" w:lineRule="exact"/>
        <w:rPr>
          <w:rFonts w:ascii="Arial" w:cs="Arial" w:eastAsia="Arial" w:hAnsi="Arial"/>
          <w:sz w:val="21"/>
          <w:szCs w:val="21"/>
          <w:color w:val="auto"/>
        </w:rPr>
      </w:pPr>
    </w:p>
    <w:p>
      <w:pPr>
        <w:ind w:left="760" w:firstLine="1494"/>
        <w:spacing w:after="0" w:line="250" w:lineRule="auto"/>
        <w:tabs>
          <w:tab w:leader="none" w:pos="3755" w:val="left"/>
        </w:tabs>
        <w:numPr>
          <w:ilvl w:val="0"/>
          <w:numId w:val="82"/>
        </w:numPr>
        <w:rPr>
          <w:rFonts w:ascii="Arial" w:cs="Arial" w:eastAsia="Arial" w:hAnsi="Arial"/>
          <w:sz w:val="22"/>
          <w:szCs w:val="22"/>
          <w:color w:val="auto"/>
        </w:rPr>
      </w:pPr>
      <w:r>
        <w:rPr>
          <w:rFonts w:ascii="Arial" w:cs="Arial" w:eastAsia="Arial" w:hAnsi="Arial"/>
          <w:sz w:val="22"/>
          <w:szCs w:val="22"/>
          <w:u w:val="single" w:color="auto"/>
          <w:color w:val="auto"/>
        </w:rPr>
        <w:t>Anti-Money Laundering Laws</w:t>
      </w:r>
      <w:r>
        <w:rPr>
          <w:rFonts w:ascii="Arial" w:cs="Arial" w:eastAsia="Arial" w:hAnsi="Arial"/>
          <w:sz w:val="22"/>
          <w:szCs w:val="22"/>
          <w:color w:val="auto"/>
        </w:rPr>
        <w:t>. The operations of the Adviser and the Administrator are and have been conducted at all times in compliance with applicable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76" w:lineRule="exact"/>
        <w:rPr>
          <w:sz w:val="20"/>
          <w:szCs w:val="20"/>
          <w:color w:val="auto"/>
        </w:rPr>
      </w:pPr>
    </w:p>
    <w:p>
      <w:pPr>
        <w:spacing w:after="0"/>
        <w:rPr>
          <w:sz w:val="20"/>
          <w:szCs w:val="20"/>
          <w:color w:val="auto"/>
        </w:rPr>
      </w:pPr>
      <w:r>
        <w:rPr>
          <w:rFonts w:ascii="Arial" w:cs="Arial" w:eastAsia="Arial" w:hAnsi="Arial"/>
          <w:sz w:val="14"/>
          <w:szCs w:val="14"/>
          <w:color w:val="auto"/>
        </w:rPr>
        <w:t>28117909.1.BUSINESS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157720" cy="4254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22" w:name="page123"/>
    <w:bookmarkEnd w:id="122"/>
    <w:p>
      <w:pPr>
        <w:jc w:val="both"/>
        <w:ind w:left="760"/>
        <w:spacing w:after="0" w:line="236" w:lineRule="auto"/>
        <w:rPr>
          <w:sz w:val="20"/>
          <w:szCs w:val="20"/>
          <w:color w:val="auto"/>
        </w:rPr>
      </w:pPr>
      <w:r>
        <w:rPr>
          <w:rFonts w:ascii="Arial" w:cs="Arial" w:eastAsia="Arial" w:hAnsi="Arial"/>
          <w:sz w:val="22"/>
          <w:szCs w:val="22"/>
          <w:color w:val="auto"/>
        </w:rPr>
        <w:t>financial recordkeeping and reporting requirements of the Anti-Money Laundering Laws; and no action, suit or proceeding by or before any arbitrator, court, governmental body, regulatory body, administrative agency or other authority, body or agency having jurisdiction over the Adviser and the Administrator or any of their properties, assets or operations involving the Adviser or the Administrator with respect to the Anti-Money Laundering Laws is pending or, to the best knowledge of the Adviser or the Administrator, threatened.</w:t>
      </w:r>
    </w:p>
    <w:p>
      <w:pPr>
        <w:spacing w:after="0" w:line="187" w:lineRule="exact"/>
        <w:rPr>
          <w:sz w:val="20"/>
          <w:szCs w:val="20"/>
          <w:color w:val="auto"/>
        </w:rPr>
      </w:pPr>
    </w:p>
    <w:p>
      <w:pPr>
        <w:jc w:val="both"/>
        <w:ind w:left="760" w:firstLine="1494"/>
        <w:spacing w:after="0" w:line="234" w:lineRule="auto"/>
        <w:tabs>
          <w:tab w:leader="none" w:pos="3755" w:val="left"/>
        </w:tabs>
        <w:numPr>
          <w:ilvl w:val="0"/>
          <w:numId w:val="83"/>
        </w:numPr>
        <w:rPr>
          <w:rFonts w:ascii="Arial" w:cs="Arial" w:eastAsia="Arial" w:hAnsi="Arial"/>
          <w:sz w:val="22"/>
          <w:szCs w:val="22"/>
          <w:color w:val="auto"/>
        </w:rPr>
      </w:pPr>
      <w:r>
        <w:rPr>
          <w:rFonts w:ascii="Arial" w:cs="Arial" w:eastAsia="Arial" w:hAnsi="Arial"/>
          <w:sz w:val="22"/>
          <w:szCs w:val="22"/>
          <w:u w:val="single" w:color="auto"/>
          <w:color w:val="auto"/>
        </w:rPr>
        <w:t>OFAC</w:t>
      </w:r>
      <w:r>
        <w:rPr>
          <w:rFonts w:ascii="Arial" w:cs="Arial" w:eastAsia="Arial" w:hAnsi="Arial"/>
          <w:sz w:val="22"/>
          <w:szCs w:val="22"/>
          <w:color w:val="auto"/>
        </w:rPr>
        <w:t>. None of the Adviser, the Administrator or, to the knowledge of the Adviser or the Administrator, any director, officer or employee of the Adviser or the Administrator or any agent, controlled affiliate or other person acting on behalf of the Adviser or the Administrator is a Person, or is controlled by a Person that is, (i) currently the subject or target of Sanctions, or (ii) located, organized or resident in a country or territory that is itself the subject of comprehensive Sanctions (currently Crimea, Cuba, Iran, North Korea, and Syria). During the last five years, neither the Adviser nor the Administrator has knowingly engaged in, and is not now knowingly engaged in, any unauthorized dealings or transactions with any Person that at the time of the dealing or transaction is or was the subject or target of Sanctions.</w:t>
      </w:r>
    </w:p>
    <w:p>
      <w:pPr>
        <w:spacing w:after="0" w:line="186" w:lineRule="exact"/>
        <w:rPr>
          <w:rFonts w:ascii="Arial" w:cs="Arial" w:eastAsia="Arial" w:hAnsi="Arial"/>
          <w:sz w:val="22"/>
          <w:szCs w:val="22"/>
          <w:color w:val="auto"/>
        </w:rPr>
      </w:pPr>
    </w:p>
    <w:p>
      <w:pPr>
        <w:jc w:val="both"/>
        <w:ind w:left="760" w:firstLine="1494"/>
        <w:spacing w:after="0" w:line="248" w:lineRule="auto"/>
        <w:tabs>
          <w:tab w:leader="none" w:pos="3755" w:val="left"/>
        </w:tabs>
        <w:numPr>
          <w:ilvl w:val="0"/>
          <w:numId w:val="83"/>
        </w:numPr>
        <w:rPr>
          <w:rFonts w:ascii="Arial" w:cs="Arial" w:eastAsia="Arial" w:hAnsi="Arial"/>
          <w:sz w:val="21"/>
          <w:szCs w:val="21"/>
          <w:color w:val="auto"/>
        </w:rPr>
      </w:pPr>
      <w:r>
        <w:rPr>
          <w:rFonts w:ascii="Arial" w:cs="Arial" w:eastAsia="Arial" w:hAnsi="Arial"/>
          <w:sz w:val="21"/>
          <w:szCs w:val="21"/>
          <w:u w:val="single" w:color="auto"/>
          <w:color w:val="auto"/>
        </w:rPr>
        <w:t>Key Employees</w:t>
      </w:r>
      <w:r>
        <w:rPr>
          <w:rFonts w:ascii="Arial" w:cs="Arial" w:eastAsia="Arial" w:hAnsi="Arial"/>
          <w:sz w:val="21"/>
          <w:szCs w:val="21"/>
          <w:color w:val="auto"/>
        </w:rPr>
        <w:t>. Neither the Adviser nor the Administrator is aware that (i) any of its executives, key employees or significant group of employees plans to terminate employment with the Adviser or the Administrator or (ii) any such executive or key employee is subject to any noncompete, nondisclosure, confidentiality, employment, consulting or similar agreement that would be violated by either the Adviser’s or the Administrator’s present or proposed business activities, except, in each case, as would not reasonably be expected, singly or in the aggregate, to result in an Adviser/Administrator Material Adverse Effect.</w:t>
      </w:r>
    </w:p>
    <w:p>
      <w:pPr>
        <w:spacing w:after="0" w:line="176" w:lineRule="exact"/>
        <w:rPr>
          <w:rFonts w:ascii="Arial" w:cs="Arial" w:eastAsia="Arial" w:hAnsi="Arial"/>
          <w:sz w:val="21"/>
          <w:szCs w:val="21"/>
          <w:color w:val="auto"/>
        </w:rPr>
      </w:pPr>
    </w:p>
    <w:p>
      <w:pPr>
        <w:jc w:val="both"/>
        <w:ind w:left="760" w:firstLine="1494"/>
        <w:spacing w:after="0" w:line="235" w:lineRule="auto"/>
        <w:tabs>
          <w:tab w:leader="none" w:pos="3755" w:val="left"/>
        </w:tabs>
        <w:numPr>
          <w:ilvl w:val="0"/>
          <w:numId w:val="83"/>
        </w:numPr>
        <w:rPr>
          <w:rFonts w:ascii="Arial" w:cs="Arial" w:eastAsia="Arial" w:hAnsi="Arial"/>
          <w:sz w:val="22"/>
          <w:szCs w:val="22"/>
          <w:color w:val="auto"/>
        </w:rPr>
      </w:pPr>
      <w:r>
        <w:rPr>
          <w:rFonts w:ascii="Arial" w:cs="Arial" w:eastAsia="Arial" w:hAnsi="Arial"/>
          <w:sz w:val="22"/>
          <w:szCs w:val="22"/>
          <w:u w:val="single" w:color="auto"/>
          <w:color w:val="auto"/>
        </w:rPr>
        <w:t>No Labor Disputes</w:t>
      </w:r>
      <w:r>
        <w:rPr>
          <w:rFonts w:ascii="Arial" w:cs="Arial" w:eastAsia="Arial" w:hAnsi="Arial"/>
          <w:sz w:val="22"/>
          <w:szCs w:val="22"/>
          <w:color w:val="auto"/>
        </w:rPr>
        <w:t>. No labor disturbance by or dispute with employees of the Adviser or the Administrator or any of their subsidiaries exists or, to the knowledge of the Adviser or the Administrator, is contemplated or threatened, and neither the Adviser nor the Administrator is aware of any existing or imminent labor disturbance by, or dispute with, the employees or any of its or its subsidiaries’ principal suppliers, contractors or customers, except in each case as would not reasonably be expected to result in an Adviser/Administrator Material Adverse Effect.</w:t>
      </w:r>
    </w:p>
    <w:p>
      <w:pPr>
        <w:spacing w:after="0" w:line="187" w:lineRule="exact"/>
        <w:rPr>
          <w:rFonts w:ascii="Arial" w:cs="Arial" w:eastAsia="Arial" w:hAnsi="Arial"/>
          <w:sz w:val="22"/>
          <w:szCs w:val="22"/>
          <w:color w:val="auto"/>
        </w:rPr>
      </w:pPr>
    </w:p>
    <w:p>
      <w:pPr>
        <w:jc w:val="both"/>
        <w:ind w:left="760" w:firstLine="1494"/>
        <w:spacing w:after="0" w:line="233" w:lineRule="auto"/>
        <w:tabs>
          <w:tab w:leader="none" w:pos="3755" w:val="left"/>
        </w:tabs>
        <w:numPr>
          <w:ilvl w:val="0"/>
          <w:numId w:val="83"/>
        </w:numPr>
        <w:rPr>
          <w:rFonts w:ascii="Arial" w:cs="Arial" w:eastAsia="Arial" w:hAnsi="Arial"/>
          <w:sz w:val="22"/>
          <w:szCs w:val="22"/>
          <w:color w:val="auto"/>
        </w:rPr>
      </w:pPr>
      <w:r>
        <w:rPr>
          <w:rFonts w:ascii="Arial" w:cs="Arial" w:eastAsia="Arial" w:hAnsi="Arial"/>
          <w:sz w:val="22"/>
          <w:szCs w:val="22"/>
          <w:u w:val="single" w:color="auto"/>
          <w:color w:val="auto"/>
        </w:rPr>
        <w:t>Accounting Controls</w:t>
      </w:r>
      <w:r>
        <w:rPr>
          <w:rFonts w:ascii="Arial" w:cs="Arial" w:eastAsia="Arial" w:hAnsi="Arial"/>
          <w:sz w:val="22"/>
          <w:szCs w:val="22"/>
          <w:color w:val="auto"/>
        </w:rPr>
        <w:t>. The Adviser and the Administrator maintain systems of internal accounting controls sufficient to provide reasonable assurance that (A) transactions effectuated by them under the Investment Management Agreement and the Administration Agreement, as applicable, are executed in accordance with its management’s general or specific authorization; (B) access to the Company’s consolidated assets that are in its possession or control is permitted only in accordance with its management’s general or specific authorization; (C) transactions for which it has bookkeeping and record-keeping responsibility under the Investment Management Agreement and the Administration Agreement are recorded as necessary to permit preparation of the Company’s financial statements in conformity with GAAP and to maintain financial statements in conformity with GAAP and to maintain accountability for</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76" w:lineRule="exact"/>
        <w:rPr>
          <w:sz w:val="20"/>
          <w:szCs w:val="20"/>
          <w:color w:val="auto"/>
        </w:rPr>
      </w:pPr>
    </w:p>
    <w:p>
      <w:pPr>
        <w:spacing w:after="0"/>
        <w:rPr>
          <w:sz w:val="20"/>
          <w:szCs w:val="20"/>
          <w:color w:val="auto"/>
        </w:rPr>
      </w:pPr>
      <w:r>
        <w:rPr>
          <w:rFonts w:ascii="Arial" w:cs="Arial" w:eastAsia="Arial" w:hAnsi="Arial"/>
          <w:sz w:val="14"/>
          <w:szCs w:val="14"/>
          <w:color w:val="auto"/>
        </w:rPr>
        <w:t>28117909.1.BUSINESS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157720" cy="4254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23" w:name="page124"/>
    <w:bookmarkEnd w:id="123"/>
    <w:p>
      <w:pPr>
        <w:ind w:left="760" w:right="20"/>
        <w:spacing w:after="0" w:line="250" w:lineRule="auto"/>
        <w:rPr>
          <w:sz w:val="20"/>
          <w:szCs w:val="20"/>
          <w:color w:val="auto"/>
        </w:rPr>
      </w:pPr>
      <w:r>
        <w:rPr>
          <w:rFonts w:ascii="Arial" w:cs="Arial" w:eastAsia="Arial" w:hAnsi="Arial"/>
          <w:sz w:val="22"/>
          <w:szCs w:val="22"/>
          <w:color w:val="auto"/>
        </w:rPr>
        <w:t>the Company’s assets and (D) the recorded accountability for such assets is compared with existing assets at reasonable intervals and appropriate action is taken with respect to any differences.</w:t>
      </w:r>
    </w:p>
    <w:p>
      <w:pPr>
        <w:spacing w:after="0" w:line="175" w:lineRule="exact"/>
        <w:rPr>
          <w:sz w:val="20"/>
          <w:szCs w:val="20"/>
          <w:color w:val="auto"/>
        </w:rPr>
      </w:pPr>
    </w:p>
    <w:p>
      <w:pPr>
        <w:jc w:val="both"/>
        <w:ind w:left="760" w:firstLine="1494"/>
        <w:spacing w:after="0"/>
        <w:tabs>
          <w:tab w:leader="none" w:pos="3755" w:val="left"/>
        </w:tabs>
        <w:numPr>
          <w:ilvl w:val="1"/>
          <w:numId w:val="84"/>
        </w:numPr>
        <w:rPr>
          <w:rFonts w:ascii="Arial" w:cs="Arial" w:eastAsia="Arial" w:hAnsi="Arial"/>
          <w:sz w:val="22"/>
          <w:szCs w:val="22"/>
          <w:color w:val="auto"/>
        </w:rPr>
      </w:pPr>
      <w:r>
        <w:rPr>
          <w:rFonts w:ascii="Arial" w:cs="Arial" w:eastAsia="Arial" w:hAnsi="Arial"/>
          <w:sz w:val="22"/>
          <w:szCs w:val="22"/>
          <w:u w:val="single" w:color="auto"/>
          <w:color w:val="auto"/>
        </w:rPr>
        <w:t>Financial Resources</w:t>
      </w:r>
      <w:r>
        <w:rPr>
          <w:rFonts w:ascii="Arial" w:cs="Arial" w:eastAsia="Arial" w:hAnsi="Arial"/>
          <w:sz w:val="22"/>
          <w:szCs w:val="22"/>
          <w:color w:val="auto"/>
        </w:rPr>
        <w:t>. Each of the Adviser and the Administrator has the financial resources available to it necessary for the performance of its services and obligations as contemplated by the Registration Statement, the Prospectus and the Investment Management Agreement.</w:t>
      </w:r>
    </w:p>
    <w:p>
      <w:pPr>
        <w:spacing w:after="0" w:line="186" w:lineRule="exact"/>
        <w:rPr>
          <w:rFonts w:ascii="Arial" w:cs="Arial" w:eastAsia="Arial" w:hAnsi="Arial"/>
          <w:sz w:val="22"/>
          <w:szCs w:val="22"/>
          <w:color w:val="auto"/>
        </w:rPr>
      </w:pPr>
    </w:p>
    <w:p>
      <w:pPr>
        <w:jc w:val="both"/>
        <w:ind w:firstLine="1505"/>
        <w:spacing w:after="0" w:line="238" w:lineRule="auto"/>
        <w:tabs>
          <w:tab w:leader="none" w:pos="2995" w:val="left"/>
        </w:tabs>
        <w:numPr>
          <w:ilvl w:val="0"/>
          <w:numId w:val="85"/>
        </w:numPr>
        <w:rPr>
          <w:rFonts w:ascii="Arial" w:cs="Arial" w:eastAsia="Arial" w:hAnsi="Arial"/>
          <w:sz w:val="22"/>
          <w:szCs w:val="22"/>
          <w:color w:val="auto"/>
        </w:rPr>
      </w:pPr>
      <w:r>
        <w:rPr>
          <w:rFonts w:ascii="Arial" w:cs="Arial" w:eastAsia="Arial" w:hAnsi="Arial"/>
          <w:sz w:val="22"/>
          <w:szCs w:val="22"/>
          <w:i w:val="1"/>
          <w:iCs w:val="1"/>
          <w:color w:val="auto"/>
        </w:rPr>
        <w:t>Officer’s Certificates</w:t>
      </w:r>
      <w:r>
        <w:rPr>
          <w:rFonts w:ascii="Arial" w:cs="Arial" w:eastAsia="Arial" w:hAnsi="Arial"/>
          <w:sz w:val="22"/>
          <w:szCs w:val="22"/>
          <w:color w:val="auto"/>
        </w:rPr>
        <w:t>. Any certificate signed by any officer of the Company, any of the</w:t>
      </w:r>
      <w:r>
        <w:rPr>
          <w:rFonts w:ascii="Arial" w:cs="Arial" w:eastAsia="Arial" w:hAnsi="Arial"/>
          <w:sz w:val="22"/>
          <w:szCs w:val="22"/>
          <w:i w:val="1"/>
          <w:iCs w:val="1"/>
          <w:color w:val="auto"/>
        </w:rPr>
        <w:t xml:space="preserve"> </w:t>
      </w:r>
      <w:r>
        <w:rPr>
          <w:rFonts w:ascii="Arial" w:cs="Arial" w:eastAsia="Arial" w:hAnsi="Arial"/>
          <w:sz w:val="22"/>
          <w:szCs w:val="22"/>
          <w:color w:val="auto"/>
        </w:rPr>
        <w:t>Subsidiaries, the Adviser or the Administrator delivered to the Sales Agent or to counsel for the Sales Agent shall be deemed a representation and warranty by the Company, the Adviser or the Administrator, as applicable, to the Sales Agent as to the matters covered thereby.</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SECTION 2.</w:t>
      </w:r>
      <w:r>
        <w:rPr>
          <w:rFonts w:ascii="Arial" w:cs="Arial" w:eastAsia="Arial" w:hAnsi="Arial"/>
          <w:sz w:val="22"/>
          <w:szCs w:val="22"/>
          <w:u w:val="single" w:color="auto"/>
          <w:color w:val="auto"/>
        </w:rPr>
        <w:t>Sale and Delivery of Securities</w:t>
      </w:r>
      <w:r>
        <w:rPr>
          <w:rFonts w:ascii="Arial" w:cs="Arial" w:eastAsia="Arial" w:hAnsi="Arial"/>
          <w:sz w:val="22"/>
          <w:szCs w:val="22"/>
          <w:color w:val="auto"/>
        </w:rPr>
        <w:t>.</w:t>
      </w:r>
    </w:p>
    <w:p>
      <w:pPr>
        <w:spacing w:after="0" w:line="206" w:lineRule="exact"/>
        <w:rPr>
          <w:sz w:val="20"/>
          <w:szCs w:val="20"/>
          <w:color w:val="auto"/>
        </w:rPr>
      </w:pPr>
    </w:p>
    <w:p>
      <w:pPr>
        <w:jc w:val="both"/>
        <w:ind w:firstLine="1505"/>
        <w:spacing w:after="0" w:line="238" w:lineRule="auto"/>
        <w:tabs>
          <w:tab w:leader="none" w:pos="2995" w:val="left"/>
        </w:tabs>
        <w:numPr>
          <w:ilvl w:val="0"/>
          <w:numId w:val="86"/>
        </w:numPr>
        <w:rPr>
          <w:rFonts w:ascii="Arial" w:cs="Arial" w:eastAsia="Arial" w:hAnsi="Arial"/>
          <w:sz w:val="22"/>
          <w:szCs w:val="22"/>
          <w:color w:val="auto"/>
        </w:rPr>
      </w:pPr>
      <w:r>
        <w:rPr>
          <w:rFonts w:ascii="Arial" w:cs="Arial" w:eastAsia="Arial" w:hAnsi="Arial"/>
          <w:sz w:val="22"/>
          <w:szCs w:val="22"/>
          <w:color w:val="auto"/>
        </w:rPr>
        <w:t>On the basis of the representations, warranties and agreements herein contained, but subject to the terms and conditions herein set forth, the Company agrees to sell Securities from time to time through the Sales Agent, and the Sales Agent agrees to use its commercially reasonable efforts to sell, as sales agent for the Company, the Securities on the following terms.</w:t>
      </w:r>
    </w:p>
    <w:p>
      <w:pPr>
        <w:spacing w:after="0" w:line="185" w:lineRule="exact"/>
        <w:rPr>
          <w:sz w:val="20"/>
          <w:szCs w:val="20"/>
          <w:color w:val="auto"/>
        </w:rPr>
      </w:pPr>
    </w:p>
    <w:p>
      <w:pPr>
        <w:jc w:val="both"/>
        <w:ind w:left="760" w:firstLine="1497"/>
        <w:spacing w:after="0" w:line="268" w:lineRule="auto"/>
        <w:rPr>
          <w:sz w:val="20"/>
          <w:szCs w:val="20"/>
          <w:color w:val="auto"/>
        </w:rPr>
      </w:pPr>
      <w:r>
        <w:rPr>
          <w:rFonts w:ascii="Arial" w:cs="Arial" w:eastAsia="Arial" w:hAnsi="Arial"/>
          <w:sz w:val="19"/>
          <w:szCs w:val="19"/>
          <w:color w:val="auto"/>
        </w:rPr>
        <w:t>(i) Each time that the Company wishes to sell Securities on any day that is a trading day for the Nasdaq Global Select Market (a “Trading Day”) (other than a Trading Day on which the Nasdaq Global Select Market is scheduled to close prior to its regular weekday closing time) pursuant to this Agreement (each, a “Placement”), the Company will instruct the Sales Agent in writing of the parameters in accordance with which it desires Securities to be sold, which shall at a minimum include the number of Securities to be offered, the time period during which sales are requested to be made, the minimum price below which sales may not be made and any limitation on the number of Securities that may be sold in any one day (a “Placement Notice”). The Sales Agent will, prior to 4:30 p.m. (New York City time) or, if later, within three hours after receipt of the Placement Notice, on the same business day (as defined below) on which such Placement Notice is delivered to the Sales Agent, issue to the Company a notice by email addressed to all of the Authorized Representatives (as defined below) confirming all of the parameters of the Placement. The Placement Notice shall be effective upon receipt by any of the Authorized Representatives of the email notice from the Sales Agent, unless and until (i) the entire amount of the Securities covered by the Placement Notice have been sold,</w:t>
      </w:r>
    </w:p>
    <w:p>
      <w:pPr>
        <w:spacing w:after="0" w:line="6" w:lineRule="exact"/>
        <w:rPr>
          <w:sz w:val="20"/>
          <w:szCs w:val="20"/>
          <w:color w:val="auto"/>
        </w:rPr>
      </w:pPr>
    </w:p>
    <w:p>
      <w:pPr>
        <w:jc w:val="both"/>
        <w:ind w:left="760" w:firstLine="64"/>
        <w:spacing w:after="0" w:line="273" w:lineRule="auto"/>
        <w:tabs>
          <w:tab w:leader="none" w:pos="1162" w:val="left"/>
        </w:tabs>
        <w:numPr>
          <w:ilvl w:val="0"/>
          <w:numId w:val="87"/>
        </w:numPr>
        <w:rPr>
          <w:rFonts w:ascii="Arial" w:cs="Arial" w:eastAsia="Arial" w:hAnsi="Arial"/>
          <w:sz w:val="19"/>
          <w:szCs w:val="19"/>
          <w:color w:val="auto"/>
        </w:rPr>
      </w:pPr>
      <w:r>
        <w:rPr>
          <w:rFonts w:ascii="Arial" w:cs="Arial" w:eastAsia="Arial" w:hAnsi="Arial"/>
          <w:sz w:val="19"/>
          <w:szCs w:val="19"/>
          <w:color w:val="auto"/>
        </w:rPr>
        <w:t xml:space="preserve">in accordance with </w:t>
      </w:r>
      <w:r>
        <w:rPr>
          <w:rFonts w:ascii="Arial" w:cs="Arial" w:eastAsia="Arial" w:hAnsi="Arial"/>
          <w:sz w:val="19"/>
          <w:szCs w:val="19"/>
          <w:u w:val="single" w:color="auto"/>
          <w:color w:val="auto"/>
        </w:rPr>
        <w:t>Section 2(a)(ii)</w:t>
      </w:r>
      <w:r>
        <w:rPr>
          <w:rFonts w:ascii="Arial" w:cs="Arial" w:eastAsia="Arial" w:hAnsi="Arial"/>
          <w:sz w:val="19"/>
          <w:szCs w:val="19"/>
          <w:color w:val="auto"/>
        </w:rPr>
        <w:t xml:space="preserve"> hereof, the Company or the Sales Agent suspends or terminates the Placement Notice, (iii) the Company issues a subsequent Placement Notice with parameters superseding those on the earlier dated Placement Notice, or (iv) this Agreement has been terminated under the provisions of </w:t>
      </w:r>
      <w:r>
        <w:rPr>
          <w:rFonts w:ascii="Arial" w:cs="Arial" w:eastAsia="Arial" w:hAnsi="Arial"/>
          <w:sz w:val="19"/>
          <w:szCs w:val="19"/>
          <w:u w:val="single" w:color="auto"/>
          <w:color w:val="auto"/>
        </w:rPr>
        <w:t>Section 9</w:t>
      </w:r>
      <w:r>
        <w:rPr>
          <w:rFonts w:ascii="Arial" w:cs="Arial" w:eastAsia="Arial" w:hAnsi="Arial"/>
          <w:sz w:val="19"/>
          <w:szCs w:val="19"/>
          <w:color w:val="auto"/>
        </w:rPr>
        <w:t>. Subject to the terms and conditions hereof, the Sales Agent shall use its commercially reasonable efforts to offer and sell all of the Securities designated in the Placement Notice; provided, however, that the Sales Agent shall have no obligation to offer or sell any Securities, and the Company acknowledges and agrees that the Sales Agent shall have no such obligation in the event an offer or sale of the Securities on behalf of the Company may in the judgment of the</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76" w:lineRule="exact"/>
        <w:rPr>
          <w:sz w:val="20"/>
          <w:szCs w:val="20"/>
          <w:color w:val="auto"/>
        </w:rPr>
      </w:pPr>
    </w:p>
    <w:p>
      <w:pPr>
        <w:spacing w:after="0"/>
        <w:rPr>
          <w:sz w:val="20"/>
          <w:szCs w:val="20"/>
          <w:color w:val="auto"/>
        </w:rPr>
      </w:pPr>
      <w:r>
        <w:rPr>
          <w:rFonts w:ascii="Arial" w:cs="Arial" w:eastAsia="Arial" w:hAnsi="Arial"/>
          <w:sz w:val="14"/>
          <w:szCs w:val="14"/>
          <w:color w:val="auto"/>
        </w:rPr>
        <w:t>28117909.1.BUSINESS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157720" cy="4254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24" w:name="page125"/>
    <w:bookmarkEnd w:id="124"/>
    <w:p>
      <w:pPr>
        <w:jc w:val="both"/>
        <w:ind w:left="760"/>
        <w:spacing w:after="0" w:line="246" w:lineRule="auto"/>
        <w:rPr>
          <w:sz w:val="20"/>
          <w:szCs w:val="20"/>
          <w:color w:val="auto"/>
        </w:rPr>
      </w:pPr>
      <w:r>
        <w:rPr>
          <w:rFonts w:ascii="Arial" w:cs="Arial" w:eastAsia="Arial" w:hAnsi="Arial"/>
          <w:sz w:val="21"/>
          <w:szCs w:val="21"/>
          <w:color w:val="auto"/>
        </w:rPr>
        <w:t>Sales Agent constitute the sale of a “block” under Rule 10b-18(a)(5) under the 1934 Act, or a “distribution” within the meaning of Rule 100 of Regulation M under the 1934 Act or the Sales Agent reasonably believes it may be deemed an “underwriter” under the 1933 Act in a transaction that is other than (A) by means of ordinary brokers’ transactions between members of the Nasdaq Global Select Market that qualify for delivery of a Prospectus to the Nasdaq Global Select Market in accordance with Rule 153 under the 1933 Act or (B) directly on or through an electronic communication network, a “dark pool” or any similar market venue (the transactions described in (A) and (B) are hereinafter referred to as “At the Market Offerings”). In the event of a conflict between the terms of this Agreement and the terms of any Placement Notice, the terms of such Placement Notice will control.</w:t>
      </w:r>
    </w:p>
    <w:p>
      <w:pPr>
        <w:spacing w:after="0" w:line="180" w:lineRule="exact"/>
        <w:rPr>
          <w:sz w:val="20"/>
          <w:szCs w:val="20"/>
          <w:color w:val="auto"/>
        </w:rPr>
      </w:pPr>
    </w:p>
    <w:p>
      <w:pPr>
        <w:jc w:val="both"/>
        <w:ind w:left="760" w:firstLine="1494"/>
        <w:spacing w:after="0" w:line="277" w:lineRule="auto"/>
        <w:tabs>
          <w:tab w:leader="none" w:pos="3755" w:val="left"/>
        </w:tabs>
        <w:numPr>
          <w:ilvl w:val="0"/>
          <w:numId w:val="88"/>
        </w:numPr>
        <w:rPr>
          <w:rFonts w:ascii="Arial" w:cs="Arial" w:eastAsia="Arial" w:hAnsi="Arial"/>
          <w:sz w:val="19"/>
          <w:szCs w:val="19"/>
          <w:color w:val="auto"/>
        </w:rPr>
      </w:pPr>
      <w:r>
        <w:rPr>
          <w:rFonts w:ascii="Arial" w:cs="Arial" w:eastAsia="Arial" w:hAnsi="Arial"/>
          <w:sz w:val="19"/>
          <w:szCs w:val="19"/>
          <w:color w:val="auto"/>
        </w:rPr>
        <w:t>Notwithstanding the foregoing, the Company or the Sales Agent may, upon notice to the other party by telephone (confirmed promptly by electronic mail from such party), suspend the offering of the Securities pursuant to this Agreement or suspend or terminate a previously issued Placement Notice; provided, however, that such suspension or termination shall not affect or impair the parties’ respective obligations with respect to the Securities sold hereunder prior to the giving of such notice. Each of the parties agrees that no such notice shall be effective against the other unless it is made to one of its authorized representatives as set forth on Schedule B hereto (the “Authorized Representatives”), as such Schedule may be amended from time to time.</w:t>
      </w:r>
    </w:p>
    <w:p>
      <w:pPr>
        <w:spacing w:after="0" w:line="151" w:lineRule="exact"/>
        <w:rPr>
          <w:rFonts w:ascii="Arial" w:cs="Arial" w:eastAsia="Arial" w:hAnsi="Arial"/>
          <w:sz w:val="19"/>
          <w:szCs w:val="19"/>
          <w:color w:val="auto"/>
        </w:rPr>
      </w:pPr>
    </w:p>
    <w:p>
      <w:pPr>
        <w:jc w:val="both"/>
        <w:ind w:left="760" w:firstLine="1494"/>
        <w:spacing w:after="0" w:line="238" w:lineRule="auto"/>
        <w:tabs>
          <w:tab w:leader="none" w:pos="3755" w:val="left"/>
        </w:tabs>
        <w:numPr>
          <w:ilvl w:val="0"/>
          <w:numId w:val="88"/>
        </w:numPr>
        <w:rPr>
          <w:rFonts w:ascii="Arial" w:cs="Arial" w:eastAsia="Arial" w:hAnsi="Arial"/>
          <w:sz w:val="22"/>
          <w:szCs w:val="22"/>
          <w:color w:val="auto"/>
        </w:rPr>
      </w:pPr>
      <w:r>
        <w:rPr>
          <w:rFonts w:ascii="Arial" w:cs="Arial" w:eastAsia="Arial" w:hAnsi="Arial"/>
          <w:sz w:val="22"/>
          <w:szCs w:val="22"/>
          <w:color w:val="auto"/>
        </w:rPr>
        <w:t xml:space="preserve">The Sales Agent hereby covenants and agrees not to make any sales of the Securities on behalf of the Company, pursuant to this </w:t>
      </w:r>
      <w:r>
        <w:rPr>
          <w:rFonts w:ascii="Arial" w:cs="Arial" w:eastAsia="Arial" w:hAnsi="Arial"/>
          <w:sz w:val="22"/>
          <w:szCs w:val="22"/>
          <w:u w:val="single" w:color="auto"/>
          <w:color w:val="auto"/>
        </w:rPr>
        <w:t>Section 2(a)</w:t>
      </w:r>
      <w:r>
        <w:rPr>
          <w:rFonts w:ascii="Arial" w:cs="Arial" w:eastAsia="Arial" w:hAnsi="Arial"/>
          <w:sz w:val="22"/>
          <w:szCs w:val="22"/>
          <w:color w:val="auto"/>
        </w:rPr>
        <w:t>, other than (A) by means of At the Market Offerings and (B) such other sales of the Securities on behalf of the Company in its capacity as agent of the Company as shall be agreed by the Company and the Sales Agent.</w:t>
      </w:r>
    </w:p>
    <w:p>
      <w:pPr>
        <w:spacing w:after="0" w:line="184" w:lineRule="exact"/>
        <w:rPr>
          <w:rFonts w:ascii="Arial" w:cs="Arial" w:eastAsia="Arial" w:hAnsi="Arial"/>
          <w:sz w:val="22"/>
          <w:szCs w:val="22"/>
          <w:color w:val="auto"/>
        </w:rPr>
      </w:pPr>
    </w:p>
    <w:p>
      <w:pPr>
        <w:jc w:val="both"/>
        <w:ind w:left="760" w:firstLine="1494"/>
        <w:spacing w:after="0" w:line="272" w:lineRule="auto"/>
        <w:tabs>
          <w:tab w:leader="none" w:pos="3755" w:val="left"/>
        </w:tabs>
        <w:numPr>
          <w:ilvl w:val="0"/>
          <w:numId w:val="88"/>
        </w:numPr>
        <w:rPr>
          <w:rFonts w:ascii="Arial" w:cs="Arial" w:eastAsia="Arial" w:hAnsi="Arial"/>
          <w:sz w:val="19"/>
          <w:szCs w:val="19"/>
          <w:color w:val="auto"/>
        </w:rPr>
      </w:pPr>
      <w:r>
        <w:rPr>
          <w:rFonts w:ascii="Arial" w:cs="Arial" w:eastAsia="Arial" w:hAnsi="Arial"/>
          <w:sz w:val="19"/>
          <w:szCs w:val="19"/>
          <w:color w:val="auto"/>
        </w:rPr>
        <w:t xml:space="preserve">The gross sales price of any Securities sold pursuant to this Agreement by the Sales Agent, as an agent of the Company, shall be the market price prevailing at the time of sale for Securities sold by the Sales Agent on the Nasdaq Global Select Market or otherwise, at prices related to prevailing market prices or, subject to specific instructions of the Company, at negotiated prices. The compensation to the Sales Agent, as an agent of the Company, for sales of the Securities shall be at a mutually agreed rate up to 2.0% of the gross sales price of the Securities sold pursuant to this </w:t>
      </w:r>
      <w:r>
        <w:rPr>
          <w:rFonts w:ascii="Arial" w:cs="Arial" w:eastAsia="Arial" w:hAnsi="Arial"/>
          <w:sz w:val="19"/>
          <w:szCs w:val="19"/>
          <w:u w:val="single" w:color="auto"/>
          <w:color w:val="auto"/>
        </w:rPr>
        <w:t>Section 2(a)</w:t>
      </w:r>
      <w:r>
        <w:rPr>
          <w:rFonts w:ascii="Arial" w:cs="Arial" w:eastAsia="Arial" w:hAnsi="Arial"/>
          <w:sz w:val="19"/>
          <w:szCs w:val="19"/>
          <w:color w:val="auto"/>
        </w:rPr>
        <w:t>. The foregoing rate of compensation shall not apply when the Sales Agent acts as principal, in which case the Company may sell Securities to the Sales Agent as principal at a price agreed upon at the relevant applicable time pursuant to a separate agreement (each, a “Terms Agreement”) relating to such sale. The remaining proceeds, after further deduction for any transaction fees imposed by any governmental or self-regulatory organization in connection with such sales, shall constitute the net proceeds to the Company for such Securities (the “Net Proceeds”). The Sales Agent shall notify the Company as promptly as practicable if any deduction referenced in the preceding sentence will be made.</w:t>
      </w:r>
    </w:p>
    <w:p>
      <w:pPr>
        <w:spacing w:after="0" w:line="200" w:lineRule="exact"/>
        <w:rPr>
          <w:rFonts w:ascii="Arial" w:cs="Arial" w:eastAsia="Arial" w:hAnsi="Arial"/>
          <w:sz w:val="19"/>
          <w:szCs w:val="19"/>
          <w:color w:val="auto"/>
        </w:rPr>
      </w:pPr>
    </w:p>
    <w:p>
      <w:pPr>
        <w:spacing w:after="0" w:line="208" w:lineRule="exact"/>
        <w:rPr>
          <w:rFonts w:ascii="Arial" w:cs="Arial" w:eastAsia="Arial" w:hAnsi="Arial"/>
          <w:sz w:val="19"/>
          <w:szCs w:val="19"/>
          <w:color w:val="auto"/>
        </w:rPr>
      </w:pPr>
    </w:p>
    <w:p>
      <w:pPr>
        <w:jc w:val="both"/>
        <w:ind w:left="760" w:firstLine="1494"/>
        <w:spacing w:after="0"/>
        <w:tabs>
          <w:tab w:leader="none" w:pos="3755" w:val="left"/>
        </w:tabs>
        <w:numPr>
          <w:ilvl w:val="0"/>
          <w:numId w:val="88"/>
        </w:numPr>
        <w:rPr>
          <w:rFonts w:ascii="Arial" w:cs="Arial" w:eastAsia="Arial" w:hAnsi="Arial"/>
          <w:sz w:val="22"/>
          <w:szCs w:val="22"/>
          <w:color w:val="auto"/>
        </w:rPr>
      </w:pPr>
      <w:r>
        <w:rPr>
          <w:rFonts w:ascii="Arial" w:cs="Arial" w:eastAsia="Arial" w:hAnsi="Arial"/>
          <w:sz w:val="22"/>
          <w:szCs w:val="22"/>
          <w:color w:val="auto"/>
        </w:rPr>
        <w:t xml:space="preserve">The Sales Agent shall provide written confirmation to the Company as soon as practicable following the close of trading on the Nasdaq Global Select Market each day on which the Securities are sold under this </w:t>
      </w:r>
      <w:r>
        <w:rPr>
          <w:rFonts w:ascii="Arial" w:cs="Arial" w:eastAsia="Arial" w:hAnsi="Arial"/>
          <w:sz w:val="22"/>
          <w:szCs w:val="22"/>
          <w:u w:val="single" w:color="auto"/>
          <w:color w:val="auto"/>
        </w:rPr>
        <w:t>Section 2(a)</w:t>
      </w:r>
      <w:r>
        <w:rPr>
          <w:rFonts w:ascii="Arial" w:cs="Arial" w:eastAsia="Arial" w:hAnsi="Arial"/>
          <w:sz w:val="22"/>
          <w:szCs w:val="22"/>
          <w:color w:val="auto"/>
        </w:rPr>
        <w:t xml:space="preserve"> setting forth the aggregate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76" w:lineRule="exact"/>
        <w:rPr>
          <w:sz w:val="20"/>
          <w:szCs w:val="20"/>
          <w:color w:val="auto"/>
        </w:rPr>
      </w:pPr>
    </w:p>
    <w:p>
      <w:pPr>
        <w:spacing w:after="0"/>
        <w:rPr>
          <w:sz w:val="20"/>
          <w:szCs w:val="20"/>
          <w:color w:val="auto"/>
        </w:rPr>
      </w:pPr>
      <w:r>
        <w:rPr>
          <w:rFonts w:ascii="Arial" w:cs="Arial" w:eastAsia="Arial" w:hAnsi="Arial"/>
          <w:sz w:val="14"/>
          <w:szCs w:val="14"/>
          <w:color w:val="auto"/>
        </w:rPr>
        <w:t>28117909.1.BUSINESS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157720" cy="4254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25" w:name="page126"/>
    <w:bookmarkEnd w:id="125"/>
    <w:p>
      <w:pPr>
        <w:ind w:left="760"/>
        <w:spacing w:after="0" w:line="250" w:lineRule="auto"/>
        <w:rPr>
          <w:sz w:val="20"/>
          <w:szCs w:val="20"/>
          <w:color w:val="auto"/>
        </w:rPr>
      </w:pPr>
      <w:r>
        <w:rPr>
          <w:rFonts w:ascii="Arial" w:cs="Arial" w:eastAsia="Arial" w:hAnsi="Arial"/>
          <w:sz w:val="22"/>
          <w:szCs w:val="22"/>
          <w:color w:val="auto"/>
        </w:rPr>
        <w:t>amount of the Securities sold on such day, the aggregate Net Proceeds to the Company, and the aggregate compensation payable by the Company to the Sales Agent with respect to such sales.</w:t>
      </w:r>
    </w:p>
    <w:p>
      <w:pPr>
        <w:spacing w:after="0" w:line="175" w:lineRule="exact"/>
        <w:rPr>
          <w:sz w:val="20"/>
          <w:szCs w:val="20"/>
          <w:color w:val="auto"/>
        </w:rPr>
      </w:pPr>
    </w:p>
    <w:p>
      <w:pPr>
        <w:jc w:val="both"/>
        <w:ind w:left="760" w:firstLine="1494"/>
        <w:spacing w:after="0" w:line="270" w:lineRule="auto"/>
        <w:tabs>
          <w:tab w:leader="none" w:pos="3755" w:val="left"/>
        </w:tabs>
        <w:numPr>
          <w:ilvl w:val="1"/>
          <w:numId w:val="89"/>
        </w:numPr>
        <w:rPr>
          <w:rFonts w:ascii="Arial" w:cs="Arial" w:eastAsia="Arial" w:hAnsi="Arial"/>
          <w:sz w:val="19"/>
          <w:szCs w:val="19"/>
          <w:color w:val="auto"/>
        </w:rPr>
      </w:pPr>
      <w:r>
        <w:rPr>
          <w:rFonts w:ascii="Arial" w:cs="Arial" w:eastAsia="Arial" w:hAnsi="Arial"/>
          <w:sz w:val="19"/>
          <w:szCs w:val="19"/>
          <w:color w:val="auto"/>
        </w:rPr>
        <w:t xml:space="preserve">Settlement for sales of the Securities pursuant to this </w:t>
      </w:r>
      <w:r>
        <w:rPr>
          <w:rFonts w:ascii="Arial" w:cs="Arial" w:eastAsia="Arial" w:hAnsi="Arial"/>
          <w:sz w:val="19"/>
          <w:szCs w:val="19"/>
          <w:u w:val="single" w:color="auto"/>
          <w:color w:val="auto"/>
        </w:rPr>
        <w:t>Section 2(a)</w:t>
      </w:r>
      <w:r>
        <w:rPr>
          <w:rFonts w:ascii="Arial" w:cs="Arial" w:eastAsia="Arial" w:hAnsi="Arial"/>
          <w:sz w:val="19"/>
          <w:szCs w:val="19"/>
          <w:color w:val="auto"/>
        </w:rPr>
        <w:t xml:space="preserve"> will occur on the second Trading Day following the date on which such sales are made, unless another date shall be agreed upon by the Company and the Sales Agent (provided that, if such Trading Day is not a business day, then settlement will occur on the next succeeding Trading Day that is also a business day) (each such date, a “Settlement Date”). As used herein, the term “business day” means any day other than a Saturday, Sunday or other day on which commercial banks in The City of New York are authorized or required by law, regulation or executive order to close. On each Settlement Date, the Securities sold through the Sales Agent for settlement on such date shall be delivered by the Company (through its transfer agent) to the Sales Agent against payment of the Net Proceeds for the sale of such Securities. Settlement for all such Securities shall be effected by electronically transferring the Securities by the Company to the Sales Agent’s account, or to the account of the Sales Agent’s designee, at DTC through its Deposit and Withdrawal at Custodian System (“DWAC”) or by such other means of delivery as may be mutually agreed upon by the Company and the Sales Agent, which in all cases shall be freely tradable, transferable, registered shares eligible for delivery through DTC, in return for payments in same day funds delivered to the account designated by the Company. If the Company (or its transfer agent) shall default on its obligation to deliver the Securities on any Settlement Date, the Company shall (A) indemnify and hold the Sales Agent harmless against any loss, claim or damage arising from or as a result of such default by the Company and (B) pay the Sales Agent any commission to which it would otherwise be entitled absent such default. The Authorized Representatives, or any designees thereof as notified to the Sales Agent in writing, shall be the contact persons for the Company for all matters related to the settlement of the transfer of the Securities through DWAC for purposes of this </w:t>
      </w:r>
      <w:r>
        <w:rPr>
          <w:rFonts w:ascii="Arial" w:cs="Arial" w:eastAsia="Arial" w:hAnsi="Arial"/>
          <w:sz w:val="19"/>
          <w:szCs w:val="19"/>
          <w:u w:val="single" w:color="auto"/>
          <w:color w:val="auto"/>
        </w:rPr>
        <w:t>Section 2(a)(vi)</w:t>
      </w:r>
      <w:r>
        <w:rPr>
          <w:rFonts w:ascii="Arial" w:cs="Arial" w:eastAsia="Arial" w:hAnsi="Arial"/>
          <w:sz w:val="19"/>
          <w:szCs w:val="19"/>
          <w:color w:val="auto"/>
        </w:rPr>
        <w:t>.</w:t>
      </w:r>
    </w:p>
    <w:p>
      <w:pPr>
        <w:spacing w:after="0" w:line="200" w:lineRule="exact"/>
        <w:rPr>
          <w:rFonts w:ascii="Arial" w:cs="Arial" w:eastAsia="Arial" w:hAnsi="Arial"/>
          <w:sz w:val="19"/>
          <w:szCs w:val="19"/>
          <w:color w:val="auto"/>
        </w:rPr>
      </w:pPr>
    </w:p>
    <w:p>
      <w:pPr>
        <w:spacing w:after="0" w:line="208" w:lineRule="exact"/>
        <w:rPr>
          <w:rFonts w:ascii="Arial" w:cs="Arial" w:eastAsia="Arial" w:hAnsi="Arial"/>
          <w:sz w:val="19"/>
          <w:szCs w:val="19"/>
          <w:color w:val="auto"/>
        </w:rPr>
      </w:pPr>
    </w:p>
    <w:p>
      <w:pPr>
        <w:jc w:val="both"/>
        <w:ind w:left="760" w:firstLine="1494"/>
        <w:spacing w:after="0" w:line="236" w:lineRule="auto"/>
        <w:tabs>
          <w:tab w:leader="none" w:pos="3755" w:val="left"/>
        </w:tabs>
        <w:numPr>
          <w:ilvl w:val="1"/>
          <w:numId w:val="89"/>
        </w:numPr>
        <w:rPr>
          <w:rFonts w:ascii="Arial" w:cs="Arial" w:eastAsia="Arial" w:hAnsi="Arial"/>
          <w:sz w:val="22"/>
          <w:szCs w:val="22"/>
          <w:color w:val="auto"/>
        </w:rPr>
      </w:pPr>
      <w:r>
        <w:rPr>
          <w:rFonts w:ascii="Arial" w:cs="Arial" w:eastAsia="Arial" w:hAnsi="Arial"/>
          <w:sz w:val="22"/>
          <w:szCs w:val="22"/>
          <w:color w:val="auto"/>
        </w:rPr>
        <w:t xml:space="preserve">Any obligation of the Sales Agent to use its commercially reasonable efforts to sell the Securities on behalf of the Company shall be subject to the continuing accuracy of the representations and warranties of the Company, the Adviser and the Administrator, to the performance by the Company, the Adviser and the Administrator of their obligations hereunder and to the continuing satisfaction of the additional conditions specified in </w:t>
      </w:r>
      <w:r>
        <w:rPr>
          <w:rFonts w:ascii="Arial" w:cs="Arial" w:eastAsia="Arial" w:hAnsi="Arial"/>
          <w:sz w:val="22"/>
          <w:szCs w:val="22"/>
          <w:u w:val="single" w:color="auto"/>
          <w:color w:val="auto"/>
        </w:rPr>
        <w:t>Section 3</w:t>
      </w:r>
      <w:r>
        <w:rPr>
          <w:rFonts w:ascii="Arial" w:cs="Arial" w:eastAsia="Arial" w:hAnsi="Arial"/>
          <w:sz w:val="22"/>
          <w:szCs w:val="22"/>
          <w:color w:val="auto"/>
        </w:rPr>
        <w:t xml:space="preserve"> of this Agreement.</w:t>
      </w:r>
    </w:p>
    <w:p>
      <w:pPr>
        <w:spacing w:after="0" w:line="187" w:lineRule="exact"/>
        <w:rPr>
          <w:rFonts w:ascii="Arial" w:cs="Arial" w:eastAsia="Arial" w:hAnsi="Arial"/>
          <w:sz w:val="22"/>
          <w:szCs w:val="22"/>
          <w:color w:val="auto"/>
        </w:rPr>
      </w:pPr>
    </w:p>
    <w:p>
      <w:pPr>
        <w:jc w:val="both"/>
        <w:ind w:firstLine="1505"/>
        <w:spacing w:after="0" w:line="234" w:lineRule="auto"/>
        <w:tabs>
          <w:tab w:leader="none" w:pos="2995" w:val="left"/>
        </w:tabs>
        <w:numPr>
          <w:ilvl w:val="0"/>
          <w:numId w:val="90"/>
        </w:numPr>
        <w:rPr>
          <w:rFonts w:ascii="Arial" w:cs="Arial" w:eastAsia="Arial" w:hAnsi="Arial"/>
          <w:sz w:val="22"/>
          <w:szCs w:val="22"/>
          <w:color w:val="auto"/>
        </w:rPr>
      </w:pPr>
      <w:r>
        <w:rPr>
          <w:rFonts w:ascii="Arial" w:cs="Arial" w:eastAsia="Arial" w:hAnsi="Arial"/>
          <w:sz w:val="22"/>
          <w:szCs w:val="22"/>
          <w:color w:val="auto"/>
        </w:rPr>
        <w:t xml:space="preserve">If the Company wishes to sell the Securities other than as set forth in </w:t>
      </w:r>
      <w:r>
        <w:rPr>
          <w:rFonts w:ascii="Arial" w:cs="Arial" w:eastAsia="Arial" w:hAnsi="Arial"/>
          <w:sz w:val="22"/>
          <w:szCs w:val="22"/>
          <w:u w:val="single" w:color="auto"/>
          <w:color w:val="auto"/>
        </w:rPr>
        <w:t>Section 2(a)</w:t>
      </w:r>
      <w:r>
        <w:rPr>
          <w:rFonts w:ascii="Arial" w:cs="Arial" w:eastAsia="Arial" w:hAnsi="Arial"/>
          <w:sz w:val="22"/>
          <w:szCs w:val="22"/>
          <w:color w:val="auto"/>
        </w:rPr>
        <w:t xml:space="preserve"> of this Agreement, it may elect, in its sole discretion, to notify the Sales Agent of the proposed terms of such sale. If the Sales Agent, acting as principal, wishes to accept such proposed terms (which it may decline to do for any reason in its sole discretion) or, following discussions with the Company, wishes to accept amended terms, the Company will enter into a Terms Agreement setting forth the terms of such Placement. In the event of a conflict between the terms of this Agreement and the terms of any Terms Agreement, the terms of such Terms Agreement will control. For avoidance of doubt, nothing contained in this Agreement shall be construed to require the Company to engage the Sales Agent in connection with the offer and sale of any of its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76" w:lineRule="exact"/>
        <w:rPr>
          <w:sz w:val="20"/>
          <w:szCs w:val="20"/>
          <w:color w:val="auto"/>
        </w:rPr>
      </w:pPr>
    </w:p>
    <w:p>
      <w:pPr>
        <w:spacing w:after="0"/>
        <w:rPr>
          <w:sz w:val="20"/>
          <w:szCs w:val="20"/>
          <w:color w:val="auto"/>
        </w:rPr>
      </w:pPr>
      <w:r>
        <w:rPr>
          <w:rFonts w:ascii="Arial" w:cs="Arial" w:eastAsia="Arial" w:hAnsi="Arial"/>
          <w:sz w:val="14"/>
          <w:szCs w:val="14"/>
          <w:color w:val="auto"/>
        </w:rPr>
        <w:t>28117909.1.BUSINESS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157720" cy="4254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26" w:name="page127"/>
    <w:bookmarkEnd w:id="126"/>
    <w:p>
      <w:pPr>
        <w:spacing w:after="0"/>
        <w:rPr>
          <w:sz w:val="20"/>
          <w:szCs w:val="20"/>
          <w:color w:val="auto"/>
        </w:rPr>
      </w:pPr>
      <w:r>
        <w:rPr>
          <w:rFonts w:ascii="Arial" w:cs="Arial" w:eastAsia="Arial" w:hAnsi="Arial"/>
          <w:sz w:val="22"/>
          <w:szCs w:val="22"/>
          <w:color w:val="auto"/>
        </w:rPr>
        <w:t>securities, including shares of the Common Stock, whether in connection with an underwritten offering or otherwise.</w:t>
      </w:r>
    </w:p>
    <w:p>
      <w:pPr>
        <w:spacing w:after="0" w:line="206" w:lineRule="exact"/>
        <w:rPr>
          <w:sz w:val="20"/>
          <w:szCs w:val="20"/>
          <w:color w:val="auto"/>
        </w:rPr>
      </w:pPr>
    </w:p>
    <w:p>
      <w:pPr>
        <w:jc w:val="both"/>
        <w:ind w:firstLine="1505"/>
        <w:spacing w:after="0" w:line="238" w:lineRule="auto"/>
        <w:tabs>
          <w:tab w:leader="none" w:pos="2995" w:val="left"/>
        </w:tabs>
        <w:numPr>
          <w:ilvl w:val="0"/>
          <w:numId w:val="91"/>
        </w:numPr>
        <w:rPr>
          <w:rFonts w:ascii="Arial" w:cs="Arial" w:eastAsia="Arial" w:hAnsi="Arial"/>
          <w:sz w:val="22"/>
          <w:szCs w:val="22"/>
          <w:color w:val="auto"/>
        </w:rPr>
      </w:pPr>
      <w:r>
        <w:rPr>
          <w:rFonts w:ascii="Arial" w:cs="Arial" w:eastAsia="Arial" w:hAnsi="Arial"/>
          <w:sz w:val="22"/>
          <w:szCs w:val="22"/>
          <w:color w:val="auto"/>
        </w:rPr>
        <w:t>In the event the Company engages the Sales Agent for a sale of Securities that would constitute the sale of a “block” under Rule 10b-18(a)(5) under the 1934 Act, or a “distribution,” within the meaning of Rule 100 of Regulation M under the 1934 Act, the Company and the Sales Agent will agree to compensation that is customary for the Sales Agent with respect to such transactions.</w:t>
      </w:r>
    </w:p>
    <w:p>
      <w:pPr>
        <w:spacing w:after="0" w:line="184" w:lineRule="exact"/>
        <w:rPr>
          <w:rFonts w:ascii="Arial" w:cs="Arial" w:eastAsia="Arial" w:hAnsi="Arial"/>
          <w:sz w:val="22"/>
          <w:szCs w:val="22"/>
          <w:color w:val="auto"/>
        </w:rPr>
      </w:pPr>
    </w:p>
    <w:p>
      <w:pPr>
        <w:jc w:val="both"/>
        <w:ind w:firstLine="1505"/>
        <w:spacing w:after="0" w:line="238" w:lineRule="auto"/>
        <w:tabs>
          <w:tab w:leader="none" w:pos="2995" w:val="left"/>
        </w:tabs>
        <w:numPr>
          <w:ilvl w:val="0"/>
          <w:numId w:val="91"/>
        </w:numPr>
        <w:rPr>
          <w:rFonts w:ascii="Arial" w:cs="Arial" w:eastAsia="Arial" w:hAnsi="Arial"/>
          <w:sz w:val="22"/>
          <w:szCs w:val="22"/>
          <w:color w:val="auto"/>
        </w:rPr>
      </w:pPr>
      <w:r>
        <w:rPr>
          <w:rFonts w:ascii="Arial" w:cs="Arial" w:eastAsia="Arial" w:hAnsi="Arial"/>
          <w:sz w:val="22"/>
          <w:szCs w:val="22"/>
          <w:color w:val="auto"/>
        </w:rPr>
        <w:t>Under no circumstances shall the Company cause or request the offer or sale of any Securities if, after giving effect to the sale of such Securities, the aggregate gross sales proceeds or the aggregate number of the Securities sold pursuant to this Agreement would exceed the amount available for offer and sale under the currently effective Registration Statement.</w:t>
      </w:r>
    </w:p>
    <w:p>
      <w:pPr>
        <w:spacing w:after="0" w:line="184" w:lineRule="exact"/>
        <w:rPr>
          <w:rFonts w:ascii="Arial" w:cs="Arial" w:eastAsia="Arial" w:hAnsi="Arial"/>
          <w:sz w:val="22"/>
          <w:szCs w:val="22"/>
          <w:color w:val="auto"/>
        </w:rPr>
      </w:pPr>
    </w:p>
    <w:p>
      <w:pPr>
        <w:jc w:val="both"/>
        <w:ind w:firstLine="1505"/>
        <w:spacing w:after="0" w:line="279" w:lineRule="auto"/>
        <w:tabs>
          <w:tab w:leader="none" w:pos="2995" w:val="left"/>
        </w:tabs>
        <w:numPr>
          <w:ilvl w:val="0"/>
          <w:numId w:val="91"/>
        </w:numPr>
        <w:rPr>
          <w:rFonts w:ascii="Arial" w:cs="Arial" w:eastAsia="Arial" w:hAnsi="Arial"/>
          <w:sz w:val="19"/>
          <w:szCs w:val="19"/>
          <w:color w:val="auto"/>
        </w:rPr>
      </w:pPr>
      <w:r>
        <w:rPr>
          <w:rFonts w:ascii="Arial" w:cs="Arial" w:eastAsia="Arial" w:hAnsi="Arial"/>
          <w:sz w:val="19"/>
          <w:szCs w:val="19"/>
          <w:color w:val="auto"/>
        </w:rPr>
        <w:t>If any party has reason to believe that the exemptive provisions set forth in Rule 101(c)(1) of Regulation M under the 1934 Act are not satisfied with respect to the Securities, it shall promptly notify the other parties and sales of the Securities under this Agreement shall be suspended until that or other exemptive provisions have been satisfied in the judgment of each party. Upon the reasonable request of the Company in writing to the Sales Agent (which such request may be by electronic mail), the Sales Agent shall promptly calculate and provide in writing to the Company a report setting forth, for the prior week, the average daily trading volume (as defined in Rule 100 of Regulation M under the 1934 Act) of the Common Stock.</w:t>
      </w:r>
    </w:p>
    <w:p>
      <w:pPr>
        <w:spacing w:after="0" w:line="150" w:lineRule="exact"/>
        <w:rPr>
          <w:sz w:val="20"/>
          <w:szCs w:val="20"/>
          <w:color w:val="auto"/>
        </w:rPr>
      </w:pPr>
    </w:p>
    <w:p>
      <w:pPr>
        <w:jc w:val="both"/>
        <w:ind w:firstLine="1497"/>
        <w:spacing w:after="0" w:line="244" w:lineRule="auto"/>
        <w:rPr>
          <w:sz w:val="20"/>
          <w:szCs w:val="20"/>
          <w:color w:val="auto"/>
        </w:rPr>
      </w:pPr>
      <w:r>
        <w:rPr>
          <w:rFonts w:ascii="Arial" w:cs="Arial" w:eastAsia="Arial" w:hAnsi="Arial"/>
          <w:sz w:val="21"/>
          <w:szCs w:val="21"/>
          <w:color w:val="auto"/>
        </w:rPr>
        <w:t xml:space="preserve">(f) Each sale of the Securities to or through the Sales Agent shall be made in accordance with the terms of this Agreement or, if applicable, a Terms Agreement. The commitment of the Sales Agent to purchase the Securities pursuant to any Terms Agreement shall be deemed to have been made on the basis of the representations and warranties of the parties herein contained and shall be subject to the terms and conditions herein set forth. Each Terms Agreement shall specify the number of the Securities to be purchased by the Sales Agent pursuant thereto, the price to be paid to the Company for such Securities, any provisions relating to rights of, and default by, underwriters acting together with the Sales Agent in the reoffering of the Securities, any provisions relating to the granting of an option to purchase additional Securities for the purpose of covering over-allotments, and the time and date (each such time and date being referred to herein as a “Date of Delivery”) and place of delivery of and payment for such Securities. Such Terms Agreement shall also specify any requirements for opinions of counsel, accountants’ letters and officers’ certificates pursuant to </w:t>
      </w:r>
      <w:r>
        <w:rPr>
          <w:rFonts w:ascii="Arial" w:cs="Arial" w:eastAsia="Arial" w:hAnsi="Arial"/>
          <w:sz w:val="21"/>
          <w:szCs w:val="21"/>
          <w:u w:val="single" w:color="auto"/>
          <w:color w:val="auto"/>
        </w:rPr>
        <w:t>Section 5</w:t>
      </w:r>
      <w:r>
        <w:rPr>
          <w:rFonts w:ascii="Arial" w:cs="Arial" w:eastAsia="Arial" w:hAnsi="Arial"/>
          <w:sz w:val="21"/>
          <w:szCs w:val="21"/>
          <w:color w:val="auto"/>
        </w:rPr>
        <w:t xml:space="preserve"> hereof and any other information or documents required by the Sales Agent.</w:t>
      </w:r>
    </w:p>
    <w:p>
      <w:pPr>
        <w:spacing w:after="0" w:line="188" w:lineRule="exact"/>
        <w:rPr>
          <w:sz w:val="20"/>
          <w:szCs w:val="20"/>
          <w:color w:val="auto"/>
        </w:rPr>
      </w:pPr>
    </w:p>
    <w:p>
      <w:pPr>
        <w:jc w:val="both"/>
        <w:ind w:firstLine="1505"/>
        <w:spacing w:after="0" w:line="287" w:lineRule="auto"/>
        <w:tabs>
          <w:tab w:leader="none" w:pos="2995" w:val="left"/>
        </w:tabs>
        <w:numPr>
          <w:ilvl w:val="0"/>
          <w:numId w:val="92"/>
        </w:numPr>
        <w:rPr>
          <w:rFonts w:ascii="Arial" w:cs="Arial" w:eastAsia="Arial" w:hAnsi="Arial"/>
          <w:sz w:val="19"/>
          <w:szCs w:val="19"/>
          <w:color w:val="auto"/>
        </w:rPr>
      </w:pPr>
      <w:r>
        <w:rPr>
          <w:rFonts w:ascii="Arial" w:cs="Arial" w:eastAsia="Arial" w:hAnsi="Arial"/>
          <w:sz w:val="19"/>
          <w:szCs w:val="19"/>
          <w:color w:val="auto"/>
        </w:rPr>
        <w:t>Subject to such further limitations on offers and sales of Securities or delivery of instructions to offer and sell Securities as are set forth herein and as may be mutually agreed upon by the Company and the Sales Agent offers and sales of Securities pursuant to this Agreement shall not be requested by the Company and need not be made by the Sales Agent at any time when or during any period in which the Company is in possession of material non-public information.</w:t>
      </w:r>
    </w:p>
    <w:p>
      <w:pPr>
        <w:spacing w:after="0" w:line="142" w:lineRule="exact"/>
        <w:rPr>
          <w:rFonts w:ascii="Arial" w:cs="Arial" w:eastAsia="Arial" w:hAnsi="Arial"/>
          <w:sz w:val="19"/>
          <w:szCs w:val="19"/>
          <w:color w:val="auto"/>
        </w:rPr>
      </w:pPr>
    </w:p>
    <w:p>
      <w:pPr>
        <w:jc w:val="both"/>
        <w:ind w:firstLine="1505"/>
        <w:spacing w:after="0"/>
        <w:tabs>
          <w:tab w:leader="none" w:pos="2995" w:val="left"/>
        </w:tabs>
        <w:numPr>
          <w:ilvl w:val="0"/>
          <w:numId w:val="92"/>
        </w:numPr>
        <w:rPr>
          <w:rFonts w:ascii="Arial" w:cs="Arial" w:eastAsia="Arial" w:hAnsi="Arial"/>
          <w:sz w:val="22"/>
          <w:szCs w:val="22"/>
          <w:color w:val="auto"/>
        </w:rPr>
      </w:pPr>
      <w:r>
        <w:rPr>
          <w:rFonts w:ascii="Arial" w:cs="Arial" w:eastAsia="Arial" w:hAnsi="Arial"/>
          <w:sz w:val="22"/>
          <w:szCs w:val="22"/>
          <w:color w:val="auto"/>
        </w:rPr>
        <w:t>The Company acknowledges and agrees that (A) there can be no assurance that the Sales Agent will be successful in selling the Securities, (B) the Sales Agent will not incur liability or obligation to the Company or any other person or entity if such Sales Agent does not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76" w:lineRule="exact"/>
        <w:rPr>
          <w:sz w:val="20"/>
          <w:szCs w:val="20"/>
          <w:color w:val="auto"/>
        </w:rPr>
      </w:pPr>
    </w:p>
    <w:p>
      <w:pPr>
        <w:spacing w:after="0"/>
        <w:rPr>
          <w:sz w:val="20"/>
          <w:szCs w:val="20"/>
          <w:color w:val="auto"/>
        </w:rPr>
      </w:pPr>
      <w:r>
        <w:rPr>
          <w:rFonts w:ascii="Arial" w:cs="Arial" w:eastAsia="Arial" w:hAnsi="Arial"/>
          <w:sz w:val="14"/>
          <w:szCs w:val="14"/>
          <w:color w:val="auto"/>
        </w:rPr>
        <w:t>28117909.1.BUSINESS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157720" cy="4254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27" w:name="page128"/>
    <w:bookmarkEnd w:id="127"/>
    <w:p>
      <w:pPr>
        <w:jc w:val="both"/>
        <w:spacing w:after="0" w:line="234" w:lineRule="auto"/>
        <w:rPr>
          <w:sz w:val="20"/>
          <w:szCs w:val="20"/>
          <w:color w:val="auto"/>
        </w:rPr>
      </w:pPr>
      <w:r>
        <w:rPr>
          <w:rFonts w:ascii="Arial" w:cs="Arial" w:eastAsia="Arial" w:hAnsi="Arial"/>
          <w:sz w:val="22"/>
          <w:szCs w:val="22"/>
          <w:color w:val="auto"/>
        </w:rPr>
        <w:t>sell Securities for any reason other than a failure by the Sales Agent to use its commercially reasonable efforts consistent with its normal trading and sales practices and applicable law and regulations to sell such Securities in accordance with the terms of this Agreement and (C) the Sales Agent shall not be under any obligation to purchase Securities on a principal basis pursuant to this Agreement, except as otherwise specifically agreed in writing by the Sales Agent and the Company. For purposes of clarification, the Sales Agent shall only be deemed to be acting as a sales agent under this Agreement during the period beginning with the delivery of a Placement Notice from the Company to the Sales Agent and ending upon the suspension or termination of such Placement Notice.</w:t>
      </w:r>
    </w:p>
    <w:p>
      <w:pPr>
        <w:spacing w:after="0" w:line="191" w:lineRule="exact"/>
        <w:rPr>
          <w:sz w:val="20"/>
          <w:szCs w:val="20"/>
          <w:color w:val="auto"/>
        </w:rPr>
      </w:pPr>
    </w:p>
    <w:p>
      <w:pPr>
        <w:jc w:val="both"/>
        <w:ind w:firstLine="1497"/>
        <w:spacing w:after="0" w:line="246" w:lineRule="auto"/>
        <w:rPr>
          <w:sz w:val="20"/>
          <w:szCs w:val="20"/>
          <w:color w:val="auto"/>
        </w:rPr>
      </w:pPr>
      <w:r>
        <w:rPr>
          <w:rFonts w:ascii="Arial" w:cs="Arial" w:eastAsia="Arial" w:hAnsi="Arial"/>
          <w:sz w:val="21"/>
          <w:szCs w:val="21"/>
          <w:color w:val="auto"/>
        </w:rPr>
        <w:t>(i) The Company agrees that, during the term of this Agreement, any offer to sell, any solicitation of an offer to buy, or any sales of Securities or sales of Common Stock pursuant to any At the Market Offering (as defined herein and within the meaning of Rule 415(a)(4) under the 1933 Act) shall only be effected by or through the Sales Agent or the Other Agent. Notwithstanding the foregoing or anything to the contrary in this Agreement, during the term of this Agreement, any offer to sell, any solicitation of an offer to buy, or any sales of Securities or sales of Common Stock that do not constitute an At the Market Offering (as defined herein and within the meaning of Rule 415(a)(4) under the 1933 Act), including any underwritten offering or private placement transaction exempt from the requirements of the 1933 Act, may be effected by the Company by or through any person or entity in the Company’s sole discretion.</w:t>
      </w:r>
    </w:p>
    <w:p>
      <w:pPr>
        <w:spacing w:after="0" w:line="180" w:lineRule="exact"/>
        <w:rPr>
          <w:sz w:val="20"/>
          <w:szCs w:val="20"/>
          <w:color w:val="auto"/>
        </w:rPr>
      </w:pPr>
    </w:p>
    <w:p>
      <w:pPr>
        <w:ind w:left="760"/>
        <w:spacing w:after="0"/>
        <w:rPr>
          <w:sz w:val="20"/>
          <w:szCs w:val="20"/>
          <w:color w:val="auto"/>
        </w:rPr>
      </w:pPr>
      <w:r>
        <w:rPr>
          <w:rFonts w:ascii="Arial" w:cs="Arial" w:eastAsia="Arial" w:hAnsi="Arial"/>
          <w:sz w:val="22"/>
          <w:szCs w:val="22"/>
          <w:color w:val="auto"/>
        </w:rPr>
        <w:t>SECTION 3.</w:t>
      </w:r>
      <w:r>
        <w:rPr>
          <w:rFonts w:ascii="Arial" w:cs="Arial" w:eastAsia="Arial" w:hAnsi="Arial"/>
          <w:sz w:val="22"/>
          <w:szCs w:val="22"/>
          <w:u w:val="single" w:color="auto"/>
          <w:color w:val="auto"/>
        </w:rPr>
        <w:t>Covenants of the Company</w:t>
      </w:r>
      <w:r>
        <w:rPr>
          <w:rFonts w:ascii="Arial" w:cs="Arial" w:eastAsia="Arial" w:hAnsi="Arial"/>
          <w:sz w:val="22"/>
          <w:szCs w:val="22"/>
          <w:color w:val="auto"/>
        </w:rPr>
        <w:t>. The Company covenants with the Sales Agent as follows:</w:t>
      </w:r>
    </w:p>
    <w:p>
      <w:pPr>
        <w:spacing w:after="0" w:line="206" w:lineRule="exact"/>
        <w:rPr>
          <w:sz w:val="20"/>
          <w:szCs w:val="20"/>
          <w:color w:val="auto"/>
        </w:rPr>
      </w:pPr>
    </w:p>
    <w:p>
      <w:pPr>
        <w:ind w:left="1500"/>
        <w:spacing w:after="0"/>
        <w:tabs>
          <w:tab w:leader="none" w:pos="2980" w:val="left"/>
        </w:tabs>
        <w:rPr>
          <w:sz w:val="20"/>
          <w:szCs w:val="20"/>
          <w:color w:val="auto"/>
        </w:rPr>
      </w:pPr>
      <w:r>
        <w:rPr>
          <w:rFonts w:ascii="Arial" w:cs="Arial" w:eastAsia="Arial" w:hAnsi="Arial"/>
          <w:sz w:val="19"/>
          <w:szCs w:val="19"/>
          <w:color w:val="auto"/>
        </w:rPr>
        <w:t>(a)</w:t>
      </w:r>
      <w:r>
        <w:rPr>
          <w:sz w:val="20"/>
          <w:szCs w:val="20"/>
          <w:color w:val="auto"/>
        </w:rPr>
        <w:tab/>
      </w:r>
      <w:r>
        <w:rPr>
          <w:rFonts w:ascii="Arial" w:cs="Arial" w:eastAsia="Arial" w:hAnsi="Arial"/>
          <w:sz w:val="19"/>
          <w:szCs w:val="19"/>
          <w:i w:val="1"/>
          <w:iCs w:val="1"/>
          <w:color w:val="auto"/>
        </w:rPr>
        <w:t>Compliance with Securities Regulations and Commission Requests</w:t>
      </w:r>
      <w:r>
        <w:rPr>
          <w:rFonts w:ascii="Arial" w:cs="Arial" w:eastAsia="Arial" w:hAnsi="Arial"/>
          <w:sz w:val="19"/>
          <w:szCs w:val="19"/>
          <w:color w:val="auto"/>
        </w:rPr>
        <w:t>. The Company, subject to</w:t>
      </w:r>
    </w:p>
    <w:p>
      <w:pPr>
        <w:spacing w:after="0" w:line="43" w:lineRule="exact"/>
        <w:rPr>
          <w:sz w:val="20"/>
          <w:szCs w:val="20"/>
          <w:color w:val="auto"/>
        </w:rPr>
      </w:pPr>
    </w:p>
    <w:p>
      <w:pPr>
        <w:jc w:val="both"/>
        <w:spacing w:after="0" w:line="269" w:lineRule="auto"/>
        <w:rPr>
          <w:sz w:val="20"/>
          <w:szCs w:val="20"/>
          <w:color w:val="auto"/>
        </w:rPr>
      </w:pPr>
      <w:r>
        <w:rPr>
          <w:rFonts w:ascii="Arial" w:cs="Arial" w:eastAsia="Arial" w:hAnsi="Arial"/>
          <w:sz w:val="19"/>
          <w:szCs w:val="19"/>
          <w:u w:val="single" w:color="auto"/>
          <w:color w:val="auto"/>
        </w:rPr>
        <w:t>Section 3(c)</w:t>
      </w:r>
      <w:r>
        <w:rPr>
          <w:rFonts w:ascii="Arial" w:cs="Arial" w:eastAsia="Arial" w:hAnsi="Arial"/>
          <w:sz w:val="19"/>
          <w:szCs w:val="19"/>
          <w:color w:val="auto"/>
        </w:rPr>
        <w:t>, will comply with the requirements of Rule 415, Rule 430B, Rule 497 and Rule 424(b), and will notify the Sales Agent immediately, and confirm the notice in writing, (i) when any post-effective amendment to the Registration Statement shall become effective or any amendment or supplement to the Prospectus shall have been filed, (ii) of the receipt of any comments from the Commission, (iii) of any request by the Commission for any amendment to the Registration Statement or any amendment or supplement to the Prospectus, or for additional information, (iv) of the issuance by the Commission of any stop order suspending the effectiveness of the Registration Statement or any post-effective amendment or of any order preventing or suspending the use of the Prospectus, or of the suspension of the qualification of the Securities for offering or sale in any jurisdiction, or of the initiation or threatening of any proceedings for any of such purposes or of any examination pursuant to Section 8(d) or 8(e) of the 1933 Act concerning the Registration Statement and (v) if the Company becomes the subject of a proceeding under Section 8A of the 1933 Act in connection with the offering of the Securities. The Company will effect all filings required under Rule 424(b) and Rule 497 within the time period required by Rule 424(b) or Rule 497, as applicable, and will take such steps as it deems necessary to ascertain promptly whether the form of prospectus transmitted for filing under Rule 424(b) was received for filing by the Commission and, in the event that it was not, it will promptly file such prospectus. The Company will use its commercially reasonable efforts to prevent the issuance of any stop order, prevention or suspension and, if any such order is issued, to obtain the lifting thereof at the earliest possible moment.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76" w:lineRule="exact"/>
        <w:rPr>
          <w:sz w:val="20"/>
          <w:szCs w:val="20"/>
          <w:color w:val="auto"/>
        </w:rPr>
      </w:pPr>
    </w:p>
    <w:p>
      <w:pPr>
        <w:spacing w:after="0"/>
        <w:rPr>
          <w:sz w:val="20"/>
          <w:szCs w:val="20"/>
          <w:color w:val="auto"/>
        </w:rPr>
      </w:pPr>
      <w:r>
        <w:rPr>
          <w:rFonts w:ascii="Arial" w:cs="Arial" w:eastAsia="Arial" w:hAnsi="Arial"/>
          <w:sz w:val="14"/>
          <w:szCs w:val="14"/>
          <w:color w:val="auto"/>
        </w:rPr>
        <w:t>28117909.1.BUSINESS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157720" cy="4254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28" w:name="page129"/>
    <w:bookmarkEnd w:id="128"/>
    <w:p>
      <w:pPr>
        <w:jc w:val="both"/>
        <w:ind w:firstLine="1497"/>
        <w:spacing w:after="0" w:line="275" w:lineRule="auto"/>
        <w:rPr>
          <w:sz w:val="20"/>
          <w:szCs w:val="20"/>
          <w:color w:val="auto"/>
        </w:rPr>
      </w:pPr>
      <w:r>
        <w:rPr>
          <w:rFonts w:ascii="Arial" w:cs="Arial" w:eastAsia="Arial" w:hAnsi="Arial"/>
          <w:sz w:val="19"/>
          <w:szCs w:val="19"/>
          <w:color w:val="auto"/>
        </w:rPr>
        <w:t xml:space="preserve">(b) </w:t>
      </w:r>
      <w:r>
        <w:rPr>
          <w:rFonts w:ascii="Arial" w:cs="Arial" w:eastAsia="Arial" w:hAnsi="Arial"/>
          <w:sz w:val="19"/>
          <w:szCs w:val="19"/>
          <w:i w:val="1"/>
          <w:iCs w:val="1"/>
          <w:color w:val="auto"/>
        </w:rPr>
        <w:t>Filing of Amendments</w:t>
      </w:r>
      <w:r>
        <w:rPr>
          <w:rFonts w:ascii="Arial" w:cs="Arial" w:eastAsia="Arial" w:hAnsi="Arial"/>
          <w:sz w:val="19"/>
          <w:szCs w:val="19"/>
          <w:color w:val="auto"/>
        </w:rPr>
        <w:t>. The Company will give the Sales Agent notice of its intention to file or prepare any amendment to the Registration Statement (including any filing under Rule 462(b)) or to the Prospectus and will furnish the Sales Agent with copies of any such documents within a reasonable amount of time prior to such proposed filing or use, as the case may be, and will not file or use any such document to which the Sales Agent or counsel for the Sales Agent shall object. The Company shall give the Sales Agent notice of its intention to make any filings pursuant to the 1934 Act or the 1934 Rules and Regulations within 48 hours prior to the Applicable Time and will furnish the Sales Agent with copies of any such documents a reasonable amount of time prior to such proposed filing, as the case may be, and will not file or use any such document to which the Sales Agent or counsel for the Sales Agent shall reasonably object.</w:t>
      </w:r>
    </w:p>
    <w:p>
      <w:pPr>
        <w:spacing w:after="0" w:line="157" w:lineRule="exact"/>
        <w:rPr>
          <w:sz w:val="20"/>
          <w:szCs w:val="20"/>
          <w:color w:val="auto"/>
        </w:rPr>
      </w:pPr>
    </w:p>
    <w:p>
      <w:pPr>
        <w:ind w:left="1500"/>
        <w:spacing w:after="0"/>
        <w:tabs>
          <w:tab w:leader="none" w:pos="2980" w:val="left"/>
        </w:tabs>
        <w:rPr>
          <w:sz w:val="20"/>
          <w:szCs w:val="20"/>
          <w:color w:val="auto"/>
        </w:rPr>
      </w:pPr>
      <w:r>
        <w:rPr>
          <w:rFonts w:ascii="Arial" w:cs="Arial" w:eastAsia="Arial" w:hAnsi="Arial"/>
          <w:sz w:val="19"/>
          <w:szCs w:val="19"/>
          <w:color w:val="auto"/>
        </w:rPr>
        <w:t>(c)</w:t>
      </w:r>
      <w:r>
        <w:rPr>
          <w:sz w:val="20"/>
          <w:szCs w:val="20"/>
          <w:color w:val="auto"/>
        </w:rPr>
        <w:tab/>
      </w:r>
      <w:r>
        <w:rPr>
          <w:rFonts w:ascii="Arial" w:cs="Arial" w:eastAsia="Arial" w:hAnsi="Arial"/>
          <w:sz w:val="19"/>
          <w:szCs w:val="19"/>
          <w:i w:val="1"/>
          <w:iCs w:val="1"/>
          <w:color w:val="auto"/>
        </w:rPr>
        <w:t>Continued  Compliance  with  Securities  Laws</w:t>
      </w:r>
      <w:r>
        <w:rPr>
          <w:rFonts w:ascii="Arial" w:cs="Arial" w:eastAsia="Arial" w:hAnsi="Arial"/>
          <w:sz w:val="19"/>
          <w:szCs w:val="19"/>
          <w:color w:val="auto"/>
        </w:rPr>
        <w:t>.  The  Company  will  use  its  commercially</w:t>
      </w:r>
    </w:p>
    <w:p>
      <w:pPr>
        <w:spacing w:after="0" w:line="43"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reasonable efforts to comply with the 1933 Act and the 1933 Act Regulations so as to permit the completion of the distribution of the Securities as contemplated in this Agreement and in the Registration Statement and the Prospectus. If at any time when a prospectus relating to the Securities is required by the 1933 Act to be delivered in connection with sales of the Securities, any event shall occur or condition shall exist as a result of which it is necessary, in the opinion of counsel for the Sales Agent or for the Company, to (i) amend the Registration Statement in order that the Registration Statement will not include an untrue statement of a material fact or omit to state a material fact required to be stated therein or necessary to make the statements therein not misleading, (ii) amend or supplement the Prospectus in order that the Prospectus, as the case may be, will not include any untrue statement of a material fact or omit to state a material fact necessary in order to make the statements therein not misleading in the light of the circumstances existing at the time it is delivered to a purchaser or (iii) amend the Registration Statement or amend or supplement the Prospectus, as the case may be, in order to comply with the requirements of the 1933 Act or the 1933 Act Regulations, the Company will promptly (A) give the Sales Agent notice of such event, (B) prepare any amendment or supplement as may be necessary to correct such statement or omission or to make the Registration Statement or the Prospectus comply with such requirements and, a reasonable amount of time prior to any proposed filing or use, furnish the Sales Agent with copies of any such amendment or supplement and (C) file with the Commission any such amendment or supplement. The Company will furnish to the Sales Agent such number of copies of such amendment or supplement as the Sales Agent may reasonably request. The Company has given the Sales Agent notice of any filings made pursuant to the 1934 Act or 1934 Act Regulations within 48 hours prior to the Applicable Time; the Company shall give the Sales Agent notice of its intention to make any such filing and shall furnish the Sales Agent with copies of any such documents a reasonable amount of time prior to such proposed filing or use, as the case may be.</w:t>
      </w:r>
    </w:p>
    <w:p>
      <w:pPr>
        <w:spacing w:after="0" w:line="200" w:lineRule="exact"/>
        <w:rPr>
          <w:sz w:val="20"/>
          <w:szCs w:val="20"/>
          <w:color w:val="auto"/>
        </w:rPr>
      </w:pPr>
    </w:p>
    <w:p>
      <w:pPr>
        <w:spacing w:after="0" w:line="207" w:lineRule="exact"/>
        <w:rPr>
          <w:sz w:val="20"/>
          <w:szCs w:val="20"/>
          <w:color w:val="auto"/>
        </w:rPr>
      </w:pPr>
    </w:p>
    <w:p>
      <w:pPr>
        <w:jc w:val="both"/>
        <w:ind w:firstLine="1497"/>
        <w:spacing w:after="0" w:line="235" w:lineRule="auto"/>
        <w:rPr>
          <w:sz w:val="20"/>
          <w:szCs w:val="20"/>
          <w:color w:val="auto"/>
        </w:rPr>
      </w:pPr>
      <w:r>
        <w:rPr>
          <w:rFonts w:ascii="Arial" w:cs="Arial" w:eastAsia="Arial" w:hAnsi="Arial"/>
          <w:sz w:val="22"/>
          <w:szCs w:val="22"/>
          <w:color w:val="auto"/>
        </w:rPr>
        <w:t xml:space="preserve">(d) </w:t>
      </w:r>
      <w:r>
        <w:rPr>
          <w:rFonts w:ascii="Arial" w:cs="Arial" w:eastAsia="Arial" w:hAnsi="Arial"/>
          <w:sz w:val="22"/>
          <w:szCs w:val="22"/>
          <w:i w:val="1"/>
          <w:iCs w:val="1"/>
          <w:color w:val="auto"/>
        </w:rPr>
        <w:t>Delivery of Commission Filings</w:t>
      </w:r>
      <w:r>
        <w:rPr>
          <w:rFonts w:ascii="Arial" w:cs="Arial" w:eastAsia="Arial" w:hAnsi="Arial"/>
          <w:sz w:val="22"/>
          <w:szCs w:val="22"/>
          <w:color w:val="auto"/>
        </w:rPr>
        <w:t>. The Company has furnished or, upon written request of the Sales Agent, shall deliver to the Sales Agent and counsel for the Sales Agent, without charge, conformed copies of the Registration Statement, as originally filed, and of each amendment thereto (including exhibits filed therewith) and conformed copies of all consents and certificates of experts, and will also deliver to the Sales Agent, without charge, a conformed copy of the Registration Statement as originally filed and of each amendment thereto (without exhibits) for the Sales Agent. The copies of the Registration Statement and each amendment thereto</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76" w:lineRule="exact"/>
        <w:rPr>
          <w:sz w:val="20"/>
          <w:szCs w:val="20"/>
          <w:color w:val="auto"/>
        </w:rPr>
      </w:pPr>
    </w:p>
    <w:p>
      <w:pPr>
        <w:spacing w:after="0"/>
        <w:rPr>
          <w:sz w:val="20"/>
          <w:szCs w:val="20"/>
          <w:color w:val="auto"/>
        </w:rPr>
      </w:pPr>
      <w:r>
        <w:rPr>
          <w:rFonts w:ascii="Arial" w:cs="Arial" w:eastAsia="Arial" w:hAnsi="Arial"/>
          <w:sz w:val="14"/>
          <w:szCs w:val="14"/>
          <w:color w:val="auto"/>
        </w:rPr>
        <w:t>28117909.1.BUSINESS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157720" cy="4254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29" w:name="page130"/>
    <w:bookmarkEnd w:id="129"/>
    <w:p>
      <w:pPr>
        <w:jc w:val="both"/>
        <w:spacing w:after="0" w:line="250" w:lineRule="auto"/>
        <w:rPr>
          <w:sz w:val="20"/>
          <w:szCs w:val="20"/>
          <w:color w:val="auto"/>
        </w:rPr>
      </w:pPr>
      <w:r>
        <w:rPr>
          <w:rFonts w:ascii="Arial" w:cs="Arial" w:eastAsia="Arial" w:hAnsi="Arial"/>
          <w:sz w:val="22"/>
          <w:szCs w:val="22"/>
          <w:color w:val="auto"/>
        </w:rPr>
        <w:t>furnished to the Sales Agent will be identical to the electronically transmitted copies thereof filed with the Commission pursuant to EDGAR, except to the extent permitted by Regulation S-T.</w:t>
      </w:r>
    </w:p>
    <w:p>
      <w:pPr>
        <w:spacing w:after="0" w:line="175" w:lineRule="exact"/>
        <w:rPr>
          <w:sz w:val="20"/>
          <w:szCs w:val="20"/>
          <w:color w:val="auto"/>
        </w:rPr>
      </w:pPr>
    </w:p>
    <w:p>
      <w:pPr>
        <w:jc w:val="both"/>
        <w:ind w:firstLine="1497"/>
        <w:spacing w:after="0" w:line="282" w:lineRule="auto"/>
        <w:rPr>
          <w:sz w:val="20"/>
          <w:szCs w:val="20"/>
          <w:color w:val="auto"/>
        </w:rPr>
      </w:pPr>
      <w:r>
        <w:rPr>
          <w:rFonts w:ascii="Arial" w:cs="Arial" w:eastAsia="Arial" w:hAnsi="Arial"/>
          <w:sz w:val="19"/>
          <w:szCs w:val="19"/>
          <w:color w:val="auto"/>
        </w:rPr>
        <w:t xml:space="preserve">(e) </w:t>
      </w:r>
      <w:r>
        <w:rPr>
          <w:rFonts w:ascii="Arial" w:cs="Arial" w:eastAsia="Arial" w:hAnsi="Arial"/>
          <w:sz w:val="19"/>
          <w:szCs w:val="19"/>
          <w:i w:val="1"/>
          <w:iCs w:val="1"/>
          <w:color w:val="auto"/>
        </w:rPr>
        <w:t>Delivery of Prospectuses</w:t>
      </w:r>
      <w:r>
        <w:rPr>
          <w:rFonts w:ascii="Arial" w:cs="Arial" w:eastAsia="Arial" w:hAnsi="Arial"/>
          <w:sz w:val="19"/>
          <w:szCs w:val="19"/>
          <w:color w:val="auto"/>
        </w:rPr>
        <w:t>. The Company will furnish to the Sales Agent, without charge, during the period when a prospectus relating to the Securities is required to be delivered under the 1933 Act, such number of copies of the Prospectus (as amended or supplemented) as the Sales Agent may reasonably request. The Prospectus and any amendments or supplements thereto furnished to the Sales Agent will be identical to the electronically transmitted copies thereof filed with the Commission pursuant to EDGAR, except to the extent permitted by Regulation S-T.</w:t>
      </w:r>
    </w:p>
    <w:p>
      <w:pPr>
        <w:spacing w:after="0" w:line="147" w:lineRule="exact"/>
        <w:rPr>
          <w:sz w:val="20"/>
          <w:szCs w:val="20"/>
          <w:color w:val="auto"/>
        </w:rPr>
      </w:pPr>
    </w:p>
    <w:p>
      <w:pPr>
        <w:jc w:val="both"/>
        <w:ind w:firstLine="1497"/>
        <w:spacing w:after="0" w:line="234" w:lineRule="auto"/>
        <w:rPr>
          <w:sz w:val="20"/>
          <w:szCs w:val="20"/>
          <w:color w:val="auto"/>
        </w:rPr>
      </w:pPr>
      <w:r>
        <w:rPr>
          <w:rFonts w:ascii="Arial" w:cs="Arial" w:eastAsia="Arial" w:hAnsi="Arial"/>
          <w:sz w:val="22"/>
          <w:szCs w:val="22"/>
          <w:color w:val="auto"/>
        </w:rPr>
        <w:t xml:space="preserve">(f) </w:t>
      </w:r>
      <w:r>
        <w:rPr>
          <w:rFonts w:ascii="Arial" w:cs="Arial" w:eastAsia="Arial" w:hAnsi="Arial"/>
          <w:sz w:val="22"/>
          <w:szCs w:val="22"/>
          <w:i w:val="1"/>
          <w:iCs w:val="1"/>
          <w:color w:val="auto"/>
        </w:rPr>
        <w:t>Blue Sky Qualifications</w:t>
      </w:r>
      <w:r>
        <w:rPr>
          <w:rFonts w:ascii="Arial" w:cs="Arial" w:eastAsia="Arial" w:hAnsi="Arial"/>
          <w:sz w:val="22"/>
          <w:szCs w:val="22"/>
          <w:color w:val="auto"/>
        </w:rPr>
        <w:t>. The Company will use its commercially reasonable efforts, in cooperation with the Sales Agent, to qualify the Securities for offering and sale under the applicable securities laws of such states and other jurisdictions (domestic or foreign) as the Sales Agent may designate and to maintain such qualifications in effect so long as reasonably required to complete the distribution of the Securities; provided, however, that the Company shall not be obligated to file any general consent to service of process or to qualify as a foreign corporation or as a dealer in securities in any jurisdiction in which it is not so qualified or to subject itself to taxation in respect of doing business in any jurisdiction in which it is not otherwise so subject.</w:t>
      </w:r>
    </w:p>
    <w:p>
      <w:pPr>
        <w:spacing w:after="0" w:line="191" w:lineRule="exact"/>
        <w:rPr>
          <w:sz w:val="20"/>
          <w:szCs w:val="20"/>
          <w:color w:val="auto"/>
        </w:rPr>
      </w:pPr>
    </w:p>
    <w:p>
      <w:pPr>
        <w:jc w:val="both"/>
        <w:ind w:firstLine="1497"/>
        <w:spacing w:after="0" w:line="249" w:lineRule="auto"/>
        <w:rPr>
          <w:sz w:val="20"/>
          <w:szCs w:val="20"/>
          <w:color w:val="auto"/>
        </w:rPr>
      </w:pPr>
      <w:r>
        <w:rPr>
          <w:rFonts w:ascii="Arial" w:cs="Arial" w:eastAsia="Arial" w:hAnsi="Arial"/>
          <w:sz w:val="21"/>
          <w:szCs w:val="21"/>
          <w:color w:val="auto"/>
        </w:rPr>
        <w:t xml:space="preserve">(g) </w:t>
      </w:r>
      <w:r>
        <w:rPr>
          <w:rFonts w:ascii="Arial" w:cs="Arial" w:eastAsia="Arial" w:hAnsi="Arial"/>
          <w:sz w:val="21"/>
          <w:szCs w:val="21"/>
          <w:i w:val="1"/>
          <w:iCs w:val="1"/>
          <w:color w:val="auto"/>
        </w:rPr>
        <w:t>Rule 158</w:t>
      </w:r>
      <w:r>
        <w:rPr>
          <w:rFonts w:ascii="Arial" w:cs="Arial" w:eastAsia="Arial" w:hAnsi="Arial"/>
          <w:sz w:val="21"/>
          <w:szCs w:val="21"/>
          <w:color w:val="auto"/>
        </w:rPr>
        <w:t>. The Company will make generally available to its securityholders as soon as practicable an earnings statement that satisfies the provisions of Section 11(a) of the 1933 Act and Rule 158 of the Commission promulgated thereunder covering a period of at least twelve months beginning with the first fiscal quarter of the Company occurring after the “effective date” (as defined in Rule 158) of the Registration Statement; provided that the Company will be deemed to have complied with such request by filing such an earnings statement on EDGAR.</w:t>
      </w:r>
    </w:p>
    <w:p>
      <w:pPr>
        <w:spacing w:after="0" w:line="178"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2"/>
          <w:szCs w:val="22"/>
          <w:color w:val="auto"/>
        </w:rPr>
        <w:t xml:space="preserve">(h) </w:t>
      </w:r>
      <w:r>
        <w:rPr>
          <w:rFonts w:ascii="Arial" w:cs="Arial" w:eastAsia="Arial" w:hAnsi="Arial"/>
          <w:sz w:val="22"/>
          <w:szCs w:val="22"/>
          <w:i w:val="1"/>
          <w:iCs w:val="1"/>
          <w:color w:val="auto"/>
        </w:rPr>
        <w:t>Listing</w:t>
      </w:r>
      <w:r>
        <w:rPr>
          <w:rFonts w:ascii="Arial" w:cs="Arial" w:eastAsia="Arial" w:hAnsi="Arial"/>
          <w:sz w:val="22"/>
          <w:szCs w:val="22"/>
          <w:color w:val="auto"/>
        </w:rPr>
        <w:t>. The Company will use its commercially reasonable best efforts to maintain the listing of the Common Stock (including the Securities) on the Nasdaq Global Select Market.</w:t>
      </w:r>
    </w:p>
    <w:p>
      <w:pPr>
        <w:spacing w:after="0" w:line="175"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2"/>
          <w:szCs w:val="22"/>
          <w:color w:val="auto"/>
        </w:rPr>
        <w:t xml:space="preserve">(i) </w:t>
      </w:r>
      <w:r>
        <w:rPr>
          <w:rFonts w:ascii="Arial" w:cs="Arial" w:eastAsia="Arial" w:hAnsi="Arial"/>
          <w:sz w:val="22"/>
          <w:szCs w:val="22"/>
          <w:i w:val="1"/>
          <w:iCs w:val="1"/>
          <w:color w:val="auto"/>
        </w:rPr>
        <w:t>DTC.</w:t>
      </w:r>
      <w:r>
        <w:rPr>
          <w:rFonts w:ascii="Arial" w:cs="Arial" w:eastAsia="Arial" w:hAnsi="Arial"/>
          <w:sz w:val="22"/>
          <w:szCs w:val="22"/>
          <w:color w:val="auto"/>
        </w:rPr>
        <w:t xml:space="preserve"> The Company will cooperate with the Sales Agent and use its commercially reasonable efforts to permit the offered Securities to be eligible for clearance and settlement through the facilities of DTC.</w:t>
      </w:r>
    </w:p>
    <w:p>
      <w:pPr>
        <w:spacing w:after="0" w:line="175" w:lineRule="exact"/>
        <w:rPr>
          <w:sz w:val="20"/>
          <w:szCs w:val="20"/>
          <w:color w:val="auto"/>
        </w:rPr>
      </w:pPr>
    </w:p>
    <w:p>
      <w:pPr>
        <w:ind w:left="1500"/>
        <w:spacing w:after="0"/>
        <w:tabs>
          <w:tab w:leader="none" w:pos="2980" w:val="left"/>
        </w:tabs>
        <w:rPr>
          <w:sz w:val="20"/>
          <w:szCs w:val="20"/>
          <w:color w:val="auto"/>
        </w:rPr>
      </w:pPr>
      <w:r>
        <w:rPr>
          <w:rFonts w:ascii="Arial" w:cs="Arial" w:eastAsia="Arial" w:hAnsi="Arial"/>
          <w:sz w:val="19"/>
          <w:szCs w:val="19"/>
          <w:color w:val="auto"/>
        </w:rPr>
        <w:t>(j)</w:t>
      </w:r>
      <w:r>
        <w:rPr>
          <w:sz w:val="20"/>
          <w:szCs w:val="20"/>
          <w:color w:val="auto"/>
        </w:rPr>
        <w:tab/>
      </w:r>
      <w:r>
        <w:rPr>
          <w:rFonts w:ascii="Arial" w:cs="Arial" w:eastAsia="Arial" w:hAnsi="Arial"/>
          <w:sz w:val="19"/>
          <w:szCs w:val="19"/>
          <w:i w:val="1"/>
          <w:iCs w:val="1"/>
          <w:color w:val="auto"/>
        </w:rPr>
        <w:t>Use of Proceeds; OFAC</w:t>
      </w:r>
      <w:r>
        <w:rPr>
          <w:rFonts w:ascii="Arial" w:cs="Arial" w:eastAsia="Arial" w:hAnsi="Arial"/>
          <w:sz w:val="19"/>
          <w:szCs w:val="19"/>
          <w:color w:val="auto"/>
        </w:rPr>
        <w:t>. The Company will use the net proceeds received by it from the sale</w:t>
      </w:r>
    </w:p>
    <w:p>
      <w:pPr>
        <w:spacing w:after="0" w:line="43"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of the Securities in the manner specified in the Registration Statement and the Prospectus under “Use of Proceeds.” The Company will not directly or, to its knowledge, indirectly, use the proceeds of the sale of the Securities, or lend, contribute or otherwise make available such proceeds to any subsidiaries, joint venture partners or other Person, to fund any activities of or business with any Person, or in any country or territory, that, at the time of such funding, is the subject of Sanctions (to the extent that such action would result in the violation by any person (including any person participating in the transaction, whether as underwriter, adviser, investor or otherwise) of Sanctions) or in any other manner that will result in a violation by any Person (including any Person participating in the transaction, whether as underwriter, advisor, investor or otherwise) of Sanctions.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76" w:lineRule="exact"/>
        <w:rPr>
          <w:sz w:val="20"/>
          <w:szCs w:val="20"/>
          <w:color w:val="auto"/>
        </w:rPr>
      </w:pPr>
    </w:p>
    <w:p>
      <w:pPr>
        <w:spacing w:after="0"/>
        <w:rPr>
          <w:sz w:val="20"/>
          <w:szCs w:val="20"/>
          <w:color w:val="auto"/>
        </w:rPr>
      </w:pPr>
      <w:r>
        <w:rPr>
          <w:rFonts w:ascii="Arial" w:cs="Arial" w:eastAsia="Arial" w:hAnsi="Arial"/>
          <w:sz w:val="14"/>
          <w:szCs w:val="14"/>
          <w:color w:val="auto"/>
        </w:rPr>
        <w:t>28117909.1.BUSINESS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157720" cy="4254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30" w:name="page131"/>
    <w:bookmarkEnd w:id="130"/>
    <w:p>
      <w:pPr>
        <w:jc w:val="both"/>
        <w:ind w:firstLine="1497"/>
        <w:spacing w:after="0"/>
        <w:rPr>
          <w:sz w:val="20"/>
          <w:szCs w:val="20"/>
          <w:color w:val="auto"/>
        </w:rPr>
      </w:pPr>
      <w:r>
        <w:rPr>
          <w:rFonts w:ascii="Arial" w:cs="Arial" w:eastAsia="Arial" w:hAnsi="Arial"/>
          <w:sz w:val="22"/>
          <w:szCs w:val="22"/>
          <w:color w:val="auto"/>
        </w:rPr>
        <w:t xml:space="preserve">(k) </w:t>
      </w:r>
      <w:r>
        <w:rPr>
          <w:rFonts w:ascii="Arial" w:cs="Arial" w:eastAsia="Arial" w:hAnsi="Arial"/>
          <w:sz w:val="22"/>
          <w:szCs w:val="22"/>
          <w:i w:val="1"/>
          <w:iCs w:val="1"/>
          <w:color w:val="auto"/>
        </w:rPr>
        <w:t>Reporting Requirements</w:t>
      </w:r>
      <w:r>
        <w:rPr>
          <w:rFonts w:ascii="Arial" w:cs="Arial" w:eastAsia="Arial" w:hAnsi="Arial"/>
          <w:sz w:val="22"/>
          <w:szCs w:val="22"/>
          <w:color w:val="auto"/>
        </w:rPr>
        <w:t>. The Company, during the period when a Prospectus relating to the Securities is required to be delivered under the 1933 Act, will file all documents required to be filed with the Commission pursuant to the 1934 Act within the time periods required by the 1934 Act and 1934 Act Regulations.</w:t>
      </w:r>
    </w:p>
    <w:p>
      <w:pPr>
        <w:spacing w:after="0" w:line="186" w:lineRule="exact"/>
        <w:rPr>
          <w:sz w:val="20"/>
          <w:szCs w:val="20"/>
          <w:color w:val="auto"/>
        </w:rPr>
      </w:pPr>
    </w:p>
    <w:p>
      <w:pPr>
        <w:jc w:val="both"/>
        <w:ind w:firstLine="1497"/>
        <w:spacing w:after="0" w:line="238" w:lineRule="auto"/>
        <w:rPr>
          <w:sz w:val="20"/>
          <w:szCs w:val="20"/>
          <w:color w:val="auto"/>
        </w:rPr>
      </w:pPr>
      <w:r>
        <w:rPr>
          <w:rFonts w:ascii="Arial" w:cs="Arial" w:eastAsia="Arial" w:hAnsi="Arial"/>
          <w:sz w:val="22"/>
          <w:szCs w:val="22"/>
          <w:color w:val="auto"/>
        </w:rPr>
        <w:t xml:space="preserve">(l) </w:t>
      </w:r>
      <w:r>
        <w:rPr>
          <w:rFonts w:ascii="Arial" w:cs="Arial" w:eastAsia="Arial" w:hAnsi="Arial"/>
          <w:sz w:val="22"/>
          <w:szCs w:val="22"/>
          <w:i w:val="1"/>
          <w:iCs w:val="1"/>
          <w:color w:val="auto"/>
        </w:rPr>
        <w:t>Business Development Company Status</w:t>
      </w:r>
      <w:r>
        <w:rPr>
          <w:rFonts w:ascii="Arial" w:cs="Arial" w:eastAsia="Arial" w:hAnsi="Arial"/>
          <w:sz w:val="22"/>
          <w:szCs w:val="22"/>
          <w:color w:val="auto"/>
        </w:rPr>
        <w:t>. The Company will use its commercially reasonable efforts to maintain its status as a business development company; provided, however, the Company may cease to be, or withdraw its election as, a business development company, with the approval of the board of directors and a vote of stockholders as required by Section 58 of the 1940 Act or any successor provision.</w:t>
      </w:r>
    </w:p>
    <w:p>
      <w:pPr>
        <w:spacing w:after="0" w:line="185" w:lineRule="exact"/>
        <w:rPr>
          <w:sz w:val="20"/>
          <w:szCs w:val="20"/>
          <w:color w:val="auto"/>
        </w:rPr>
      </w:pPr>
    </w:p>
    <w:p>
      <w:pPr>
        <w:jc w:val="both"/>
        <w:ind w:firstLine="1497"/>
        <w:spacing w:after="0"/>
        <w:rPr>
          <w:sz w:val="20"/>
          <w:szCs w:val="20"/>
          <w:color w:val="auto"/>
        </w:rPr>
      </w:pPr>
      <w:r>
        <w:rPr>
          <w:rFonts w:ascii="Arial" w:cs="Arial" w:eastAsia="Arial" w:hAnsi="Arial"/>
          <w:sz w:val="22"/>
          <w:szCs w:val="22"/>
          <w:color w:val="auto"/>
        </w:rPr>
        <w:t xml:space="preserve">(m) </w:t>
      </w:r>
      <w:r>
        <w:rPr>
          <w:rFonts w:ascii="Arial" w:cs="Arial" w:eastAsia="Arial" w:hAnsi="Arial"/>
          <w:sz w:val="22"/>
          <w:szCs w:val="22"/>
          <w:i w:val="1"/>
          <w:iCs w:val="1"/>
          <w:color w:val="auto"/>
        </w:rPr>
        <w:t>Regulated Investment Company Status</w:t>
      </w:r>
      <w:r>
        <w:rPr>
          <w:rFonts w:ascii="Arial" w:cs="Arial" w:eastAsia="Arial" w:hAnsi="Arial"/>
          <w:sz w:val="22"/>
          <w:szCs w:val="22"/>
          <w:color w:val="auto"/>
        </w:rPr>
        <w:t>. The Company will use its commercially reasonable efforts to maintain its qualification as a regulated investment company under Subchapter M of the Code for each full fiscal year during which it is a business development company under the 1940 Act.</w:t>
      </w:r>
    </w:p>
    <w:p>
      <w:pPr>
        <w:spacing w:after="0" w:line="186" w:lineRule="exact"/>
        <w:rPr>
          <w:sz w:val="20"/>
          <w:szCs w:val="20"/>
          <w:color w:val="auto"/>
        </w:rPr>
      </w:pPr>
    </w:p>
    <w:p>
      <w:pPr>
        <w:jc w:val="both"/>
        <w:ind w:firstLine="1497"/>
        <w:spacing w:after="0" w:line="287" w:lineRule="auto"/>
        <w:rPr>
          <w:sz w:val="20"/>
          <w:szCs w:val="20"/>
          <w:color w:val="auto"/>
        </w:rPr>
      </w:pPr>
      <w:r>
        <w:rPr>
          <w:rFonts w:ascii="Arial" w:cs="Arial" w:eastAsia="Arial" w:hAnsi="Arial"/>
          <w:sz w:val="19"/>
          <w:szCs w:val="19"/>
          <w:color w:val="auto"/>
        </w:rPr>
        <w:t xml:space="preserve">(n) </w:t>
      </w:r>
      <w:r>
        <w:rPr>
          <w:rFonts w:ascii="Arial" w:cs="Arial" w:eastAsia="Arial" w:hAnsi="Arial"/>
          <w:sz w:val="19"/>
          <w:szCs w:val="19"/>
          <w:i w:val="1"/>
          <w:iCs w:val="1"/>
          <w:color w:val="auto"/>
        </w:rPr>
        <w:t>Annual Compliance Reviews</w:t>
      </w:r>
      <w:r>
        <w:rPr>
          <w:rFonts w:ascii="Arial" w:cs="Arial" w:eastAsia="Arial" w:hAnsi="Arial"/>
          <w:sz w:val="19"/>
          <w:szCs w:val="19"/>
          <w:color w:val="auto"/>
        </w:rPr>
        <w:t>. The Company will retain qualified accountants and qualified tax experts to (i) test procedures and conduct annual compliance reviews designed to determine compliance with the regulated investment company provisions of the Code and (ii) otherwise assist the Company in monitoring appropriate accounting systems and procedures designed to determine compliance with the regulated investment company provisions of the Code.</w:t>
      </w:r>
    </w:p>
    <w:p>
      <w:pPr>
        <w:spacing w:after="0" w:line="143" w:lineRule="exact"/>
        <w:rPr>
          <w:sz w:val="20"/>
          <w:szCs w:val="20"/>
          <w:color w:val="auto"/>
        </w:rPr>
      </w:pPr>
    </w:p>
    <w:p>
      <w:pPr>
        <w:jc w:val="both"/>
        <w:ind w:firstLine="1497"/>
        <w:spacing w:after="0" w:line="272" w:lineRule="auto"/>
        <w:rPr>
          <w:sz w:val="20"/>
          <w:szCs w:val="20"/>
          <w:color w:val="auto"/>
        </w:rPr>
      </w:pPr>
      <w:r>
        <w:rPr>
          <w:rFonts w:ascii="Arial" w:cs="Arial" w:eastAsia="Arial" w:hAnsi="Arial"/>
          <w:sz w:val="19"/>
          <w:szCs w:val="19"/>
          <w:color w:val="auto"/>
        </w:rPr>
        <w:t xml:space="preserve">(o) </w:t>
      </w:r>
      <w:r>
        <w:rPr>
          <w:rFonts w:ascii="Arial" w:cs="Arial" w:eastAsia="Arial" w:hAnsi="Arial"/>
          <w:sz w:val="19"/>
          <w:szCs w:val="19"/>
          <w:i w:val="1"/>
          <w:iCs w:val="1"/>
          <w:color w:val="auto"/>
        </w:rPr>
        <w:t>Accounting Controls</w:t>
      </w:r>
      <w:r>
        <w:rPr>
          <w:rFonts w:ascii="Arial" w:cs="Arial" w:eastAsia="Arial" w:hAnsi="Arial"/>
          <w:sz w:val="19"/>
          <w:szCs w:val="19"/>
          <w:color w:val="auto"/>
        </w:rPr>
        <w:t>. The Company will use commercially reasonable efforts to establish and maintain a system of internal accounting controls sufficient to provide reasonable assurances that (A) transactions are executed in accordance with management’s authorization; (B) transactions are recorded as necessary to permit preparation of financial statements in conformity with GAAP and to maintain accountability for assets; (C) access to the Company’s consolidated assets is permitted only in accordance with management’s authorization; (D) the recorded accountability for assets is compared with the existing assets at reasonable intervals and appropriate action is taken with respect to any differences; (E) material information relating to the Company and the assets managed by the Adviser is promptly made known to the officers responsible for establishing and maintaining the system of internal accounting controls; and (F) any significant deficiencies or weaknesses in the design or operation of internal accounting controls that could adversely affect the Company’s ability to record, process, summarize and report financial data, and any fraud whether or not material that involves management or other employees who have a significant role in internal controls, are adequately and promptly disclosed to the Company’s independent auditors and the audit committee of the Company’s board of directors.</w:t>
      </w:r>
    </w:p>
    <w:p>
      <w:pPr>
        <w:spacing w:after="0" w:line="161" w:lineRule="exact"/>
        <w:rPr>
          <w:sz w:val="20"/>
          <w:szCs w:val="20"/>
          <w:color w:val="auto"/>
        </w:rPr>
      </w:pPr>
    </w:p>
    <w:p>
      <w:pPr>
        <w:jc w:val="both"/>
        <w:ind w:firstLine="1497"/>
        <w:spacing w:after="0" w:line="235" w:lineRule="auto"/>
        <w:rPr>
          <w:sz w:val="20"/>
          <w:szCs w:val="20"/>
          <w:color w:val="auto"/>
        </w:rPr>
      </w:pPr>
      <w:r>
        <w:rPr>
          <w:rFonts w:ascii="Arial" w:cs="Arial" w:eastAsia="Arial" w:hAnsi="Arial"/>
          <w:sz w:val="22"/>
          <w:szCs w:val="22"/>
          <w:color w:val="auto"/>
        </w:rPr>
        <w:t xml:space="preserve">(p) </w:t>
      </w:r>
      <w:r>
        <w:rPr>
          <w:rFonts w:ascii="Arial" w:cs="Arial" w:eastAsia="Arial" w:hAnsi="Arial"/>
          <w:sz w:val="22"/>
          <w:szCs w:val="22"/>
          <w:i w:val="1"/>
          <w:iCs w:val="1"/>
          <w:color w:val="auto"/>
        </w:rPr>
        <w:t>Disclosure Controls</w:t>
      </w:r>
      <w:r>
        <w:rPr>
          <w:rFonts w:ascii="Arial" w:cs="Arial" w:eastAsia="Arial" w:hAnsi="Arial"/>
          <w:sz w:val="22"/>
          <w:szCs w:val="22"/>
          <w:color w:val="auto"/>
        </w:rPr>
        <w:t>. The Company will use commercially reasonable efforts to establish and employ disclosure controls and procedures that are designed to ensure that information required to be disclosed by the Company in the reports that it files or submits under the 1934 Act is recorded, processed, summarized and reported, within the time periods specified in the Commission’s rules and forms, and is accumulated and communicated to the Company’s management, including its principal executive officer or officers and principal financial officer or officers, as appropriate to allow timely decisions regarding disclosure.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76" w:lineRule="exact"/>
        <w:rPr>
          <w:sz w:val="20"/>
          <w:szCs w:val="20"/>
          <w:color w:val="auto"/>
        </w:rPr>
      </w:pPr>
    </w:p>
    <w:p>
      <w:pPr>
        <w:spacing w:after="0"/>
        <w:rPr>
          <w:sz w:val="20"/>
          <w:szCs w:val="20"/>
          <w:color w:val="auto"/>
        </w:rPr>
      </w:pPr>
      <w:r>
        <w:rPr>
          <w:rFonts w:ascii="Arial" w:cs="Arial" w:eastAsia="Arial" w:hAnsi="Arial"/>
          <w:sz w:val="14"/>
          <w:szCs w:val="14"/>
          <w:color w:val="auto"/>
        </w:rPr>
        <w:t>28117909.1.BUSINESS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157720" cy="4254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31" w:name="page132"/>
    <w:bookmarkEnd w:id="131"/>
    <w:p>
      <w:pPr>
        <w:jc w:val="both"/>
        <w:ind w:firstLine="1497"/>
        <w:spacing w:after="0" w:line="234" w:lineRule="auto"/>
        <w:rPr>
          <w:sz w:val="20"/>
          <w:szCs w:val="20"/>
          <w:color w:val="auto"/>
        </w:rPr>
      </w:pPr>
      <w:r>
        <w:rPr>
          <w:rFonts w:ascii="Arial" w:cs="Arial" w:eastAsia="Arial" w:hAnsi="Arial"/>
          <w:sz w:val="22"/>
          <w:szCs w:val="22"/>
          <w:color w:val="auto"/>
        </w:rPr>
        <w:t xml:space="preserve">(q) </w:t>
      </w:r>
      <w:r>
        <w:rPr>
          <w:rFonts w:ascii="Arial" w:cs="Arial" w:eastAsia="Arial" w:hAnsi="Arial"/>
          <w:sz w:val="22"/>
          <w:szCs w:val="22"/>
          <w:i w:val="1"/>
          <w:iCs w:val="1"/>
          <w:color w:val="auto"/>
        </w:rPr>
        <w:t>Issuer Free Writing Prospectus</w:t>
      </w:r>
      <w:r>
        <w:rPr>
          <w:rFonts w:ascii="Arial" w:cs="Arial" w:eastAsia="Arial" w:hAnsi="Arial"/>
          <w:sz w:val="22"/>
          <w:szCs w:val="22"/>
          <w:color w:val="auto"/>
        </w:rPr>
        <w:t>. The Company represents and agrees that, without the prior consent of the Sales Agent (i) it will not distribute any offering material other than the Registration Statement or the Prospectus, and (ii) it has not made and will not make any offer relating to the Securities that would constitute a “free writing prospectus” as defined in Rule 405 under the 1933 Act, and which the parties agree, for the purposes of this Agreement, includes (x) any “advertisement” as defined in Rule 482 under the 1933 Act; and (y) any sales literature, materials or information provided to investors by, or with the approval of, the Company in connection with the marketing of the offering of the Securities, including any in-person roadshow or investor presentations (including slides and scripts relating thereto) made to investors by or on behalf of the Company.</w:t>
      </w:r>
    </w:p>
    <w:p>
      <w:pPr>
        <w:spacing w:after="0" w:line="187" w:lineRule="exact"/>
        <w:rPr>
          <w:sz w:val="20"/>
          <w:szCs w:val="20"/>
          <w:color w:val="auto"/>
        </w:rPr>
      </w:pPr>
    </w:p>
    <w:p>
      <w:pPr>
        <w:jc w:val="both"/>
        <w:ind w:firstLine="1497"/>
        <w:spacing w:after="0" w:line="246" w:lineRule="auto"/>
        <w:rPr>
          <w:sz w:val="20"/>
          <w:szCs w:val="20"/>
          <w:color w:val="auto"/>
        </w:rPr>
      </w:pPr>
      <w:r>
        <w:rPr>
          <w:rFonts w:ascii="Arial" w:cs="Arial" w:eastAsia="Arial" w:hAnsi="Arial"/>
          <w:sz w:val="21"/>
          <w:szCs w:val="21"/>
          <w:color w:val="auto"/>
        </w:rPr>
        <w:t xml:space="preserve">(r) </w:t>
      </w:r>
      <w:r>
        <w:rPr>
          <w:rFonts w:ascii="Arial" w:cs="Arial" w:eastAsia="Arial" w:hAnsi="Arial"/>
          <w:sz w:val="21"/>
          <w:szCs w:val="21"/>
          <w:i w:val="1"/>
          <w:iCs w:val="1"/>
          <w:color w:val="auto"/>
        </w:rPr>
        <w:t>Due Diligence Matters.</w:t>
      </w:r>
      <w:r>
        <w:rPr>
          <w:rFonts w:ascii="Arial" w:cs="Arial" w:eastAsia="Arial" w:hAnsi="Arial"/>
          <w:sz w:val="21"/>
          <w:szCs w:val="21"/>
          <w:color w:val="auto"/>
        </w:rPr>
        <w:t xml:space="preserve"> The Company will cooperate with any reasonable due diligence review conducted by the Sales Agent or its respective agents in connection with the transactions contemplated hereby, including, without limitation, providing information and making available documents and senior officers, during regular business hours and at the Company’s principal offices, as either Agent may reasonably request. The parties acknowledge that the due diligence review contemplated by this Section 2(r) will include, without limitation, during the term of this Agreement a quarterly diligence conference to occur within five business days after each 10-Q filing or 10-K filing whereby the Company will make its senior corporate officers available to address diligence inquiries of the Sales Agent and will provide such additional information and documents as the Sales Agent may reasonably request.</w:t>
      </w:r>
    </w:p>
    <w:p>
      <w:pPr>
        <w:spacing w:after="0" w:line="180"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2"/>
          <w:szCs w:val="22"/>
          <w:color w:val="auto"/>
        </w:rPr>
        <w:t xml:space="preserve">(s) </w:t>
      </w:r>
      <w:r>
        <w:rPr>
          <w:rFonts w:ascii="Arial" w:cs="Arial" w:eastAsia="Arial" w:hAnsi="Arial"/>
          <w:sz w:val="22"/>
          <w:szCs w:val="22"/>
          <w:i w:val="1"/>
          <w:iCs w:val="1"/>
          <w:color w:val="auto"/>
        </w:rPr>
        <w:t>No Stabilization.</w:t>
      </w:r>
      <w:r>
        <w:rPr>
          <w:rFonts w:ascii="Arial" w:cs="Arial" w:eastAsia="Arial" w:hAnsi="Arial"/>
          <w:sz w:val="22"/>
          <w:szCs w:val="22"/>
          <w:color w:val="auto"/>
        </w:rPr>
        <w:t xml:space="preserve"> The Company will not take, directly or indirectly, any action designed to or that could reasonably be expected to cause or result in any stabilization or manipulation of the price of the Securities.</w:t>
      </w:r>
    </w:p>
    <w:p>
      <w:pPr>
        <w:spacing w:after="0" w:line="175" w:lineRule="exact"/>
        <w:rPr>
          <w:sz w:val="20"/>
          <w:szCs w:val="20"/>
          <w:color w:val="auto"/>
        </w:rPr>
      </w:pPr>
    </w:p>
    <w:p>
      <w:pPr>
        <w:ind w:left="1500"/>
        <w:spacing w:after="0"/>
        <w:tabs>
          <w:tab w:leader="none" w:pos="2980" w:val="left"/>
        </w:tabs>
        <w:rPr>
          <w:sz w:val="20"/>
          <w:szCs w:val="20"/>
          <w:color w:val="auto"/>
        </w:rPr>
      </w:pPr>
      <w:r>
        <w:rPr>
          <w:rFonts w:ascii="Arial" w:cs="Arial" w:eastAsia="Arial" w:hAnsi="Arial"/>
          <w:sz w:val="19"/>
          <w:szCs w:val="19"/>
          <w:color w:val="auto"/>
        </w:rPr>
        <w:t>(t)</w:t>
      </w:r>
      <w:r>
        <w:rPr>
          <w:sz w:val="20"/>
          <w:szCs w:val="20"/>
          <w:color w:val="auto"/>
        </w:rPr>
        <w:tab/>
      </w:r>
      <w:r>
        <w:rPr>
          <w:rFonts w:ascii="Arial" w:cs="Arial" w:eastAsia="Arial" w:hAnsi="Arial"/>
          <w:sz w:val="19"/>
          <w:szCs w:val="19"/>
          <w:color w:val="auto"/>
        </w:rPr>
        <w:t>The Company agrees that any offer to sell, any solicitation of an offer to buy, or any sales of</w:t>
      </w:r>
    </w:p>
    <w:p>
      <w:pPr>
        <w:spacing w:after="0" w:line="43"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Securities pursuant to this Agreement, the Sales Agreement or any Terms Agreement shall only be effected by or through only one of Agent or the Other Agent, as applicable, at any given time as determined by the Company, but in no event by more than one of them, and the Company shall in no event request that more than one of Agent or the Other Agent sell Securities during such time period.</w:t>
      </w:r>
    </w:p>
    <w:p>
      <w:pPr>
        <w:spacing w:after="0" w:line="188"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9"/>
          <w:szCs w:val="19"/>
          <w:color w:val="auto"/>
        </w:rPr>
        <w:t>SECTION 4.</w:t>
      </w:r>
      <w:r>
        <w:rPr>
          <w:rFonts w:ascii="Arial" w:cs="Arial" w:eastAsia="Arial" w:hAnsi="Arial"/>
          <w:sz w:val="19"/>
          <w:szCs w:val="19"/>
          <w:u w:val="single" w:color="auto"/>
          <w:color w:val="auto"/>
        </w:rPr>
        <w:t>Payment of Expenses</w:t>
      </w:r>
      <w:r>
        <w:rPr>
          <w:rFonts w:ascii="Arial" w:cs="Arial" w:eastAsia="Arial" w:hAnsi="Arial"/>
          <w:sz w:val="19"/>
          <w:szCs w:val="19"/>
          <w:color w:val="auto"/>
        </w:rPr>
        <w:t>. The Company shall pay or cause to be paid all expenses incident to the performance of its obligations under this Agreement, including (i) the preparation and filing of the Registration Statement, the Prospectus and any amendments or supplements thereto, and the printing and furnishing of copies of each thereof to the Sales Agent (including costs of mailing and shipment), (ii) the printing and delivery to the Sales Agent of this Agreement and such other documents as may be required in connection with the offering, purchase, sale or delivery of the Securities, (iii) the delivery of Securities to the Sales Agent, including any stock or other transfer taxes and any stamp or other duties payable upon the sale or delivery of the Securities to the Sales Agent, (iv) the fees and disbursements of the Company’s counsel, accountants and other advisors, (v) the qualification of the Securities under securities laws in accordance with the provisions of this Agreement, including filing fees and the reasonable fees and disbursements of counsel for the Sales Agent in connection therewith and in connection with the preparation of blue sky surveys and any supplement thereto, (vi) the printing and delivery to the Sales Agent of copies of the Prospectus and any amendments or supplements thereto, (vii) the</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76" w:lineRule="exact"/>
        <w:rPr>
          <w:sz w:val="20"/>
          <w:szCs w:val="20"/>
          <w:color w:val="auto"/>
        </w:rPr>
      </w:pPr>
    </w:p>
    <w:p>
      <w:pPr>
        <w:spacing w:after="0"/>
        <w:rPr>
          <w:sz w:val="20"/>
          <w:szCs w:val="20"/>
          <w:color w:val="auto"/>
        </w:rPr>
      </w:pPr>
      <w:r>
        <w:rPr>
          <w:rFonts w:ascii="Arial" w:cs="Arial" w:eastAsia="Arial" w:hAnsi="Arial"/>
          <w:sz w:val="14"/>
          <w:szCs w:val="14"/>
          <w:color w:val="auto"/>
        </w:rPr>
        <w:t>28117909.1.BUSINESS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157720" cy="4254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32" w:name="page133"/>
    <w:bookmarkEnd w:id="132"/>
    <w:p>
      <w:pPr>
        <w:jc w:val="both"/>
        <w:spacing w:after="0" w:line="274" w:lineRule="auto"/>
        <w:rPr>
          <w:sz w:val="20"/>
          <w:szCs w:val="20"/>
          <w:color w:val="auto"/>
        </w:rPr>
      </w:pPr>
      <w:r>
        <w:rPr>
          <w:rFonts w:ascii="Arial" w:cs="Arial" w:eastAsia="Arial" w:hAnsi="Arial"/>
          <w:sz w:val="19"/>
          <w:szCs w:val="19"/>
          <w:color w:val="auto"/>
        </w:rPr>
        <w:t>preparation and delivery to the Sales Agent of copies of the blue sky survey, if any, and any supplement thereto, (viii) the fees and expenses of any transfer agent or registrar for the Securities, (ix) the reasonable legal fees and expenses of counsel to the Sales Agent in connection with their performance under this Agreement, in an aggregate amount of $40,000 in connection with the entry into this Agreement and the Sales Agreement and up to $7,500 per fiscal quarter during the term of this Agreement and the Sales Agreement, which amount shall include legal fees and expenses relating to the review by FINRA of the terms of the sale of the Securities and (x) the filing fees incident to the review by FINRA of the terms of the sale of the Securities. Except as set forth herein, the Sales Agent will pay all of its other out-of-pocket costs and expenses incurred in connection with entering into this Agreement and the transactions contemplated by this Agreement, including, without limitation, travel and similar expenses, whether or not the transactions contemplated hereby are consummated or this Agreement is terminated.</w:t>
      </w:r>
    </w:p>
    <w:p>
      <w:pPr>
        <w:spacing w:after="0" w:line="158"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2"/>
          <w:szCs w:val="22"/>
          <w:color w:val="auto"/>
        </w:rPr>
        <w:t>SECTION 5.</w:t>
      </w:r>
      <w:r>
        <w:rPr>
          <w:rFonts w:ascii="Arial" w:cs="Arial" w:eastAsia="Arial" w:hAnsi="Arial"/>
          <w:sz w:val="22"/>
          <w:szCs w:val="22"/>
          <w:u w:val="single" w:color="auto"/>
          <w:color w:val="auto"/>
        </w:rPr>
        <w:t>Conditions of the Sales Agent’s Obligations</w:t>
      </w:r>
      <w:r>
        <w:rPr>
          <w:rFonts w:ascii="Arial" w:cs="Arial" w:eastAsia="Arial" w:hAnsi="Arial"/>
          <w:sz w:val="22"/>
          <w:szCs w:val="22"/>
          <w:color w:val="auto"/>
        </w:rPr>
        <w:t>. The obligations of the Sales Agent hereunder are subject to the accuracy of the representations and warranties of the Company, the Adviser and the Administrator contained herein or in certificates of any officer of the Company, any of the Subsidiaries, the Adviser or the Administrator delivered pursuant to the provisions hereof, to the performance by the Company, the Adviser and the Administrator of their respective covenants and other obligations hereunder, and to the following further conditions:</w:t>
      </w:r>
    </w:p>
    <w:p>
      <w:pPr>
        <w:spacing w:after="0" w:line="187" w:lineRule="exact"/>
        <w:rPr>
          <w:sz w:val="20"/>
          <w:szCs w:val="20"/>
          <w:color w:val="auto"/>
        </w:rPr>
      </w:pPr>
    </w:p>
    <w:p>
      <w:pPr>
        <w:jc w:val="both"/>
        <w:ind w:firstLine="1497"/>
        <w:spacing w:after="0" w:line="234" w:lineRule="auto"/>
        <w:rPr>
          <w:sz w:val="20"/>
          <w:szCs w:val="20"/>
          <w:color w:val="auto"/>
        </w:rPr>
      </w:pPr>
      <w:r>
        <w:rPr>
          <w:rFonts w:ascii="Arial" w:cs="Arial" w:eastAsia="Arial" w:hAnsi="Arial"/>
          <w:sz w:val="22"/>
          <w:szCs w:val="22"/>
          <w:color w:val="auto"/>
        </w:rPr>
        <w:t xml:space="preserve">(a) </w:t>
      </w:r>
      <w:r>
        <w:rPr>
          <w:rFonts w:ascii="Arial" w:cs="Arial" w:eastAsia="Arial" w:hAnsi="Arial"/>
          <w:sz w:val="22"/>
          <w:szCs w:val="22"/>
          <w:i w:val="1"/>
          <w:iCs w:val="1"/>
          <w:color w:val="auto"/>
        </w:rPr>
        <w:t>Registration Statement</w:t>
      </w:r>
      <w:r>
        <w:rPr>
          <w:rFonts w:ascii="Arial" w:cs="Arial" w:eastAsia="Arial" w:hAnsi="Arial"/>
          <w:sz w:val="22"/>
          <w:szCs w:val="22"/>
          <w:color w:val="auto"/>
        </w:rPr>
        <w:t>. No stop order suspending the effectiveness of the Registration Statement or any post-effective amendment thereto has been issued under the 1933 Act, no order preventing or suspending the use of any Issuer Free Writing Prospectus or the Prospectus has been issued and no proceedings for any of those purposes have been instituted or are pending or, to the Company’s knowledge, contemplated; and the Company has complied with each request (if any) from the Commission for additional information in connection with the Registration Statement. Any required filing of each Issuer Free Writing Prospectus pursuant to Rule 433 has been made in the manner and within the time period required by Rule 433(d).</w:t>
      </w:r>
    </w:p>
    <w:p>
      <w:pPr>
        <w:spacing w:after="0" w:line="191" w:lineRule="exact"/>
        <w:rPr>
          <w:sz w:val="20"/>
          <w:szCs w:val="20"/>
          <w:color w:val="auto"/>
        </w:rPr>
      </w:pPr>
    </w:p>
    <w:p>
      <w:pPr>
        <w:ind w:left="1500"/>
        <w:spacing w:after="0"/>
        <w:tabs>
          <w:tab w:leader="none" w:pos="2980" w:val="left"/>
        </w:tabs>
        <w:rPr>
          <w:sz w:val="20"/>
          <w:szCs w:val="20"/>
          <w:color w:val="auto"/>
        </w:rPr>
      </w:pPr>
      <w:r>
        <w:rPr>
          <w:rFonts w:ascii="Arial" w:cs="Arial" w:eastAsia="Arial" w:hAnsi="Arial"/>
          <w:sz w:val="19"/>
          <w:szCs w:val="19"/>
          <w:color w:val="auto"/>
        </w:rPr>
        <w:t>(b)</w:t>
      </w:r>
      <w:r>
        <w:rPr>
          <w:sz w:val="20"/>
          <w:szCs w:val="20"/>
          <w:color w:val="auto"/>
        </w:rPr>
        <w:tab/>
      </w:r>
      <w:r>
        <w:rPr>
          <w:rFonts w:ascii="Arial" w:cs="Arial" w:eastAsia="Arial" w:hAnsi="Arial"/>
          <w:sz w:val="19"/>
          <w:szCs w:val="19"/>
          <w:i w:val="1"/>
          <w:iCs w:val="1"/>
          <w:color w:val="auto"/>
        </w:rPr>
        <w:t>Opinions of Counsel for the Company, the Adviser and the Administrator</w:t>
      </w:r>
      <w:r>
        <w:rPr>
          <w:rFonts w:ascii="Arial" w:cs="Arial" w:eastAsia="Arial" w:hAnsi="Arial"/>
          <w:sz w:val="19"/>
          <w:szCs w:val="19"/>
          <w:color w:val="auto"/>
        </w:rPr>
        <w:t>. Within five business</w:t>
      </w:r>
    </w:p>
    <w:p>
      <w:pPr>
        <w:spacing w:after="0" w:line="43"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days after (i) each date on which the Company files a quarterly report on Form 10-Q or an annual report on Form 10-K, (ii) each date on which Securities are delivered to the Sales Agent pursuant to a Terms Agreement, or (iii) such date as the Sales Agent may reasonably request (the date of commencement of the offering of the Securities under this Agreement, the date of commencement of the offering of the Securities under this Agreement following the termination of a Suspension Period and each date referred to in subclauses (i), (ii) and (iii) above, each a “Representation Date”), the Sales Agent shall have received the favorable opinions, dated the Representation Date, of Dechert LLP, counsel for the Company, the Adviser and the Administrator, and of Venable LLP, counsel for the Company, in form and substance reasonably satisfactory to counsel for the Sales Agent. Such counsels may state that insofar as such opinions involve factual matters, they have relied, to the extent they deem proper, upon certificates of officers of the Company and the Subsidiaries, the Adviser and the Administrator and certificates of public officials.</w:t>
      </w:r>
    </w:p>
    <w:p>
      <w:pPr>
        <w:spacing w:after="0" w:line="156" w:lineRule="exact"/>
        <w:rPr>
          <w:sz w:val="20"/>
          <w:szCs w:val="20"/>
          <w:color w:val="auto"/>
        </w:rPr>
      </w:pPr>
    </w:p>
    <w:p>
      <w:pPr>
        <w:jc w:val="both"/>
        <w:ind w:firstLine="1497"/>
        <w:spacing w:after="0"/>
        <w:rPr>
          <w:sz w:val="20"/>
          <w:szCs w:val="20"/>
          <w:color w:val="auto"/>
        </w:rPr>
      </w:pPr>
      <w:r>
        <w:rPr>
          <w:rFonts w:ascii="Arial" w:cs="Arial" w:eastAsia="Arial" w:hAnsi="Arial"/>
          <w:sz w:val="22"/>
          <w:szCs w:val="22"/>
          <w:color w:val="auto"/>
        </w:rPr>
        <w:t xml:space="preserve">(c) </w:t>
      </w:r>
      <w:r>
        <w:rPr>
          <w:rFonts w:ascii="Arial" w:cs="Arial" w:eastAsia="Arial" w:hAnsi="Arial"/>
          <w:sz w:val="22"/>
          <w:szCs w:val="22"/>
          <w:i w:val="1"/>
          <w:iCs w:val="1"/>
          <w:color w:val="auto"/>
        </w:rPr>
        <w:t>Opinion of Counsel for the Sales Agent</w:t>
      </w:r>
      <w:r>
        <w:rPr>
          <w:rFonts w:ascii="Arial" w:cs="Arial" w:eastAsia="Arial" w:hAnsi="Arial"/>
          <w:sz w:val="22"/>
          <w:szCs w:val="22"/>
          <w:color w:val="auto"/>
        </w:rPr>
        <w:t>. Within five business days after each Representation Date, the Sales Agent shall have received the favorable opinion, dated the Representation Date, of Proskauer Rose LLP, counsel for the Sales Agent. Such counsel may also</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76" w:lineRule="exact"/>
        <w:rPr>
          <w:sz w:val="20"/>
          <w:szCs w:val="20"/>
          <w:color w:val="auto"/>
        </w:rPr>
      </w:pPr>
    </w:p>
    <w:p>
      <w:pPr>
        <w:spacing w:after="0"/>
        <w:rPr>
          <w:sz w:val="20"/>
          <w:szCs w:val="20"/>
          <w:color w:val="auto"/>
        </w:rPr>
      </w:pPr>
      <w:r>
        <w:rPr>
          <w:rFonts w:ascii="Arial" w:cs="Arial" w:eastAsia="Arial" w:hAnsi="Arial"/>
          <w:sz w:val="14"/>
          <w:szCs w:val="14"/>
          <w:color w:val="auto"/>
        </w:rPr>
        <w:t>28117909.1.BUSINESS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157720" cy="4254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33" w:name="page134"/>
    <w:bookmarkEnd w:id="133"/>
    <w:p>
      <w:pPr>
        <w:jc w:val="both"/>
        <w:spacing w:after="0"/>
        <w:rPr>
          <w:sz w:val="20"/>
          <w:szCs w:val="20"/>
          <w:color w:val="auto"/>
        </w:rPr>
      </w:pPr>
      <w:r>
        <w:rPr>
          <w:rFonts w:ascii="Arial" w:cs="Arial" w:eastAsia="Arial" w:hAnsi="Arial"/>
          <w:sz w:val="22"/>
          <w:szCs w:val="22"/>
          <w:color w:val="auto"/>
        </w:rPr>
        <w:t>state that, insofar as such opinion involves factual matters, they have relied, to the extent they deem proper, upon certificates of officers and other representatives of the Company, the Subsidiaries, the Adviser and the Administrator and certificates of public officials.</w:t>
      </w:r>
    </w:p>
    <w:p>
      <w:pPr>
        <w:sectPr>
          <w:pgSz w:w="11900" w:h="16838" w:orient="portrait"/>
          <w:cols w:equalWidth="0" w:num="1">
            <w:col w:w="11240"/>
          </w:cols>
          <w:pgMar w:left="320" w:top="320" w:right="339" w:bottom="1440" w:gutter="0" w:footer="0" w:header="0"/>
        </w:sectPr>
      </w:pPr>
    </w:p>
    <w:p>
      <w:pPr>
        <w:spacing w:after="0" w:line="186" w:lineRule="exact"/>
        <w:rPr>
          <w:sz w:val="20"/>
          <w:szCs w:val="20"/>
          <w:color w:val="auto"/>
        </w:rPr>
      </w:pPr>
    </w:p>
    <w:p>
      <w:pPr>
        <w:ind w:left="1500"/>
        <w:spacing w:after="0"/>
        <w:rPr>
          <w:sz w:val="20"/>
          <w:szCs w:val="20"/>
          <w:color w:val="auto"/>
        </w:rPr>
      </w:pPr>
      <w:r>
        <w:rPr>
          <w:rFonts w:ascii="Arial" w:cs="Arial" w:eastAsia="Arial" w:hAnsi="Arial"/>
          <w:sz w:val="21"/>
          <w:szCs w:val="21"/>
          <w:color w:val="auto"/>
        </w:rPr>
        <w:t>(d)</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Officers’ Certificates</w:t>
      </w:r>
      <w:r>
        <w:rPr>
          <w:rFonts w:ascii="Arial" w:cs="Arial" w:eastAsia="Arial" w:hAnsi="Arial"/>
          <w:sz w:val="19"/>
          <w:szCs w:val="19"/>
          <w:color w:val="auto"/>
        </w:rPr>
        <w:t>.</w:t>
      </w:r>
    </w:p>
    <w:p>
      <w:pPr>
        <w:spacing w:after="0" w:line="222" w:lineRule="exact"/>
        <w:rPr>
          <w:sz w:val="20"/>
          <w:szCs w:val="20"/>
          <w:color w:val="auto"/>
        </w:rPr>
      </w:pPr>
    </w:p>
    <w:p>
      <w:pPr>
        <w:sectPr>
          <w:pgSz w:w="11900" w:h="16838" w:orient="portrait"/>
          <w:cols w:equalWidth="0" w:num="2">
            <w:col w:w="2280" w:space="720"/>
            <w:col w:w="8240"/>
          </w:cols>
          <w:pgMar w:left="320" w:top="320" w:right="339" w:bottom="1440" w:gutter="0" w:footer="0" w:header="0"/>
          <w:type w:val="continuous"/>
        </w:sectPr>
      </w:pPr>
    </w:p>
    <w:p>
      <w:pPr>
        <w:spacing w:after="0" w:line="18" w:lineRule="exact"/>
        <w:rPr>
          <w:sz w:val="20"/>
          <w:szCs w:val="20"/>
          <w:color w:val="auto"/>
        </w:rPr>
      </w:pPr>
    </w:p>
    <w:p>
      <w:pPr>
        <w:ind w:left="2260"/>
        <w:spacing w:after="0"/>
        <w:tabs>
          <w:tab w:leader="none" w:pos="3740" w:val="left"/>
        </w:tabs>
        <w:rPr>
          <w:sz w:val="20"/>
          <w:szCs w:val="20"/>
          <w:color w:val="auto"/>
        </w:rPr>
      </w:pPr>
      <w:r>
        <w:rPr>
          <w:rFonts w:ascii="Arial" w:cs="Arial" w:eastAsia="Arial" w:hAnsi="Arial"/>
          <w:sz w:val="19"/>
          <w:szCs w:val="19"/>
          <w:color w:val="auto"/>
        </w:rPr>
        <w:t>(i)</w:t>
      </w:r>
      <w:r>
        <w:rPr>
          <w:sz w:val="20"/>
          <w:szCs w:val="20"/>
          <w:color w:val="auto"/>
        </w:rPr>
        <w:tab/>
      </w:r>
      <w:r>
        <w:rPr>
          <w:rFonts w:ascii="Arial" w:cs="Arial" w:eastAsia="Arial" w:hAnsi="Arial"/>
          <w:sz w:val="19"/>
          <w:szCs w:val="19"/>
          <w:color w:val="auto"/>
        </w:rPr>
        <w:t>Within five business days after each Representation Date, there shall not have been,</w:t>
      </w:r>
    </w:p>
    <w:p>
      <w:pPr>
        <w:sectPr>
          <w:pgSz w:w="11900" w:h="16838" w:orient="portrait"/>
          <w:cols w:equalWidth="0" w:num="1">
            <w:col w:w="11240"/>
          </w:cols>
          <w:pgMar w:left="320" w:top="320" w:right="339" w:bottom="1440" w:gutter="0" w:footer="0" w:header="0"/>
          <w:type w:val="continuous"/>
        </w:sectPr>
      </w:pPr>
    </w:p>
    <w:p>
      <w:pPr>
        <w:spacing w:after="0" w:line="56" w:lineRule="exact"/>
        <w:rPr>
          <w:sz w:val="20"/>
          <w:szCs w:val="20"/>
          <w:color w:val="auto"/>
        </w:rPr>
      </w:pPr>
    </w:p>
    <w:p>
      <w:pPr>
        <w:jc w:val="both"/>
        <w:ind w:left="760"/>
        <w:spacing w:after="0" w:line="269" w:lineRule="auto"/>
        <w:rPr>
          <w:sz w:val="20"/>
          <w:szCs w:val="20"/>
          <w:color w:val="auto"/>
        </w:rPr>
      </w:pPr>
      <w:r>
        <w:rPr>
          <w:rFonts w:ascii="Arial" w:cs="Arial" w:eastAsia="Arial" w:hAnsi="Arial"/>
          <w:sz w:val="19"/>
          <w:szCs w:val="19"/>
          <w:color w:val="auto"/>
        </w:rPr>
        <w:t xml:space="preserve">since the date hereof or since the respective dates as of which information is given in the Registration Statement, or the Prospectus, any material adverse change in the business, properties, management, financial condition, prospects or results of operations of the Company and the Subsidiaries considered as one enterprise, whether or not arising in the ordinary course of business, and the Sales Agent shall have received a certificate of the chief executive officer or the president of the Company and of the chief financial or chief accounting officer of the Company, dated the Representation Date, to the effect that (A) there has been no such material adverse change, (B) the representations and warranties of the Company in </w:t>
      </w:r>
      <w:r>
        <w:rPr>
          <w:rFonts w:ascii="Arial" w:cs="Arial" w:eastAsia="Arial" w:hAnsi="Arial"/>
          <w:sz w:val="19"/>
          <w:szCs w:val="19"/>
          <w:u w:val="single" w:color="auto"/>
          <w:color w:val="auto"/>
        </w:rPr>
        <w:t>Section 1(a)</w:t>
      </w:r>
      <w:r>
        <w:rPr>
          <w:rFonts w:ascii="Arial" w:cs="Arial" w:eastAsia="Arial" w:hAnsi="Arial"/>
          <w:sz w:val="19"/>
          <w:szCs w:val="19"/>
          <w:color w:val="auto"/>
        </w:rPr>
        <w:t xml:space="preserve"> of this Agreement are true and correct with the same force and effect as though expressly made at and as of the Representation Date, (C) the Company has complied with all agreements and satisfied all conditions on its part to be performed or satisfied at or prior to the Representation Date, and (D) no stop order suspending the effectiveness of the Registration Statement under the 1933 Act has been issued, no order preventing or suspending the use of the Prospectus has been issued and no proceedings for any of those purposes have been instituted or are pending or, to their knowledge, contemplated by the Commission.</w:t>
      </w:r>
    </w:p>
    <w:p>
      <w:pPr>
        <w:spacing w:after="0" w:line="162" w:lineRule="exact"/>
        <w:rPr>
          <w:sz w:val="20"/>
          <w:szCs w:val="20"/>
          <w:color w:val="auto"/>
        </w:rPr>
      </w:pPr>
    </w:p>
    <w:p>
      <w:pPr>
        <w:jc w:val="both"/>
        <w:ind w:left="760" w:firstLine="1494"/>
        <w:spacing w:after="0" w:line="270" w:lineRule="auto"/>
        <w:tabs>
          <w:tab w:leader="none" w:pos="3755" w:val="left"/>
        </w:tabs>
        <w:numPr>
          <w:ilvl w:val="2"/>
          <w:numId w:val="93"/>
        </w:numPr>
        <w:rPr>
          <w:rFonts w:ascii="Arial" w:cs="Arial" w:eastAsia="Arial" w:hAnsi="Arial"/>
          <w:sz w:val="19"/>
          <w:szCs w:val="19"/>
          <w:color w:val="auto"/>
        </w:rPr>
      </w:pPr>
      <w:r>
        <w:rPr>
          <w:rFonts w:ascii="Arial" w:cs="Arial" w:eastAsia="Arial" w:hAnsi="Arial"/>
          <w:sz w:val="19"/>
          <w:szCs w:val="19"/>
          <w:color w:val="auto"/>
        </w:rPr>
        <w:t>Within five business days after each Representation Date, there shall not have been, since the date hereof or since the respective dates as of which information is given in the Prospectus, an Adviser/Administrator Material Adverse Effect, and the Sales Agent shall have received certificates of the managing member of each of the Adviser and the Administrator, dated the Representation Date, to the effect that (A) there has been no such Adviser/Administrator Material Adverse Effect with respect to the Adviser or the Administrator, as applicable,</w:t>
      </w:r>
    </w:p>
    <w:p>
      <w:pPr>
        <w:spacing w:after="0" w:line="4" w:lineRule="exact"/>
        <w:rPr>
          <w:rFonts w:ascii="Arial" w:cs="Arial" w:eastAsia="Arial" w:hAnsi="Arial"/>
          <w:sz w:val="19"/>
          <w:szCs w:val="19"/>
          <w:color w:val="auto"/>
        </w:rPr>
      </w:pPr>
    </w:p>
    <w:p>
      <w:pPr>
        <w:jc w:val="both"/>
        <w:ind w:left="760" w:firstLine="91"/>
        <w:spacing w:after="0" w:line="246" w:lineRule="auto"/>
        <w:tabs>
          <w:tab w:leader="none" w:pos="1242" w:val="left"/>
        </w:tabs>
        <w:numPr>
          <w:ilvl w:val="0"/>
          <w:numId w:val="94"/>
        </w:numPr>
        <w:rPr>
          <w:rFonts w:ascii="Arial" w:cs="Arial" w:eastAsia="Arial" w:hAnsi="Arial"/>
          <w:sz w:val="21"/>
          <w:szCs w:val="21"/>
          <w:color w:val="auto"/>
        </w:rPr>
      </w:pPr>
      <w:r>
        <w:rPr>
          <w:rFonts w:ascii="Arial" w:cs="Arial" w:eastAsia="Arial" w:hAnsi="Arial"/>
          <w:sz w:val="21"/>
          <w:szCs w:val="21"/>
          <w:color w:val="auto"/>
        </w:rPr>
        <w:t xml:space="preserve">the representations and warranties of the Adviser or the Administrator, as applicable, in </w:t>
      </w:r>
      <w:r>
        <w:rPr>
          <w:rFonts w:ascii="Arial" w:cs="Arial" w:eastAsia="Arial" w:hAnsi="Arial"/>
          <w:sz w:val="21"/>
          <w:szCs w:val="21"/>
          <w:u w:val="single" w:color="auto"/>
          <w:color w:val="auto"/>
        </w:rPr>
        <w:t>Section 1(b)</w:t>
      </w:r>
      <w:r>
        <w:rPr>
          <w:rFonts w:ascii="Arial" w:cs="Arial" w:eastAsia="Arial" w:hAnsi="Arial"/>
          <w:sz w:val="21"/>
          <w:szCs w:val="21"/>
          <w:color w:val="auto"/>
        </w:rPr>
        <w:t xml:space="preserve"> of this Agreement are true and correct with the same force and effect as though expressly made at and as of the Representation Date and (C) the Adviser or the Administrator, as applicable, has complied with all agreements and satisfied all conditions on their part to be performed or satisfied at or prior to the Representation Date.</w:t>
      </w:r>
    </w:p>
    <w:p>
      <w:pPr>
        <w:spacing w:after="0" w:line="179" w:lineRule="exact"/>
        <w:rPr>
          <w:rFonts w:ascii="Arial" w:cs="Arial" w:eastAsia="Arial" w:hAnsi="Arial"/>
          <w:sz w:val="21"/>
          <w:szCs w:val="21"/>
          <w:color w:val="auto"/>
        </w:rPr>
      </w:pPr>
    </w:p>
    <w:p>
      <w:pPr>
        <w:jc w:val="both"/>
        <w:ind w:firstLine="1505"/>
        <w:spacing w:after="0" w:line="236" w:lineRule="auto"/>
        <w:tabs>
          <w:tab w:leader="none" w:pos="2995" w:val="left"/>
        </w:tabs>
        <w:numPr>
          <w:ilvl w:val="1"/>
          <w:numId w:val="94"/>
        </w:numPr>
        <w:rPr>
          <w:rFonts w:ascii="Arial" w:cs="Arial" w:eastAsia="Arial" w:hAnsi="Arial"/>
          <w:sz w:val="22"/>
          <w:szCs w:val="22"/>
          <w:color w:val="auto"/>
        </w:rPr>
      </w:pPr>
      <w:r>
        <w:rPr>
          <w:rFonts w:ascii="Arial" w:cs="Arial" w:eastAsia="Arial" w:hAnsi="Arial"/>
          <w:sz w:val="22"/>
          <w:szCs w:val="22"/>
          <w:i w:val="1"/>
          <w:iCs w:val="1"/>
          <w:color w:val="auto"/>
        </w:rPr>
        <w:t>Accountant’s Comfort Letter</w:t>
      </w:r>
      <w:r>
        <w:rPr>
          <w:rFonts w:ascii="Arial" w:cs="Arial" w:eastAsia="Arial" w:hAnsi="Arial"/>
          <w:sz w:val="22"/>
          <w:szCs w:val="22"/>
          <w:color w:val="auto"/>
        </w:rPr>
        <w:t>. Within five business days after each Representation Date, the</w:t>
      </w:r>
      <w:r>
        <w:rPr>
          <w:rFonts w:ascii="Arial" w:cs="Arial" w:eastAsia="Arial" w:hAnsi="Arial"/>
          <w:sz w:val="22"/>
          <w:szCs w:val="22"/>
          <w:i w:val="1"/>
          <w:iCs w:val="1"/>
          <w:color w:val="auto"/>
        </w:rPr>
        <w:t xml:space="preserve"> </w:t>
      </w:r>
      <w:r>
        <w:rPr>
          <w:rFonts w:ascii="Arial" w:cs="Arial" w:eastAsia="Arial" w:hAnsi="Arial"/>
          <w:sz w:val="22"/>
          <w:szCs w:val="22"/>
          <w:color w:val="auto"/>
        </w:rPr>
        <w:t>Sales Agent shall have received from RSM US LLP a letter, dated such date, in form and substance satisfactory to the Sales Agent, containing statements and information of the type ordinarily included in accountants’ “comfort letters” to underwriters with respect to the Company’s financial statements and certain financial information included or incorporated by reference in the Registration Statement and the Prospectus.</w:t>
      </w:r>
    </w:p>
    <w:p>
      <w:pPr>
        <w:spacing w:after="0" w:line="187" w:lineRule="exact"/>
        <w:rPr>
          <w:sz w:val="20"/>
          <w:szCs w:val="20"/>
          <w:color w:val="auto"/>
        </w:rPr>
      </w:pPr>
    </w:p>
    <w:p>
      <w:pPr>
        <w:jc w:val="both"/>
        <w:ind w:firstLine="1497"/>
        <w:spacing w:after="0"/>
        <w:rPr>
          <w:sz w:val="20"/>
          <w:szCs w:val="20"/>
          <w:color w:val="auto"/>
        </w:rPr>
      </w:pPr>
      <w:r>
        <w:rPr>
          <w:rFonts w:ascii="Arial" w:cs="Arial" w:eastAsia="Arial" w:hAnsi="Arial"/>
          <w:sz w:val="22"/>
          <w:szCs w:val="22"/>
          <w:color w:val="auto"/>
        </w:rPr>
        <w:t xml:space="preserve">(f) </w:t>
      </w:r>
      <w:r>
        <w:rPr>
          <w:rFonts w:ascii="Arial" w:cs="Arial" w:eastAsia="Arial" w:hAnsi="Arial"/>
          <w:sz w:val="22"/>
          <w:szCs w:val="22"/>
          <w:i w:val="1"/>
          <w:iCs w:val="1"/>
          <w:color w:val="auto"/>
        </w:rPr>
        <w:t>Additional Documents</w:t>
      </w:r>
      <w:r>
        <w:rPr>
          <w:rFonts w:ascii="Arial" w:cs="Arial" w:eastAsia="Arial" w:hAnsi="Arial"/>
          <w:sz w:val="22"/>
          <w:szCs w:val="22"/>
          <w:color w:val="auto"/>
        </w:rPr>
        <w:t>. Within five business days after each Representation Date, counsel for the Sales Agent shall have been furnished with such documents and opinions as they may reasonably require for the purpose of enabling them to pass upon the issuance and sale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276" w:lineRule="exact"/>
        <w:rPr>
          <w:sz w:val="20"/>
          <w:szCs w:val="20"/>
          <w:color w:val="auto"/>
        </w:rPr>
      </w:pPr>
    </w:p>
    <w:p>
      <w:pPr>
        <w:spacing w:after="0"/>
        <w:rPr>
          <w:sz w:val="20"/>
          <w:szCs w:val="20"/>
          <w:color w:val="auto"/>
        </w:rPr>
      </w:pPr>
      <w:r>
        <w:rPr>
          <w:rFonts w:ascii="Arial" w:cs="Arial" w:eastAsia="Arial" w:hAnsi="Arial"/>
          <w:sz w:val="14"/>
          <w:szCs w:val="14"/>
          <w:color w:val="auto"/>
        </w:rPr>
        <w:t>28117909.1.BUSINESS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157720" cy="4254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type w:val="continuous"/>
        </w:sectPr>
      </w:pPr>
    </w:p>
    <w:bookmarkStart w:id="134" w:name="page135"/>
    <w:bookmarkEnd w:id="134"/>
    <w:p>
      <w:pPr>
        <w:jc w:val="both"/>
        <w:spacing w:after="0" w:line="238" w:lineRule="auto"/>
        <w:rPr>
          <w:sz w:val="20"/>
          <w:szCs w:val="20"/>
          <w:color w:val="auto"/>
        </w:rPr>
      </w:pPr>
      <w:r>
        <w:rPr>
          <w:rFonts w:ascii="Arial" w:cs="Arial" w:eastAsia="Arial" w:hAnsi="Arial"/>
          <w:sz w:val="22"/>
          <w:szCs w:val="22"/>
          <w:color w:val="auto"/>
        </w:rPr>
        <w:t>of the Securities as herein contemplated, or in order to evidence the accuracy of any of the representations or warranties, or the fulfillment of any of the conditions, herein contained; and all proceedings taken by the Company, the Adviser and the Administrator in connection with the issuance and sale of the Securities as herein contemplated shall be satisfactory in form and substance to the Sales Agent and counsel for the Sales Agent.</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SECTION 6.</w:t>
      </w:r>
      <w:r>
        <w:rPr>
          <w:rFonts w:ascii="Arial" w:cs="Arial" w:eastAsia="Arial" w:hAnsi="Arial"/>
          <w:sz w:val="22"/>
          <w:szCs w:val="22"/>
          <w:u w:val="single" w:color="auto"/>
          <w:color w:val="auto"/>
        </w:rPr>
        <w:t>Indemnification</w:t>
      </w:r>
      <w:r>
        <w:rPr>
          <w:rFonts w:ascii="Arial" w:cs="Arial" w:eastAsia="Arial" w:hAnsi="Arial"/>
          <w:sz w:val="22"/>
          <w:szCs w:val="22"/>
          <w:color w:val="auto"/>
        </w:rPr>
        <w:t>.</w:t>
      </w:r>
    </w:p>
    <w:p>
      <w:pPr>
        <w:spacing w:after="0" w:line="206" w:lineRule="exact"/>
        <w:rPr>
          <w:sz w:val="20"/>
          <w:szCs w:val="20"/>
          <w:color w:val="auto"/>
        </w:rPr>
      </w:pPr>
    </w:p>
    <w:p>
      <w:pPr>
        <w:ind w:left="1500"/>
        <w:spacing w:after="0"/>
        <w:tabs>
          <w:tab w:leader="none" w:pos="2980" w:val="left"/>
        </w:tabs>
        <w:rPr>
          <w:sz w:val="20"/>
          <w:szCs w:val="20"/>
          <w:color w:val="auto"/>
        </w:rPr>
      </w:pPr>
      <w:r>
        <w:rPr>
          <w:rFonts w:ascii="Arial" w:cs="Arial" w:eastAsia="Arial" w:hAnsi="Arial"/>
          <w:sz w:val="19"/>
          <w:szCs w:val="19"/>
          <w:color w:val="auto"/>
        </w:rPr>
        <w:t>(a)</w:t>
      </w:r>
      <w:r>
        <w:rPr>
          <w:sz w:val="20"/>
          <w:szCs w:val="20"/>
          <w:color w:val="auto"/>
        </w:rPr>
        <w:tab/>
      </w:r>
      <w:r>
        <w:rPr>
          <w:rFonts w:ascii="Arial" w:cs="Arial" w:eastAsia="Arial" w:hAnsi="Arial"/>
          <w:sz w:val="19"/>
          <w:szCs w:val="19"/>
          <w:i w:val="1"/>
          <w:iCs w:val="1"/>
          <w:color w:val="auto"/>
        </w:rPr>
        <w:t>Indemnification of the Sales Agent by the Company, the Adviser and the Administrator</w:t>
      </w:r>
      <w:r>
        <w:rPr>
          <w:rFonts w:ascii="Arial" w:cs="Arial" w:eastAsia="Arial" w:hAnsi="Arial"/>
          <w:sz w:val="19"/>
          <w:szCs w:val="19"/>
          <w:color w:val="auto"/>
        </w:rPr>
        <w:t>. The</w:t>
      </w:r>
    </w:p>
    <w:p>
      <w:pPr>
        <w:spacing w:after="0" w:line="43"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Company, the Adviser and the Administrator, severally and not jointly, agree to indemnify and hold harmless the Sales Agent, its affiliates (as such term is defined in Rule 501(b) under the 1933 Act (each, an “Affiliate”)), its selling agents and each person, if any, who controls the Sales Agent within the meaning of Section 15 of the 1933 Act or Section 20 of the 1934 Act as follows:</w:t>
      </w:r>
    </w:p>
    <w:p>
      <w:pPr>
        <w:spacing w:after="0" w:line="143" w:lineRule="exact"/>
        <w:rPr>
          <w:sz w:val="20"/>
          <w:szCs w:val="20"/>
          <w:color w:val="auto"/>
        </w:rPr>
      </w:pPr>
    </w:p>
    <w:p>
      <w:pPr>
        <w:jc w:val="both"/>
        <w:ind w:left="760" w:firstLine="1497"/>
        <w:spacing w:after="0" w:line="273" w:lineRule="auto"/>
        <w:rPr>
          <w:sz w:val="20"/>
          <w:szCs w:val="20"/>
          <w:color w:val="auto"/>
        </w:rPr>
      </w:pPr>
      <w:r>
        <w:rPr>
          <w:rFonts w:ascii="Arial" w:cs="Arial" w:eastAsia="Arial" w:hAnsi="Arial"/>
          <w:sz w:val="19"/>
          <w:szCs w:val="19"/>
          <w:color w:val="auto"/>
        </w:rPr>
        <w:t>(i) against any and all loss, liability, claim, damage and expense whatsoever, as incurred, arising out of any untrue statement or alleged untrue statement of a material fact contained in the Registration Statement (or any amendment thereto), including any Rule 430B Information, or the omission or alleged omission therefrom of a material fact required to be stated therein or necessary to make the statements therein not misleading or arising out of any untrue statement or alleged untrue statement of a material fact included (A) in any Issuer Free Writing Prospectus or the Prospectus (or any amendment or supplement thereto), or (B) in any materials or information provided to investors by, or with the approval of, the Company in connection with the marketing of the offering of the Securities (“Marketing Materials”), including any road show as defined in Rule 433(h) under the 1933 Act (a “road show”) or investor presentations made to investors by the Company (whether in person or electronically), or the omission or alleged omission in any Issuer Free Writing Prospectus, the Prospectus or any Marketing Materials of a material fact necessary in order to make the statements therein, in the light of the circumstances under which they were made, not misleading;</w:t>
      </w:r>
    </w:p>
    <w:p>
      <w:pPr>
        <w:spacing w:after="0" w:line="155" w:lineRule="exact"/>
        <w:rPr>
          <w:sz w:val="20"/>
          <w:szCs w:val="20"/>
          <w:color w:val="auto"/>
        </w:rPr>
      </w:pPr>
    </w:p>
    <w:p>
      <w:pPr>
        <w:jc w:val="both"/>
        <w:ind w:left="760" w:firstLine="1494"/>
        <w:spacing w:after="0" w:line="249" w:lineRule="auto"/>
        <w:tabs>
          <w:tab w:leader="none" w:pos="3755" w:val="left"/>
        </w:tabs>
        <w:numPr>
          <w:ilvl w:val="0"/>
          <w:numId w:val="95"/>
        </w:numPr>
        <w:rPr>
          <w:rFonts w:ascii="Arial" w:cs="Arial" w:eastAsia="Arial" w:hAnsi="Arial"/>
          <w:sz w:val="21"/>
          <w:szCs w:val="21"/>
          <w:color w:val="auto"/>
        </w:rPr>
      </w:pPr>
      <w:r>
        <w:rPr>
          <w:rFonts w:ascii="Arial" w:cs="Arial" w:eastAsia="Arial" w:hAnsi="Arial"/>
          <w:sz w:val="21"/>
          <w:szCs w:val="21"/>
          <w:color w:val="auto"/>
        </w:rPr>
        <w:t xml:space="preserve">against any and all loss, liability, claim, damage and expense whatsoever, as incurred, to the extent of the aggregate amount paid in settlement of any litigation, or any investigation or proceeding by any governmental agency or body, commenced or threatened, or of any claim whatsoever based upon any such untrue statement or omission, or any such alleged untrue statement or omission; provided that (subject to </w:t>
      </w:r>
      <w:r>
        <w:rPr>
          <w:rFonts w:ascii="Arial" w:cs="Arial" w:eastAsia="Arial" w:hAnsi="Arial"/>
          <w:sz w:val="21"/>
          <w:szCs w:val="21"/>
          <w:u w:val="single" w:color="auto"/>
          <w:color w:val="auto"/>
        </w:rPr>
        <w:t>Section 6(d)</w:t>
      </w:r>
      <w:r>
        <w:rPr>
          <w:rFonts w:ascii="Arial" w:cs="Arial" w:eastAsia="Arial" w:hAnsi="Arial"/>
          <w:sz w:val="21"/>
          <w:szCs w:val="21"/>
          <w:color w:val="auto"/>
        </w:rPr>
        <w:t xml:space="preserve"> below) any such settlement is effected with the written consent of the Company; and</w:t>
      </w:r>
    </w:p>
    <w:p>
      <w:pPr>
        <w:spacing w:after="0" w:line="178" w:lineRule="exact"/>
        <w:rPr>
          <w:rFonts w:ascii="Arial" w:cs="Arial" w:eastAsia="Arial" w:hAnsi="Arial"/>
          <w:sz w:val="21"/>
          <w:szCs w:val="21"/>
          <w:color w:val="auto"/>
        </w:rPr>
      </w:pPr>
    </w:p>
    <w:p>
      <w:pPr>
        <w:jc w:val="both"/>
        <w:ind w:left="760" w:firstLine="1494"/>
        <w:spacing w:after="0" w:line="279" w:lineRule="auto"/>
        <w:tabs>
          <w:tab w:leader="none" w:pos="3755" w:val="left"/>
        </w:tabs>
        <w:numPr>
          <w:ilvl w:val="0"/>
          <w:numId w:val="95"/>
        </w:numPr>
        <w:rPr>
          <w:rFonts w:ascii="Arial" w:cs="Arial" w:eastAsia="Arial" w:hAnsi="Arial"/>
          <w:sz w:val="19"/>
          <w:szCs w:val="19"/>
          <w:color w:val="auto"/>
        </w:rPr>
      </w:pPr>
      <w:r>
        <w:rPr>
          <w:rFonts w:ascii="Arial" w:cs="Arial" w:eastAsia="Arial" w:hAnsi="Arial"/>
          <w:sz w:val="19"/>
          <w:szCs w:val="19"/>
          <w:color w:val="auto"/>
        </w:rPr>
        <w:t>against any and all expense whatsoever, as incurred (including the reasonably incurred and documented fees and disbursements of counsel chosen by the Sales Agent), reasonably incurred in investigating, preparing or defending against any litigation, or any investigation or proceeding by any governmental agency or body, commenced or threatened, or any claim whatsoever based upon any such untrue statement or omission, or any such alleged untrue statement or omission, to the extent that any such expense is not paid under (i) or (ii) above; provided, however, that this indemnity agreement shall not apply to any loss, liability, claim, damage or expense to the extent</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276" w:lineRule="exact"/>
        <w:rPr>
          <w:sz w:val="20"/>
          <w:szCs w:val="20"/>
          <w:color w:val="auto"/>
        </w:rPr>
      </w:pPr>
    </w:p>
    <w:p>
      <w:pPr>
        <w:spacing w:after="0"/>
        <w:rPr>
          <w:sz w:val="20"/>
          <w:szCs w:val="20"/>
          <w:color w:val="auto"/>
        </w:rPr>
      </w:pPr>
      <w:r>
        <w:rPr>
          <w:rFonts w:ascii="Arial" w:cs="Arial" w:eastAsia="Arial" w:hAnsi="Arial"/>
          <w:sz w:val="14"/>
          <w:szCs w:val="14"/>
          <w:color w:val="auto"/>
        </w:rPr>
        <w:t>28117909.1.BUSINESS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157720" cy="4254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35" w:name="page136"/>
    <w:bookmarkEnd w:id="135"/>
    <w:p>
      <w:pPr>
        <w:jc w:val="both"/>
        <w:ind w:left="760"/>
        <w:spacing w:after="0" w:line="282" w:lineRule="auto"/>
        <w:rPr>
          <w:sz w:val="20"/>
          <w:szCs w:val="20"/>
          <w:color w:val="auto"/>
        </w:rPr>
      </w:pPr>
      <w:r>
        <w:rPr>
          <w:rFonts w:ascii="Arial" w:cs="Arial" w:eastAsia="Arial" w:hAnsi="Arial"/>
          <w:sz w:val="19"/>
          <w:szCs w:val="19"/>
          <w:color w:val="auto"/>
        </w:rPr>
        <w:t>arising out of any untrue statement or omission or alleged untrue statement or omission made in the Registration Statement (or any amendment thereto), including any Rule 430B Information or the Prospectus (or any amendment or supplement thereto) in reliance upon and in conformity with the Sales Agent Information; and provided, further the Adviser’s indemnity shall only apply to statements described in (i) above regarding the Adviser and the Administrator’s indemnity shall apply only statements described in (i) above regarding the Administrator.</w:t>
      </w:r>
    </w:p>
    <w:p>
      <w:pPr>
        <w:spacing w:after="0" w:line="147" w:lineRule="exact"/>
        <w:rPr>
          <w:sz w:val="20"/>
          <w:szCs w:val="20"/>
          <w:color w:val="auto"/>
        </w:rPr>
      </w:pPr>
    </w:p>
    <w:p>
      <w:pPr>
        <w:ind w:left="1500"/>
        <w:spacing w:after="0"/>
        <w:tabs>
          <w:tab w:leader="none" w:pos="2980" w:val="left"/>
        </w:tabs>
        <w:rPr>
          <w:sz w:val="20"/>
          <w:szCs w:val="20"/>
          <w:color w:val="auto"/>
        </w:rPr>
      </w:pPr>
      <w:r>
        <w:rPr>
          <w:rFonts w:ascii="Arial" w:cs="Arial" w:eastAsia="Arial" w:hAnsi="Arial"/>
          <w:sz w:val="19"/>
          <w:szCs w:val="19"/>
          <w:color w:val="auto"/>
        </w:rPr>
        <w:t>(b)</w:t>
      </w:r>
      <w:r>
        <w:rPr>
          <w:sz w:val="20"/>
          <w:szCs w:val="20"/>
          <w:color w:val="auto"/>
        </w:rPr>
        <w:tab/>
      </w:r>
      <w:r>
        <w:rPr>
          <w:rFonts w:ascii="Arial" w:cs="Arial" w:eastAsia="Arial" w:hAnsi="Arial"/>
          <w:sz w:val="19"/>
          <w:szCs w:val="19"/>
          <w:i w:val="1"/>
          <w:iCs w:val="1"/>
          <w:color w:val="auto"/>
        </w:rPr>
        <w:t>Indemnification of Company, Directors, Officers, Adviser and Administrator</w:t>
      </w:r>
      <w:r>
        <w:rPr>
          <w:rFonts w:ascii="Arial" w:cs="Arial" w:eastAsia="Arial" w:hAnsi="Arial"/>
          <w:sz w:val="19"/>
          <w:szCs w:val="19"/>
          <w:color w:val="auto"/>
        </w:rPr>
        <w:t>. The Sales Agent</w:t>
      </w:r>
    </w:p>
    <w:p>
      <w:pPr>
        <w:spacing w:after="0" w:line="43"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agrees to indemnify and hold harmless the Company, the Adviser, the Administrator their directors, each of the Company’s officers who signed the Registration Statement and each person, if any, who controls the Company, the Adviser or the Administrator within the meaning of Section 15 of the 1933 Act or Section 20 of the 1934 Act against any and all loss, liability, claim, damage and expense described in the indemnity contained in subsection (a) of this Section, as incurred, but only with respect to untrue statements or omissions, or alleged untrue statements or omissions, made in the Registration Statement (or any amendment thereto), including any Rule 430B Information, any Issuer Free Writing Prospectus or the Prospectus (or any amendment or supplement thereto) in reliance upon and in conformity with the Sales Agent Information.</w:t>
      </w:r>
    </w:p>
    <w:p>
      <w:pPr>
        <w:spacing w:after="0" w:line="159" w:lineRule="exact"/>
        <w:rPr>
          <w:sz w:val="20"/>
          <w:szCs w:val="20"/>
          <w:color w:val="auto"/>
        </w:rPr>
      </w:pPr>
    </w:p>
    <w:p>
      <w:pPr>
        <w:jc w:val="both"/>
        <w:ind w:firstLine="1497"/>
        <w:spacing w:after="0" w:line="270" w:lineRule="auto"/>
        <w:rPr>
          <w:sz w:val="20"/>
          <w:szCs w:val="20"/>
          <w:color w:val="auto"/>
        </w:rPr>
      </w:pPr>
      <w:r>
        <w:rPr>
          <w:rFonts w:ascii="Arial" w:cs="Arial" w:eastAsia="Arial" w:hAnsi="Arial"/>
          <w:sz w:val="19"/>
          <w:szCs w:val="19"/>
          <w:color w:val="auto"/>
        </w:rPr>
        <w:t xml:space="preserve">(c) </w:t>
      </w:r>
      <w:r>
        <w:rPr>
          <w:rFonts w:ascii="Arial" w:cs="Arial" w:eastAsia="Arial" w:hAnsi="Arial"/>
          <w:sz w:val="19"/>
          <w:szCs w:val="19"/>
          <w:i w:val="1"/>
          <w:iCs w:val="1"/>
          <w:color w:val="auto"/>
        </w:rPr>
        <w:t>Actions against Parties; Notification</w:t>
      </w:r>
      <w:r>
        <w:rPr>
          <w:rFonts w:ascii="Arial" w:cs="Arial" w:eastAsia="Arial" w:hAnsi="Arial"/>
          <w:sz w:val="19"/>
          <w:szCs w:val="19"/>
          <w:color w:val="auto"/>
        </w:rPr>
        <w:t xml:space="preserve">. Each indemnified party shall give notice as promptly as reasonably practicable to each indemnifying party of any action commenced against it in respect of which indemnity may be sought hereunder, but failure to so notify an indemnifying party shall not relieve such indemnifying party from any liability hereunder to the extent it is not materially prejudiced (through the forfeiture of substantive rights and defenses) as a result thereof and in any event shall not relieve it from any liability which it may have otherwise than on account of this indemnity agreement. In the case of parties indemnified pursuant to </w:t>
      </w:r>
      <w:r>
        <w:rPr>
          <w:rFonts w:ascii="Arial" w:cs="Arial" w:eastAsia="Arial" w:hAnsi="Arial"/>
          <w:sz w:val="19"/>
          <w:szCs w:val="19"/>
          <w:u w:val="single" w:color="auto"/>
          <w:color w:val="auto"/>
        </w:rPr>
        <w:t>Section 6(a)</w:t>
      </w:r>
      <w:r>
        <w:rPr>
          <w:rFonts w:ascii="Arial" w:cs="Arial" w:eastAsia="Arial" w:hAnsi="Arial"/>
          <w:sz w:val="19"/>
          <w:szCs w:val="19"/>
          <w:color w:val="auto"/>
        </w:rPr>
        <w:t xml:space="preserve"> above, counsel to the indemnified parties shall be selected by the Sales Agent, and, in the case of parties indemnified pursuant to </w:t>
      </w:r>
      <w:r>
        <w:rPr>
          <w:rFonts w:ascii="Arial" w:cs="Arial" w:eastAsia="Arial" w:hAnsi="Arial"/>
          <w:sz w:val="19"/>
          <w:szCs w:val="19"/>
          <w:u w:val="single" w:color="auto"/>
          <w:color w:val="auto"/>
        </w:rPr>
        <w:t>Section 6(b)</w:t>
      </w:r>
      <w:r>
        <w:rPr>
          <w:rFonts w:ascii="Arial" w:cs="Arial" w:eastAsia="Arial" w:hAnsi="Arial"/>
          <w:sz w:val="19"/>
          <w:szCs w:val="19"/>
          <w:color w:val="auto"/>
        </w:rPr>
        <w:t xml:space="preserve"> above, counsel to the indemnified parties shall be selected by the Company. An indemnifying party may participate at its own expense in the defense of any such action; provided, however, that counsel to the indemnifying party shall not (except with the consent of the indemnified party) also be counsel to the indemnified party. In no event shall the indemnifying parties be liable for fees and expenses of more than one counsel (in addition to any local counsel) separate from their own counsel for all indemnified parties in connection with any one action or separate but similar or related actions in the same jurisdiction arising out of the same general allegations or circumstances. No indemnifying party shall, without the prior written consent of the indemnified parties, settle or compromise or consent to the entry of any judgment with respect to any litigation, or any investigation or proceeding by any governmental agency or body, commenced or threatened, or any claim whatsoever in respect of which indemnification or contribution could be sought under this </w:t>
      </w:r>
      <w:r>
        <w:rPr>
          <w:rFonts w:ascii="Arial" w:cs="Arial" w:eastAsia="Arial" w:hAnsi="Arial"/>
          <w:sz w:val="19"/>
          <w:szCs w:val="19"/>
          <w:u w:val="single" w:color="auto"/>
          <w:color w:val="auto"/>
        </w:rPr>
        <w:t>Section 6</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7</w:t>
      </w:r>
      <w:r>
        <w:rPr>
          <w:rFonts w:ascii="Arial" w:cs="Arial" w:eastAsia="Arial" w:hAnsi="Arial"/>
          <w:sz w:val="19"/>
          <w:szCs w:val="19"/>
          <w:color w:val="auto"/>
        </w:rPr>
        <w:t xml:space="preserve"> hereof (whether or not the indemnified parties are actual or potential parties thereto), unless such settlement, compromise or consent (i) includes an unconditional release of each indemnified party from all liability arising out of such litigation, investigation, proceeding or claim and (ii) does not include a statement as to or an admission of fault, culpability or a failure to act by or on behalf of any indemnified party.</w:t>
      </w:r>
    </w:p>
    <w:p>
      <w:pPr>
        <w:spacing w:after="0" w:line="200" w:lineRule="exact"/>
        <w:rPr>
          <w:sz w:val="20"/>
          <w:szCs w:val="20"/>
          <w:color w:val="auto"/>
        </w:rPr>
      </w:pPr>
    </w:p>
    <w:p>
      <w:pPr>
        <w:spacing w:after="0" w:line="209" w:lineRule="exact"/>
        <w:rPr>
          <w:sz w:val="20"/>
          <w:szCs w:val="20"/>
          <w:color w:val="auto"/>
        </w:rPr>
      </w:pPr>
    </w:p>
    <w:p>
      <w:pPr>
        <w:ind w:left="1500"/>
        <w:spacing w:after="0"/>
        <w:tabs>
          <w:tab w:leader="none" w:pos="2980" w:val="left"/>
        </w:tabs>
        <w:rPr>
          <w:sz w:val="20"/>
          <w:szCs w:val="20"/>
          <w:color w:val="auto"/>
        </w:rPr>
      </w:pPr>
      <w:r>
        <w:rPr>
          <w:rFonts w:ascii="Arial" w:cs="Arial" w:eastAsia="Arial" w:hAnsi="Arial"/>
          <w:sz w:val="19"/>
          <w:szCs w:val="19"/>
          <w:color w:val="auto"/>
        </w:rPr>
        <w:t>(d)</w:t>
      </w:r>
      <w:r>
        <w:rPr>
          <w:sz w:val="20"/>
          <w:szCs w:val="20"/>
          <w:color w:val="auto"/>
        </w:rPr>
        <w:tab/>
      </w:r>
      <w:r>
        <w:rPr>
          <w:rFonts w:ascii="Arial" w:cs="Arial" w:eastAsia="Arial" w:hAnsi="Arial"/>
          <w:sz w:val="19"/>
          <w:szCs w:val="19"/>
          <w:i w:val="1"/>
          <w:iCs w:val="1"/>
          <w:color w:val="auto"/>
        </w:rPr>
        <w:t>Settlement without Consent if Failure to Reimburse</w:t>
      </w:r>
      <w:r>
        <w:rPr>
          <w:rFonts w:ascii="Arial" w:cs="Arial" w:eastAsia="Arial" w:hAnsi="Arial"/>
          <w:sz w:val="19"/>
          <w:szCs w:val="19"/>
          <w:color w:val="auto"/>
        </w:rPr>
        <w:t>. If at any time an indemnified party shall</w:t>
      </w:r>
    </w:p>
    <w:p>
      <w:pPr>
        <w:spacing w:after="0" w:line="43" w:lineRule="exact"/>
        <w:rPr>
          <w:sz w:val="20"/>
          <w:szCs w:val="20"/>
          <w:color w:val="auto"/>
        </w:rPr>
      </w:pPr>
    </w:p>
    <w:p>
      <w:pPr>
        <w:ind w:left="5520" w:right="4920" w:hanging="5507"/>
        <w:spacing w:after="0" w:line="532" w:lineRule="auto"/>
        <w:rPr>
          <w:sz w:val="20"/>
          <w:szCs w:val="20"/>
          <w:color w:val="auto"/>
        </w:rPr>
      </w:pPr>
      <w:r>
        <w:rPr>
          <w:rFonts w:ascii="Arial" w:cs="Arial" w:eastAsia="Arial" w:hAnsi="Arial"/>
          <w:sz w:val="19"/>
          <w:szCs w:val="19"/>
          <w:color w:val="auto"/>
        </w:rPr>
        <w:t>have requested an indemnifying party to reimburse the indemnified party 30</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28117909.1.BUSINESS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157720" cy="4254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36" w:name="page137"/>
    <w:bookmarkEnd w:id="136"/>
    <w:p>
      <w:pPr>
        <w:jc w:val="both"/>
        <w:spacing w:after="0" w:line="282" w:lineRule="auto"/>
        <w:rPr>
          <w:sz w:val="20"/>
          <w:szCs w:val="20"/>
          <w:color w:val="auto"/>
        </w:rPr>
      </w:pPr>
      <w:r>
        <w:rPr>
          <w:rFonts w:ascii="Arial" w:cs="Arial" w:eastAsia="Arial" w:hAnsi="Arial"/>
          <w:sz w:val="19"/>
          <w:szCs w:val="19"/>
          <w:color w:val="auto"/>
        </w:rPr>
        <w:t xml:space="preserve">for fees and expenses of counsel, such indemnifying party agrees that it shall be liable for any settlement of the nature contemplated by </w:t>
      </w:r>
      <w:r>
        <w:rPr>
          <w:rFonts w:ascii="Arial" w:cs="Arial" w:eastAsia="Arial" w:hAnsi="Arial"/>
          <w:sz w:val="19"/>
          <w:szCs w:val="19"/>
          <w:u w:val="single" w:color="auto"/>
          <w:color w:val="auto"/>
        </w:rPr>
        <w:t>Section 6(a)(ii)</w:t>
      </w:r>
      <w:r>
        <w:rPr>
          <w:rFonts w:ascii="Arial" w:cs="Arial" w:eastAsia="Arial" w:hAnsi="Arial"/>
          <w:sz w:val="19"/>
          <w:szCs w:val="19"/>
          <w:color w:val="auto"/>
        </w:rPr>
        <w:t xml:space="preserve"> effected without its written consent if (i) such settlement is entered into more than 45 days after receipt by such indemnifying party of the aforesaid request, (ii) such indemnifying party shall have received notice of the terms of such settlement at least 30 days prior to such settlement being entered into and (iii) such indemnifying party shall not have reimbursed such indemnified party in accordance with such request prior to the date of such settlement.</w:t>
      </w:r>
    </w:p>
    <w:p>
      <w:pPr>
        <w:spacing w:after="0" w:line="147"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21"/>
          <w:szCs w:val="21"/>
          <w:color w:val="auto"/>
        </w:rPr>
        <w:t>SECTION 7.</w:t>
      </w:r>
      <w:r>
        <w:rPr>
          <w:rFonts w:ascii="Arial" w:cs="Arial" w:eastAsia="Arial" w:hAnsi="Arial"/>
          <w:sz w:val="21"/>
          <w:szCs w:val="21"/>
          <w:u w:val="single" w:color="auto"/>
          <w:color w:val="auto"/>
        </w:rPr>
        <w:t>Contribution</w:t>
      </w:r>
      <w:r>
        <w:rPr>
          <w:rFonts w:ascii="Arial" w:cs="Arial" w:eastAsia="Arial" w:hAnsi="Arial"/>
          <w:sz w:val="21"/>
          <w:szCs w:val="21"/>
          <w:color w:val="auto"/>
        </w:rPr>
        <w:t xml:space="preserve">. If the indemnification provided for in </w:t>
      </w:r>
      <w:r>
        <w:rPr>
          <w:rFonts w:ascii="Arial" w:cs="Arial" w:eastAsia="Arial" w:hAnsi="Arial"/>
          <w:sz w:val="21"/>
          <w:szCs w:val="21"/>
          <w:u w:val="single" w:color="auto"/>
          <w:color w:val="auto"/>
        </w:rPr>
        <w:t>Section 6</w:t>
      </w:r>
      <w:r>
        <w:rPr>
          <w:rFonts w:ascii="Arial" w:cs="Arial" w:eastAsia="Arial" w:hAnsi="Arial"/>
          <w:sz w:val="21"/>
          <w:szCs w:val="21"/>
          <w:color w:val="auto"/>
        </w:rPr>
        <w:t xml:space="preserve"> hereof is for any reason unavailable to or insufficient to hold harmless an indemnified party in respect of any losses, liabilities, claims, damages or expenses referred to therein, then each indemnifying party shall contribute to the aggregate amount of such losses, liabilities, claims, damages and expenses incurred by such indemnified party, as incurred, (i) in such proportion as is appropriate to reflect the relative benefits received by the Company, the Adviser and the Administrator, on the one hand, and the Sales Agent, on the other hand, from the offering of the Securities pursuant to this Agreement or (ii) if the allocation provided by clause (i) is not permitted by applicable law, in such proportion as is appropriate to reflect not only the relative benefits referred to in clause (i) above but also the relative fault of the Company, the Adviser and the Administrator, on the one hand, and of the Sales Agent, on the other hand, in connection with the statements or omissions which resulted in such losses, liabilities, claims, damages or expenses, as well as any other relevant equitable considerations. For the avoidance of doubt, the Adviser’s and the Administrator’s contribution agreement shall only apply to instances in which the Adviser or the Administrator has an indemnity obligation as described above in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6(a)</w:t>
      </w:r>
      <w:r>
        <w:rPr>
          <w:rFonts w:ascii="Arial" w:cs="Arial" w:eastAsia="Arial" w:hAnsi="Arial"/>
          <w:sz w:val="21"/>
          <w:szCs w:val="21"/>
          <w:color w:val="auto"/>
        </w:rPr>
        <w:t>.</w:t>
      </w:r>
    </w:p>
    <w:p>
      <w:pPr>
        <w:spacing w:after="0" w:line="186"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The relative benefits received by the Company, the Adviser and the Administrator, on the one hand, and the Sales Agent, on the other hand, in connection with the offering of the Securities pursuant to this Agreement shall be deemed to be in the same respective proportions as the total net proceeds from the offering of the Securities pursuant to this Agreement (before deducting expenses) received by the Company, on the one hand, and the total commissions received by the Sales Agent, on the other hand, in each case as set forth on the cover of the Prospectus, bear to the aggregate Net Proceeds.</w:t>
      </w:r>
    </w:p>
    <w:p>
      <w:pPr>
        <w:spacing w:after="0" w:line="147"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The relative fault of the Company, the Adviser and the Administrator, on the one hand, and the Sales Agent, on the other hand, shall be determined by reference to, among other things, whether any such untrue or alleged untrue statement of a material fact or omission or alleged omission to state a material fact relates to information supplied by the Company, the Adviser and the Administrator or by the Sales Agent and the parties’ relative intent, knowledge, access to information and opportunity to correct or prevent such statement or omission.</w:t>
      </w:r>
    </w:p>
    <w:p>
      <w:pPr>
        <w:spacing w:after="0" w:line="187"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 xml:space="preserve">The Company, the Adviser, the Administrator and the Sales Agent agree that it would not be just and equitable if contribution pursuant to this </w:t>
      </w:r>
      <w:r>
        <w:rPr>
          <w:rFonts w:ascii="Arial" w:cs="Arial" w:eastAsia="Arial" w:hAnsi="Arial"/>
          <w:sz w:val="22"/>
          <w:szCs w:val="22"/>
          <w:u w:val="single" w:color="auto"/>
          <w:color w:val="auto"/>
        </w:rPr>
        <w:t>Section 7</w:t>
      </w:r>
      <w:r>
        <w:rPr>
          <w:rFonts w:ascii="Arial" w:cs="Arial" w:eastAsia="Arial" w:hAnsi="Arial"/>
          <w:sz w:val="22"/>
          <w:szCs w:val="22"/>
          <w:color w:val="auto"/>
        </w:rPr>
        <w:t xml:space="preserve"> were determined by pro rata allocation or by any other method of allocation which does not take account of the equitable considerations referred to above in this </w:t>
      </w:r>
      <w:r>
        <w:rPr>
          <w:rFonts w:ascii="Arial" w:cs="Arial" w:eastAsia="Arial" w:hAnsi="Arial"/>
          <w:sz w:val="22"/>
          <w:szCs w:val="22"/>
          <w:u w:val="single" w:color="auto"/>
          <w:color w:val="auto"/>
        </w:rPr>
        <w:t>Section 7</w:t>
      </w:r>
      <w:r>
        <w:rPr>
          <w:rFonts w:ascii="Arial" w:cs="Arial" w:eastAsia="Arial" w:hAnsi="Arial"/>
          <w:sz w:val="22"/>
          <w:szCs w:val="22"/>
          <w:color w:val="auto"/>
        </w:rPr>
        <w:t xml:space="preserve">. The aggregate amount of losses, liabilities, claims, damages and expenses incurred by an indemnified party and referred to above in this </w:t>
      </w:r>
      <w:r>
        <w:rPr>
          <w:rFonts w:ascii="Arial" w:cs="Arial" w:eastAsia="Arial" w:hAnsi="Arial"/>
          <w:sz w:val="22"/>
          <w:szCs w:val="22"/>
          <w:u w:val="single" w:color="auto"/>
          <w:color w:val="auto"/>
        </w:rPr>
        <w:t>Section 7</w:t>
      </w:r>
      <w:r>
        <w:rPr>
          <w:rFonts w:ascii="Arial" w:cs="Arial" w:eastAsia="Arial" w:hAnsi="Arial"/>
          <w:sz w:val="22"/>
          <w:szCs w:val="22"/>
          <w:color w:val="auto"/>
        </w:rPr>
        <w:t xml:space="preserve"> shall be deemed to include any legal or other expenses reasonably incurred by such indemnified party in investigating, preparing or defending against any litigation, or any investigation or proceeding by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line="276" w:lineRule="exact"/>
        <w:rPr>
          <w:sz w:val="20"/>
          <w:szCs w:val="20"/>
          <w:color w:val="auto"/>
        </w:rPr>
      </w:pPr>
    </w:p>
    <w:p>
      <w:pPr>
        <w:spacing w:after="0"/>
        <w:rPr>
          <w:sz w:val="20"/>
          <w:szCs w:val="20"/>
          <w:color w:val="auto"/>
        </w:rPr>
      </w:pPr>
      <w:r>
        <w:rPr>
          <w:rFonts w:ascii="Arial" w:cs="Arial" w:eastAsia="Arial" w:hAnsi="Arial"/>
          <w:sz w:val="14"/>
          <w:szCs w:val="14"/>
          <w:color w:val="auto"/>
        </w:rPr>
        <w:t>28117909.1.BUSINESS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157720" cy="4254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37" w:name="page138"/>
    <w:bookmarkEnd w:id="137"/>
    <w:p>
      <w:pPr>
        <w:jc w:val="both"/>
        <w:spacing w:after="0" w:line="250" w:lineRule="auto"/>
        <w:rPr>
          <w:sz w:val="20"/>
          <w:szCs w:val="20"/>
          <w:color w:val="auto"/>
        </w:rPr>
      </w:pPr>
      <w:r>
        <w:rPr>
          <w:rFonts w:ascii="Arial" w:cs="Arial" w:eastAsia="Arial" w:hAnsi="Arial"/>
          <w:sz w:val="22"/>
          <w:szCs w:val="22"/>
          <w:color w:val="auto"/>
        </w:rPr>
        <w:t>any governmental agency or body, commenced or threatened, or any claim whatsoever based upon any such untrue or alleged untrue statement or omission or alleged omission.</w:t>
      </w:r>
    </w:p>
    <w:p>
      <w:pPr>
        <w:spacing w:after="0" w:line="17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 xml:space="preserve">Notwithstanding the provisions of this </w:t>
      </w:r>
      <w:r>
        <w:rPr>
          <w:rFonts w:ascii="Arial" w:cs="Arial" w:eastAsia="Arial" w:hAnsi="Arial"/>
          <w:sz w:val="22"/>
          <w:szCs w:val="22"/>
          <w:u w:val="single" w:color="auto"/>
          <w:color w:val="auto"/>
        </w:rPr>
        <w:t>Section 7</w:t>
      </w:r>
      <w:r>
        <w:rPr>
          <w:rFonts w:ascii="Arial" w:cs="Arial" w:eastAsia="Arial" w:hAnsi="Arial"/>
          <w:sz w:val="22"/>
          <w:szCs w:val="22"/>
          <w:color w:val="auto"/>
        </w:rPr>
        <w:t>, the Sales Agent shall not be required to contribute any amount in excess of the commissions received by the Sales Agent in connection with the Securities sold by it.</w:t>
      </w:r>
    </w:p>
    <w:p>
      <w:pPr>
        <w:spacing w:after="0" w:line="17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No person guilty of fraudulent misrepresentation (within the meaning of Section 11(f) of the 1933 Act) shall be entitled to contribution from any person who was not guilty of such fraudulent misrepresentation.</w:t>
      </w:r>
    </w:p>
    <w:p>
      <w:pPr>
        <w:spacing w:after="0" w:line="175" w:lineRule="exact"/>
        <w:rPr>
          <w:sz w:val="20"/>
          <w:szCs w:val="20"/>
          <w:color w:val="auto"/>
        </w:rPr>
      </w:pPr>
    </w:p>
    <w:p>
      <w:pPr>
        <w:jc w:val="both"/>
        <w:spacing w:after="0"/>
        <w:rPr>
          <w:sz w:val="20"/>
          <w:szCs w:val="20"/>
          <w:color w:val="auto"/>
        </w:rPr>
      </w:pPr>
      <w:r>
        <w:rPr>
          <w:rFonts w:ascii="Arial" w:cs="Arial" w:eastAsia="Arial" w:hAnsi="Arial"/>
          <w:sz w:val="22"/>
          <w:szCs w:val="22"/>
          <w:color w:val="auto"/>
        </w:rPr>
        <w:t>Notwithstanding anything in this Agreement to the contrary, any indemnification and contribution by the Company shall be subject to the requirements and limitations of Section 17(i) of the 1940 Act and any applicable guidance from the Commission or its staff thereunder.</w:t>
      </w:r>
    </w:p>
    <w:p>
      <w:pPr>
        <w:spacing w:after="0" w:line="186"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 xml:space="preserve">For purposes of this </w:t>
      </w:r>
      <w:r>
        <w:rPr>
          <w:rFonts w:ascii="Arial" w:cs="Arial" w:eastAsia="Arial" w:hAnsi="Arial"/>
          <w:sz w:val="22"/>
          <w:szCs w:val="22"/>
          <w:u w:val="single" w:color="auto"/>
          <w:color w:val="auto"/>
        </w:rPr>
        <w:t>Section 7</w:t>
      </w:r>
      <w:r>
        <w:rPr>
          <w:rFonts w:ascii="Arial" w:cs="Arial" w:eastAsia="Arial" w:hAnsi="Arial"/>
          <w:sz w:val="22"/>
          <w:szCs w:val="22"/>
          <w:color w:val="auto"/>
        </w:rPr>
        <w:t>, each person, if any, who controls the Sales Agent within the meaning of Section 15 of the 1933 Act or Section 20 of the 1934 Act and the Sales Agent’s Affiliates and selling agents shall have the same rights to contribution as the Sales Agent, and each director of the Company, each officer of the Company who signed the Registration Statement, and each person, if any, who controls the Company, the Adviser or the Administrator within the meaning of Section 15 of the 1933 Act or Section 20 of the 1934 Act shall have the same rights to contribution as the Company, the Adviser or the Administrator, as the case may be.</w:t>
      </w:r>
    </w:p>
    <w:p>
      <w:pPr>
        <w:spacing w:after="0" w:line="188"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1"/>
          <w:szCs w:val="21"/>
          <w:color w:val="auto"/>
        </w:rPr>
        <w:t>SECTION 8.</w:t>
      </w:r>
      <w:r>
        <w:rPr>
          <w:rFonts w:ascii="Arial" w:cs="Arial" w:eastAsia="Arial" w:hAnsi="Arial"/>
          <w:sz w:val="21"/>
          <w:szCs w:val="21"/>
          <w:u w:val="single" w:color="auto"/>
          <w:color w:val="auto"/>
        </w:rPr>
        <w:t>Representations, Warranties and Agreements to Survive</w:t>
      </w:r>
      <w:r>
        <w:rPr>
          <w:rFonts w:ascii="Arial" w:cs="Arial" w:eastAsia="Arial" w:hAnsi="Arial"/>
          <w:sz w:val="21"/>
          <w:szCs w:val="21"/>
          <w:color w:val="auto"/>
        </w:rPr>
        <w:t>. All representations, warranties and agreements contained in this Agreement or in certificates of officers of the Company, any of the Subsidiaries, the Adviser or the Administrator submitted pursuant hereto, shall remain operative and in full force and effect regardless of (i) any investigation made by or on behalf of the Sales Agent or its Affiliates or selling agents, any person controlling the Sales Agent, its officers or directors or any person controlling the Company and (ii) delivery of and payment for the Securities.</w:t>
      </w:r>
    </w:p>
    <w:p>
      <w:pPr>
        <w:spacing w:after="0" w:line="178" w:lineRule="exact"/>
        <w:rPr>
          <w:sz w:val="20"/>
          <w:szCs w:val="20"/>
          <w:color w:val="auto"/>
        </w:rPr>
      </w:pPr>
    </w:p>
    <w:p>
      <w:pPr>
        <w:ind w:left="760"/>
        <w:spacing w:after="0"/>
        <w:rPr>
          <w:sz w:val="20"/>
          <w:szCs w:val="20"/>
          <w:color w:val="auto"/>
        </w:rPr>
      </w:pPr>
      <w:r>
        <w:rPr>
          <w:rFonts w:ascii="Arial" w:cs="Arial" w:eastAsia="Arial" w:hAnsi="Arial"/>
          <w:sz w:val="22"/>
          <w:szCs w:val="22"/>
          <w:color w:val="auto"/>
        </w:rPr>
        <w:t>SECTION 9.</w:t>
      </w:r>
      <w:r>
        <w:rPr>
          <w:rFonts w:ascii="Arial" w:cs="Arial" w:eastAsia="Arial" w:hAnsi="Arial"/>
          <w:sz w:val="22"/>
          <w:szCs w:val="22"/>
          <w:u w:val="single" w:color="auto"/>
          <w:color w:val="auto"/>
        </w:rPr>
        <w:t>Termination of Agreement</w:t>
      </w:r>
      <w:r>
        <w:rPr>
          <w:rFonts w:ascii="Arial" w:cs="Arial" w:eastAsia="Arial" w:hAnsi="Arial"/>
          <w:sz w:val="22"/>
          <w:szCs w:val="22"/>
          <w:color w:val="auto"/>
        </w:rPr>
        <w:t>.</w:t>
      </w:r>
    </w:p>
    <w:p>
      <w:pPr>
        <w:spacing w:after="0" w:line="206"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2"/>
          <w:szCs w:val="22"/>
          <w:color w:val="auto"/>
        </w:rPr>
        <w:t xml:space="preserve">(a) </w:t>
      </w:r>
      <w:r>
        <w:rPr>
          <w:rFonts w:ascii="Arial" w:cs="Arial" w:eastAsia="Arial" w:hAnsi="Arial"/>
          <w:sz w:val="22"/>
          <w:szCs w:val="22"/>
          <w:i w:val="1"/>
          <w:iCs w:val="1"/>
          <w:color w:val="auto"/>
        </w:rPr>
        <w:t>Termination by the Company, the Adviser and the Administrator</w:t>
      </w:r>
      <w:r>
        <w:rPr>
          <w:rFonts w:ascii="Arial" w:cs="Arial" w:eastAsia="Arial" w:hAnsi="Arial"/>
          <w:sz w:val="22"/>
          <w:szCs w:val="22"/>
          <w:color w:val="auto"/>
        </w:rPr>
        <w:t>. The Company, the Adviser and the Administrator may terminate this Agreement, by giving one day advance notice to the Sales Agent, at any time.</w:t>
      </w:r>
    </w:p>
    <w:p>
      <w:pPr>
        <w:spacing w:after="0" w:line="175" w:lineRule="exact"/>
        <w:rPr>
          <w:sz w:val="20"/>
          <w:szCs w:val="20"/>
          <w:color w:val="auto"/>
        </w:rPr>
      </w:pPr>
    </w:p>
    <w:p>
      <w:pPr>
        <w:ind w:left="1500"/>
        <w:spacing w:after="0"/>
        <w:tabs>
          <w:tab w:leader="none" w:pos="2980" w:val="left"/>
          <w:tab w:leader="none" w:pos="598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22"/>
          <w:szCs w:val="22"/>
          <w:i w:val="1"/>
          <w:iCs w:val="1"/>
          <w:color w:val="auto"/>
        </w:rPr>
        <w:t>Termination by the Sales Agent</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The Sales Agent may terminate this Agreement, by giving</w:t>
      </w:r>
    </w:p>
    <w:p>
      <w:pPr>
        <w:spacing w:after="0" w:line="8"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one day advance notice to the Company, at any time (i) if there has been, in the judgment of the Sales Agent, since the time of execution of this Agreement or since the respective dates as of which information is given in the Registration Statement or the Prospectus, any material adverse change in the business, properties, management, financial condition, prospects or results of operations of the Company and the Subsidiaries taken as one enterprise or the Adviser or the Administrator, whether or not arising in the ordinary course of business, which would make it impracticable or inadvisable to proceed with the public offering or the delivery of the Securities on the terms and in the manner contemplated in the Registration Statement and the Prospectus, (ii) if there has occurred any material adverse change in the financial markets in the</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pacing w:after="0" w:line="276" w:lineRule="exact"/>
        <w:rPr>
          <w:sz w:val="20"/>
          <w:szCs w:val="20"/>
          <w:color w:val="auto"/>
        </w:rPr>
      </w:pPr>
    </w:p>
    <w:p>
      <w:pPr>
        <w:spacing w:after="0"/>
        <w:rPr>
          <w:sz w:val="20"/>
          <w:szCs w:val="20"/>
          <w:color w:val="auto"/>
        </w:rPr>
      </w:pPr>
      <w:r>
        <w:rPr>
          <w:rFonts w:ascii="Arial" w:cs="Arial" w:eastAsia="Arial" w:hAnsi="Arial"/>
          <w:sz w:val="14"/>
          <w:szCs w:val="14"/>
          <w:color w:val="auto"/>
        </w:rPr>
        <w:t>28117909.1.BUSINESS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157720" cy="4254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38" w:name="page139"/>
    <w:bookmarkEnd w:id="138"/>
    <w:p>
      <w:pPr>
        <w:jc w:val="both"/>
        <w:spacing w:after="0" w:line="273" w:lineRule="auto"/>
        <w:rPr>
          <w:sz w:val="20"/>
          <w:szCs w:val="20"/>
          <w:color w:val="auto"/>
        </w:rPr>
      </w:pPr>
      <w:r>
        <w:rPr>
          <w:rFonts w:ascii="Arial" w:cs="Arial" w:eastAsia="Arial" w:hAnsi="Arial"/>
          <w:sz w:val="19"/>
          <w:szCs w:val="19"/>
          <w:color w:val="auto"/>
        </w:rPr>
        <w:t>United States or the international financial markets, any outbreak of hostilities or escalation thereof or other calamity or crisis or any change or development involving a prospective change in national or international political, financial or economic conditions, in each case the effect of which is such as to make it, in the judgment of the Sales Agent, impracticable or inadvisable to proceed with the completion of the offering or to enforce contracts for the sale of the Securities, (iii) if trading in any securities of the Company has been suspended or materially limited by the Commission or The Nasdaq Stock Market, (iv) if trading generally on the NYSE Amex or The New York Stock Exchange or The Nasdaq Stock Market has been suspended or materially limited, or minimum or maximum prices for trading have been fixed, or maximum ranges for prices have been required, by any of said exchanges or by order of the Commission, FINRA or any other governmental authority, (v) a material disruption has occurred in commercial banking or securities settlement or clearance services in the United States or with respect to Clearstream or Euroclear systems in Europe, or (vi) if a banking moratorium has been declared by either Federal or New York authorities.</w:t>
      </w:r>
    </w:p>
    <w:p>
      <w:pPr>
        <w:spacing w:after="0" w:line="161" w:lineRule="exact"/>
        <w:rPr>
          <w:sz w:val="20"/>
          <w:szCs w:val="20"/>
          <w:color w:val="auto"/>
        </w:rPr>
      </w:pPr>
    </w:p>
    <w:p>
      <w:pPr>
        <w:jc w:val="both"/>
        <w:ind w:firstLine="1497"/>
        <w:spacing w:after="0"/>
        <w:rPr>
          <w:sz w:val="20"/>
          <w:szCs w:val="20"/>
          <w:color w:val="auto"/>
        </w:rPr>
      </w:pPr>
      <w:r>
        <w:rPr>
          <w:rFonts w:ascii="Arial" w:cs="Arial" w:eastAsia="Arial" w:hAnsi="Arial"/>
          <w:sz w:val="22"/>
          <w:szCs w:val="22"/>
          <w:color w:val="auto"/>
        </w:rPr>
        <w:t xml:space="preserve">(c) </w:t>
      </w:r>
      <w:r>
        <w:rPr>
          <w:rFonts w:ascii="Arial" w:cs="Arial" w:eastAsia="Arial" w:hAnsi="Arial"/>
          <w:sz w:val="22"/>
          <w:szCs w:val="22"/>
          <w:i w:val="1"/>
          <w:iCs w:val="1"/>
          <w:color w:val="auto"/>
        </w:rPr>
        <w:t>Liabilities</w:t>
      </w:r>
      <w:r>
        <w:rPr>
          <w:rFonts w:ascii="Arial" w:cs="Arial" w:eastAsia="Arial" w:hAnsi="Arial"/>
          <w:sz w:val="22"/>
          <w:szCs w:val="22"/>
          <w:color w:val="auto"/>
        </w:rPr>
        <w:t xml:space="preserve">. If this Agreement is terminated pursuant to this Section, such termination shall be without liability of any party to any other party except as provided in </w:t>
      </w:r>
      <w:r>
        <w:rPr>
          <w:rFonts w:ascii="Arial" w:cs="Arial" w:eastAsia="Arial" w:hAnsi="Arial"/>
          <w:sz w:val="22"/>
          <w:szCs w:val="22"/>
          <w:u w:val="single" w:color="auto"/>
          <w:color w:val="auto"/>
        </w:rPr>
        <w:t>Section 4</w:t>
      </w:r>
      <w:r>
        <w:rPr>
          <w:rFonts w:ascii="Arial" w:cs="Arial" w:eastAsia="Arial" w:hAnsi="Arial"/>
          <w:sz w:val="22"/>
          <w:szCs w:val="22"/>
          <w:color w:val="auto"/>
        </w:rPr>
        <w:t xml:space="preserve"> hereof, provided that </w:t>
      </w:r>
      <w:r>
        <w:rPr>
          <w:rFonts w:ascii="Arial" w:cs="Arial" w:eastAsia="Arial" w:hAnsi="Arial"/>
          <w:sz w:val="22"/>
          <w:szCs w:val="22"/>
          <w:u w:val="single" w:color="auto"/>
          <w:color w:val="auto"/>
        </w:rPr>
        <w:t>Sections 1</w:t>
      </w:r>
      <w:r>
        <w:rPr>
          <w:rFonts w:ascii="Arial" w:cs="Arial" w:eastAsia="Arial" w:hAnsi="Arial"/>
          <w:sz w:val="22"/>
          <w:szCs w:val="22"/>
          <w:color w:val="auto"/>
        </w:rPr>
        <w:t xml:space="preserve">, </w:t>
      </w:r>
      <w:r>
        <w:rPr>
          <w:rFonts w:ascii="Arial" w:cs="Arial" w:eastAsia="Arial" w:hAnsi="Arial"/>
          <w:sz w:val="22"/>
          <w:szCs w:val="22"/>
          <w:u w:val="single" w:color="auto"/>
          <w:color w:val="auto"/>
        </w:rPr>
        <w:t>6, 7</w:t>
      </w:r>
      <w:r>
        <w:rPr>
          <w:rFonts w:ascii="Arial" w:cs="Arial" w:eastAsia="Arial" w:hAnsi="Arial"/>
          <w:sz w:val="22"/>
          <w:szCs w:val="22"/>
          <w:color w:val="auto"/>
        </w:rPr>
        <w:t xml:space="preserve">, </w:t>
      </w:r>
      <w:r>
        <w:rPr>
          <w:rFonts w:ascii="Arial" w:cs="Arial" w:eastAsia="Arial" w:hAnsi="Arial"/>
          <w:sz w:val="22"/>
          <w:szCs w:val="22"/>
          <w:u w:val="single" w:color="auto"/>
          <w:color w:val="auto"/>
        </w:rPr>
        <w:t>8</w:t>
      </w:r>
      <w:r>
        <w:rPr>
          <w:rFonts w:ascii="Arial" w:cs="Arial" w:eastAsia="Arial" w:hAnsi="Arial"/>
          <w:sz w:val="22"/>
          <w:szCs w:val="22"/>
          <w:color w:val="auto"/>
        </w:rPr>
        <w:t xml:space="preserve">, 14, 15 and </w:t>
      </w:r>
      <w:r>
        <w:rPr>
          <w:rFonts w:ascii="Arial" w:cs="Arial" w:eastAsia="Arial" w:hAnsi="Arial"/>
          <w:sz w:val="22"/>
          <w:szCs w:val="22"/>
          <w:u w:val="single" w:color="auto"/>
          <w:color w:val="auto"/>
        </w:rPr>
        <w:t>16</w:t>
      </w:r>
      <w:r>
        <w:rPr>
          <w:rFonts w:ascii="Arial" w:cs="Arial" w:eastAsia="Arial" w:hAnsi="Arial"/>
          <w:sz w:val="22"/>
          <w:szCs w:val="22"/>
          <w:color w:val="auto"/>
        </w:rPr>
        <w:t xml:space="preserve"> shall survive such termination and remain in full force and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6739255</wp:posOffset>
            </wp:positionH>
            <wp:positionV relativeFrom="paragraph">
              <wp:posOffset>-184785</wp:posOffset>
            </wp:positionV>
            <wp:extent cx="394335" cy="825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8">
                      <a:extLst>
                        <a:ext uri="{28A0092B-C50C-407E-A947-70E740481C1C}"/>
                      </a:extLst>
                    </a:blip>
                    <a:srcRect/>
                    <a:stretch>
                      <a:fillRect/>
                    </a:stretch>
                  </pic:blipFill>
                  <pic:spPr bwMode="auto">
                    <a:xfrm>
                      <a:off x="0" y="0"/>
                      <a:ext cx="394335" cy="8255"/>
                    </a:xfrm>
                    <a:prstGeom prst="rect">
                      <a:avLst/>
                    </a:prstGeom>
                    <a:noFill/>
                  </pic:spPr>
                </pic:pic>
              </a:graphicData>
            </a:graphic>
          </wp:anchor>
        </w:drawing>
      </w:r>
    </w:p>
    <w:p>
      <w:pPr>
        <w:spacing w:after="0" w:line="166" w:lineRule="exact"/>
        <w:rPr>
          <w:sz w:val="20"/>
          <w:szCs w:val="20"/>
          <w:color w:val="auto"/>
        </w:rPr>
      </w:pPr>
    </w:p>
    <w:p>
      <w:pPr>
        <w:jc w:val="both"/>
        <w:ind w:firstLine="749"/>
        <w:spacing w:after="0" w:line="234" w:lineRule="auto"/>
        <w:rPr>
          <w:sz w:val="20"/>
          <w:szCs w:val="20"/>
          <w:color w:val="auto"/>
        </w:rPr>
      </w:pPr>
      <w:r>
        <w:rPr>
          <w:rFonts w:ascii="Arial" w:cs="Arial" w:eastAsia="Arial" w:hAnsi="Arial"/>
          <w:sz w:val="22"/>
          <w:szCs w:val="22"/>
          <w:color w:val="auto"/>
        </w:rPr>
        <w:t>SECTION 10.</w:t>
      </w:r>
      <w:r>
        <w:rPr>
          <w:rFonts w:ascii="Arial" w:cs="Arial" w:eastAsia="Arial" w:hAnsi="Arial"/>
          <w:sz w:val="22"/>
          <w:szCs w:val="22"/>
          <w:u w:val="single" w:color="auto"/>
          <w:color w:val="auto"/>
        </w:rPr>
        <w:t>No Joint Venture</w:t>
      </w:r>
      <w:r>
        <w:rPr>
          <w:rFonts w:ascii="Arial" w:cs="Arial" w:eastAsia="Arial" w:hAnsi="Arial"/>
          <w:sz w:val="22"/>
          <w:szCs w:val="22"/>
          <w:color w:val="auto"/>
        </w:rPr>
        <w:t>. The Company, the Adviser, the Administrator and the Sales Agent expressly acknowledge, understand and agree that the Sales Agent and the Other Agent are not, and shall not be deemed for any purpose, to be acting as an joint venture or partner of one another and that neither the Sales Agent nor the Other Agent assume responsibility or liability, express or implied, for any actions or omissions of, or the performance of services by the Sales Agent or the Other Agent, respectively, in connection with the offering of the shares of Common Stock pursuant to this Agreement or the Sales Agreement, or otherwise. The obligations of the Sales Agent hereunder and of the Other Agent under the Sales Agreement shall be several and not joint.</w:t>
      </w:r>
    </w:p>
    <w:p>
      <w:pPr>
        <w:spacing w:after="0" w:line="191"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9"/>
          <w:szCs w:val="19"/>
          <w:color w:val="auto"/>
        </w:rPr>
        <w:t>SECTION 11.</w:t>
      </w:r>
      <w:r>
        <w:rPr>
          <w:rFonts w:ascii="Arial" w:cs="Arial" w:eastAsia="Arial" w:hAnsi="Arial"/>
          <w:sz w:val="19"/>
          <w:szCs w:val="19"/>
          <w:u w:val="single" w:color="auto"/>
          <w:color w:val="auto"/>
        </w:rPr>
        <w:t>Notices</w:t>
      </w:r>
      <w:r>
        <w:rPr>
          <w:rFonts w:ascii="Arial" w:cs="Arial" w:eastAsia="Arial" w:hAnsi="Arial"/>
          <w:sz w:val="19"/>
          <w:szCs w:val="19"/>
          <w:color w:val="auto"/>
        </w:rPr>
        <w:t>. All notices and other communications hereunder shall be in writing and shall be deemed to have been duly given if mailed or transmitted by any standard form of telecommunication. Notices to the Sales Agent shall be directed to Raymond James &amp; Associates, Inc. at 880 Carillon Parkway, St. Petersburg, Florida 33716, facsimile No. (901) 579-4891 and</w:t>
      </w:r>
    </w:p>
    <w:p>
      <w:pPr>
        <w:spacing w:after="0" w:line="1" w:lineRule="exact"/>
        <w:rPr>
          <w:sz w:val="20"/>
          <w:szCs w:val="20"/>
          <w:color w:val="auto"/>
        </w:rPr>
      </w:pPr>
    </w:p>
    <w:p>
      <w:pPr>
        <w:jc w:val="both"/>
        <w:ind w:firstLine="8"/>
        <w:spacing w:after="0" w:line="233" w:lineRule="auto"/>
        <w:tabs>
          <w:tab w:leader="none" w:pos="529" w:val="left"/>
        </w:tabs>
        <w:numPr>
          <w:ilvl w:val="0"/>
          <w:numId w:val="96"/>
        </w:numPr>
        <w:rPr>
          <w:rFonts w:ascii="Arial" w:cs="Arial" w:eastAsia="Arial" w:hAnsi="Arial"/>
          <w:sz w:val="22"/>
          <w:szCs w:val="22"/>
          <w:color w:val="auto"/>
        </w:rPr>
      </w:pPr>
      <w:r>
        <w:rPr>
          <w:rFonts w:ascii="Arial" w:cs="Arial" w:eastAsia="Arial" w:hAnsi="Arial"/>
          <w:sz w:val="22"/>
          <w:szCs w:val="22"/>
          <w:color w:val="auto"/>
        </w:rPr>
        <w:t>567-8750, Attention: Larry M. Herman, Managing Director/Financial Services Investment Banking and Thomas Donegan, General Counsel/Global Equities &amp; Investment Banking, with a copy (which shall not constitute notice) to Proskauer Rose LLP at 1001 Pennsylvania Ave., NW, Suite 600 South, Washington, D.C. 20004, Attention: William Tuttle. Notices to the Company, the Adviser and the Administrator shall be directed to them at 590 Madison Avenue, 15th Floor, New York, NY 10022, facsimile No. (212) 905-1075, Attention: Arthur Penn.</w:t>
      </w:r>
    </w:p>
    <w:p>
      <w:pPr>
        <w:spacing w:after="0" w:line="185" w:lineRule="exact"/>
        <w:rPr>
          <w:sz w:val="20"/>
          <w:szCs w:val="20"/>
          <w:color w:val="auto"/>
        </w:rPr>
      </w:pPr>
    </w:p>
    <w:p>
      <w:pPr>
        <w:jc w:val="both"/>
        <w:ind w:firstLine="749"/>
        <w:spacing w:after="0" w:line="287" w:lineRule="auto"/>
        <w:rPr>
          <w:sz w:val="20"/>
          <w:szCs w:val="20"/>
          <w:color w:val="auto"/>
        </w:rPr>
      </w:pPr>
      <w:r>
        <w:rPr>
          <w:rFonts w:ascii="Arial" w:cs="Arial" w:eastAsia="Arial" w:hAnsi="Arial"/>
          <w:sz w:val="19"/>
          <w:szCs w:val="19"/>
          <w:color w:val="auto"/>
        </w:rPr>
        <w:t>SECTION 12.</w:t>
      </w:r>
      <w:r>
        <w:rPr>
          <w:rFonts w:ascii="Arial" w:cs="Arial" w:eastAsia="Arial" w:hAnsi="Arial"/>
          <w:sz w:val="19"/>
          <w:szCs w:val="19"/>
          <w:u w:val="single" w:color="auto"/>
          <w:color w:val="auto"/>
        </w:rPr>
        <w:t>No Advisory or Fiduciary Relationship</w:t>
      </w:r>
      <w:r>
        <w:rPr>
          <w:rFonts w:ascii="Arial" w:cs="Arial" w:eastAsia="Arial" w:hAnsi="Arial"/>
          <w:sz w:val="19"/>
          <w:szCs w:val="19"/>
          <w:color w:val="auto"/>
        </w:rPr>
        <w:t>. The Company acknowledges and agrees that (a) the purchase and sale of the Securities pursuant to this Agreement, including the determination of the public offering price of the Securities and any related discounts and commissions, is an arm’s-length commercial transaction between the Company, on the one hand, and the Sales Agent, on the other hand, (b) in connection with the offering of the Securities and</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pacing w:after="0" w:line="276" w:lineRule="exact"/>
        <w:rPr>
          <w:sz w:val="20"/>
          <w:szCs w:val="20"/>
          <w:color w:val="auto"/>
        </w:rPr>
      </w:pPr>
    </w:p>
    <w:p>
      <w:pPr>
        <w:spacing w:after="0"/>
        <w:rPr>
          <w:sz w:val="20"/>
          <w:szCs w:val="20"/>
          <w:color w:val="auto"/>
        </w:rPr>
      </w:pPr>
      <w:r>
        <w:rPr>
          <w:rFonts w:ascii="Arial" w:cs="Arial" w:eastAsia="Arial" w:hAnsi="Arial"/>
          <w:sz w:val="14"/>
          <w:szCs w:val="14"/>
          <w:color w:val="auto"/>
        </w:rPr>
        <w:t>28117909.1.BUSINESS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157720" cy="4254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39" w:name="page140"/>
    <w:bookmarkEnd w:id="139"/>
    <w:p>
      <w:pPr>
        <w:jc w:val="both"/>
        <w:spacing w:after="0" w:line="274" w:lineRule="auto"/>
        <w:rPr>
          <w:sz w:val="20"/>
          <w:szCs w:val="20"/>
          <w:color w:val="auto"/>
        </w:rPr>
      </w:pPr>
      <w:r>
        <w:rPr>
          <w:rFonts w:ascii="Arial" w:cs="Arial" w:eastAsia="Arial" w:hAnsi="Arial"/>
          <w:sz w:val="19"/>
          <w:szCs w:val="19"/>
          <w:color w:val="auto"/>
        </w:rPr>
        <w:t>the process leading thereto, the Sales Agent is and has been acting solely as a principal and is not the agent or fiduciary of the Company, any of the Subsidiaries or their respective stockholders, creditors, employees or any other party, (c) the Sales Agent has not assumed or will assume an advisory or fiduciary responsibility in favor of the Company with respect to the offering of the Securities or the process leading thereto (irrespective of whether the Sales Agent has advised or is currently advising the Company or any of its subsidiaries on other matters) and the Sales Agent has no obligation to the Company with respect to the offering of the Securities except the obligations expressly set forth in this Agreement, (d) the Sales Agent and its respective affiliates may be engaged in a broad range of transactions that involve interests that differ from those of the Company and (e) the Sales Agent has not provided any legal, accounting, regulatory or tax advice with respect to the offering of the Securities and the Company has consulted its own respective legal, accounting, regulatory and tax advisors to the extent it deemed appropriate.</w:t>
      </w:r>
    </w:p>
    <w:p>
      <w:pPr>
        <w:spacing w:after="0" w:line="158"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21"/>
          <w:szCs w:val="21"/>
          <w:color w:val="auto"/>
        </w:rPr>
        <w:t>SECTION 13.</w:t>
      </w:r>
      <w:r>
        <w:rPr>
          <w:rFonts w:ascii="Arial" w:cs="Arial" w:eastAsia="Arial" w:hAnsi="Arial"/>
          <w:sz w:val="21"/>
          <w:szCs w:val="21"/>
          <w:u w:val="single" w:color="auto"/>
          <w:color w:val="auto"/>
        </w:rPr>
        <w:t>Parties</w:t>
      </w:r>
      <w:r>
        <w:rPr>
          <w:rFonts w:ascii="Arial" w:cs="Arial" w:eastAsia="Arial" w:hAnsi="Arial"/>
          <w:sz w:val="21"/>
          <w:szCs w:val="21"/>
          <w:color w:val="auto"/>
        </w:rPr>
        <w:t xml:space="preserve">. This Agreement shall each inure to the benefit of and be binding upon the Sales Agent, the Company, the Adviser, the Administrator and their respective successors. Nothing expressed or mentioned in this Agreement is intended or shall be construed to give any person, firm or corporation, other than the Sales Agent, the Company, the Adviser and the Administrator and their respective successors and the controlling persons and officers and directors referred to in </w:t>
      </w:r>
      <w:r>
        <w:rPr>
          <w:rFonts w:ascii="Arial" w:cs="Arial" w:eastAsia="Arial" w:hAnsi="Arial"/>
          <w:sz w:val="21"/>
          <w:szCs w:val="21"/>
          <w:u w:val="single" w:color="auto"/>
          <w:color w:val="auto"/>
        </w:rPr>
        <w:t>Section 6</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7</w:t>
      </w:r>
      <w:r>
        <w:rPr>
          <w:rFonts w:ascii="Arial" w:cs="Arial" w:eastAsia="Arial" w:hAnsi="Arial"/>
          <w:sz w:val="21"/>
          <w:szCs w:val="21"/>
          <w:color w:val="auto"/>
        </w:rPr>
        <w:t xml:space="preserve"> and their heirs and legal representatives, any legal or equitable right, remedy or claim under or in respect of this Agreement or any provision herein contained. This Agreement and all conditions and provisions hereof are intended to be for the sole and exclusive benefit of the Sales Agent, the Company, the Adviser and the Administrator and their respective successors, and said controlling persons and officers and directors and their heirs and legal representatives, and for the benefit of no other person, firm or corporation. No purchaser of Securities from the Sales Agent shall be deemed to be a successor by reason merely of such purchase.</w:t>
      </w:r>
    </w:p>
    <w:p>
      <w:pPr>
        <w:spacing w:after="0" w:line="181"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SECTION 14.</w:t>
      </w:r>
      <w:r>
        <w:rPr>
          <w:rFonts w:ascii="Arial" w:cs="Arial" w:eastAsia="Arial" w:hAnsi="Arial"/>
          <w:sz w:val="22"/>
          <w:szCs w:val="22"/>
          <w:u w:val="single" w:color="auto"/>
          <w:color w:val="auto"/>
        </w:rPr>
        <w:t>Trial by Jury</w:t>
      </w:r>
      <w:r>
        <w:rPr>
          <w:rFonts w:ascii="Arial" w:cs="Arial" w:eastAsia="Arial" w:hAnsi="Arial"/>
          <w:sz w:val="22"/>
          <w:szCs w:val="22"/>
          <w:color w:val="auto"/>
        </w:rPr>
        <w:t>. The Company (on its behalf and, to the extent permitted by applicable law, on behalf of its stockholders and affiliates), the Adviser, the Administrator and the Sales Agent hereby irrevocably waives, to the fullest extent permitted by applicable law, any and all right to trial by jury in any legal proceeding arising out of or relating to this Agreement or the transactions contemplated hereby.</w:t>
      </w:r>
    </w:p>
    <w:p>
      <w:pPr>
        <w:spacing w:after="0" w:line="185"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SECTION 15.</w:t>
      </w: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AND ANY CLAIM, CONTROVERSY OR DISPUTE ARISING UNDER OR RELATED TO THIS AGREEMENT SHALL BE GOVERNED BY, AND CONSTRUED IN ACCORDANCE WITH THE LAWS OF, THE STATE OF NEW YORK.</w:t>
      </w:r>
    </w:p>
    <w:p>
      <w:pPr>
        <w:spacing w:after="0" w:line="186"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9"/>
          <w:szCs w:val="19"/>
          <w:color w:val="auto"/>
        </w:rPr>
        <w:t>SECTION 16.</w:t>
      </w:r>
      <w:r>
        <w:rPr>
          <w:rFonts w:ascii="Arial" w:cs="Arial" w:eastAsia="Arial" w:hAnsi="Arial"/>
          <w:sz w:val="19"/>
          <w:szCs w:val="19"/>
          <w:u w:val="single" w:color="auto"/>
          <w:color w:val="auto"/>
        </w:rPr>
        <w:t>Consent to Jurisdiction; Waiver of Immunity</w:t>
      </w:r>
      <w:r>
        <w:rPr>
          <w:rFonts w:ascii="Arial" w:cs="Arial" w:eastAsia="Arial" w:hAnsi="Arial"/>
          <w:sz w:val="19"/>
          <w:szCs w:val="19"/>
          <w:color w:val="auto"/>
        </w:rPr>
        <w:t>. Any legal suit, action or proceeding arising out of or based upon this Agreement or the transactions contemplated hereby shall be instituted in (i) the federal courts of the United States of America located in the City and County of New York, Borough of Manhattan or (ii) the courts of the State of New York located in the City and County of New York, Borough of Manhattan (collectively, the “Specified Courts”), and each party irrevocably submits to the exclusive jurisdiction (except for proceedings instituted in regard to the enforcement of a judgment of any such court, as to which such jurisdiction is non-exclusive) of such courts in any such suit, action or proceeding. Service of any process, summons, notice or document by mail to such party’s address set forth above shall be effective service of</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pacing w:after="0" w:line="276" w:lineRule="exact"/>
        <w:rPr>
          <w:sz w:val="20"/>
          <w:szCs w:val="20"/>
          <w:color w:val="auto"/>
        </w:rPr>
      </w:pPr>
    </w:p>
    <w:p>
      <w:pPr>
        <w:spacing w:after="0"/>
        <w:rPr>
          <w:sz w:val="20"/>
          <w:szCs w:val="20"/>
          <w:color w:val="auto"/>
        </w:rPr>
      </w:pPr>
      <w:r>
        <w:rPr>
          <w:rFonts w:ascii="Arial" w:cs="Arial" w:eastAsia="Arial" w:hAnsi="Arial"/>
          <w:sz w:val="14"/>
          <w:szCs w:val="14"/>
          <w:color w:val="auto"/>
        </w:rPr>
        <w:t>28117909.1.BUSINESS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157720" cy="4254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40" w:name="page141"/>
    <w:bookmarkEnd w:id="140"/>
    <w:p>
      <w:pPr>
        <w:jc w:val="both"/>
        <w:spacing w:after="0" w:line="238" w:lineRule="auto"/>
        <w:rPr>
          <w:sz w:val="20"/>
          <w:szCs w:val="20"/>
          <w:color w:val="auto"/>
        </w:rPr>
      </w:pPr>
      <w:r>
        <w:rPr>
          <w:rFonts w:ascii="Arial" w:cs="Arial" w:eastAsia="Arial" w:hAnsi="Arial"/>
          <w:sz w:val="22"/>
          <w:szCs w:val="22"/>
          <w:color w:val="auto"/>
        </w:rPr>
        <w:t>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 court that any such suit, action or other proceeding brought in any such court has been brought in an inconvenient forum.</w:t>
      </w:r>
    </w:p>
    <w:p>
      <w:pPr>
        <w:spacing w:after="0" w:line="185" w:lineRule="exact"/>
        <w:rPr>
          <w:sz w:val="20"/>
          <w:szCs w:val="20"/>
          <w:color w:val="auto"/>
        </w:rPr>
      </w:pPr>
    </w:p>
    <w:p>
      <w:pPr>
        <w:jc w:val="both"/>
        <w:ind w:right="20" w:firstLine="749"/>
        <w:spacing w:after="0" w:line="250" w:lineRule="auto"/>
        <w:rPr>
          <w:sz w:val="20"/>
          <w:szCs w:val="20"/>
          <w:color w:val="auto"/>
        </w:rPr>
      </w:pPr>
      <w:r>
        <w:rPr>
          <w:rFonts w:ascii="Arial" w:cs="Arial" w:eastAsia="Arial" w:hAnsi="Arial"/>
          <w:sz w:val="22"/>
          <w:szCs w:val="22"/>
          <w:color w:val="auto"/>
        </w:rPr>
        <w:t>SECTION 17.</w:t>
      </w:r>
      <w:r>
        <w:rPr>
          <w:rFonts w:ascii="Arial" w:cs="Arial" w:eastAsia="Arial" w:hAnsi="Arial"/>
          <w:sz w:val="22"/>
          <w:szCs w:val="22"/>
          <w:u w:val="single" w:color="auto"/>
          <w:color w:val="auto"/>
        </w:rPr>
        <w:t>TIME</w:t>
      </w:r>
      <w:r>
        <w:rPr>
          <w:rFonts w:ascii="Arial" w:cs="Arial" w:eastAsia="Arial" w:hAnsi="Arial"/>
          <w:sz w:val="22"/>
          <w:szCs w:val="22"/>
          <w:color w:val="auto"/>
        </w:rPr>
        <w:t>. TIME SHALL BE OF THE ESSENCE OF THIS AGREEMENT. EXCEPT AS OTHERWISE SET FORTH HEREIN, SPECIFIED TIMES OF DAY REFER TO NEW YORK CITY TIME.</w:t>
      </w:r>
    </w:p>
    <w:p>
      <w:pPr>
        <w:spacing w:after="0" w:line="175" w:lineRule="exact"/>
        <w:rPr>
          <w:sz w:val="20"/>
          <w:szCs w:val="20"/>
          <w:color w:val="auto"/>
        </w:rPr>
      </w:pPr>
    </w:p>
    <w:p>
      <w:pPr>
        <w:jc w:val="both"/>
        <w:ind w:firstLine="749"/>
        <w:spacing w:after="0" w:line="235" w:lineRule="auto"/>
        <w:rPr>
          <w:sz w:val="20"/>
          <w:szCs w:val="20"/>
          <w:color w:val="auto"/>
        </w:rPr>
      </w:pPr>
      <w:r>
        <w:rPr>
          <w:rFonts w:ascii="Arial" w:cs="Arial" w:eastAsia="Arial" w:hAnsi="Arial"/>
          <w:sz w:val="22"/>
          <w:szCs w:val="22"/>
          <w:color w:val="auto"/>
        </w:rPr>
        <w:t>SECTION 18.</w:t>
      </w: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any number of counterparts, each of which shall be deemed to be an original, but all such counterparts shall together constitute one and the same Agreement.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w:t>
      </w:r>
    </w:p>
    <w:p>
      <w:pPr>
        <w:spacing w:after="0" w:line="188"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SECTION 19.</w:t>
      </w:r>
      <w:r>
        <w:rPr>
          <w:rFonts w:ascii="Arial" w:cs="Arial" w:eastAsia="Arial" w:hAnsi="Arial"/>
          <w:sz w:val="22"/>
          <w:szCs w:val="22"/>
          <w:u w:val="single" w:color="auto"/>
          <w:color w:val="auto"/>
        </w:rPr>
        <w:t>Effect of Headings</w:t>
      </w:r>
      <w:r>
        <w:rPr>
          <w:rFonts w:ascii="Arial" w:cs="Arial" w:eastAsia="Arial" w:hAnsi="Arial"/>
          <w:sz w:val="22"/>
          <w:szCs w:val="22"/>
          <w:color w:val="auto"/>
        </w:rPr>
        <w:t>. The Section headings herein are for convenience only and shall not affect the construction hereof.</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SECTION 20.</w:t>
      </w:r>
      <w:r>
        <w:rPr>
          <w:rFonts w:ascii="Arial" w:cs="Arial" w:eastAsia="Arial" w:hAnsi="Arial"/>
          <w:sz w:val="22"/>
          <w:szCs w:val="22"/>
          <w:u w:val="single" w:color="auto"/>
          <w:color w:val="auto"/>
        </w:rPr>
        <w:t>Recognition of the U.S. Special Resolution Regimes</w:t>
      </w:r>
      <w:r>
        <w:rPr>
          <w:rFonts w:ascii="Arial" w:cs="Arial" w:eastAsia="Arial" w:hAnsi="Arial"/>
          <w:sz w:val="22"/>
          <w:szCs w:val="22"/>
          <w:color w:val="auto"/>
        </w:rPr>
        <w:t>.</w:t>
      </w:r>
    </w:p>
    <w:p>
      <w:pPr>
        <w:spacing w:after="0" w:line="206" w:lineRule="exact"/>
        <w:rPr>
          <w:sz w:val="20"/>
          <w:szCs w:val="20"/>
          <w:color w:val="auto"/>
        </w:rPr>
      </w:pPr>
    </w:p>
    <w:p>
      <w:pPr>
        <w:jc w:val="both"/>
        <w:ind w:firstLine="1505"/>
        <w:spacing w:after="0" w:line="226" w:lineRule="auto"/>
        <w:tabs>
          <w:tab w:leader="none" w:pos="2995" w:val="left"/>
        </w:tabs>
        <w:numPr>
          <w:ilvl w:val="0"/>
          <w:numId w:val="97"/>
        </w:numPr>
        <w:rPr>
          <w:rFonts w:ascii="Arial" w:cs="Arial" w:eastAsia="Arial" w:hAnsi="Arial"/>
          <w:sz w:val="22"/>
          <w:szCs w:val="22"/>
          <w:color w:val="auto"/>
        </w:rPr>
      </w:pPr>
      <w:r>
        <w:rPr>
          <w:rFonts w:ascii="Arial" w:cs="Arial" w:eastAsia="Arial" w:hAnsi="Arial"/>
          <w:sz w:val="22"/>
          <w:szCs w:val="22"/>
          <w:color w:val="auto"/>
        </w:rPr>
        <w:t>In the event that the Sales Agent that is a Covered Entity becomes subject to a proceeding under a U.S. Special Resolution Regime, the transfer from the Sales Agent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72" w:lineRule="exact"/>
        <w:rPr>
          <w:rFonts w:ascii="Arial" w:cs="Arial" w:eastAsia="Arial" w:hAnsi="Arial"/>
          <w:sz w:val="22"/>
          <w:szCs w:val="22"/>
          <w:color w:val="auto"/>
        </w:rPr>
      </w:pPr>
    </w:p>
    <w:p>
      <w:pPr>
        <w:jc w:val="both"/>
        <w:ind w:firstLine="1505"/>
        <w:spacing w:after="0" w:line="226" w:lineRule="auto"/>
        <w:tabs>
          <w:tab w:leader="none" w:pos="2995" w:val="left"/>
        </w:tabs>
        <w:numPr>
          <w:ilvl w:val="0"/>
          <w:numId w:val="97"/>
        </w:numPr>
        <w:rPr>
          <w:rFonts w:ascii="Arial" w:cs="Arial" w:eastAsia="Arial" w:hAnsi="Arial"/>
          <w:sz w:val="22"/>
          <w:szCs w:val="22"/>
          <w:color w:val="auto"/>
        </w:rPr>
      </w:pPr>
      <w:r>
        <w:rPr>
          <w:rFonts w:ascii="Arial" w:cs="Arial" w:eastAsia="Arial" w:hAnsi="Arial"/>
          <w:sz w:val="22"/>
          <w:szCs w:val="22"/>
          <w:color w:val="auto"/>
        </w:rPr>
        <w:t>In the event that the Sales Agent that is a Covered Entity or a BHC Act Affiliate of the Sales Agent becomes subject to a proceeding under a U.S. Special Resolution Regime, Default Rights under this Agreement that may be exercised against the Sales Agent are permitted to be exercised to no greater extent than such Default Rights could be exercised under the U.S. Special Resolution Regime if this Agreement were governed by the laws of the United States or a state of the United States.</w:t>
      </w:r>
    </w:p>
    <w:p>
      <w:pPr>
        <w:spacing w:after="0" w:line="172" w:lineRule="exact"/>
        <w:rPr>
          <w:rFonts w:ascii="Arial" w:cs="Arial" w:eastAsia="Arial" w:hAnsi="Arial"/>
          <w:sz w:val="22"/>
          <w:szCs w:val="22"/>
          <w:color w:val="auto"/>
        </w:rPr>
      </w:pPr>
    </w:p>
    <w:p>
      <w:pPr>
        <w:jc w:val="both"/>
        <w:ind w:firstLine="1505"/>
        <w:spacing w:after="0" w:line="262" w:lineRule="auto"/>
        <w:tabs>
          <w:tab w:leader="none" w:pos="2995" w:val="left"/>
        </w:tabs>
        <w:numPr>
          <w:ilvl w:val="0"/>
          <w:numId w:val="97"/>
        </w:numPr>
        <w:rPr>
          <w:rFonts w:ascii="Arial" w:cs="Arial" w:eastAsia="Arial" w:hAnsi="Arial"/>
          <w:sz w:val="19"/>
          <w:szCs w:val="19"/>
          <w:color w:val="auto"/>
        </w:rPr>
      </w:pPr>
      <w:r>
        <w:rPr>
          <w:rFonts w:ascii="Arial" w:cs="Arial" w:eastAsia="Arial" w:hAnsi="Arial"/>
          <w:sz w:val="19"/>
          <w:szCs w:val="19"/>
          <w:color w:val="auto"/>
        </w:rPr>
        <w:t xml:space="preserve">For purposes of this </w:t>
      </w:r>
      <w:r>
        <w:rPr>
          <w:rFonts w:ascii="Arial" w:cs="Arial" w:eastAsia="Arial" w:hAnsi="Arial"/>
          <w:sz w:val="19"/>
          <w:szCs w:val="19"/>
          <w:u w:val="single" w:color="auto"/>
          <w:color w:val="auto"/>
        </w:rPr>
        <w:t>Section 20</w:t>
      </w:r>
      <w:r>
        <w:rPr>
          <w:rFonts w:ascii="Arial" w:cs="Arial" w:eastAsia="Arial" w:hAnsi="Arial"/>
          <w:sz w:val="19"/>
          <w:szCs w:val="19"/>
          <w:color w:val="auto"/>
        </w:rPr>
        <w:t>, a “BHC Act Affiliate” has the meaning assigned to the term “affiliate” in, and shall be interpreted in accordance with, 12 U.S.C. § 1841(k). “Covered Entity”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“Default Right” has the meaning assigned to that term in, and shall be interpreted in accordance with, 12 C.F.R. §§ 252.81, 47.2 or 382.1, as applicable. “U.S. Special Resolution Regime” means each of (i) the Federal Deposit Insurance Act and the regulations promulgated thereunder and (ii) Title II of the</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pacing w:after="0" w:line="276" w:lineRule="exact"/>
        <w:rPr>
          <w:sz w:val="20"/>
          <w:szCs w:val="20"/>
          <w:color w:val="auto"/>
        </w:rPr>
      </w:pPr>
    </w:p>
    <w:p>
      <w:pPr>
        <w:spacing w:after="0"/>
        <w:rPr>
          <w:sz w:val="20"/>
          <w:szCs w:val="20"/>
          <w:color w:val="auto"/>
        </w:rPr>
      </w:pPr>
      <w:r>
        <w:rPr>
          <w:rFonts w:ascii="Arial" w:cs="Arial" w:eastAsia="Arial" w:hAnsi="Arial"/>
          <w:sz w:val="14"/>
          <w:szCs w:val="14"/>
          <w:color w:val="auto"/>
        </w:rPr>
        <w:t>28117909.1.BUSINESS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157720" cy="4254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41" w:name="page142"/>
    <w:bookmarkEnd w:id="141"/>
    <w:p>
      <w:pPr>
        <w:spacing w:after="0"/>
        <w:rPr>
          <w:sz w:val="20"/>
          <w:szCs w:val="20"/>
          <w:color w:val="auto"/>
        </w:rPr>
      </w:pPr>
      <w:r>
        <w:rPr>
          <w:rFonts w:ascii="Arial" w:cs="Arial" w:eastAsia="Arial" w:hAnsi="Arial"/>
          <w:sz w:val="19"/>
          <w:szCs w:val="19"/>
          <w:color w:val="auto"/>
        </w:rPr>
        <w:t>Dodd-Frank Wall Street Reform and Consumer Protection Act and the regulations promulgated thereunder.</w:t>
      </w:r>
    </w:p>
    <w:p>
      <w:pPr>
        <w:spacing w:after="0" w:line="227"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36</w:t>
      </w:r>
    </w:p>
    <w:p>
      <w:pPr>
        <w:spacing w:after="0" w:line="276" w:lineRule="exact"/>
        <w:rPr>
          <w:sz w:val="20"/>
          <w:szCs w:val="20"/>
          <w:color w:val="auto"/>
        </w:rPr>
      </w:pPr>
    </w:p>
    <w:p>
      <w:pPr>
        <w:spacing w:after="0"/>
        <w:rPr>
          <w:sz w:val="20"/>
          <w:szCs w:val="20"/>
          <w:color w:val="auto"/>
        </w:rPr>
      </w:pPr>
      <w:r>
        <w:rPr>
          <w:rFonts w:ascii="Arial" w:cs="Arial" w:eastAsia="Arial" w:hAnsi="Arial"/>
          <w:sz w:val="14"/>
          <w:szCs w:val="14"/>
          <w:color w:val="auto"/>
        </w:rPr>
        <w:t>28117909.1.BUSINESS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157720" cy="4254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20" w:right="1440" w:bottom="1440" w:gutter="0" w:footer="0" w:header="0"/>
        </w:sectPr>
      </w:pPr>
    </w:p>
    <w:bookmarkStart w:id="142" w:name="page143"/>
    <w:bookmarkEnd w:id="142"/>
    <w:p>
      <w:pPr>
        <w:jc w:val="both"/>
        <w:spacing w:after="0"/>
        <w:rPr>
          <w:sz w:val="20"/>
          <w:szCs w:val="20"/>
          <w:color w:val="auto"/>
        </w:rPr>
      </w:pPr>
      <w:r>
        <w:rPr>
          <w:rFonts w:ascii="Arial" w:cs="Arial" w:eastAsia="Arial" w:hAnsi="Arial"/>
          <w:sz w:val="22"/>
          <w:szCs w:val="22"/>
          <w:color w:val="auto"/>
        </w:rPr>
        <w:t>If the foregoing is in accordance with your understanding of our agreement, please sign and return to the Company a counterpart hereof, whereupon this instrument, along with all counterparts, will become a binding agreement among the Sales Agent, the Company, the Adviser and the Administrator in accordance with its terms.</w:t>
      </w:r>
    </w:p>
    <w:p>
      <w:pPr>
        <w:spacing w:after="0" w:line="186"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Very truly yours,</w:t>
      </w:r>
    </w:p>
    <w:p>
      <w:pPr>
        <w:spacing w:after="0" w:line="179"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PENNANTPARK FLOATING RATE CAPITAL LTD.</w:t>
      </w:r>
    </w:p>
    <w:p>
      <w:pPr>
        <w:spacing w:after="0" w:line="376"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By: /s/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2887345</wp:posOffset>
            </wp:positionH>
            <wp:positionV relativeFrom="paragraph">
              <wp:posOffset>-5715</wp:posOffset>
            </wp:positionV>
            <wp:extent cx="1097280" cy="889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63">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ind w:left="4580"/>
        <w:spacing w:after="0" w:line="204" w:lineRule="auto"/>
        <w:rPr>
          <w:sz w:val="20"/>
          <w:szCs w:val="20"/>
          <w:color w:val="auto"/>
        </w:rPr>
      </w:pPr>
      <w:r>
        <w:rPr>
          <w:rFonts w:ascii="Arial" w:cs="Arial" w:eastAsia="Arial" w:hAnsi="Arial"/>
          <w:sz w:val="22"/>
          <w:szCs w:val="22"/>
          <w:color w:val="auto"/>
        </w:rPr>
        <w:t>Name: Arthur H. Penn</w:t>
      </w:r>
    </w:p>
    <w:p>
      <w:pPr>
        <w:spacing w:after="0" w:line="1" w:lineRule="exact"/>
        <w:rPr>
          <w:sz w:val="20"/>
          <w:szCs w:val="20"/>
          <w:color w:val="auto"/>
        </w:rPr>
      </w:pPr>
    </w:p>
    <w:p>
      <w:pPr>
        <w:ind w:left="4580"/>
        <w:spacing w:after="0"/>
        <w:tabs>
          <w:tab w:leader="none" w:pos="52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Chief Executive Officer</w:t>
      </w:r>
    </w:p>
    <w:p>
      <w:pPr>
        <w:spacing w:after="0" w:line="215"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PENNANTPARK INVESTMENT ADVISERS, LLC</w:t>
      </w:r>
    </w:p>
    <w:p>
      <w:pPr>
        <w:spacing w:after="0" w:line="376"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By: /s/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2887345</wp:posOffset>
            </wp:positionH>
            <wp:positionV relativeFrom="paragraph">
              <wp:posOffset>-5715</wp:posOffset>
            </wp:positionV>
            <wp:extent cx="1097280" cy="889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4">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ind w:left="4580"/>
        <w:spacing w:after="0" w:line="204" w:lineRule="auto"/>
        <w:rPr>
          <w:sz w:val="20"/>
          <w:szCs w:val="20"/>
          <w:color w:val="auto"/>
        </w:rPr>
      </w:pPr>
      <w:r>
        <w:rPr>
          <w:rFonts w:ascii="Arial" w:cs="Arial" w:eastAsia="Arial" w:hAnsi="Arial"/>
          <w:sz w:val="22"/>
          <w:szCs w:val="22"/>
          <w:color w:val="auto"/>
        </w:rPr>
        <w:t>Name: Arthur H. Penn</w:t>
      </w:r>
    </w:p>
    <w:p>
      <w:pPr>
        <w:spacing w:after="0" w:line="1" w:lineRule="exact"/>
        <w:rPr>
          <w:sz w:val="20"/>
          <w:szCs w:val="20"/>
          <w:color w:val="auto"/>
        </w:rPr>
      </w:pPr>
    </w:p>
    <w:p>
      <w:pPr>
        <w:ind w:left="4580"/>
        <w:spacing w:after="0"/>
        <w:tabs>
          <w:tab w:leader="none" w:pos="52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Managing Member</w:t>
      </w:r>
    </w:p>
    <w:p>
      <w:pPr>
        <w:spacing w:after="0" w:line="215"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PENNANTPARK INVESTMENT ADMINISTRATION, LLC</w:t>
      </w:r>
    </w:p>
    <w:p>
      <w:pPr>
        <w:spacing w:after="0" w:line="160"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By: /s/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2887345</wp:posOffset>
            </wp:positionH>
            <wp:positionV relativeFrom="paragraph">
              <wp:posOffset>-5715</wp:posOffset>
            </wp:positionV>
            <wp:extent cx="1097280" cy="889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5">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ind w:left="4580"/>
        <w:spacing w:after="0" w:line="204" w:lineRule="auto"/>
        <w:rPr>
          <w:sz w:val="20"/>
          <w:szCs w:val="20"/>
          <w:color w:val="auto"/>
        </w:rPr>
      </w:pPr>
      <w:r>
        <w:rPr>
          <w:rFonts w:ascii="Arial" w:cs="Arial" w:eastAsia="Arial" w:hAnsi="Arial"/>
          <w:sz w:val="22"/>
          <w:szCs w:val="22"/>
          <w:color w:val="auto"/>
        </w:rPr>
        <w:t>Name: Arthur H. Penn</w:t>
      </w:r>
    </w:p>
    <w:p>
      <w:pPr>
        <w:spacing w:after="0" w:line="1" w:lineRule="exact"/>
        <w:rPr>
          <w:sz w:val="20"/>
          <w:szCs w:val="20"/>
          <w:color w:val="auto"/>
        </w:rPr>
      </w:pPr>
    </w:p>
    <w:p>
      <w:pPr>
        <w:ind w:left="4580"/>
        <w:spacing w:after="0"/>
        <w:tabs>
          <w:tab w:leader="none" w:pos="52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Managing Member</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Sales Agreement – Raymond James]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43" w:name="page144"/>
    <w:bookmarkEnd w:id="143"/>
    <w:p>
      <w:pPr>
        <w:spacing w:after="0"/>
        <w:rPr>
          <w:sz w:val="20"/>
          <w:szCs w:val="20"/>
          <w:color w:val="auto"/>
        </w:rPr>
      </w:pPr>
      <w:r>
        <w:rPr>
          <w:rFonts w:ascii="Arial" w:cs="Arial" w:eastAsia="Arial" w:hAnsi="Arial"/>
          <w:sz w:val="22"/>
          <w:szCs w:val="22"/>
          <w:color w:val="auto"/>
        </w:rPr>
        <w:t>CONFIRMED AND ACCEPTED,</w:t>
      </w:r>
    </w:p>
    <w:p>
      <w:pPr>
        <w:spacing w:after="0" w:line="8" w:lineRule="exact"/>
        <w:rPr>
          <w:sz w:val="20"/>
          <w:szCs w:val="20"/>
          <w:color w:val="auto"/>
        </w:rPr>
      </w:pPr>
    </w:p>
    <w:p>
      <w:pPr>
        <w:ind w:left="540"/>
        <w:spacing w:after="0"/>
        <w:rPr>
          <w:sz w:val="20"/>
          <w:szCs w:val="20"/>
          <w:color w:val="auto"/>
        </w:rPr>
      </w:pPr>
      <w:r>
        <w:rPr>
          <w:rFonts w:ascii="Arial" w:cs="Arial" w:eastAsia="Arial" w:hAnsi="Arial"/>
          <w:sz w:val="22"/>
          <w:szCs w:val="22"/>
          <w:color w:val="auto"/>
        </w:rPr>
        <w:t>as of the date first above written:</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RAYMOND JAMES &amp; ASSOCIATES, INC.</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auto"/>
        </w:rPr>
        <w:t>By: /s/ Larry Herman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-17780</wp:posOffset>
            </wp:positionV>
            <wp:extent cx="1097280" cy="825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7">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ind w:left="760"/>
        <w:spacing w:after="0" w:line="238" w:lineRule="auto"/>
        <w:rPr>
          <w:sz w:val="20"/>
          <w:szCs w:val="20"/>
          <w:color w:val="auto"/>
        </w:rPr>
      </w:pPr>
      <w:r>
        <w:rPr>
          <w:rFonts w:ascii="Arial" w:cs="Arial" w:eastAsia="Arial" w:hAnsi="Arial"/>
          <w:sz w:val="22"/>
          <w:szCs w:val="22"/>
          <w:color w:val="auto"/>
        </w:rPr>
        <w:t>Name: Larry Herman</w:t>
      </w:r>
    </w:p>
    <w:p>
      <w:pPr>
        <w:ind w:left="760"/>
        <w:spacing w:after="0"/>
        <w:rPr>
          <w:sz w:val="20"/>
          <w:szCs w:val="20"/>
          <w:color w:val="auto"/>
        </w:rPr>
      </w:pPr>
      <w:r>
        <w:rPr>
          <w:rFonts w:ascii="Arial" w:cs="Arial" w:eastAsia="Arial" w:hAnsi="Arial"/>
          <w:sz w:val="22"/>
          <w:szCs w:val="22"/>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right"/>
        <w:ind w:right="2499"/>
        <w:spacing w:after="0"/>
        <w:rPr>
          <w:sz w:val="20"/>
          <w:szCs w:val="20"/>
          <w:color w:val="auto"/>
        </w:rPr>
      </w:pPr>
      <w:r>
        <w:rPr>
          <w:rFonts w:ascii="Arial" w:cs="Arial" w:eastAsia="Arial" w:hAnsi="Arial"/>
          <w:sz w:val="18"/>
          <w:szCs w:val="18"/>
          <w:color w:val="auto"/>
        </w:rPr>
        <w:t>[Signature Page to Sales Agreement – Raymond James]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144" w:name="page145"/>
    <w:bookmarkEnd w:id="144"/>
    <w:p>
      <w:pPr>
        <w:jc w:val="right"/>
        <w:ind w:right="2079"/>
        <w:spacing w:after="0"/>
        <w:rPr>
          <w:sz w:val="20"/>
          <w:szCs w:val="20"/>
          <w:color w:val="auto"/>
        </w:rPr>
      </w:pPr>
      <w:r>
        <w:rPr>
          <w:rFonts w:ascii="Arial" w:cs="Arial" w:eastAsia="Arial" w:hAnsi="Arial"/>
          <w:sz w:val="22"/>
          <w:szCs w:val="22"/>
          <w:b w:val="1"/>
          <w:bCs w:val="1"/>
          <w:u w:val="single" w:color="auto"/>
          <w:color w:val="auto"/>
        </w:rPr>
        <w:t>SCHEDULE SEQ SCHEDULE \* ALPHABETIC A</w:t>
      </w:r>
    </w:p>
    <w:p>
      <w:pPr>
        <w:spacing w:after="0" w:line="374" w:lineRule="exact"/>
        <w:rPr>
          <w:sz w:val="20"/>
          <w:szCs w:val="20"/>
          <w:color w:val="auto"/>
        </w:rPr>
      </w:pPr>
    </w:p>
    <w:p>
      <w:pPr>
        <w:spacing w:after="0"/>
        <w:rPr>
          <w:sz w:val="20"/>
          <w:szCs w:val="20"/>
          <w:color w:val="auto"/>
        </w:rPr>
      </w:pPr>
      <w:r>
        <w:rPr>
          <w:rFonts w:ascii="Arial" w:cs="Arial" w:eastAsia="Arial" w:hAnsi="Arial"/>
          <w:sz w:val="22"/>
          <w:szCs w:val="22"/>
          <w:color w:val="auto"/>
        </w:rPr>
        <w:t>Consolidated subsidiaries of the Company: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PennantPark Floating Rate Funding I, LLC</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PennantPark Floating Rate Funding II, LLC</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PennantPark CLO I, LLC</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PennantPark CLO I, Ltd.</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PennantPark CLO I Depositor, LLC</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PFLT Investment Holdings, LLC</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620"/>
        <w:spacing w:after="0"/>
        <w:rPr>
          <w:sz w:val="20"/>
          <w:szCs w:val="20"/>
          <w:color w:val="auto"/>
        </w:rPr>
      </w:pPr>
      <w:r>
        <w:rPr>
          <w:rFonts w:ascii="Arial" w:cs="Arial" w:eastAsia="Arial" w:hAnsi="Arial"/>
          <w:sz w:val="17"/>
          <w:szCs w:val="17"/>
          <w:color w:val="auto"/>
        </w:rPr>
        <w:t>[Signature Page to Sales Agreement – Raymond James]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14" w:right="1440" w:bottom="1440" w:gutter="0" w:footer="0" w:header="0"/>
        </w:sectPr>
      </w:pPr>
    </w:p>
    <w:bookmarkStart w:id="145" w:name="page146"/>
    <w:bookmarkEnd w:id="145"/>
    <w:p>
      <w:pPr>
        <w:ind w:right="2079" w:firstLine="3179"/>
        <w:spacing w:after="0" w:line="419" w:lineRule="auto"/>
        <w:rPr>
          <w:sz w:val="20"/>
          <w:szCs w:val="20"/>
          <w:color w:val="auto"/>
        </w:rPr>
      </w:pPr>
      <w:r>
        <w:rPr>
          <w:rFonts w:ascii="Arial" w:cs="Arial" w:eastAsia="Arial" w:hAnsi="Arial"/>
          <w:sz w:val="22"/>
          <w:szCs w:val="22"/>
          <w:b w:val="1"/>
          <w:bCs w:val="1"/>
          <w:u w:val="single" w:color="auto"/>
          <w:color w:val="auto"/>
        </w:rPr>
        <w:t xml:space="preserve">SCHEDULE SEQ SCHEDULE \* ALPHABETIC B </w:t>
      </w:r>
      <w:r>
        <w:rPr>
          <w:rFonts w:ascii="Arial" w:cs="Arial" w:eastAsia="Arial" w:hAnsi="Arial"/>
          <w:sz w:val="22"/>
          <w:szCs w:val="22"/>
          <w:b w:val="1"/>
          <w:bCs w:val="1"/>
          <w:color w:val="auto"/>
        </w:rPr>
        <w:t>Company Authorized Representatives</w:t>
      </w:r>
    </w:p>
    <w:p>
      <w:pPr>
        <w:spacing w:after="0"/>
        <w:rPr>
          <w:sz w:val="20"/>
          <w:szCs w:val="20"/>
          <w:color w:val="auto"/>
        </w:rPr>
      </w:pPr>
      <w:r>
        <w:rPr>
          <w:rFonts w:ascii="Arial" w:cs="Arial" w:eastAsia="Arial" w:hAnsi="Arial"/>
          <w:sz w:val="22"/>
          <w:szCs w:val="22"/>
          <w:color w:val="auto"/>
        </w:rPr>
        <w:t>Arthur H. Penn</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Richard Cheung</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Sales Agent Authorized Representatives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Jeff Fordham</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Jeanna Bryan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60"/>
        <w:spacing w:after="0"/>
        <w:rPr>
          <w:sz w:val="20"/>
          <w:szCs w:val="20"/>
          <w:color w:val="auto"/>
        </w:rPr>
      </w:pPr>
      <w:r>
        <w:rPr>
          <w:rFonts w:ascii="Arial" w:cs="Arial" w:eastAsia="Arial" w:hAnsi="Arial"/>
          <w:sz w:val="15"/>
          <w:szCs w:val="15"/>
          <w:color w:val="auto"/>
        </w:rPr>
        <w:t>IF "1" = "1" "125213972v2" "" 125213972v2</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28117909.1.BUSINESS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157720" cy="4254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14" w:right="1440" w:bottom="1440" w:gutter="0" w:footer="0" w:header="0"/>
        </w:sectPr>
      </w:pPr>
    </w:p>
    <w:bookmarkStart w:id="146" w:name="page147"/>
    <w:bookmarkEnd w:id="146"/>
    <w:p>
      <w:pPr>
        <w:jc w:val="right"/>
        <w:spacing w:after="0"/>
        <w:rPr>
          <w:sz w:val="20"/>
          <w:szCs w:val="20"/>
          <w:color w:val="auto"/>
        </w:rPr>
      </w:pPr>
      <w:r>
        <w:rPr>
          <w:rFonts w:ascii="Arial" w:cs="Arial" w:eastAsia="Arial" w:hAnsi="Arial"/>
          <w:sz w:val="14"/>
          <w:szCs w:val="14"/>
          <w:b w:val="1"/>
          <w:bCs w:val="1"/>
          <w:color w:val="auto"/>
        </w:rPr>
        <w:t>EXHIBIT 31.1</w:t>
      </w:r>
    </w:p>
    <w:p>
      <w:pPr>
        <w:spacing w:after="0" w:line="203" w:lineRule="exact"/>
        <w:rPr>
          <w:sz w:val="20"/>
          <w:szCs w:val="20"/>
          <w:color w:val="auto"/>
        </w:rPr>
      </w:pPr>
    </w:p>
    <w:p>
      <w:pPr>
        <w:ind w:left="4040"/>
        <w:spacing w:after="0"/>
        <w:rPr>
          <w:sz w:val="20"/>
          <w:szCs w:val="20"/>
          <w:color w:val="auto"/>
        </w:rPr>
      </w:pPr>
      <w:r>
        <w:rPr>
          <w:rFonts w:ascii="Arial" w:cs="Arial" w:eastAsia="Arial" w:hAnsi="Arial"/>
          <w:sz w:val="14"/>
          <w:szCs w:val="14"/>
          <w:b w:val="1"/>
          <w:bCs w:val="1"/>
          <w:color w:val="auto"/>
        </w:rPr>
        <w:t>CERTIFICATION PURSUANT TO SECTION 302</w:t>
      </w:r>
    </w:p>
    <w:p>
      <w:pPr>
        <w:spacing w:after="0" w:line="17" w:lineRule="exact"/>
        <w:rPr>
          <w:sz w:val="20"/>
          <w:szCs w:val="20"/>
          <w:color w:val="auto"/>
        </w:rPr>
      </w:pPr>
    </w:p>
    <w:p>
      <w:pPr>
        <w:ind w:left="4020"/>
        <w:spacing w:after="0"/>
        <w:rPr>
          <w:sz w:val="20"/>
          <w:szCs w:val="20"/>
          <w:color w:val="auto"/>
        </w:rPr>
      </w:pPr>
      <w:r>
        <w:rPr>
          <w:rFonts w:ascii="Arial" w:cs="Arial" w:eastAsia="Arial" w:hAnsi="Arial"/>
          <w:sz w:val="14"/>
          <w:szCs w:val="14"/>
          <w:b w:val="1"/>
          <w:bCs w:val="1"/>
          <w:color w:val="auto"/>
        </w:rPr>
        <w:t>CHIEF EXECUTIVE OFFICER CERTIFICATION</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color w:val="auto"/>
        </w:rPr>
        <w:t>I, Arthur H. Penn, Chief Executive Officer of PennantPark Floating Rate Capital, Ltd., certify that:</w:t>
      </w:r>
    </w:p>
    <w:p>
      <w:pPr>
        <w:spacing w:after="0" w:line="204" w:lineRule="exact"/>
        <w:rPr>
          <w:sz w:val="20"/>
          <w:szCs w:val="20"/>
          <w:color w:val="auto"/>
        </w:rPr>
      </w:pPr>
    </w:p>
    <w:p>
      <w:pPr>
        <w:ind w:left="620" w:hanging="143"/>
        <w:spacing w:after="0"/>
        <w:tabs>
          <w:tab w:leader="none" w:pos="620" w:val="left"/>
        </w:tabs>
        <w:numPr>
          <w:ilvl w:val="0"/>
          <w:numId w:val="98"/>
        </w:numPr>
        <w:rPr>
          <w:rFonts w:ascii="Arial" w:cs="Arial" w:eastAsia="Arial" w:hAnsi="Arial"/>
          <w:sz w:val="14"/>
          <w:szCs w:val="14"/>
          <w:color w:val="auto"/>
        </w:rPr>
      </w:pPr>
      <w:r>
        <w:rPr>
          <w:rFonts w:ascii="Arial" w:cs="Arial" w:eastAsia="Arial" w:hAnsi="Arial"/>
          <w:sz w:val="14"/>
          <w:szCs w:val="14"/>
          <w:color w:val="auto"/>
        </w:rPr>
        <w:t>I have reviewed this Report on Form 10-Q of PennantPark Floating Rate Capital, Ltd.;</w:t>
      </w:r>
    </w:p>
    <w:p>
      <w:pPr>
        <w:spacing w:after="0" w:line="203" w:lineRule="exact"/>
        <w:rPr>
          <w:rFonts w:ascii="Arial" w:cs="Arial" w:eastAsia="Arial" w:hAnsi="Arial"/>
          <w:sz w:val="14"/>
          <w:szCs w:val="14"/>
          <w:color w:val="auto"/>
        </w:rPr>
      </w:pPr>
    </w:p>
    <w:p>
      <w:pPr>
        <w:ind w:right="580" w:firstLine="477"/>
        <w:spacing w:after="0" w:line="273" w:lineRule="auto"/>
        <w:tabs>
          <w:tab w:leader="none" w:pos="613" w:val="left"/>
        </w:tabs>
        <w:numPr>
          <w:ilvl w:val="0"/>
          <w:numId w:val="98"/>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0" w:lineRule="exact"/>
        <w:rPr>
          <w:rFonts w:ascii="Arial" w:cs="Arial" w:eastAsia="Arial" w:hAnsi="Arial"/>
          <w:sz w:val="14"/>
          <w:szCs w:val="14"/>
          <w:color w:val="auto"/>
        </w:rPr>
      </w:pPr>
    </w:p>
    <w:p>
      <w:pPr>
        <w:ind w:right="460" w:firstLine="477"/>
        <w:spacing w:after="0" w:line="273" w:lineRule="auto"/>
        <w:tabs>
          <w:tab w:leader="none" w:pos="613" w:val="left"/>
        </w:tabs>
        <w:numPr>
          <w:ilvl w:val="0"/>
          <w:numId w:val="98"/>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0" w:lineRule="exact"/>
        <w:rPr>
          <w:rFonts w:ascii="Arial" w:cs="Arial" w:eastAsia="Arial" w:hAnsi="Arial"/>
          <w:sz w:val="14"/>
          <w:szCs w:val="14"/>
          <w:color w:val="auto"/>
        </w:rPr>
      </w:pPr>
    </w:p>
    <w:p>
      <w:pPr>
        <w:ind w:right="60" w:firstLine="477"/>
        <w:spacing w:after="0" w:line="273" w:lineRule="auto"/>
        <w:tabs>
          <w:tab w:leader="none" w:pos="613" w:val="left"/>
        </w:tabs>
        <w:numPr>
          <w:ilvl w:val="0"/>
          <w:numId w:val="98"/>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0" w:lineRule="exact"/>
        <w:rPr>
          <w:rFonts w:ascii="Arial" w:cs="Arial" w:eastAsia="Arial" w:hAnsi="Arial"/>
          <w:sz w:val="14"/>
          <w:szCs w:val="14"/>
          <w:color w:val="auto"/>
        </w:rPr>
      </w:pPr>
    </w:p>
    <w:p>
      <w:pPr>
        <w:jc w:val="both"/>
        <w:ind w:right="480" w:firstLine="757"/>
        <w:spacing w:after="0" w:line="257" w:lineRule="auto"/>
        <w:tabs>
          <w:tab w:leader="none" w:pos="919" w:val="left"/>
        </w:tabs>
        <w:numPr>
          <w:ilvl w:val="1"/>
          <w:numId w:val="98"/>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1" w:lineRule="exact"/>
        <w:rPr>
          <w:rFonts w:ascii="Arial" w:cs="Arial" w:eastAsia="Arial" w:hAnsi="Arial"/>
          <w:sz w:val="14"/>
          <w:szCs w:val="14"/>
          <w:color w:val="auto"/>
        </w:rPr>
      </w:pPr>
    </w:p>
    <w:p>
      <w:pPr>
        <w:ind w:left="920" w:hanging="163"/>
        <w:spacing w:after="0"/>
        <w:tabs>
          <w:tab w:leader="none" w:pos="920" w:val="left"/>
        </w:tabs>
        <w:numPr>
          <w:ilvl w:val="1"/>
          <w:numId w:val="98"/>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w:t>
      </w:r>
    </w:p>
    <w:p>
      <w:pPr>
        <w:spacing w:after="0" w:line="13" w:lineRule="exact"/>
        <w:rPr>
          <w:sz w:val="20"/>
          <w:szCs w:val="20"/>
          <w:color w:val="auto"/>
        </w:rPr>
      </w:pPr>
    </w:p>
    <w:p>
      <w:pPr>
        <w:ind w:right="740"/>
        <w:spacing w:after="0" w:line="255" w:lineRule="auto"/>
        <w:rPr>
          <w:sz w:val="20"/>
          <w:szCs w:val="20"/>
          <w:color w:val="auto"/>
        </w:rPr>
      </w:pPr>
      <w:r>
        <w:rPr>
          <w:rFonts w:ascii="Arial" w:cs="Arial" w:eastAsia="Arial" w:hAnsi="Arial"/>
          <w:sz w:val="14"/>
          <w:szCs w:val="14"/>
          <w:color w:val="auto"/>
        </w:rPr>
        <w:t>reasonable assurance regarding the reliability of financial reporting and the preparation of financial statements for external purposes in accordance with generally accepted accounting principles;</w:t>
      </w:r>
    </w:p>
    <w:p>
      <w:pPr>
        <w:spacing w:after="0" w:line="172" w:lineRule="exact"/>
        <w:rPr>
          <w:sz w:val="20"/>
          <w:szCs w:val="20"/>
          <w:color w:val="auto"/>
        </w:rPr>
      </w:pPr>
    </w:p>
    <w:p>
      <w:pPr>
        <w:ind w:right="260" w:firstLine="757"/>
        <w:spacing w:after="0" w:line="273" w:lineRule="auto"/>
        <w:tabs>
          <w:tab w:leader="none" w:pos="897" w:val="left"/>
        </w:tabs>
        <w:numPr>
          <w:ilvl w:val="1"/>
          <w:numId w:val="99"/>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0" w:lineRule="exact"/>
        <w:rPr>
          <w:rFonts w:ascii="Arial" w:cs="Arial" w:eastAsia="Arial" w:hAnsi="Arial"/>
          <w:sz w:val="14"/>
          <w:szCs w:val="14"/>
          <w:color w:val="auto"/>
        </w:rPr>
      </w:pPr>
    </w:p>
    <w:p>
      <w:pPr>
        <w:ind w:right="380" w:firstLine="757"/>
        <w:spacing w:after="0" w:line="312" w:lineRule="auto"/>
        <w:tabs>
          <w:tab w:leader="none" w:pos="905" w:val="left"/>
        </w:tabs>
        <w:numPr>
          <w:ilvl w:val="1"/>
          <w:numId w:val="99"/>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7" w:lineRule="exact"/>
        <w:rPr>
          <w:rFonts w:ascii="Arial" w:cs="Arial" w:eastAsia="Arial" w:hAnsi="Arial"/>
          <w:sz w:val="13"/>
          <w:szCs w:val="13"/>
          <w:color w:val="auto"/>
        </w:rPr>
      </w:pPr>
    </w:p>
    <w:p>
      <w:pPr>
        <w:ind w:right="540" w:firstLine="477"/>
        <w:spacing w:after="0" w:line="273" w:lineRule="auto"/>
        <w:tabs>
          <w:tab w:leader="none" w:pos="613" w:val="left"/>
        </w:tabs>
        <w:numPr>
          <w:ilvl w:val="0"/>
          <w:numId w:val="100"/>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0" w:lineRule="exact"/>
        <w:rPr>
          <w:rFonts w:ascii="Arial" w:cs="Arial" w:eastAsia="Arial" w:hAnsi="Arial"/>
          <w:sz w:val="14"/>
          <w:szCs w:val="14"/>
          <w:color w:val="auto"/>
        </w:rPr>
      </w:pPr>
    </w:p>
    <w:p>
      <w:pPr>
        <w:ind w:right="420" w:firstLine="757"/>
        <w:spacing w:after="0" w:line="273" w:lineRule="auto"/>
        <w:tabs>
          <w:tab w:leader="none" w:pos="897" w:val="left"/>
        </w:tabs>
        <w:numPr>
          <w:ilvl w:val="1"/>
          <w:numId w:val="100"/>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0" w:lineRule="exact"/>
        <w:rPr>
          <w:rFonts w:ascii="Arial" w:cs="Arial" w:eastAsia="Arial" w:hAnsi="Arial"/>
          <w:sz w:val="14"/>
          <w:szCs w:val="14"/>
          <w:color w:val="auto"/>
        </w:rPr>
      </w:pPr>
    </w:p>
    <w:p>
      <w:pPr>
        <w:ind w:right="620" w:firstLine="757"/>
        <w:spacing w:after="0" w:line="553" w:lineRule="auto"/>
        <w:tabs>
          <w:tab w:leader="none" w:pos="904" w:val="left"/>
        </w:tabs>
        <w:numPr>
          <w:ilvl w:val="1"/>
          <w:numId w:val="100"/>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 Dated: August 3, 2022</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2846070" cy="825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71">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8" w:lineRule="exact"/>
        <w:rPr>
          <w:sz w:val="20"/>
          <w:szCs w:val="20"/>
          <w:color w:val="auto"/>
        </w:rPr>
      </w:pPr>
    </w:p>
    <w:p>
      <w:pPr>
        <w:ind w:left="20"/>
        <w:spacing w:after="0"/>
        <w:tabs>
          <w:tab w:leader="none" w:pos="560" w:val="left"/>
        </w:tabs>
        <w:rPr>
          <w:sz w:val="20"/>
          <w:szCs w:val="20"/>
          <w:color w:val="auto"/>
        </w:rPr>
      </w:pPr>
      <w:r>
        <w:rPr>
          <w:rFonts w:ascii="Arial" w:cs="Arial" w:eastAsia="Arial" w:hAnsi="Arial"/>
          <w:sz w:val="14"/>
          <w:szCs w:val="14"/>
          <w:color w:val="auto"/>
        </w:rPr>
        <w:t>Name:</w:t>
        <w:tab/>
        <w:t>Arthur H. Penn</w:t>
      </w:r>
    </w:p>
    <w:p>
      <w:pPr>
        <w:spacing w:after="0" w:line="21" w:lineRule="exact"/>
        <w:rPr>
          <w:sz w:val="20"/>
          <w:szCs w:val="20"/>
          <w:color w:val="auto"/>
        </w:rPr>
      </w:pPr>
    </w:p>
    <w:p>
      <w:pPr>
        <w:ind w:left="20"/>
        <w:spacing w:after="0"/>
        <w:tabs>
          <w:tab w:leader="none" w:pos="560" w:val="left"/>
        </w:tabs>
        <w:rPr>
          <w:sz w:val="20"/>
          <w:szCs w:val="20"/>
          <w:color w:val="auto"/>
        </w:rPr>
      </w:pPr>
      <w:r>
        <w:rPr>
          <w:rFonts w:ascii="Arial" w:cs="Arial" w:eastAsia="Arial" w:hAnsi="Arial"/>
          <w:sz w:val="14"/>
          <w:szCs w:val="14"/>
          <w:color w:val="auto"/>
        </w:rPr>
        <w:t>Title:</w:t>
      </w:r>
      <w:r>
        <w:rPr>
          <w:sz w:val="20"/>
          <w:szCs w:val="20"/>
          <w:color w:val="auto"/>
        </w:rPr>
        <w:tab/>
      </w:r>
      <w:r>
        <w:rPr>
          <w:rFonts w:ascii="Arial" w:cs="Arial" w:eastAsia="Arial" w:hAnsi="Arial"/>
          <w:sz w:val="14"/>
          <w:szCs w:val="14"/>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321310</wp:posOffset>
            </wp:positionV>
            <wp:extent cx="7157720" cy="4254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7" w:name="page148"/>
    <w:bookmarkEnd w:id="147"/>
    <w:p>
      <w:pPr>
        <w:jc w:val="right"/>
        <w:spacing w:after="0"/>
        <w:rPr>
          <w:sz w:val="20"/>
          <w:szCs w:val="20"/>
          <w:color w:val="auto"/>
        </w:rPr>
      </w:pPr>
      <w:r>
        <w:rPr>
          <w:rFonts w:ascii="Arial" w:cs="Arial" w:eastAsia="Arial" w:hAnsi="Arial"/>
          <w:sz w:val="14"/>
          <w:szCs w:val="14"/>
          <w:b w:val="1"/>
          <w:bCs w:val="1"/>
          <w:color w:val="auto"/>
        </w:rPr>
        <w:t>EXHIBIT 31.2</w:t>
      </w:r>
    </w:p>
    <w:p>
      <w:pPr>
        <w:spacing w:after="0" w:line="203" w:lineRule="exact"/>
        <w:rPr>
          <w:sz w:val="20"/>
          <w:szCs w:val="20"/>
          <w:color w:val="auto"/>
        </w:rPr>
      </w:pPr>
    </w:p>
    <w:p>
      <w:pPr>
        <w:ind w:left="4040"/>
        <w:spacing w:after="0"/>
        <w:rPr>
          <w:sz w:val="20"/>
          <w:szCs w:val="20"/>
          <w:color w:val="auto"/>
        </w:rPr>
      </w:pPr>
      <w:r>
        <w:rPr>
          <w:rFonts w:ascii="Arial" w:cs="Arial" w:eastAsia="Arial" w:hAnsi="Arial"/>
          <w:sz w:val="14"/>
          <w:szCs w:val="14"/>
          <w:b w:val="1"/>
          <w:bCs w:val="1"/>
          <w:color w:val="auto"/>
        </w:rPr>
        <w:t>CERTIFICATION PURSUANT TO SECTION 302</w:t>
      </w:r>
    </w:p>
    <w:p>
      <w:pPr>
        <w:spacing w:after="0" w:line="17" w:lineRule="exact"/>
        <w:rPr>
          <w:sz w:val="20"/>
          <w:szCs w:val="20"/>
          <w:color w:val="auto"/>
        </w:rPr>
      </w:pPr>
    </w:p>
    <w:p>
      <w:pPr>
        <w:ind w:left="4040"/>
        <w:spacing w:after="0"/>
        <w:rPr>
          <w:sz w:val="20"/>
          <w:szCs w:val="20"/>
          <w:color w:val="auto"/>
        </w:rPr>
      </w:pPr>
      <w:r>
        <w:rPr>
          <w:rFonts w:ascii="Arial" w:cs="Arial" w:eastAsia="Arial" w:hAnsi="Arial"/>
          <w:sz w:val="14"/>
          <w:szCs w:val="14"/>
          <w:b w:val="1"/>
          <w:bCs w:val="1"/>
          <w:color w:val="auto"/>
        </w:rPr>
        <w:t>CHIEF FINANCIAL OFFICER CERTIFICATION</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color w:val="auto"/>
        </w:rPr>
        <w:t>I, Richard T. Allorto, Jr., Chief Financial Officer of PennantPark Floating Rate Capital, Ltd., certify that:</w:t>
      </w:r>
    </w:p>
    <w:p>
      <w:pPr>
        <w:spacing w:after="0" w:line="204" w:lineRule="exact"/>
        <w:rPr>
          <w:sz w:val="20"/>
          <w:szCs w:val="20"/>
          <w:color w:val="auto"/>
        </w:rPr>
      </w:pPr>
    </w:p>
    <w:p>
      <w:pPr>
        <w:ind w:left="620" w:hanging="143"/>
        <w:spacing w:after="0"/>
        <w:tabs>
          <w:tab w:leader="none" w:pos="62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I have reviewed this Report on Form 10-Q of PennantPark Floating Rate Capital, Ltd.;</w:t>
      </w:r>
    </w:p>
    <w:p>
      <w:pPr>
        <w:spacing w:after="0" w:line="203" w:lineRule="exact"/>
        <w:rPr>
          <w:rFonts w:ascii="Arial" w:cs="Arial" w:eastAsia="Arial" w:hAnsi="Arial"/>
          <w:sz w:val="14"/>
          <w:szCs w:val="14"/>
          <w:color w:val="auto"/>
        </w:rPr>
      </w:pPr>
    </w:p>
    <w:p>
      <w:pPr>
        <w:ind w:right="580" w:firstLine="477"/>
        <w:spacing w:after="0" w:line="273" w:lineRule="auto"/>
        <w:tabs>
          <w:tab w:leader="none" w:pos="613" w:val="left"/>
        </w:tabs>
        <w:numPr>
          <w:ilvl w:val="0"/>
          <w:numId w:val="101"/>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0" w:lineRule="exact"/>
        <w:rPr>
          <w:rFonts w:ascii="Arial" w:cs="Arial" w:eastAsia="Arial" w:hAnsi="Arial"/>
          <w:sz w:val="14"/>
          <w:szCs w:val="14"/>
          <w:color w:val="auto"/>
        </w:rPr>
      </w:pPr>
    </w:p>
    <w:p>
      <w:pPr>
        <w:ind w:right="460" w:firstLine="477"/>
        <w:spacing w:after="0" w:line="273" w:lineRule="auto"/>
        <w:tabs>
          <w:tab w:leader="none" w:pos="613" w:val="left"/>
        </w:tabs>
        <w:numPr>
          <w:ilvl w:val="0"/>
          <w:numId w:val="101"/>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0" w:lineRule="exact"/>
        <w:rPr>
          <w:rFonts w:ascii="Arial" w:cs="Arial" w:eastAsia="Arial" w:hAnsi="Arial"/>
          <w:sz w:val="14"/>
          <w:szCs w:val="14"/>
          <w:color w:val="auto"/>
        </w:rPr>
      </w:pPr>
    </w:p>
    <w:p>
      <w:pPr>
        <w:ind w:right="600" w:firstLine="476"/>
        <w:spacing w:after="0" w:line="273" w:lineRule="auto"/>
        <w:tabs>
          <w:tab w:leader="none" w:pos="612" w:val="left"/>
        </w:tabs>
        <w:numPr>
          <w:ilvl w:val="0"/>
          <w:numId w:val="101"/>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0" w:lineRule="exact"/>
        <w:rPr>
          <w:rFonts w:ascii="Arial" w:cs="Arial" w:eastAsia="Arial" w:hAnsi="Arial"/>
          <w:sz w:val="14"/>
          <w:szCs w:val="14"/>
          <w:color w:val="auto"/>
        </w:rPr>
      </w:pPr>
    </w:p>
    <w:p>
      <w:pPr>
        <w:jc w:val="both"/>
        <w:ind w:right="480" w:firstLine="757"/>
        <w:spacing w:after="0" w:line="257" w:lineRule="auto"/>
        <w:tabs>
          <w:tab w:leader="none" w:pos="919" w:val="left"/>
        </w:tabs>
        <w:numPr>
          <w:ilvl w:val="1"/>
          <w:numId w:val="101"/>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1" w:lineRule="exact"/>
        <w:rPr>
          <w:rFonts w:ascii="Arial" w:cs="Arial" w:eastAsia="Arial" w:hAnsi="Arial"/>
          <w:sz w:val="14"/>
          <w:szCs w:val="14"/>
          <w:color w:val="auto"/>
        </w:rPr>
      </w:pPr>
    </w:p>
    <w:p>
      <w:pPr>
        <w:ind w:right="740" w:firstLine="757"/>
        <w:spacing w:after="0" w:line="257" w:lineRule="auto"/>
        <w:tabs>
          <w:tab w:leader="none" w:pos="905" w:val="left"/>
        </w:tabs>
        <w:numPr>
          <w:ilvl w:val="1"/>
          <w:numId w:val="101"/>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1" w:lineRule="exact"/>
        <w:rPr>
          <w:rFonts w:ascii="Arial" w:cs="Arial" w:eastAsia="Arial" w:hAnsi="Arial"/>
          <w:sz w:val="14"/>
          <w:szCs w:val="14"/>
          <w:color w:val="auto"/>
        </w:rPr>
      </w:pPr>
    </w:p>
    <w:p>
      <w:pPr>
        <w:ind w:right="260" w:firstLine="757"/>
        <w:spacing w:after="0" w:line="273" w:lineRule="auto"/>
        <w:tabs>
          <w:tab w:leader="none" w:pos="897" w:val="left"/>
        </w:tabs>
        <w:numPr>
          <w:ilvl w:val="1"/>
          <w:numId w:val="101"/>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0" w:lineRule="exact"/>
        <w:rPr>
          <w:rFonts w:ascii="Arial" w:cs="Arial" w:eastAsia="Arial" w:hAnsi="Arial"/>
          <w:sz w:val="14"/>
          <w:szCs w:val="14"/>
          <w:color w:val="auto"/>
        </w:rPr>
      </w:pPr>
    </w:p>
    <w:p>
      <w:pPr>
        <w:ind w:right="380" w:firstLine="757"/>
        <w:spacing w:after="0" w:line="312" w:lineRule="auto"/>
        <w:tabs>
          <w:tab w:leader="none" w:pos="905" w:val="left"/>
        </w:tabs>
        <w:numPr>
          <w:ilvl w:val="1"/>
          <w:numId w:val="101"/>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7" w:lineRule="exact"/>
        <w:rPr>
          <w:rFonts w:ascii="Arial" w:cs="Arial" w:eastAsia="Arial" w:hAnsi="Arial"/>
          <w:sz w:val="13"/>
          <w:szCs w:val="13"/>
          <w:color w:val="auto"/>
        </w:rPr>
      </w:pPr>
    </w:p>
    <w:p>
      <w:pPr>
        <w:ind w:right="540" w:firstLine="477"/>
        <w:spacing w:after="0" w:line="273" w:lineRule="auto"/>
        <w:tabs>
          <w:tab w:leader="none" w:pos="613" w:val="left"/>
        </w:tabs>
        <w:numPr>
          <w:ilvl w:val="0"/>
          <w:numId w:val="101"/>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0" w:lineRule="exact"/>
        <w:rPr>
          <w:rFonts w:ascii="Arial" w:cs="Arial" w:eastAsia="Arial" w:hAnsi="Arial"/>
          <w:sz w:val="14"/>
          <w:szCs w:val="14"/>
          <w:color w:val="auto"/>
        </w:rPr>
      </w:pPr>
    </w:p>
    <w:p>
      <w:pPr>
        <w:ind w:right="420" w:firstLine="757"/>
        <w:spacing w:after="0" w:line="273" w:lineRule="auto"/>
        <w:tabs>
          <w:tab w:leader="none" w:pos="897" w:val="left"/>
        </w:tabs>
        <w:numPr>
          <w:ilvl w:val="1"/>
          <w:numId w:val="101"/>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0" w:lineRule="exact"/>
        <w:rPr>
          <w:rFonts w:ascii="Arial" w:cs="Arial" w:eastAsia="Arial" w:hAnsi="Arial"/>
          <w:sz w:val="14"/>
          <w:szCs w:val="14"/>
          <w:color w:val="auto"/>
        </w:rPr>
      </w:pPr>
    </w:p>
    <w:p>
      <w:pPr>
        <w:ind w:right="620" w:firstLine="757"/>
        <w:spacing w:after="0" w:line="553" w:lineRule="auto"/>
        <w:tabs>
          <w:tab w:leader="none" w:pos="904" w:val="left"/>
        </w:tabs>
        <w:numPr>
          <w:ilvl w:val="1"/>
          <w:numId w:val="101"/>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 Dated: August 3, 2022</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auto"/>
        </w:rPr>
        <w:t>/s/ Richard T. Allorto,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2846070" cy="825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73">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8" w:lineRule="exact"/>
        <w:rPr>
          <w:sz w:val="20"/>
          <w:szCs w:val="20"/>
          <w:color w:val="auto"/>
        </w:rPr>
      </w:pPr>
    </w:p>
    <w:p>
      <w:pPr>
        <w:ind w:left="20"/>
        <w:spacing w:after="0"/>
        <w:tabs>
          <w:tab w:leader="none" w:pos="560" w:val="left"/>
        </w:tabs>
        <w:rPr>
          <w:sz w:val="20"/>
          <w:szCs w:val="20"/>
          <w:color w:val="auto"/>
        </w:rPr>
      </w:pPr>
      <w:r>
        <w:rPr>
          <w:rFonts w:ascii="Arial" w:cs="Arial" w:eastAsia="Arial" w:hAnsi="Arial"/>
          <w:sz w:val="14"/>
          <w:szCs w:val="14"/>
          <w:color w:val="auto"/>
        </w:rPr>
        <w:t>Name:</w:t>
        <w:tab/>
        <w:t>Richard T. Allorto, Jr.</w:t>
      </w:r>
    </w:p>
    <w:p>
      <w:pPr>
        <w:spacing w:after="0" w:line="21" w:lineRule="exact"/>
        <w:rPr>
          <w:sz w:val="20"/>
          <w:szCs w:val="20"/>
          <w:color w:val="auto"/>
        </w:rPr>
      </w:pPr>
    </w:p>
    <w:p>
      <w:pPr>
        <w:ind w:left="20"/>
        <w:spacing w:after="0"/>
        <w:tabs>
          <w:tab w:leader="none" w:pos="560" w:val="left"/>
        </w:tabs>
        <w:rPr>
          <w:sz w:val="20"/>
          <w:szCs w:val="20"/>
          <w:color w:val="auto"/>
        </w:rPr>
      </w:pPr>
      <w:r>
        <w:rPr>
          <w:rFonts w:ascii="Arial" w:cs="Arial" w:eastAsia="Arial" w:hAnsi="Arial"/>
          <w:sz w:val="14"/>
          <w:szCs w:val="14"/>
          <w:color w:val="auto"/>
        </w:rPr>
        <w:t>Title:</w:t>
      </w:r>
      <w:r>
        <w:rPr>
          <w:sz w:val="20"/>
          <w:szCs w:val="20"/>
          <w:color w:val="auto"/>
        </w:rPr>
        <w:tab/>
      </w:r>
      <w:r>
        <w:rPr>
          <w:rFonts w:ascii="Arial" w:cs="Arial" w:eastAsia="Arial" w:hAnsi="Arial"/>
          <w:sz w:val="14"/>
          <w:szCs w:val="14"/>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321310</wp:posOffset>
            </wp:positionV>
            <wp:extent cx="7157720" cy="4254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8" w:name="page149"/>
    <w:bookmarkEnd w:id="148"/>
    <w:p>
      <w:pPr>
        <w:jc w:val="right"/>
        <w:spacing w:after="0"/>
        <w:rPr>
          <w:sz w:val="20"/>
          <w:szCs w:val="20"/>
          <w:color w:val="auto"/>
        </w:rPr>
      </w:pPr>
      <w:r>
        <w:rPr>
          <w:rFonts w:ascii="Arial" w:cs="Arial" w:eastAsia="Arial" w:hAnsi="Arial"/>
          <w:sz w:val="14"/>
          <w:szCs w:val="14"/>
          <w:b w:val="1"/>
          <w:bCs w:val="1"/>
          <w:color w:val="auto"/>
        </w:rPr>
        <w:t>EXHIBIT 32.1</w:t>
      </w:r>
    </w:p>
    <w:p>
      <w:pPr>
        <w:spacing w:after="0" w:line="203"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CERTIFICATION OF CHIEF EXECUTIVE OFFICER</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SECTION 906 OF THE SARBANES-OXLEY ACT OF 2002 (18 U.S.C. 1350)</w:t>
      </w:r>
    </w:p>
    <w:p>
      <w:pPr>
        <w:spacing w:after="0" w:line="151" w:lineRule="exact"/>
        <w:rPr>
          <w:sz w:val="20"/>
          <w:szCs w:val="20"/>
          <w:color w:val="auto"/>
        </w:rPr>
      </w:pPr>
    </w:p>
    <w:p>
      <w:pPr>
        <w:ind w:right="20" w:firstLine="488"/>
        <w:spacing w:after="0" w:line="312" w:lineRule="auto"/>
        <w:rPr>
          <w:sz w:val="20"/>
          <w:szCs w:val="20"/>
          <w:color w:val="auto"/>
        </w:rPr>
      </w:pPr>
      <w:r>
        <w:rPr>
          <w:rFonts w:ascii="Arial" w:cs="Arial" w:eastAsia="Arial" w:hAnsi="Arial"/>
          <w:sz w:val="13"/>
          <w:szCs w:val="13"/>
          <w:color w:val="auto"/>
        </w:rPr>
        <w:t>In connection with this Report on Form 10-Q for the three and nine months ended June 30, 2022 (the “Report”) of PennantPark Floating Rate Capital, Ltd. (the “Registrant”), as filed with the Securities and Exchange Commission on the date hereof, I, Arthur H. Penn, Chief Executive Officer of the Registrant, hereby certify, to the best of my knowledge, that:</w:t>
      </w:r>
    </w:p>
    <w:p>
      <w:pPr>
        <w:spacing w:after="0" w:line="138" w:lineRule="exact"/>
        <w:rPr>
          <w:sz w:val="20"/>
          <w:szCs w:val="20"/>
          <w:color w:val="auto"/>
        </w:rPr>
      </w:pPr>
    </w:p>
    <w:p>
      <w:pPr>
        <w:ind w:left="780" w:hanging="284"/>
        <w:spacing w:after="0"/>
        <w:tabs>
          <w:tab w:leader="none" w:pos="78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as amended; and</w:t>
      </w:r>
    </w:p>
    <w:p>
      <w:pPr>
        <w:spacing w:after="0" w:line="203" w:lineRule="exact"/>
        <w:rPr>
          <w:rFonts w:ascii="Arial" w:cs="Arial" w:eastAsia="Arial" w:hAnsi="Arial"/>
          <w:sz w:val="14"/>
          <w:szCs w:val="14"/>
          <w:color w:val="auto"/>
        </w:rPr>
      </w:pPr>
    </w:p>
    <w:p>
      <w:pPr>
        <w:ind w:left="780" w:hanging="284"/>
        <w:spacing w:after="0"/>
        <w:tabs>
          <w:tab w:leader="none" w:pos="78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Registrant.</w:t>
      </w:r>
    </w:p>
    <w:p>
      <w:pPr>
        <w:spacing w:after="0" w:line="190" w:lineRule="exact"/>
        <w:rPr>
          <w:sz w:val="20"/>
          <w:szCs w:val="20"/>
          <w:color w:val="auto"/>
        </w:rPr>
      </w:pPr>
    </w:p>
    <w:p>
      <w:pPr>
        <w:ind w:left="20"/>
        <w:spacing w:after="0"/>
        <w:rPr>
          <w:sz w:val="20"/>
          <w:szCs w:val="20"/>
          <w:color w:val="auto"/>
        </w:rPr>
      </w:pPr>
      <w:r>
        <w:rPr>
          <w:rFonts w:ascii="Arial" w:cs="Arial" w:eastAsia="Arial" w:hAnsi="Arial"/>
          <w:sz w:val="14"/>
          <w:szCs w:val="14"/>
          <w:color w:val="auto"/>
        </w:rPr>
        <w:t>/s/ Arthur H. Penn</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50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Name:</w:t>
            </w:r>
          </w:p>
        </w:tc>
        <w:tc>
          <w:tcPr>
            <w:tcW w:w="3980" w:type="dxa"/>
            <w:vAlign w:val="bottom"/>
            <w:tcBorders>
              <w:top w:val="single" w:sz="8" w:color="auto"/>
            </w:tcBorders>
          </w:tcPr>
          <w:p>
            <w:pPr>
              <w:ind w:left="80"/>
              <w:spacing w:after="0"/>
              <w:rPr>
                <w:sz w:val="20"/>
                <w:szCs w:val="20"/>
                <w:color w:val="auto"/>
              </w:rPr>
            </w:pPr>
            <w:r>
              <w:rPr>
                <w:rFonts w:ascii="Arial" w:cs="Arial" w:eastAsia="Arial" w:hAnsi="Arial"/>
                <w:sz w:val="14"/>
                <w:szCs w:val="14"/>
                <w:color w:val="auto"/>
              </w:rPr>
              <w:t>Arthur H. Penn</w:t>
            </w:r>
          </w:p>
        </w:tc>
        <w:tc>
          <w:tcPr>
            <w:tcW w:w="6760" w:type="dxa"/>
            <w:vAlign w:val="bottom"/>
          </w:tcPr>
          <w:p>
            <w:pPr>
              <w:spacing w:after="0"/>
              <w:rPr>
                <w:sz w:val="14"/>
                <w:szCs w:val="14"/>
                <w:color w:val="auto"/>
              </w:rPr>
            </w:pPr>
          </w:p>
        </w:tc>
      </w:tr>
      <w:tr>
        <w:trPr>
          <w:trHeight w:val="176"/>
        </w:trPr>
        <w:tc>
          <w:tcPr>
            <w:tcW w:w="500" w:type="dxa"/>
            <w:vAlign w:val="bottom"/>
          </w:tcPr>
          <w:p>
            <w:pPr>
              <w:ind w:left="20"/>
              <w:spacing w:after="0"/>
              <w:rPr>
                <w:sz w:val="20"/>
                <w:szCs w:val="20"/>
                <w:color w:val="auto"/>
              </w:rPr>
            </w:pPr>
            <w:r>
              <w:rPr>
                <w:rFonts w:ascii="Arial" w:cs="Arial" w:eastAsia="Arial" w:hAnsi="Arial"/>
                <w:sz w:val="14"/>
                <w:szCs w:val="14"/>
                <w:color w:val="auto"/>
              </w:rPr>
              <w:t>Title:</w:t>
            </w:r>
          </w:p>
        </w:tc>
        <w:tc>
          <w:tcPr>
            <w:tcW w:w="3980" w:type="dxa"/>
            <w:vAlign w:val="bottom"/>
          </w:tcPr>
          <w:p>
            <w:pPr>
              <w:ind w:left="80"/>
              <w:spacing w:after="0"/>
              <w:rPr>
                <w:sz w:val="20"/>
                <w:szCs w:val="20"/>
                <w:color w:val="auto"/>
              </w:rPr>
            </w:pPr>
            <w:r>
              <w:rPr>
                <w:rFonts w:ascii="Arial" w:cs="Arial" w:eastAsia="Arial" w:hAnsi="Arial"/>
                <w:sz w:val="14"/>
                <w:szCs w:val="14"/>
                <w:color w:val="auto"/>
              </w:rPr>
              <w:t>Chief Executive Officer</w:t>
            </w:r>
          </w:p>
        </w:tc>
        <w:tc>
          <w:tcPr>
            <w:tcW w:w="6760" w:type="dxa"/>
            <w:vAlign w:val="bottom"/>
          </w:tcPr>
          <w:p>
            <w:pPr>
              <w:spacing w:after="0"/>
              <w:rPr>
                <w:sz w:val="15"/>
                <w:szCs w:val="15"/>
                <w:color w:val="auto"/>
              </w:rPr>
            </w:pPr>
          </w:p>
        </w:tc>
      </w:tr>
      <w:tr>
        <w:trPr>
          <w:trHeight w:val="182"/>
        </w:trPr>
        <w:tc>
          <w:tcPr>
            <w:tcW w:w="500" w:type="dxa"/>
            <w:vAlign w:val="bottom"/>
          </w:tcPr>
          <w:p>
            <w:pPr>
              <w:ind w:left="20"/>
              <w:spacing w:after="0"/>
              <w:rPr>
                <w:sz w:val="20"/>
                <w:szCs w:val="20"/>
                <w:color w:val="auto"/>
              </w:rPr>
            </w:pPr>
            <w:r>
              <w:rPr>
                <w:rFonts w:ascii="Arial" w:cs="Arial" w:eastAsia="Arial" w:hAnsi="Arial"/>
                <w:sz w:val="14"/>
                <w:szCs w:val="14"/>
                <w:color w:val="auto"/>
              </w:rPr>
              <w:t>Date:</w:t>
            </w:r>
          </w:p>
        </w:tc>
        <w:tc>
          <w:tcPr>
            <w:tcW w:w="3980" w:type="dxa"/>
            <w:vAlign w:val="bottom"/>
          </w:tcPr>
          <w:p>
            <w:pPr>
              <w:ind w:left="80"/>
              <w:spacing w:after="0"/>
              <w:rPr>
                <w:sz w:val="20"/>
                <w:szCs w:val="20"/>
                <w:color w:val="auto"/>
              </w:rPr>
            </w:pPr>
            <w:r>
              <w:rPr>
                <w:rFonts w:ascii="Arial" w:cs="Arial" w:eastAsia="Arial" w:hAnsi="Arial"/>
                <w:sz w:val="14"/>
                <w:szCs w:val="14"/>
                <w:color w:val="auto"/>
              </w:rPr>
              <w:t>August 3, 2022</w:t>
            </w:r>
          </w:p>
        </w:tc>
        <w:tc>
          <w:tcPr>
            <w:tcW w:w="6760" w:type="dxa"/>
            <w:vAlign w:val="bottom"/>
          </w:tcPr>
          <w:p>
            <w:pPr>
              <w:spacing w:after="0"/>
              <w:rPr>
                <w:sz w:val="15"/>
                <w:szCs w:val="15"/>
                <w:color w:val="auto"/>
              </w:rPr>
            </w:pPr>
          </w:p>
        </w:tc>
      </w:tr>
      <w:tr>
        <w:trPr>
          <w:trHeight w:val="492"/>
        </w:trPr>
        <w:tc>
          <w:tcPr>
            <w:tcW w:w="500" w:type="dxa"/>
            <w:vAlign w:val="bottom"/>
            <w:tcBorders>
              <w:bottom w:val="single" w:sz="8" w:color="9A9A9A"/>
            </w:tcBorders>
          </w:tcPr>
          <w:p>
            <w:pPr>
              <w:spacing w:after="0"/>
              <w:rPr>
                <w:sz w:val="24"/>
                <w:szCs w:val="24"/>
                <w:color w:val="auto"/>
              </w:rPr>
            </w:pPr>
          </w:p>
        </w:tc>
        <w:tc>
          <w:tcPr>
            <w:tcW w:w="3980" w:type="dxa"/>
            <w:vAlign w:val="bottom"/>
            <w:tcBorders>
              <w:bottom w:val="single" w:sz="8" w:color="9A9A9A"/>
            </w:tcBorders>
          </w:tcPr>
          <w:p>
            <w:pPr>
              <w:spacing w:after="0"/>
              <w:rPr>
                <w:sz w:val="24"/>
                <w:szCs w:val="24"/>
                <w:color w:val="auto"/>
              </w:rPr>
            </w:pPr>
          </w:p>
        </w:tc>
        <w:tc>
          <w:tcPr>
            <w:tcW w:w="6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9" w:name="page150"/>
    <w:bookmarkEnd w:id="149"/>
    <w:p>
      <w:pPr>
        <w:jc w:val="right"/>
        <w:spacing w:after="0"/>
        <w:rPr>
          <w:sz w:val="20"/>
          <w:szCs w:val="20"/>
          <w:color w:val="auto"/>
        </w:rPr>
      </w:pPr>
      <w:r>
        <w:rPr>
          <w:rFonts w:ascii="Arial" w:cs="Arial" w:eastAsia="Arial" w:hAnsi="Arial"/>
          <w:sz w:val="14"/>
          <w:szCs w:val="14"/>
          <w:b w:val="1"/>
          <w:bCs w:val="1"/>
          <w:color w:val="auto"/>
        </w:rPr>
        <w:t>EXHIBIT 32.2</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CHIEF FINANCIAL OFFICER</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SECTION 906 OF THE SARBANES-OXLEY ACT OF 2002 (18 U.S.C. 1350)</w:t>
      </w:r>
    </w:p>
    <w:p>
      <w:pPr>
        <w:spacing w:after="0" w:line="192" w:lineRule="exact"/>
        <w:rPr>
          <w:sz w:val="20"/>
          <w:szCs w:val="20"/>
          <w:color w:val="auto"/>
        </w:rPr>
      </w:pPr>
    </w:p>
    <w:p>
      <w:pPr>
        <w:ind w:right="20" w:firstLine="488"/>
        <w:spacing w:after="0" w:line="312" w:lineRule="auto"/>
        <w:rPr>
          <w:sz w:val="20"/>
          <w:szCs w:val="20"/>
          <w:color w:val="auto"/>
        </w:rPr>
      </w:pPr>
      <w:r>
        <w:rPr>
          <w:rFonts w:ascii="Arial" w:cs="Arial" w:eastAsia="Arial" w:hAnsi="Arial"/>
          <w:sz w:val="13"/>
          <w:szCs w:val="13"/>
          <w:color w:val="auto"/>
        </w:rPr>
        <w:t>In connection with this Report on Form 10-Q for the three and nine months ended June 30, 2022 (the “Report”) of PennantPark Floating Rate Capital, Ltd. (the “Registrant”), as filed with the Securities and Exchange Commission on the date hereof, I, Richard T. Allorto, Jr., Chief Financial Officer of the Registrant, hereby certify, to the best of my knowledge, that:</w:t>
      </w:r>
    </w:p>
    <w:p>
      <w:pPr>
        <w:spacing w:after="0" w:line="138" w:lineRule="exact"/>
        <w:rPr>
          <w:sz w:val="20"/>
          <w:szCs w:val="20"/>
          <w:color w:val="auto"/>
        </w:rPr>
      </w:pPr>
    </w:p>
    <w:p>
      <w:pPr>
        <w:ind w:left="780" w:hanging="284"/>
        <w:spacing w:after="0"/>
        <w:tabs>
          <w:tab w:leader="none" w:pos="78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as amended; and</w:t>
      </w:r>
    </w:p>
    <w:p>
      <w:pPr>
        <w:spacing w:after="0" w:line="203" w:lineRule="exact"/>
        <w:rPr>
          <w:rFonts w:ascii="Arial" w:cs="Arial" w:eastAsia="Arial" w:hAnsi="Arial"/>
          <w:sz w:val="14"/>
          <w:szCs w:val="14"/>
          <w:color w:val="auto"/>
        </w:rPr>
      </w:pPr>
    </w:p>
    <w:p>
      <w:pPr>
        <w:ind w:left="780" w:hanging="284"/>
        <w:spacing w:after="0"/>
        <w:tabs>
          <w:tab w:leader="none" w:pos="78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Registrant.</w:t>
      </w:r>
    </w:p>
    <w:p>
      <w:pPr>
        <w:spacing w:after="0" w:line="217" w:lineRule="exact"/>
        <w:rPr>
          <w:sz w:val="20"/>
          <w:szCs w:val="20"/>
          <w:color w:val="auto"/>
        </w:rPr>
      </w:pPr>
    </w:p>
    <w:p>
      <w:pPr>
        <w:ind w:left="20"/>
        <w:spacing w:after="0"/>
        <w:rPr>
          <w:sz w:val="20"/>
          <w:szCs w:val="20"/>
          <w:color w:val="auto"/>
        </w:rPr>
      </w:pPr>
      <w:r>
        <w:rPr>
          <w:rFonts w:ascii="Arial" w:cs="Arial" w:eastAsia="Arial" w:hAnsi="Arial"/>
          <w:sz w:val="14"/>
          <w:szCs w:val="14"/>
          <w:color w:val="auto"/>
        </w:rPr>
        <w:t>/s/ Richard T. Allorto, Jr.</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64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Name:</w:t>
            </w:r>
          </w:p>
        </w:tc>
        <w:tc>
          <w:tcPr>
            <w:tcW w:w="3840" w:type="dxa"/>
            <w:vAlign w:val="bottom"/>
            <w:tcBorders>
              <w:top w:val="single" w:sz="8" w:color="auto"/>
            </w:tcBorders>
          </w:tcPr>
          <w:p>
            <w:pPr>
              <w:ind w:left="240"/>
              <w:spacing w:after="0"/>
              <w:rPr>
                <w:sz w:val="20"/>
                <w:szCs w:val="20"/>
                <w:color w:val="auto"/>
              </w:rPr>
            </w:pPr>
            <w:r>
              <w:rPr>
                <w:rFonts w:ascii="Arial" w:cs="Arial" w:eastAsia="Arial" w:hAnsi="Arial"/>
                <w:sz w:val="14"/>
                <w:szCs w:val="14"/>
                <w:color w:val="auto"/>
              </w:rPr>
              <w:t>Richard T. Allorto, Jr.</w:t>
            </w:r>
          </w:p>
        </w:tc>
        <w:tc>
          <w:tcPr>
            <w:tcW w:w="6760" w:type="dxa"/>
            <w:vAlign w:val="bottom"/>
          </w:tcPr>
          <w:p>
            <w:pPr>
              <w:spacing w:after="0"/>
              <w:rPr>
                <w:sz w:val="14"/>
                <w:szCs w:val="14"/>
                <w:color w:val="auto"/>
              </w:rPr>
            </w:pPr>
          </w:p>
        </w:tc>
      </w:tr>
      <w:tr>
        <w:trPr>
          <w:trHeight w:val="176"/>
        </w:trPr>
        <w:tc>
          <w:tcPr>
            <w:tcW w:w="640" w:type="dxa"/>
            <w:vAlign w:val="bottom"/>
          </w:tcPr>
          <w:p>
            <w:pPr>
              <w:ind w:left="20"/>
              <w:spacing w:after="0"/>
              <w:rPr>
                <w:sz w:val="20"/>
                <w:szCs w:val="20"/>
                <w:color w:val="auto"/>
              </w:rPr>
            </w:pPr>
            <w:r>
              <w:rPr>
                <w:rFonts w:ascii="Arial" w:cs="Arial" w:eastAsia="Arial" w:hAnsi="Arial"/>
                <w:sz w:val="14"/>
                <w:szCs w:val="14"/>
                <w:color w:val="auto"/>
              </w:rPr>
              <w:t>Title:</w:t>
            </w:r>
          </w:p>
        </w:tc>
        <w:tc>
          <w:tcPr>
            <w:tcW w:w="3840" w:type="dxa"/>
            <w:vAlign w:val="bottom"/>
          </w:tcPr>
          <w:p>
            <w:pPr>
              <w:ind w:left="240"/>
              <w:spacing w:after="0"/>
              <w:rPr>
                <w:sz w:val="20"/>
                <w:szCs w:val="20"/>
                <w:color w:val="auto"/>
              </w:rPr>
            </w:pPr>
            <w:r>
              <w:rPr>
                <w:rFonts w:ascii="Arial" w:cs="Arial" w:eastAsia="Arial" w:hAnsi="Arial"/>
                <w:sz w:val="14"/>
                <w:szCs w:val="14"/>
                <w:color w:val="auto"/>
              </w:rPr>
              <w:t>Chief Financial Officer</w:t>
            </w:r>
          </w:p>
        </w:tc>
        <w:tc>
          <w:tcPr>
            <w:tcW w:w="6760" w:type="dxa"/>
            <w:vAlign w:val="bottom"/>
          </w:tcPr>
          <w:p>
            <w:pPr>
              <w:spacing w:after="0"/>
              <w:rPr>
                <w:sz w:val="15"/>
                <w:szCs w:val="15"/>
                <w:color w:val="auto"/>
              </w:rPr>
            </w:pPr>
          </w:p>
        </w:tc>
      </w:tr>
      <w:tr>
        <w:trPr>
          <w:trHeight w:val="182"/>
        </w:trPr>
        <w:tc>
          <w:tcPr>
            <w:tcW w:w="640" w:type="dxa"/>
            <w:vAlign w:val="bottom"/>
          </w:tcPr>
          <w:p>
            <w:pPr>
              <w:ind w:left="20"/>
              <w:spacing w:after="0"/>
              <w:rPr>
                <w:sz w:val="20"/>
                <w:szCs w:val="20"/>
                <w:color w:val="auto"/>
              </w:rPr>
            </w:pPr>
            <w:r>
              <w:rPr>
                <w:rFonts w:ascii="Arial" w:cs="Arial" w:eastAsia="Arial" w:hAnsi="Arial"/>
                <w:sz w:val="14"/>
                <w:szCs w:val="14"/>
                <w:color w:val="auto"/>
              </w:rPr>
              <w:t>Date:</w:t>
            </w:r>
          </w:p>
        </w:tc>
        <w:tc>
          <w:tcPr>
            <w:tcW w:w="3840" w:type="dxa"/>
            <w:vAlign w:val="bottom"/>
          </w:tcPr>
          <w:p>
            <w:pPr>
              <w:ind w:left="240"/>
              <w:spacing w:after="0"/>
              <w:rPr>
                <w:sz w:val="20"/>
                <w:szCs w:val="20"/>
                <w:color w:val="auto"/>
              </w:rPr>
            </w:pPr>
            <w:r>
              <w:rPr>
                <w:rFonts w:ascii="Arial" w:cs="Arial" w:eastAsia="Arial" w:hAnsi="Arial"/>
                <w:sz w:val="14"/>
                <w:szCs w:val="14"/>
                <w:color w:val="auto"/>
              </w:rPr>
              <w:t>August 3, 2022</w:t>
            </w:r>
          </w:p>
        </w:tc>
        <w:tc>
          <w:tcPr>
            <w:tcW w:w="6760" w:type="dxa"/>
            <w:vAlign w:val="bottom"/>
          </w:tcPr>
          <w:p>
            <w:pPr>
              <w:spacing w:after="0"/>
              <w:rPr>
                <w:sz w:val="15"/>
                <w:szCs w:val="15"/>
                <w:color w:val="auto"/>
              </w:rPr>
            </w:pPr>
          </w:p>
        </w:tc>
      </w:tr>
      <w:tr>
        <w:trPr>
          <w:trHeight w:val="518"/>
        </w:trPr>
        <w:tc>
          <w:tcPr>
            <w:tcW w:w="640" w:type="dxa"/>
            <w:vAlign w:val="bottom"/>
            <w:tcBorders>
              <w:bottom w:val="single" w:sz="8" w:color="9A9A9A"/>
            </w:tcBorders>
          </w:tcPr>
          <w:p>
            <w:pPr>
              <w:spacing w:after="0"/>
              <w:rPr>
                <w:sz w:val="24"/>
                <w:szCs w:val="24"/>
                <w:color w:val="auto"/>
              </w:rPr>
            </w:pPr>
          </w:p>
        </w:tc>
        <w:tc>
          <w:tcPr>
            <w:tcW w:w="3840" w:type="dxa"/>
            <w:vAlign w:val="bottom"/>
            <w:tcBorders>
              <w:bottom w:val="single" w:sz="8" w:color="9A9A9A"/>
            </w:tcBorders>
          </w:tcPr>
          <w:p>
            <w:pPr>
              <w:spacing w:after="0"/>
              <w:rPr>
                <w:sz w:val="24"/>
                <w:szCs w:val="24"/>
                <w:color w:val="auto"/>
              </w:rPr>
            </w:pPr>
          </w:p>
        </w:tc>
        <w:tc>
          <w:tcPr>
            <w:tcW w:w="6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C6C33A"/>
    <w:multiLevelType w:val="hybridMultilevel"/>
    <w:lvl w:ilvl="0">
      <w:lvlJc w:val="left"/>
      <w:lvlText w:val="☒"/>
      <w:numFmt w:val="bullet"/>
      <w:start w:val="1"/>
    </w:lvl>
  </w:abstractNum>
  <w:abstractNum w:abstractNumId="1">
    <w:nsid w:val="12E685FB"/>
    <w:multiLevelType w:val="hybridMultilevel"/>
    <w:lvl w:ilvl="0">
      <w:lvlJc w:val="left"/>
      <w:lvlText w:val="☐"/>
      <w:numFmt w:val="bullet"/>
      <w:start w:val="1"/>
    </w:lvl>
  </w:abstractNum>
  <w:abstractNum w:abstractNumId="2">
    <w:nsid w:val="70C6A529"/>
    <w:multiLevelType w:val="hybridMultilevel"/>
    <w:lvl w:ilvl="0">
      <w:lvlJc w:val="left"/>
      <w:lvlText w:val="(%1)"/>
      <w:numFmt w:val="decimal"/>
      <w:start w:val="1"/>
    </w:lvl>
  </w:abstractNum>
  <w:abstractNum w:abstractNumId="3">
    <w:nsid w:val="520EEDD1"/>
    <w:multiLevelType w:val="hybridMultilevel"/>
    <w:lvl w:ilvl="0">
      <w:lvlJc w:val="left"/>
      <w:lvlText w:val="(%1)"/>
      <w:numFmt w:val="decimal"/>
      <w:start w:val="1"/>
    </w:lvl>
  </w:abstractNum>
  <w:abstractNum w:abstractNumId="4">
    <w:nsid w:val="374A3FE6"/>
    <w:multiLevelType w:val="hybridMultilevel"/>
    <w:lvl w:ilvl="0">
      <w:lvlJc w:val="left"/>
      <w:lvlText w:val="(%1)"/>
      <w:numFmt w:val="decimal"/>
      <w:start w:val="1"/>
    </w:lvl>
  </w:abstractNum>
  <w:abstractNum w:abstractNumId="5">
    <w:nsid w:val="4F4EF005"/>
    <w:multiLevelType w:val="hybridMultilevel"/>
    <w:lvl w:ilvl="0">
      <w:lvlJc w:val="left"/>
      <w:lvlText w:val="(%1)"/>
      <w:numFmt w:val="lowerLetter"/>
      <w:start w:val="5"/>
    </w:lvl>
    <w:lvl w:ilvl="1">
      <w:lvlJc w:val="left"/>
      <w:lvlText w:val="%2."/>
      <w:numFmt w:val="decimal"/>
      <w:start w:val="1"/>
    </w:lvl>
  </w:abstractNum>
  <w:abstractNum w:abstractNumId="6">
    <w:nsid w:val="23F9C13C"/>
    <w:multiLevelType w:val="hybridMultilevel"/>
    <w:lvl w:ilvl="0">
      <w:lvlJc w:val="left"/>
      <w:lvlText w:val="%1."/>
      <w:numFmt w:val="decimal"/>
      <w:start w:val="3"/>
    </w:lvl>
    <w:lvl w:ilvl="1">
      <w:lvlJc w:val="left"/>
      <w:lvlText w:val="(%2)"/>
      <w:numFmt w:val="lowerLetter"/>
      <w:start w:val="1"/>
    </w:lvl>
  </w:abstractNum>
  <w:abstractNum w:abstractNumId="7">
    <w:nsid w:val="649BB77C"/>
    <w:multiLevelType w:val="hybridMultilevel"/>
    <w:lvl w:ilvl="0">
      <w:lvlJc w:val="left"/>
      <w:lvlText w:val="(%1)"/>
      <w:numFmt w:val="decimal"/>
      <w:start w:val="1"/>
    </w:lvl>
  </w:abstractNum>
  <w:abstractNum w:abstractNumId="8">
    <w:nsid w:val="275AC794"/>
    <w:multiLevelType w:val="hybridMultilevel"/>
    <w:lvl w:ilvl="0">
      <w:lvlJc w:val="left"/>
      <w:lvlText w:val="(%1)"/>
      <w:numFmt w:val="decimal"/>
      <w:start w:val="1"/>
    </w:lvl>
  </w:abstractNum>
  <w:abstractNum w:abstractNumId="9">
    <w:nsid w:val="39386575"/>
    <w:multiLevelType w:val="hybridMultilevel"/>
    <w:lvl w:ilvl="0">
      <w:lvlJc w:val="left"/>
      <w:lvlText w:val="(%1)"/>
      <w:numFmt w:val="decimal"/>
      <w:start w:val="1"/>
    </w:lvl>
  </w:abstractNum>
  <w:abstractNum w:abstractNumId="10">
    <w:nsid w:val="1CF10FD8"/>
    <w:multiLevelType w:val="hybridMultilevel"/>
    <w:lvl w:ilvl="0">
      <w:lvlJc w:val="left"/>
      <w:lvlText w:val="(%1)"/>
      <w:numFmt w:val="decimal"/>
      <w:start w:val="1"/>
    </w:lvl>
  </w:abstractNum>
  <w:abstractNum w:abstractNumId="11">
    <w:nsid w:val="180115BE"/>
    <w:multiLevelType w:val="hybridMultilevel"/>
    <w:lvl w:ilvl="0">
      <w:lvlJc w:val="left"/>
      <w:lvlText w:val="(%1)"/>
      <w:numFmt w:val="decimal"/>
      <w:start w:val="1"/>
    </w:lvl>
  </w:abstractNum>
  <w:abstractNum w:abstractNumId="12">
    <w:nsid w:val="235BA861"/>
    <w:multiLevelType w:val="hybridMultilevel"/>
    <w:lvl w:ilvl="0">
      <w:lvlJc w:val="left"/>
      <w:lvlText w:val="(%1)"/>
      <w:numFmt w:val="decimal"/>
      <w:start w:val="1"/>
    </w:lvl>
  </w:abstractNum>
  <w:abstractNum w:abstractNumId="13">
    <w:nsid w:val="47398C89"/>
    <w:multiLevelType w:val="hybridMultilevel"/>
    <w:lvl w:ilvl="0">
      <w:lvlJc w:val="left"/>
      <w:lvlText w:val="(%1)"/>
      <w:numFmt w:val="decimal"/>
      <w:start w:val="1"/>
    </w:lvl>
  </w:abstractNum>
  <w:abstractNum w:abstractNumId="14">
    <w:nsid w:val="354FE9F9"/>
    <w:multiLevelType w:val="hybridMultilevel"/>
    <w:lvl w:ilvl="0">
      <w:lvlJc w:val="left"/>
      <w:lvlText w:val="*"/>
      <w:numFmt w:val="bullet"/>
      <w:start w:val="1"/>
    </w:lvl>
  </w:abstractNum>
  <w:abstractNum w:abstractNumId="15">
    <w:nsid w:val="15B5AF5C"/>
    <w:multiLevelType w:val="hybridMultilevel"/>
    <w:lvl w:ilvl="0">
      <w:lvlJc w:val="left"/>
      <w:lvlText w:val="*"/>
      <w:numFmt w:val="bullet"/>
      <w:start w:val="1"/>
    </w:lvl>
  </w:abstractNum>
  <w:abstractNum w:abstractNumId="16">
    <w:nsid w:val="741226BB"/>
    <w:multiLevelType w:val="hybridMultilevel"/>
    <w:lvl w:ilvl="0">
      <w:lvlJc w:val="left"/>
      <w:lvlText w:val="(%1)"/>
      <w:numFmt w:val="decimal"/>
      <w:start w:val="1"/>
    </w:lvl>
  </w:abstractNum>
  <w:abstractNum w:abstractNumId="17">
    <w:nsid w:val="D34B6A8"/>
    <w:multiLevelType w:val="hybridMultilevel"/>
    <w:lvl w:ilvl="0">
      <w:lvlJc w:val="left"/>
      <w:lvlText w:val="•"/>
      <w:numFmt w:val="bullet"/>
      <w:start w:val="1"/>
    </w:lvl>
  </w:abstractNum>
  <w:abstractNum w:abstractNumId="18">
    <w:nsid w:val="10233C99"/>
    <w:multiLevelType w:val="hybridMultilevel"/>
    <w:lvl w:ilvl="0">
      <w:lvlJc w:val="left"/>
      <w:lvlText w:val="•"/>
      <w:numFmt w:val="bullet"/>
      <w:start w:val="1"/>
    </w:lvl>
  </w:abstractNum>
  <w:abstractNum w:abstractNumId="19">
    <w:nsid w:val="3F6AB60F"/>
    <w:multiLevelType w:val="hybridMultilevel"/>
    <w:lvl w:ilvl="0">
      <w:lvlJc w:val="left"/>
      <w:lvlText w:val="•"/>
      <w:numFmt w:val="bullet"/>
      <w:start w:val="1"/>
    </w:lvl>
  </w:abstractNum>
  <w:abstractNum w:abstractNumId="20">
    <w:nsid w:val="61574095"/>
    <w:multiLevelType w:val="hybridMultilevel"/>
    <w:lvl w:ilvl="0">
      <w:lvlJc w:val="left"/>
      <w:lvlText w:val="•"/>
      <w:numFmt w:val="bullet"/>
      <w:start w:val="1"/>
    </w:lvl>
  </w:abstractNum>
  <w:abstractNum w:abstractNumId="21">
    <w:nsid w:val="7E0C57B1"/>
    <w:multiLevelType w:val="hybridMultilevel"/>
    <w:lvl w:ilvl="0">
      <w:lvlJc w:val="left"/>
      <w:lvlText w:val="(%1)"/>
      <w:numFmt w:val="decimal"/>
      <w:start w:val="1"/>
    </w:lvl>
  </w:abstractNum>
  <w:abstractNum w:abstractNumId="22">
    <w:nsid w:val="77AE35EB"/>
    <w:multiLevelType w:val="hybridMultilevel"/>
    <w:lvl w:ilvl="0">
      <w:lvlJc w:val="left"/>
      <w:lvlText w:val="%1."/>
      <w:numFmt w:val="decimal"/>
      <w:start w:val="1"/>
    </w:lvl>
  </w:abstractNum>
  <w:abstractNum w:abstractNumId="23">
    <w:nsid w:val="579BE4F1"/>
    <w:multiLevelType w:val="hybridMultilevel"/>
    <w:lvl w:ilvl="0">
      <w:lvlJc w:val="left"/>
      <w:lvlText w:val="(%1)"/>
      <w:numFmt w:val="decimal"/>
      <w:start w:val="1"/>
    </w:lvl>
  </w:abstractNum>
  <w:abstractNum w:abstractNumId="24">
    <w:nsid w:val="310C50B3"/>
    <w:multiLevelType w:val="hybridMultilevel"/>
    <w:lvl w:ilvl="0">
      <w:lvlJc w:val="left"/>
      <w:lvlText w:val="(%1)"/>
      <w:numFmt w:val="decimal"/>
      <w:start w:val="1"/>
    </w:lvl>
  </w:abstractNum>
  <w:abstractNum w:abstractNumId="25">
    <w:nsid w:val="5FF87E05"/>
    <w:multiLevelType w:val="hybridMultilevel"/>
    <w:lvl w:ilvl="0">
      <w:lvlJc w:val="left"/>
      <w:lvlText w:val="(%1)"/>
      <w:numFmt w:val="decimal"/>
      <w:start w:val="1"/>
    </w:lvl>
  </w:abstractNum>
  <w:abstractNum w:abstractNumId="26">
    <w:nsid w:val="2F305DEF"/>
    <w:multiLevelType w:val="hybridMultilevel"/>
    <w:lvl w:ilvl="0">
      <w:lvlJc w:val="left"/>
      <w:lvlText w:val="(%1)"/>
      <w:numFmt w:val="decimal"/>
      <w:start w:val="1"/>
    </w:lvl>
  </w:abstractNum>
  <w:abstractNum w:abstractNumId="27">
    <w:nsid w:val="25A70BF7"/>
    <w:multiLevelType w:val="hybridMultilevel"/>
    <w:lvl w:ilvl="0">
      <w:lvlJc w:val="left"/>
      <w:lvlText w:val="%1."/>
      <w:numFmt w:val="decimal"/>
      <w:start w:val="1"/>
    </w:lvl>
    <w:lvl w:ilvl="1">
      <w:lvlJc w:val="left"/>
      <w:lvlText w:val="(%2)"/>
      <w:numFmt w:val="lowerLetter"/>
      <w:start w:val="1"/>
    </w:lvl>
  </w:abstractNum>
  <w:abstractNum w:abstractNumId="28">
    <w:nsid w:val="1DBABF00"/>
    <w:multiLevelType w:val="hybridMultilevel"/>
    <w:lvl w:ilvl="0">
      <w:lvlJc w:val="left"/>
      <w:lvlText w:val="%1."/>
      <w:numFmt w:val="decimal"/>
      <w:start w:val="2"/>
    </w:lvl>
  </w:abstractNum>
  <w:abstractNum w:abstractNumId="29">
    <w:nsid w:val="4AD084E9"/>
    <w:multiLevelType w:val="hybridMultilevel"/>
    <w:lvl w:ilvl="0">
      <w:lvlJc w:val="left"/>
      <w:lvlText w:val="%1."/>
      <w:numFmt w:val="decimal"/>
      <w:start w:val="3"/>
    </w:lvl>
  </w:abstractNum>
  <w:abstractNum w:abstractNumId="30">
    <w:nsid w:val="1F48EAA1"/>
    <w:multiLevelType w:val="hybridMultilevel"/>
    <w:lvl w:ilvl="0">
      <w:lvlJc w:val="left"/>
      <w:lvlText w:val="%1."/>
      <w:numFmt w:val="decimal"/>
      <w:start w:val="4"/>
    </w:lvl>
  </w:abstractNum>
  <w:abstractNum w:abstractNumId="31">
    <w:nsid w:val="1381823A"/>
    <w:multiLevelType w:val="hybridMultilevel"/>
    <w:lvl w:ilvl="0">
      <w:lvlJc w:val="left"/>
      <w:lvlText w:val="%1."/>
      <w:numFmt w:val="decimal"/>
      <w:start w:val="5"/>
    </w:lvl>
  </w:abstractNum>
  <w:abstractNum w:abstractNumId="32">
    <w:nsid w:val="5DB70AE5"/>
    <w:multiLevelType w:val="hybridMultilevel"/>
    <w:lvl w:ilvl="0">
      <w:lvlJc w:val="left"/>
      <w:lvlText w:val="%1."/>
      <w:numFmt w:val="decimal"/>
      <w:start w:val="6"/>
    </w:lvl>
  </w:abstractNum>
  <w:abstractNum w:abstractNumId="33">
    <w:nsid w:val="100F8FCA"/>
    <w:multiLevelType w:val="hybridMultilevel"/>
    <w:lvl w:ilvl="0">
      <w:lvlJc w:val="left"/>
      <w:lvlText w:val="%1."/>
      <w:numFmt w:val="decimal"/>
      <w:start w:val="7"/>
    </w:lvl>
  </w:abstractNum>
  <w:abstractNum w:abstractNumId="34">
    <w:nsid w:val="6590700B"/>
    <w:multiLevelType w:val="hybridMultilevel"/>
    <w:lvl w:ilvl="0">
      <w:lvlJc w:val="left"/>
      <w:lvlText w:val="%1."/>
      <w:numFmt w:val="decimal"/>
      <w:start w:val="8"/>
    </w:lvl>
  </w:abstractNum>
  <w:abstractNum w:abstractNumId="35">
    <w:nsid w:val="15014ACB"/>
    <w:multiLevelType w:val="hybridMultilevel"/>
    <w:lvl w:ilvl="0">
      <w:lvlJc w:val="left"/>
      <w:lvlText w:val="%1."/>
      <w:numFmt w:val="decimal"/>
      <w:start w:val="9"/>
    </w:lvl>
  </w:abstractNum>
  <w:abstractNum w:abstractNumId="36">
    <w:nsid w:val="5F5E7FD0"/>
    <w:multiLevelType w:val="hybridMultilevel"/>
    <w:lvl w:ilvl="0">
      <w:lvlJc w:val="left"/>
      <w:lvlText w:val="%1."/>
      <w:numFmt w:val="decimal"/>
      <w:start w:val="10"/>
    </w:lvl>
  </w:abstractNum>
  <w:abstractNum w:abstractNumId="37">
    <w:nsid w:val="98A3148"/>
    <w:multiLevelType w:val="hybridMultilevel"/>
    <w:lvl w:ilvl="0">
      <w:lvlJc w:val="left"/>
      <w:lvlText w:val="%1."/>
      <w:numFmt w:val="decimal"/>
      <w:start w:val="11"/>
    </w:lvl>
  </w:abstractNum>
  <w:abstractNum w:abstractNumId="38">
    <w:nsid w:val="799D0247"/>
    <w:multiLevelType w:val="hybridMultilevel"/>
    <w:lvl w:ilvl="0">
      <w:lvlJc w:val="left"/>
      <w:lvlText w:val="%1"/>
      <w:numFmt w:val="decimal"/>
      <w:start w:val="1"/>
    </w:lvl>
    <w:lvl w:ilvl="1">
      <w:lvlJc w:val="left"/>
      <w:lvlText w:val="(%2)"/>
      <w:numFmt w:val="lowerRoman"/>
      <w:start w:val="2"/>
    </w:lvl>
  </w:abstractNum>
  <w:abstractNum w:abstractNumId="39">
    <w:nsid w:val="6B94764"/>
    <w:multiLevelType w:val="hybridMultilevel"/>
    <w:lvl w:ilvl="0">
      <w:lvlJc w:val="left"/>
      <w:lvlText w:val="%1)"/>
      <w:numFmt w:val="decimal"/>
      <w:start w:val="433"/>
    </w:lvl>
    <w:lvl w:ilvl="1">
      <w:lvlJc w:val="left"/>
      <w:lvlText w:val="(%2)"/>
      <w:numFmt w:val="lowerRoman"/>
      <w:start w:val="3"/>
    </w:lvl>
  </w:abstractNum>
  <w:abstractNum w:abstractNumId="40">
    <w:nsid w:val="42C296BD"/>
    <w:multiLevelType w:val="hybridMultilevel"/>
    <w:lvl w:ilvl="0">
      <w:lvlJc w:val="left"/>
      <w:lvlText w:val="(%1)"/>
      <w:numFmt w:val="lowerRoman"/>
      <w:start w:val="5"/>
    </w:lvl>
  </w:abstractNum>
  <w:abstractNum w:abstractNumId="41">
    <w:nsid w:val="168E121F"/>
    <w:multiLevelType w:val="hybridMultilevel"/>
    <w:lvl w:ilvl="0">
      <w:lvlJc w:val="left"/>
      <w:lvlText w:val="(%1)"/>
      <w:numFmt w:val="lowerRoman"/>
      <w:start w:val="9"/>
    </w:lvl>
  </w:abstractNum>
  <w:abstractNum w:abstractNumId="42">
    <w:nsid w:val="1EBA5D23"/>
    <w:multiLevelType w:val="hybridMultilevel"/>
    <w:lvl w:ilvl="0">
      <w:lvlJc w:val="left"/>
      <w:lvlText w:val="(%1)"/>
      <w:numFmt w:val="lowerRoman"/>
      <w:start w:val="12"/>
    </w:lvl>
  </w:abstractNum>
  <w:abstractNum w:abstractNumId="43">
    <w:nsid w:val="661E3F1E"/>
    <w:multiLevelType w:val="hybridMultilevel"/>
    <w:lvl w:ilvl="0">
      <w:lvlJc w:val="left"/>
      <w:lvlText w:val="(%1)"/>
      <w:numFmt w:val="lowerRoman"/>
      <w:start w:val="17"/>
    </w:lvl>
  </w:abstractNum>
  <w:abstractNum w:abstractNumId="44">
    <w:nsid w:val="5DC79EA8"/>
    <w:multiLevelType w:val="hybridMultilevel"/>
    <w:lvl w:ilvl="0">
      <w:lvlJc w:val="left"/>
      <w:lvlText w:val="(%1)"/>
      <w:numFmt w:val="lowerRoman"/>
      <w:start w:val="21"/>
    </w:lvl>
  </w:abstractNum>
  <w:abstractNum w:abstractNumId="45">
    <w:nsid w:val="540A471C"/>
    <w:multiLevelType w:val="hybridMultilevel"/>
    <w:lvl w:ilvl="0">
      <w:lvlJc w:val="left"/>
      <w:lvlText w:val="(%1)"/>
      <w:numFmt w:val="lowerRoman"/>
      <w:start w:val="25"/>
    </w:lvl>
  </w:abstractNum>
  <w:abstractNum w:abstractNumId="46">
    <w:nsid w:val="7BD3EE7B"/>
    <w:multiLevelType w:val="hybridMultilevel"/>
    <w:lvl w:ilvl="0">
      <w:lvlJc w:val="left"/>
      <w:lvlText w:val="(%1)"/>
      <w:numFmt w:val="lowerRoman"/>
      <w:start w:val="27"/>
    </w:lvl>
  </w:abstractNum>
  <w:abstractNum w:abstractNumId="47">
    <w:nsid w:val="51D9C564"/>
    <w:multiLevelType w:val="hybridMultilevel"/>
    <w:lvl w:ilvl="0">
      <w:lvlJc w:val="left"/>
      <w:lvlText w:val="(%1)"/>
      <w:numFmt w:val="lowerRoman"/>
      <w:start w:val="32"/>
    </w:lvl>
  </w:abstractNum>
  <w:abstractNum w:abstractNumId="48">
    <w:nsid w:val="613EFDC5"/>
    <w:multiLevelType w:val="hybridMultilevel"/>
    <w:lvl w:ilvl="0">
      <w:lvlJc w:val="left"/>
      <w:lvlText w:val="(%1)"/>
      <w:numFmt w:val="lowerRoman"/>
      <w:start w:val="37"/>
    </w:lvl>
  </w:abstractNum>
  <w:abstractNum w:abstractNumId="49">
    <w:nsid w:val="BF72B14"/>
    <w:multiLevelType w:val="hybridMultilevel"/>
    <w:lvl w:ilvl="0">
      <w:lvlJc w:val="left"/>
      <w:lvlText w:val="(%1)"/>
      <w:numFmt w:val="lowerRoman"/>
      <w:start w:val="2"/>
    </w:lvl>
  </w:abstractNum>
  <w:abstractNum w:abstractNumId="50">
    <w:nsid w:val="11447B73"/>
    <w:multiLevelType w:val="hybridMultilevel"/>
    <w:lvl w:ilvl="0">
      <w:lvlJc w:val="left"/>
      <w:lvlText w:val="(%1)"/>
      <w:numFmt w:val="lowerRoman"/>
      <w:start w:val="3"/>
    </w:lvl>
  </w:abstractNum>
  <w:abstractNum w:abstractNumId="51">
    <w:nsid w:val="42963E5A"/>
    <w:multiLevelType w:val="hybridMultilevel"/>
    <w:lvl w:ilvl="0">
      <w:lvlJc w:val="left"/>
      <w:lvlText w:val="(%1)"/>
      <w:numFmt w:val="lowerRoman"/>
      <w:start w:val="7"/>
    </w:lvl>
  </w:abstractNum>
  <w:abstractNum w:abstractNumId="52">
    <w:nsid w:val="A0382C5"/>
    <w:multiLevelType w:val="hybridMultilevel"/>
    <w:lvl w:ilvl="0">
      <w:lvlJc w:val="left"/>
      <w:lvlText w:val="(%1)"/>
      <w:numFmt w:val="lowerRoman"/>
      <w:start w:val="10"/>
    </w:lvl>
  </w:abstractNum>
  <w:abstractNum w:abstractNumId="53">
    <w:nsid w:val="8F2B15E"/>
    <w:multiLevelType w:val="hybridMultilevel"/>
    <w:lvl w:ilvl="0">
      <w:lvlJc w:val="left"/>
      <w:lvlText w:val="(%1)"/>
      <w:numFmt w:val="lowerRoman"/>
      <w:start w:val="15"/>
    </w:lvl>
  </w:abstractNum>
  <w:abstractNum w:abstractNumId="54">
    <w:nsid w:val="1A32234B"/>
    <w:multiLevelType w:val="hybridMultilevel"/>
    <w:lvl w:ilvl="0">
      <w:lvlJc w:val="left"/>
      <w:lvlText w:val="%1"/>
      <w:numFmt w:val="lowerLetter"/>
      <w:start w:val="1"/>
    </w:lvl>
    <w:lvl w:ilvl="1">
      <w:lvlJc w:val="left"/>
      <w:lvlText w:val="(%2)"/>
      <w:numFmt w:val="lowerRoman"/>
      <w:start w:val="19"/>
    </w:lvl>
  </w:abstractNum>
  <w:abstractNum w:abstractNumId="55">
    <w:nsid w:val="3B0FD379"/>
    <w:multiLevelType w:val="hybridMultilevel"/>
    <w:lvl w:ilvl="0">
      <w:lvlJc w:val="left"/>
      <w:lvlText w:val="(%1)"/>
      <w:numFmt w:val="lowerLetter"/>
      <w:start w:val="3"/>
    </w:lvl>
    <w:lvl w:ilvl="1">
      <w:lvlJc w:val="left"/>
      <w:lvlText w:val="%2"/>
      <w:numFmt w:val="lowerRoman"/>
      <w:start w:val="1"/>
    </w:lvl>
  </w:abstractNum>
  <w:abstractNum w:abstractNumId="56">
    <w:nsid w:val="68EB2F63"/>
    <w:multiLevelType w:val="hybridMultilevel"/>
    <w:lvl w:ilvl="0">
      <w:lvlJc w:val="left"/>
      <w:lvlText w:val="(%1)"/>
      <w:numFmt w:val="lowerLetter"/>
      <w:start w:val="1"/>
    </w:lvl>
  </w:abstractNum>
  <w:abstractNum w:abstractNumId="57">
    <w:nsid w:val="4962813B"/>
    <w:multiLevelType w:val="hybridMultilevel"/>
    <w:lvl w:ilvl="0">
      <w:lvlJc w:val="left"/>
      <w:lvlText w:val="(%1)"/>
      <w:numFmt w:val="lowerRoman"/>
      <w:start w:val="2"/>
    </w:lvl>
  </w:abstractNum>
  <w:abstractNum w:abstractNumId="58">
    <w:nsid w:val="60B6DF70"/>
    <w:multiLevelType w:val="hybridMultilevel"/>
    <w:lvl w:ilvl="0">
      <w:lvlJc w:val="left"/>
      <w:lvlText w:val="(%1)"/>
      <w:numFmt w:val="lowerRoman"/>
      <w:start w:val="2"/>
    </w:lvl>
  </w:abstractNum>
  <w:abstractNum w:abstractNumId="59">
    <w:nsid w:val="6A5EE64"/>
    <w:multiLevelType w:val="hybridMultilevel"/>
    <w:lvl w:ilvl="0">
      <w:lvlJc w:val="left"/>
      <w:lvlText w:val="%1"/>
      <w:numFmt w:val="lowerLetter"/>
      <w:start w:val="1"/>
    </w:lvl>
    <w:lvl w:ilvl="1">
      <w:lvlJc w:val="left"/>
      <w:lvlText w:val="(%2)"/>
      <w:numFmt w:val="lowerRoman"/>
      <w:start w:val="6"/>
    </w:lvl>
  </w:abstractNum>
  <w:abstractNum w:abstractNumId="60">
    <w:nsid w:val="14330624"/>
    <w:multiLevelType w:val="hybridMultilevel"/>
    <w:lvl w:ilvl="0">
      <w:lvlJc w:val="left"/>
      <w:lvlText w:val="(%1)"/>
      <w:numFmt w:val="lowerLetter"/>
      <w:start w:val="2"/>
    </w:lvl>
    <w:lvl w:ilvl="1">
      <w:lvlJc w:val="left"/>
      <w:lvlText w:val="%2"/>
      <w:numFmt w:val="lowerRoman"/>
      <w:start w:val="1"/>
    </w:lvl>
  </w:abstractNum>
  <w:abstractNum w:abstractNumId="61">
    <w:nsid w:val="7FFFCA11"/>
    <w:multiLevelType w:val="hybridMultilevel"/>
    <w:lvl w:ilvl="0">
      <w:lvlJc w:val="left"/>
      <w:lvlText w:val="(%1)"/>
      <w:numFmt w:val="lowerLetter"/>
      <w:start w:val="3"/>
    </w:lvl>
  </w:abstractNum>
  <w:abstractNum w:abstractNumId="62">
    <w:nsid w:val="1A27709E"/>
    <w:multiLevelType w:val="hybridMultilevel"/>
    <w:lvl w:ilvl="0">
      <w:lvlJc w:val="left"/>
      <w:lvlText w:val="(%1)"/>
      <w:numFmt w:val="lowerLetter"/>
      <w:start w:val="7"/>
    </w:lvl>
  </w:abstractNum>
  <w:abstractNum w:abstractNumId="63">
    <w:nsid w:val="71EA1109"/>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35"/>
    </w:lvl>
  </w:abstractNum>
  <w:abstractNum w:abstractNumId="64">
    <w:nsid w:val="100F59DC"/>
    <w:multiLevelType w:val="hybridMultilevel"/>
    <w:lvl w:ilvl="0">
      <w:lvlJc w:val="left"/>
      <w:lvlText w:val="(%1)"/>
      <w:numFmt w:val="upperLetter"/>
      <w:start w:val="2"/>
    </w:lvl>
    <w:lvl w:ilvl="1">
      <w:lvlJc w:val="left"/>
      <w:lvlText w:val="(%2)"/>
      <w:numFmt w:val="lowerLetter"/>
      <w:start w:val="5"/>
    </w:lvl>
    <w:lvl w:ilvl="2">
      <w:lvlJc w:val="left"/>
      <w:lvlText w:val="%3"/>
      <w:numFmt w:val="lowerLetter"/>
      <w:start w:val="1"/>
    </w:lvl>
  </w:abstractNum>
  <w:abstractNum w:abstractNumId="65">
    <w:nsid w:val="7FB7E0AA"/>
    <w:multiLevelType w:val="hybridMultilevel"/>
    <w:lvl w:ilvl="0">
      <w:lvlJc w:val="left"/>
      <w:lvlText w:val="(%1)"/>
      <w:numFmt w:val="lowerRoman"/>
      <w:start w:val="2"/>
    </w:lvl>
  </w:abstractNum>
  <w:abstractNum w:abstractNumId="66">
    <w:nsid w:val="6EB5BD4"/>
    <w:multiLevelType w:val="hybridMultilevel"/>
    <w:lvl w:ilvl="0">
      <w:lvlJc w:val="left"/>
      <w:lvlText w:val="(%1)"/>
      <w:numFmt w:val="lowerLetter"/>
      <w:start w:val="1"/>
    </w:lvl>
  </w:abstractNum>
  <w:abstractNum w:abstractNumId="67">
    <w:nsid w:val="6F6DD9AC"/>
    <w:multiLevelType w:val="hybridMultilevel"/>
    <w:lvl w:ilvl="0">
      <w:lvlJc w:val="left"/>
      <w:lvlText w:val="%1"/>
      <w:numFmt w:val="decimal"/>
      <w:start w:val="1"/>
    </w:lvl>
    <w:lvl w:ilvl="1">
      <w:lvlJc w:val="left"/>
      <w:lvlText w:val="(%2)"/>
      <w:numFmt w:val="lowerRoman"/>
      <w:start w:val="2"/>
    </w:lvl>
  </w:abstractNum>
  <w:abstractNum w:abstractNumId="68">
    <w:nsid w:val="94211F2"/>
    <w:multiLevelType w:val="hybridMultilevel"/>
    <w:lvl w:ilvl="0">
      <w:lvlJc w:val="left"/>
      <w:lvlText w:val="%1)"/>
      <w:numFmt w:val="decimal"/>
      <w:start w:val="433"/>
    </w:lvl>
    <w:lvl w:ilvl="1">
      <w:lvlJc w:val="left"/>
      <w:lvlText w:val="(%2)"/>
      <w:numFmt w:val="lowerRoman"/>
      <w:start w:val="3"/>
    </w:lvl>
  </w:abstractNum>
  <w:abstractNum w:abstractNumId="69">
    <w:nsid w:val="885E1B"/>
    <w:multiLevelType w:val="hybridMultilevel"/>
    <w:lvl w:ilvl="0">
      <w:lvlJc w:val="left"/>
      <w:lvlText w:val="(%1)"/>
      <w:numFmt w:val="lowerRoman"/>
      <w:start w:val="5"/>
    </w:lvl>
  </w:abstractNum>
  <w:abstractNum w:abstractNumId="70">
    <w:nsid w:val="76272110"/>
    <w:multiLevelType w:val="hybridMultilevel"/>
    <w:lvl w:ilvl="0">
      <w:lvlJc w:val="left"/>
      <w:lvlText w:val="(%1)"/>
      <w:numFmt w:val="lowerRoman"/>
      <w:start w:val="9"/>
    </w:lvl>
  </w:abstractNum>
  <w:abstractNum w:abstractNumId="71">
    <w:nsid w:val="4C04A8AF"/>
    <w:multiLevelType w:val="hybridMultilevel"/>
    <w:lvl w:ilvl="0">
      <w:lvlJc w:val="left"/>
      <w:lvlText w:val="(%1)"/>
      <w:numFmt w:val="lowerRoman"/>
      <w:start w:val="12"/>
    </w:lvl>
  </w:abstractNum>
  <w:abstractNum w:abstractNumId="72">
    <w:nsid w:val="1716703B"/>
    <w:multiLevelType w:val="hybridMultilevel"/>
    <w:lvl w:ilvl="0">
      <w:lvlJc w:val="left"/>
      <w:lvlText w:val="(%1)"/>
      <w:numFmt w:val="lowerRoman"/>
      <w:start w:val="17"/>
    </w:lvl>
  </w:abstractNum>
  <w:abstractNum w:abstractNumId="73">
    <w:nsid w:val="14E17E33"/>
    <w:multiLevelType w:val="hybridMultilevel"/>
    <w:lvl w:ilvl="0">
      <w:lvlJc w:val="left"/>
      <w:lvlText w:val="(%1)"/>
      <w:numFmt w:val="lowerRoman"/>
      <w:start w:val="21"/>
    </w:lvl>
  </w:abstractNum>
  <w:abstractNum w:abstractNumId="74">
    <w:nsid w:val="3222E7CD"/>
    <w:multiLevelType w:val="hybridMultilevel"/>
    <w:lvl w:ilvl="0">
      <w:lvlJc w:val="left"/>
      <w:lvlText w:val="(%1)"/>
      <w:numFmt w:val="lowerRoman"/>
      <w:start w:val="25"/>
    </w:lvl>
  </w:abstractNum>
  <w:abstractNum w:abstractNumId="75">
    <w:nsid w:val="74DE0EE3"/>
    <w:multiLevelType w:val="hybridMultilevel"/>
    <w:lvl w:ilvl="0">
      <w:lvlJc w:val="left"/>
      <w:lvlText w:val="(%1)"/>
      <w:numFmt w:val="lowerRoman"/>
      <w:start w:val="27"/>
    </w:lvl>
  </w:abstractNum>
  <w:abstractNum w:abstractNumId="76">
    <w:nsid w:val="68EBC550"/>
    <w:multiLevelType w:val="hybridMultilevel"/>
    <w:lvl w:ilvl="0">
      <w:lvlJc w:val="left"/>
      <w:lvlText w:val="(%1)"/>
      <w:numFmt w:val="lowerRoman"/>
      <w:start w:val="32"/>
    </w:lvl>
  </w:abstractNum>
  <w:abstractNum w:abstractNumId="77">
    <w:nsid w:val="2DF6D648"/>
    <w:multiLevelType w:val="hybridMultilevel"/>
    <w:lvl w:ilvl="0">
      <w:lvlJc w:val="left"/>
      <w:lvlText w:val="(%1)"/>
      <w:numFmt w:val="lowerRoman"/>
      <w:start w:val="37"/>
    </w:lvl>
  </w:abstractNum>
  <w:abstractNum w:abstractNumId="78">
    <w:nsid w:val="46B7D447"/>
    <w:multiLevelType w:val="hybridMultilevel"/>
    <w:lvl w:ilvl="0">
      <w:lvlJc w:val="left"/>
      <w:lvlText w:val="(%1)"/>
      <w:numFmt w:val="lowerRoman"/>
      <w:start w:val="2"/>
    </w:lvl>
  </w:abstractNum>
  <w:abstractNum w:abstractNumId="79">
    <w:nsid w:val="4A2AC315"/>
    <w:multiLevelType w:val="hybridMultilevel"/>
    <w:lvl w:ilvl="0">
      <w:lvlJc w:val="left"/>
      <w:lvlText w:val="(%1)"/>
      <w:numFmt w:val="lowerRoman"/>
      <w:start w:val="3"/>
    </w:lvl>
  </w:abstractNum>
  <w:abstractNum w:abstractNumId="80">
    <w:nsid w:val="39EE015C"/>
    <w:multiLevelType w:val="hybridMultilevel"/>
    <w:lvl w:ilvl="0">
      <w:lvlJc w:val="left"/>
      <w:lvlText w:val="(%1)"/>
      <w:numFmt w:val="lowerRoman"/>
      <w:start w:val="7"/>
    </w:lvl>
  </w:abstractNum>
  <w:abstractNum w:abstractNumId="81">
    <w:nsid w:val="57FC4FBB"/>
    <w:multiLevelType w:val="hybridMultilevel"/>
    <w:lvl w:ilvl="0">
      <w:lvlJc w:val="left"/>
      <w:lvlText w:val="(%1)"/>
      <w:numFmt w:val="lowerRoman"/>
      <w:start w:val="10"/>
    </w:lvl>
  </w:abstractNum>
  <w:abstractNum w:abstractNumId="82">
    <w:nsid w:val="CC1016F"/>
    <w:multiLevelType w:val="hybridMultilevel"/>
    <w:lvl w:ilvl="0">
      <w:lvlJc w:val="left"/>
      <w:lvlText w:val="(%1)"/>
      <w:numFmt w:val="lowerRoman"/>
      <w:start w:val="15"/>
    </w:lvl>
  </w:abstractNum>
  <w:abstractNum w:abstractNumId="83">
    <w:nsid w:val="43F18422"/>
    <w:multiLevelType w:val="hybridMultilevel"/>
    <w:lvl w:ilvl="0">
      <w:lvlJc w:val="left"/>
      <w:lvlText w:val="%1"/>
      <w:numFmt w:val="lowerLetter"/>
      <w:start w:val="1"/>
    </w:lvl>
    <w:lvl w:ilvl="1">
      <w:lvlJc w:val="left"/>
      <w:lvlText w:val="(%2)"/>
      <w:numFmt w:val="lowerRoman"/>
      <w:start w:val="19"/>
    </w:lvl>
  </w:abstractNum>
  <w:abstractNum w:abstractNumId="84">
    <w:nsid w:val="60EF0119"/>
    <w:multiLevelType w:val="hybridMultilevel"/>
    <w:lvl w:ilvl="0">
      <w:lvlJc w:val="left"/>
      <w:lvlText w:val="(%1)"/>
      <w:numFmt w:val="lowerLetter"/>
      <w:start w:val="3"/>
    </w:lvl>
    <w:lvl w:ilvl="1">
      <w:lvlJc w:val="left"/>
      <w:lvlText w:val="%2"/>
      <w:numFmt w:val="lowerRoman"/>
      <w:start w:val="1"/>
    </w:lvl>
  </w:abstractNum>
  <w:abstractNum w:abstractNumId="85">
    <w:nsid w:val="26F324BA"/>
    <w:multiLevelType w:val="hybridMultilevel"/>
    <w:lvl w:ilvl="0">
      <w:lvlJc w:val="left"/>
      <w:lvlText w:val="(%1)"/>
      <w:numFmt w:val="lowerLetter"/>
      <w:start w:val="1"/>
    </w:lvl>
  </w:abstractNum>
  <w:abstractNum w:abstractNumId="86">
    <w:nsid w:val="7F01579B"/>
    <w:multiLevelType w:val="hybridMultilevel"/>
    <w:lvl w:ilvl="0">
      <w:lvlJc w:val="left"/>
      <w:lvlText w:val="(%1)"/>
      <w:numFmt w:val="lowerRoman"/>
      <w:start w:val="2"/>
    </w:lvl>
  </w:abstractNum>
  <w:abstractNum w:abstractNumId="87">
    <w:nsid w:val="49DA307D"/>
    <w:multiLevelType w:val="hybridMultilevel"/>
    <w:lvl w:ilvl="0">
      <w:lvlJc w:val="left"/>
      <w:lvlText w:val="(%1)"/>
      <w:numFmt w:val="lowerRoman"/>
      <w:start w:val="2"/>
    </w:lvl>
  </w:abstractNum>
  <w:abstractNum w:abstractNumId="88">
    <w:nsid w:val="7055A5F5"/>
    <w:multiLevelType w:val="hybridMultilevel"/>
    <w:lvl w:ilvl="0">
      <w:lvlJc w:val="left"/>
      <w:lvlText w:val="%1"/>
      <w:numFmt w:val="lowerLetter"/>
      <w:start w:val="1"/>
    </w:lvl>
    <w:lvl w:ilvl="1">
      <w:lvlJc w:val="left"/>
      <w:lvlText w:val="(%2)"/>
      <w:numFmt w:val="lowerRoman"/>
      <w:start w:val="6"/>
    </w:lvl>
  </w:abstractNum>
  <w:abstractNum w:abstractNumId="89">
    <w:nsid w:val="5FB8370B"/>
    <w:multiLevelType w:val="hybridMultilevel"/>
    <w:lvl w:ilvl="0">
      <w:lvlJc w:val="left"/>
      <w:lvlText w:val="(%1)"/>
      <w:numFmt w:val="lowerLetter"/>
      <w:start w:val="2"/>
    </w:lvl>
    <w:lvl w:ilvl="1">
      <w:lvlJc w:val="left"/>
      <w:lvlText w:val="%2"/>
      <w:numFmt w:val="lowerRoman"/>
      <w:start w:val="1"/>
    </w:lvl>
  </w:abstractNum>
  <w:abstractNum w:abstractNumId="90">
    <w:nsid w:val="50801EE1"/>
    <w:multiLevelType w:val="hybridMultilevel"/>
    <w:lvl w:ilvl="0">
      <w:lvlJc w:val="left"/>
      <w:lvlText w:val="(%1)"/>
      <w:numFmt w:val="lowerLetter"/>
      <w:start w:val="3"/>
    </w:lvl>
  </w:abstractNum>
  <w:abstractNum w:abstractNumId="91">
    <w:nsid w:val="488AC1A"/>
    <w:multiLevelType w:val="hybridMultilevel"/>
    <w:lvl w:ilvl="0">
      <w:lvlJc w:val="left"/>
      <w:lvlText w:val="(%1)"/>
      <w:numFmt w:val="lowerLetter"/>
      <w:start w:val="7"/>
    </w:lvl>
  </w:abstractNum>
  <w:abstractNum w:abstractNumId="92">
    <w:nsid w:val="5FB8011C"/>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35"/>
    </w:lvl>
  </w:abstractNum>
  <w:abstractNum w:abstractNumId="93">
    <w:nsid w:val="6AA78F7F"/>
    <w:multiLevelType w:val="hybridMultilevel"/>
    <w:lvl w:ilvl="0">
      <w:lvlJc w:val="left"/>
      <w:lvlText w:val="(%1)"/>
      <w:numFmt w:val="upperLetter"/>
      <w:start w:val="2"/>
    </w:lvl>
    <w:lvl w:ilvl="1">
      <w:lvlJc w:val="left"/>
      <w:lvlText w:val="(%2)"/>
      <w:numFmt w:val="lowerLetter"/>
      <w:start w:val="5"/>
    </w:lvl>
    <w:lvl w:ilvl="2">
      <w:lvlJc w:val="left"/>
      <w:lvlText w:val="%3"/>
      <w:numFmt w:val="lowerLetter"/>
      <w:start w:val="1"/>
    </w:lvl>
  </w:abstractNum>
  <w:abstractNum w:abstractNumId="94">
    <w:nsid w:val="7672BD23"/>
    <w:multiLevelType w:val="hybridMultilevel"/>
    <w:lvl w:ilvl="0">
      <w:lvlJc w:val="left"/>
      <w:lvlText w:val="(%1)"/>
      <w:numFmt w:val="lowerRoman"/>
      <w:start w:val="2"/>
    </w:lvl>
  </w:abstractNum>
  <w:abstractNum w:abstractNumId="95">
    <w:nsid w:val="6FC75AF8"/>
    <w:multiLevelType w:val="hybridMultilevel"/>
    <w:lvl w:ilvl="0">
      <w:lvlJc w:val="left"/>
      <w:lvlText w:val="(%1)"/>
      <w:numFmt w:val="decimal"/>
      <w:start w:val="727"/>
    </w:lvl>
  </w:abstractNum>
  <w:abstractNum w:abstractNumId="96">
    <w:nsid w:val="6A5F7029"/>
    <w:multiLevelType w:val="hybridMultilevel"/>
    <w:lvl w:ilvl="0">
      <w:lvlJc w:val="left"/>
      <w:lvlText w:val="(%1)"/>
      <w:numFmt w:val="lowerLetter"/>
      <w:start w:val="1"/>
    </w:lvl>
  </w:abstractNum>
  <w:abstractNum w:abstractNumId="97">
    <w:nsid w:val="7D5E18F8"/>
    <w:multiLevelType w:val="hybridMultilevel"/>
    <w:lvl w:ilvl="0">
      <w:lvlJc w:val="left"/>
      <w:lvlText w:val="%1."/>
      <w:numFmt w:val="decimal"/>
      <w:start w:val="1"/>
    </w:lvl>
    <w:lvl w:ilvl="1">
      <w:lvlJc w:val="left"/>
      <w:lvlText w:val="%2)"/>
      <w:numFmt w:val="lowerLetter"/>
      <w:start w:val="1"/>
    </w:lvl>
  </w:abstractNum>
  <w:abstractNum w:abstractNumId="98">
    <w:nsid w:val="5F3534A4"/>
    <w:multiLevelType w:val="hybridMultilevel"/>
    <w:lvl w:ilvl="0">
      <w:lvlJc w:val="left"/>
      <w:lvlText w:val="%1"/>
      <w:numFmt w:val="decimal"/>
      <w:start w:val="1"/>
    </w:lvl>
    <w:lvl w:ilvl="1">
      <w:lvlJc w:val="left"/>
      <w:lvlText w:val="%2)"/>
      <w:numFmt w:val="lowerLetter"/>
      <w:start w:val="3"/>
    </w:lvl>
  </w:abstractNum>
  <w:abstractNum w:abstractNumId="99">
    <w:nsid w:val="73A1821B"/>
    <w:multiLevelType w:val="hybridMultilevel"/>
    <w:lvl w:ilvl="0">
      <w:lvlJc w:val="left"/>
      <w:lvlText w:val="%1."/>
      <w:numFmt w:val="decimal"/>
      <w:start w:val="5"/>
    </w:lvl>
    <w:lvl w:ilvl="1">
      <w:lvlJc w:val="left"/>
      <w:lvlText w:val="%2)"/>
      <w:numFmt w:val="lowerLetter"/>
      <w:start w:val="1"/>
    </w:lvl>
  </w:abstractNum>
  <w:abstractNum w:abstractNumId="100">
    <w:nsid w:val="7DE67713"/>
    <w:multiLevelType w:val="hybridMultilevel"/>
    <w:lvl w:ilvl="0">
      <w:lvlJc w:val="left"/>
      <w:lvlText w:val="%1."/>
      <w:numFmt w:val="decimal"/>
      <w:start w:val="1"/>
    </w:lvl>
    <w:lvl w:ilvl="1">
      <w:lvlJc w:val="left"/>
      <w:lvlText w:val="%2)"/>
      <w:numFmt w:val="lowerLetter"/>
      <w:start w:val="1"/>
    </w:lvl>
  </w:abstractNum>
  <w:abstractNum w:abstractNumId="101">
    <w:nsid w:val="555C55B5"/>
    <w:multiLevelType w:val="hybridMultilevel"/>
    <w:lvl w:ilvl="0">
      <w:lvlJc w:val="left"/>
      <w:lvlText w:val="(%1)"/>
      <w:numFmt w:val="decimal"/>
      <w:start w:val="1"/>
    </w:lvl>
  </w:abstractNum>
  <w:abstractNum w:abstractNumId="102">
    <w:nsid w:val="3FA62AC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60" Type="http://schemas.openxmlformats.org/officeDocument/2006/relationships/image" Target="media/image649.png"/><Relationship Id="rId661" Type="http://schemas.openxmlformats.org/officeDocument/2006/relationships/image" Target="media/image650.png"/><Relationship Id="rId662" Type="http://schemas.openxmlformats.org/officeDocument/2006/relationships/image" Target="media/image651.png"/><Relationship Id="rId663" Type="http://schemas.openxmlformats.org/officeDocument/2006/relationships/image" Target="media/image652.png"/><Relationship Id="rId664" Type="http://schemas.openxmlformats.org/officeDocument/2006/relationships/image" Target="media/image653.png"/><Relationship Id="rId665" Type="http://schemas.openxmlformats.org/officeDocument/2006/relationships/image" Target="media/image654.png"/><Relationship Id="rId666" Type="http://schemas.openxmlformats.org/officeDocument/2006/relationships/image" Target="media/image655.png"/><Relationship Id="rId667" Type="http://schemas.openxmlformats.org/officeDocument/2006/relationships/image" Target="media/image656.png"/><Relationship Id="rId668" Type="http://schemas.openxmlformats.org/officeDocument/2006/relationships/image" Target="media/image657.png"/><Relationship Id="rId669" Type="http://schemas.openxmlformats.org/officeDocument/2006/relationships/image" Target="media/image658.png"/><Relationship Id="rId670" Type="http://schemas.openxmlformats.org/officeDocument/2006/relationships/image" Target="media/image659.png"/><Relationship Id="rId671" Type="http://schemas.openxmlformats.org/officeDocument/2006/relationships/image" Target="media/image660.png"/><Relationship Id="rId672" Type="http://schemas.openxmlformats.org/officeDocument/2006/relationships/image" Target="media/image661.png"/><Relationship Id="rId673" Type="http://schemas.openxmlformats.org/officeDocument/2006/relationships/image" Target="media/image662.png"/><Relationship Id="rId674" Type="http://schemas.openxmlformats.org/officeDocument/2006/relationships/image" Target="media/image663.png"/><Relationship Id="rId675" Type="http://schemas.openxmlformats.org/officeDocument/2006/relationships/image" Target="media/image664.png"/><Relationship Id="rId676" Type="http://schemas.openxmlformats.org/officeDocument/2006/relationships/image" Target="media/image665.png"/><Relationship Id="rId677" Type="http://schemas.openxmlformats.org/officeDocument/2006/relationships/image" Target="media/image666.png"/><Relationship Id="rId678" Type="http://schemas.openxmlformats.org/officeDocument/2006/relationships/image" Target="media/image667.png"/><Relationship Id="rId679" Type="http://schemas.openxmlformats.org/officeDocument/2006/relationships/image" Target="media/image668.png"/><Relationship Id="rId680" Type="http://schemas.openxmlformats.org/officeDocument/2006/relationships/image" Target="media/image669.png"/><Relationship Id="rId681" Type="http://schemas.openxmlformats.org/officeDocument/2006/relationships/image" Target="media/image670.png"/><Relationship Id="rId682" Type="http://schemas.openxmlformats.org/officeDocument/2006/relationships/image" Target="media/image671.png"/><Relationship Id="rId683" Type="http://schemas.openxmlformats.org/officeDocument/2006/relationships/image" Target="media/image672.png"/><Relationship Id="rId684" Type="http://schemas.openxmlformats.org/officeDocument/2006/relationships/image" Target="media/image673.png"/><Relationship Id="rId685" Type="http://schemas.openxmlformats.org/officeDocument/2006/relationships/image" Target="media/image674.png"/><Relationship Id="rId686" Type="http://schemas.openxmlformats.org/officeDocument/2006/relationships/image" Target="media/image675.png"/><Relationship Id="rId687" Type="http://schemas.openxmlformats.org/officeDocument/2006/relationships/image" Target="media/image676.png"/><Relationship Id="rId688" Type="http://schemas.openxmlformats.org/officeDocument/2006/relationships/image" Target="media/image677.png"/><Relationship Id="rId689" Type="http://schemas.openxmlformats.org/officeDocument/2006/relationships/image" Target="media/image678.png"/><Relationship Id="rId690" Type="http://schemas.openxmlformats.org/officeDocument/2006/relationships/image" Target="media/image679.png"/><Relationship Id="rId691" Type="http://schemas.openxmlformats.org/officeDocument/2006/relationships/image" Target="media/image680.png"/><Relationship Id="rId692" Type="http://schemas.openxmlformats.org/officeDocument/2006/relationships/image" Target="media/image681.png"/><Relationship Id="rId693" Type="http://schemas.openxmlformats.org/officeDocument/2006/relationships/image" Target="media/image682.png"/><Relationship Id="rId694" Type="http://schemas.openxmlformats.org/officeDocument/2006/relationships/image" Target="media/image683.png"/><Relationship Id="rId695" Type="http://schemas.openxmlformats.org/officeDocument/2006/relationships/image" Target="media/image684.png"/><Relationship Id="rId696" Type="http://schemas.openxmlformats.org/officeDocument/2006/relationships/image" Target="media/image685.png"/><Relationship Id="rId697" Type="http://schemas.openxmlformats.org/officeDocument/2006/relationships/image" Target="media/image686.png"/><Relationship Id="rId698" Type="http://schemas.openxmlformats.org/officeDocument/2006/relationships/image" Target="media/image687.png"/><Relationship Id="rId699" Type="http://schemas.openxmlformats.org/officeDocument/2006/relationships/image" Target="media/image688.png"/><Relationship Id="rId700" Type="http://schemas.openxmlformats.org/officeDocument/2006/relationships/image" Target="media/image689.png"/><Relationship Id="rId701" Type="http://schemas.openxmlformats.org/officeDocument/2006/relationships/image" Target="media/image690.png"/><Relationship Id="rId702" Type="http://schemas.openxmlformats.org/officeDocument/2006/relationships/image" Target="media/image691.png"/><Relationship Id="rId703" Type="http://schemas.openxmlformats.org/officeDocument/2006/relationships/image" Target="media/image692.png"/><Relationship Id="rId704" Type="http://schemas.openxmlformats.org/officeDocument/2006/relationships/image" Target="media/image693.png"/><Relationship Id="rId705" Type="http://schemas.openxmlformats.org/officeDocument/2006/relationships/image" Target="media/image694.png"/><Relationship Id="rId706" Type="http://schemas.openxmlformats.org/officeDocument/2006/relationships/image" Target="media/image695.png"/><Relationship Id="rId707" Type="http://schemas.openxmlformats.org/officeDocument/2006/relationships/image" Target="media/image696.png"/><Relationship Id="rId708" Type="http://schemas.openxmlformats.org/officeDocument/2006/relationships/image" Target="media/image697.png"/><Relationship Id="rId709" Type="http://schemas.openxmlformats.org/officeDocument/2006/relationships/image" Target="media/image698.png"/><Relationship Id="rId710" Type="http://schemas.openxmlformats.org/officeDocument/2006/relationships/image" Target="media/image699.png"/><Relationship Id="rId711" Type="http://schemas.openxmlformats.org/officeDocument/2006/relationships/image" Target="media/image700.png"/><Relationship Id="rId712" Type="http://schemas.openxmlformats.org/officeDocument/2006/relationships/image" Target="media/image701.png"/><Relationship Id="rId713" Type="http://schemas.openxmlformats.org/officeDocument/2006/relationships/image" Target="media/image702.png"/><Relationship Id="rId714" Type="http://schemas.openxmlformats.org/officeDocument/2006/relationships/image" Target="media/image703.png"/><Relationship Id="rId715" Type="http://schemas.openxmlformats.org/officeDocument/2006/relationships/image" Target="media/image704.png"/><Relationship Id="rId716" Type="http://schemas.openxmlformats.org/officeDocument/2006/relationships/image" Target="media/image705.png"/><Relationship Id="rId717" Type="http://schemas.openxmlformats.org/officeDocument/2006/relationships/image" Target="media/image706.png"/><Relationship Id="rId718" Type="http://schemas.openxmlformats.org/officeDocument/2006/relationships/image" Target="media/image707.png"/><Relationship Id="rId719" Type="http://schemas.openxmlformats.org/officeDocument/2006/relationships/image" Target="media/image708.png"/><Relationship Id="rId720" Type="http://schemas.openxmlformats.org/officeDocument/2006/relationships/image" Target="media/image709.png"/><Relationship Id="rId721" Type="http://schemas.openxmlformats.org/officeDocument/2006/relationships/image" Target="media/image710.png"/><Relationship Id="rId722" Type="http://schemas.openxmlformats.org/officeDocument/2006/relationships/image" Target="media/image711.png"/><Relationship Id="rId723" Type="http://schemas.openxmlformats.org/officeDocument/2006/relationships/image" Target="media/image712.png"/><Relationship Id="rId724" Type="http://schemas.openxmlformats.org/officeDocument/2006/relationships/image" Target="media/image713.png"/><Relationship Id="rId725" Type="http://schemas.openxmlformats.org/officeDocument/2006/relationships/image" Target="media/image714.png"/><Relationship Id="rId726" Type="http://schemas.openxmlformats.org/officeDocument/2006/relationships/image" Target="media/image715.png"/><Relationship Id="rId727" Type="http://schemas.openxmlformats.org/officeDocument/2006/relationships/image" Target="media/image716.png"/><Relationship Id="rId728" Type="http://schemas.openxmlformats.org/officeDocument/2006/relationships/image" Target="media/image717.png"/><Relationship Id="rId729" Type="http://schemas.openxmlformats.org/officeDocument/2006/relationships/image" Target="media/image718.png"/><Relationship Id="rId730" Type="http://schemas.openxmlformats.org/officeDocument/2006/relationships/image" Target="media/image719.png"/><Relationship Id="rId731" Type="http://schemas.openxmlformats.org/officeDocument/2006/relationships/image" Target="media/image720.png"/><Relationship Id="rId732" Type="http://schemas.openxmlformats.org/officeDocument/2006/relationships/image" Target="media/image721.png"/><Relationship Id="rId733" Type="http://schemas.openxmlformats.org/officeDocument/2006/relationships/image" Target="media/image722.png"/><Relationship Id="rId734" Type="http://schemas.openxmlformats.org/officeDocument/2006/relationships/image" Target="media/image723.png"/><Relationship Id="rId735" Type="http://schemas.openxmlformats.org/officeDocument/2006/relationships/image" Target="media/image724.png"/><Relationship Id="rId736" Type="http://schemas.openxmlformats.org/officeDocument/2006/relationships/image" Target="media/image725.png"/><Relationship Id="rId737" Type="http://schemas.openxmlformats.org/officeDocument/2006/relationships/image" Target="media/image726.png"/><Relationship Id="rId738" Type="http://schemas.openxmlformats.org/officeDocument/2006/relationships/image" Target="media/image727.png"/><Relationship Id="rId739" Type="http://schemas.openxmlformats.org/officeDocument/2006/relationships/image" Target="media/image728.png"/><Relationship Id="rId740" Type="http://schemas.openxmlformats.org/officeDocument/2006/relationships/image" Target="media/image729.png"/><Relationship Id="rId741" Type="http://schemas.openxmlformats.org/officeDocument/2006/relationships/image" Target="media/image730.png"/><Relationship Id="rId742" Type="http://schemas.openxmlformats.org/officeDocument/2006/relationships/image" Target="media/image731.png"/><Relationship Id="rId743" Type="http://schemas.openxmlformats.org/officeDocument/2006/relationships/image" Target="media/image732.png"/><Relationship Id="rId744" Type="http://schemas.openxmlformats.org/officeDocument/2006/relationships/image" Target="media/image733.png"/><Relationship Id="rId745" Type="http://schemas.openxmlformats.org/officeDocument/2006/relationships/image" Target="media/image734.png"/><Relationship Id="rId746" Type="http://schemas.openxmlformats.org/officeDocument/2006/relationships/image" Target="media/image735.png"/><Relationship Id="rId747" Type="http://schemas.openxmlformats.org/officeDocument/2006/relationships/image" Target="media/image736.png"/><Relationship Id="rId748" Type="http://schemas.openxmlformats.org/officeDocument/2006/relationships/image" Target="media/image737.png"/><Relationship Id="rId749" Type="http://schemas.openxmlformats.org/officeDocument/2006/relationships/image" Target="media/image738.png"/><Relationship Id="rId750" Type="http://schemas.openxmlformats.org/officeDocument/2006/relationships/image" Target="media/image739.png"/><Relationship Id="rId751" Type="http://schemas.openxmlformats.org/officeDocument/2006/relationships/image" Target="media/image740.png"/><Relationship Id="rId752" Type="http://schemas.openxmlformats.org/officeDocument/2006/relationships/image" Target="media/image741.png"/><Relationship Id="rId753" Type="http://schemas.openxmlformats.org/officeDocument/2006/relationships/image" Target="media/image742.png"/><Relationship Id="rId754" Type="http://schemas.openxmlformats.org/officeDocument/2006/relationships/image" Target="media/image743.png"/><Relationship Id="rId755" Type="http://schemas.openxmlformats.org/officeDocument/2006/relationships/image" Target="media/image744.png"/><Relationship Id="rId756" Type="http://schemas.openxmlformats.org/officeDocument/2006/relationships/image" Target="media/image745.png"/><Relationship Id="rId757" Type="http://schemas.openxmlformats.org/officeDocument/2006/relationships/image" Target="media/image746.png"/><Relationship Id="rId758" Type="http://schemas.openxmlformats.org/officeDocument/2006/relationships/image" Target="media/image747.png"/><Relationship Id="rId759" Type="http://schemas.openxmlformats.org/officeDocument/2006/relationships/image" Target="media/image748.png"/><Relationship Id="rId760" Type="http://schemas.openxmlformats.org/officeDocument/2006/relationships/image" Target="media/image749.png"/><Relationship Id="rId761" Type="http://schemas.openxmlformats.org/officeDocument/2006/relationships/image" Target="media/image750.png"/><Relationship Id="rId762" Type="http://schemas.openxmlformats.org/officeDocument/2006/relationships/image" Target="media/image751.png"/><Relationship Id="rId763" Type="http://schemas.openxmlformats.org/officeDocument/2006/relationships/image" Target="media/image752.png"/><Relationship Id="rId764" Type="http://schemas.openxmlformats.org/officeDocument/2006/relationships/image" Target="media/image753.png"/><Relationship Id="rId765" Type="http://schemas.openxmlformats.org/officeDocument/2006/relationships/image" Target="media/image754.png"/><Relationship Id="rId766" Type="http://schemas.openxmlformats.org/officeDocument/2006/relationships/image" Target="media/image755.png"/><Relationship Id="rId767" Type="http://schemas.openxmlformats.org/officeDocument/2006/relationships/image" Target="media/image756.png"/><Relationship Id="rId768" Type="http://schemas.openxmlformats.org/officeDocument/2006/relationships/image" Target="media/image757.png"/><Relationship Id="rId769" Type="http://schemas.openxmlformats.org/officeDocument/2006/relationships/image" Target="media/image758.png"/><Relationship Id="rId770" Type="http://schemas.openxmlformats.org/officeDocument/2006/relationships/image" Target="media/image759.png"/><Relationship Id="rId771" Type="http://schemas.openxmlformats.org/officeDocument/2006/relationships/image" Target="media/image760.png"/><Relationship Id="rId772" Type="http://schemas.openxmlformats.org/officeDocument/2006/relationships/image" Target="media/image761.png"/><Relationship Id="rId773" Type="http://schemas.openxmlformats.org/officeDocument/2006/relationships/image" Target="media/image762.png"/><Relationship Id="rId774" Type="http://schemas.openxmlformats.org/officeDocument/2006/relationships/image" Target="media/image763.png"/><Relationship Id="rId775" Type="http://schemas.openxmlformats.org/officeDocument/2006/relationships/image" Target="media/image764.png"/><Relationship Id="rId776" Type="http://schemas.openxmlformats.org/officeDocument/2006/relationships/image" Target="media/image765.png"/><Relationship Id="rId777" Type="http://schemas.openxmlformats.org/officeDocument/2006/relationships/image" Target="media/image766.png"/><Relationship Id="rId778" Type="http://schemas.openxmlformats.org/officeDocument/2006/relationships/image" Target="media/image767.png"/><Relationship Id="rId656" Type="http://schemas.openxmlformats.org/officeDocument/2006/relationships/hyperlink" Target="https://www.sec.gov/Archives/edgar/data/1504619/000119312511080862/dex99a.htm" TargetMode="External"/><Relationship Id="rId657" Type="http://schemas.openxmlformats.org/officeDocument/2006/relationships/hyperlink" Target="https://www.sec.gov/Archives/edgar/data/1504619/000156459020024167/pflt-ex32_144.htm" TargetMode="External"/><Relationship Id="rId658" Type="http://schemas.openxmlformats.org/officeDocument/2006/relationships/hyperlink" Target="https://www.sec.gov/Archives/edgar/data/1504619/000119312511088977/dex99d.htm" TargetMode="External"/><Relationship Id="rId659" Type="http://schemas.openxmlformats.org/officeDocument/2006/relationships/hyperlink" Target="https://www.sec.gov/Archives/edgar/data/1504619/000150461911000050/pfltprivacypolicy093020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2022-08-03T15:52:12Z</dcterms:created>
  <dcterms:modified xsi:type="dcterms:W3CDTF">2022-08-03T15:52:12Z</dcterms:modified>
</cp:coreProperties>
</file>