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99"/>
        <w:spacing w:after="0"/>
        <w:rPr>
          <w:sz w:val="20"/>
          <w:szCs w:val="20"/>
          <w:color w:val="auto"/>
        </w:rPr>
      </w:pPr>
      <w:r>
        <w:rPr>
          <w:rFonts w:ascii="Arial" w:cs="Arial" w:eastAsia="Arial" w:hAnsi="Arial"/>
          <w:sz w:val="18"/>
          <w:szCs w:val="18"/>
          <w:color w:val="auto"/>
        </w:rPr>
        <w:t>Washington, D.C. 20549</w:t>
      </w:r>
    </w:p>
    <w:p>
      <w:pPr>
        <w:spacing w:after="0" w:line="126"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8-K</w:t>
      </w:r>
    </w:p>
    <w:p>
      <w:pPr>
        <w:spacing w:after="0" w:line="279" w:lineRule="exact"/>
        <w:rPr>
          <w:sz w:val="24"/>
          <w:szCs w:val="24"/>
          <w:color w:val="auto"/>
        </w:rPr>
      </w:pPr>
    </w:p>
    <w:tbl>
      <w:tblPr>
        <w:tblLayout w:type="fixed"/>
        <w:tblInd w:w="42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414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CURRENT REPORT</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280" w:type="dxa"/>
            <w:vAlign w:val="bottom"/>
          </w:tcPr>
          <w:p>
            <w:pPr>
              <w:spacing w:after="0"/>
              <w:rPr>
                <w:sz w:val="24"/>
                <w:szCs w:val="24"/>
                <w:color w:val="auto"/>
              </w:rPr>
            </w:pPr>
          </w:p>
        </w:tc>
        <w:tc>
          <w:tcPr>
            <w:tcW w:w="41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Pursuant to Section 13 or 15(d) of the</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280" w:type="dxa"/>
            <w:vAlign w:val="bottom"/>
          </w:tcPr>
          <w:p>
            <w:pPr>
              <w:spacing w:after="0"/>
              <w:rPr>
                <w:sz w:val="24"/>
                <w:szCs w:val="24"/>
                <w:color w:val="auto"/>
              </w:rPr>
            </w:pPr>
          </w:p>
        </w:tc>
        <w:tc>
          <w:tcPr>
            <w:tcW w:w="414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Securities Exchange Act of 1934</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280" w:type="dxa"/>
            <w:vAlign w:val="bottom"/>
          </w:tcPr>
          <w:p>
            <w:pPr>
              <w:spacing w:after="0"/>
              <w:rPr>
                <w:sz w:val="24"/>
                <w:szCs w:val="24"/>
                <w:color w:val="auto"/>
              </w:rPr>
            </w:pPr>
          </w:p>
        </w:tc>
        <w:tc>
          <w:tcPr>
            <w:tcW w:w="414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Date of Report: June 14, 2011</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4140" w:type="dxa"/>
            <w:vAlign w:val="bottom"/>
          </w:tcPr>
          <w:p>
            <w:pPr>
              <w:jc w:val="center"/>
              <w:ind w:right="190"/>
              <w:spacing w:after="0"/>
              <w:rPr>
                <w:sz w:val="20"/>
                <w:szCs w:val="20"/>
                <w:color w:val="auto"/>
              </w:rPr>
            </w:pPr>
            <w:r>
              <w:rPr>
                <w:rFonts w:ascii="Arial" w:cs="Arial" w:eastAsia="Arial" w:hAnsi="Arial"/>
                <w:sz w:val="18"/>
                <w:szCs w:val="18"/>
                <w:color w:val="auto"/>
                <w:w w:val="90"/>
              </w:rPr>
              <w:t>(Date of earliest event reported)</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280" w:type="dxa"/>
            <w:vAlign w:val="bottom"/>
          </w:tcPr>
          <w:p>
            <w:pPr>
              <w:spacing w:after="0"/>
              <w:rPr>
                <w:sz w:val="22"/>
                <w:szCs w:val="22"/>
                <w:color w:val="auto"/>
              </w:rPr>
            </w:pPr>
          </w:p>
        </w:tc>
        <w:tc>
          <w:tcPr>
            <w:tcW w:w="414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PennantPark Floating Rate Capital Ltd.</w:t>
            </w: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4140" w:type="dxa"/>
            <w:vAlign w:val="bottom"/>
          </w:tcPr>
          <w:p>
            <w:pPr>
              <w:jc w:val="center"/>
              <w:ind w:right="210"/>
              <w:spacing w:after="0"/>
              <w:rPr>
                <w:sz w:val="20"/>
                <w:szCs w:val="20"/>
                <w:color w:val="auto"/>
              </w:rPr>
            </w:pPr>
            <w:r>
              <w:rPr>
                <w:rFonts w:ascii="Arial" w:cs="Arial" w:eastAsia="Arial" w:hAnsi="Arial"/>
                <w:sz w:val="18"/>
                <w:szCs w:val="18"/>
                <w:color w:val="auto"/>
                <w:w w:val="90"/>
              </w:rPr>
              <w:t>(Exact name of registrant as specified in its charter)</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3280" w:type="dxa"/>
            <w:vAlign w:val="bottom"/>
          </w:tcPr>
          <w:p>
            <w:pPr>
              <w:jc w:val="center"/>
              <w:ind w:left="310"/>
              <w:spacing w:after="0"/>
              <w:rPr>
                <w:sz w:val="20"/>
                <w:szCs w:val="20"/>
                <w:color w:val="auto"/>
              </w:rPr>
            </w:pPr>
            <w:r>
              <w:rPr>
                <w:rFonts w:ascii="Arial" w:cs="Arial" w:eastAsia="Arial" w:hAnsi="Arial"/>
                <w:sz w:val="18"/>
                <w:szCs w:val="18"/>
                <w:b w:val="1"/>
                <w:bCs w:val="1"/>
                <w:color w:val="auto"/>
                <w:w w:val="96"/>
              </w:rPr>
              <w:t>Maryland</w:t>
            </w:r>
          </w:p>
        </w:tc>
        <w:tc>
          <w:tcPr>
            <w:tcW w:w="414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90"/>
              </w:rPr>
              <w:t>814-00891</w:t>
            </w:r>
          </w:p>
        </w:tc>
        <w:tc>
          <w:tcPr>
            <w:tcW w:w="2000" w:type="dxa"/>
            <w:vAlign w:val="bottom"/>
          </w:tcPr>
          <w:p>
            <w:pPr>
              <w:jc w:val="right"/>
              <w:ind w:right="310"/>
              <w:spacing w:after="0"/>
              <w:rPr>
                <w:sz w:val="20"/>
                <w:szCs w:val="20"/>
                <w:color w:val="auto"/>
              </w:rPr>
            </w:pPr>
            <w:r>
              <w:rPr>
                <w:rFonts w:ascii="Arial" w:cs="Arial" w:eastAsia="Arial" w:hAnsi="Arial"/>
                <w:sz w:val="18"/>
                <w:szCs w:val="18"/>
                <w:b w:val="1"/>
                <w:bCs w:val="1"/>
                <w:color w:val="auto"/>
              </w:rPr>
              <w:t>27-3794690</w:t>
            </w:r>
          </w:p>
        </w:tc>
        <w:tc>
          <w:tcPr>
            <w:tcW w:w="0" w:type="dxa"/>
            <w:vAlign w:val="bottom"/>
          </w:tcPr>
          <w:p>
            <w:pPr>
              <w:spacing w:after="0"/>
              <w:rPr>
                <w:sz w:val="1"/>
                <w:szCs w:val="1"/>
                <w:color w:val="auto"/>
              </w:rPr>
            </w:pPr>
          </w:p>
        </w:tc>
      </w:tr>
      <w:tr>
        <w:trPr>
          <w:trHeight w:val="216"/>
        </w:trPr>
        <w:tc>
          <w:tcPr>
            <w:tcW w:w="3280" w:type="dxa"/>
            <w:vAlign w:val="bottom"/>
          </w:tcPr>
          <w:p>
            <w:pPr>
              <w:jc w:val="center"/>
              <w:ind w:left="310"/>
              <w:spacing w:after="0"/>
              <w:rPr>
                <w:sz w:val="20"/>
                <w:szCs w:val="20"/>
                <w:color w:val="auto"/>
              </w:rPr>
            </w:pPr>
            <w:r>
              <w:rPr>
                <w:rFonts w:ascii="Arial" w:cs="Arial" w:eastAsia="Arial" w:hAnsi="Arial"/>
                <w:sz w:val="18"/>
                <w:szCs w:val="18"/>
                <w:color w:val="auto"/>
                <w:w w:val="91"/>
              </w:rPr>
              <w:t>(State or other jurisdiction</w:t>
            </w:r>
          </w:p>
        </w:tc>
        <w:tc>
          <w:tcPr>
            <w:tcW w:w="4140" w:type="dxa"/>
            <w:vAlign w:val="bottom"/>
            <w:vMerge w:val="continue"/>
          </w:tcPr>
          <w:p>
            <w:pPr>
              <w:spacing w:after="0"/>
              <w:rPr>
                <w:sz w:val="18"/>
                <w:szCs w:val="18"/>
                <w:color w:val="auto"/>
              </w:rPr>
            </w:pPr>
          </w:p>
        </w:tc>
        <w:tc>
          <w:tcPr>
            <w:tcW w:w="2000" w:type="dxa"/>
            <w:vAlign w:val="bottom"/>
          </w:tcPr>
          <w:p>
            <w:pPr>
              <w:jc w:val="center"/>
              <w:ind w:left="2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280" w:type="dxa"/>
            <w:vAlign w:val="bottom"/>
          </w:tcPr>
          <w:p>
            <w:pPr>
              <w:jc w:val="center"/>
              <w:ind w:left="330"/>
              <w:spacing w:after="0"/>
              <w:rPr>
                <w:sz w:val="20"/>
                <w:szCs w:val="20"/>
                <w:color w:val="auto"/>
              </w:rPr>
            </w:pPr>
            <w:r>
              <w:rPr>
                <w:rFonts w:ascii="Arial" w:cs="Arial" w:eastAsia="Arial" w:hAnsi="Arial"/>
                <w:sz w:val="18"/>
                <w:szCs w:val="18"/>
                <w:color w:val="auto"/>
                <w:w w:val="93"/>
              </w:rPr>
              <w:t>of incorporation)</w:t>
            </w:r>
          </w:p>
        </w:tc>
        <w:tc>
          <w:tcPr>
            <w:tcW w:w="4140" w:type="dxa"/>
            <w:vAlign w:val="bottom"/>
          </w:tcPr>
          <w:p>
            <w:pPr>
              <w:jc w:val="center"/>
              <w:ind w:right="170"/>
              <w:spacing w:after="0"/>
              <w:rPr>
                <w:sz w:val="20"/>
                <w:szCs w:val="20"/>
                <w:color w:val="auto"/>
              </w:rPr>
            </w:pPr>
            <w:r>
              <w:rPr>
                <w:rFonts w:ascii="Arial" w:cs="Arial" w:eastAsia="Arial" w:hAnsi="Arial"/>
                <w:sz w:val="18"/>
                <w:szCs w:val="18"/>
                <w:color w:val="auto"/>
                <w:w w:val="93"/>
              </w:rPr>
              <w:t>(Commission File Number)</w:t>
            </w:r>
          </w:p>
        </w:tc>
        <w:tc>
          <w:tcPr>
            <w:tcW w:w="200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Number)</w:t>
            </w:r>
          </w:p>
        </w:tc>
        <w:tc>
          <w:tcPr>
            <w:tcW w:w="0" w:type="dxa"/>
            <w:vAlign w:val="bottom"/>
          </w:tcPr>
          <w:p>
            <w:pPr>
              <w:spacing w:after="0"/>
              <w:rPr>
                <w:sz w:val="1"/>
                <w:szCs w:val="1"/>
                <w:color w:val="auto"/>
              </w:rPr>
            </w:pPr>
          </w:p>
        </w:tc>
      </w:tr>
      <w:tr>
        <w:trPr>
          <w:trHeight w:val="580"/>
        </w:trPr>
        <w:tc>
          <w:tcPr>
            <w:tcW w:w="7420" w:type="dxa"/>
            <w:vAlign w:val="bottom"/>
            <w:gridSpan w:val="2"/>
          </w:tcPr>
          <w:p>
            <w:pPr>
              <w:jc w:val="center"/>
              <w:ind w:right="3650"/>
              <w:spacing w:after="0"/>
              <w:rPr>
                <w:sz w:val="20"/>
                <w:szCs w:val="20"/>
                <w:color w:val="auto"/>
              </w:rPr>
            </w:pPr>
            <w:r>
              <w:rPr>
                <w:rFonts w:ascii="Arial" w:cs="Arial" w:eastAsia="Arial" w:hAnsi="Arial"/>
                <w:sz w:val="18"/>
                <w:szCs w:val="18"/>
                <w:b w:val="1"/>
                <w:bCs w:val="1"/>
                <w:color w:val="auto"/>
                <w:w w:val="91"/>
              </w:rPr>
              <w:t>590 Madison Avenue, 15th Floor, New York, NY</w:t>
            </w:r>
          </w:p>
        </w:tc>
        <w:tc>
          <w:tcPr>
            <w:tcW w:w="2000" w:type="dxa"/>
            <w:vAlign w:val="bottom"/>
          </w:tcPr>
          <w:p>
            <w:pPr>
              <w:jc w:val="right"/>
              <w:ind w:right="530"/>
              <w:spacing w:after="0"/>
              <w:rPr>
                <w:sz w:val="20"/>
                <w:szCs w:val="20"/>
                <w:color w:val="auto"/>
              </w:rPr>
            </w:pPr>
            <w:r>
              <w:rPr>
                <w:rFonts w:ascii="Arial" w:cs="Arial" w:eastAsia="Arial" w:hAnsi="Arial"/>
                <w:sz w:val="18"/>
                <w:szCs w:val="18"/>
                <w:b w:val="1"/>
                <w:bCs w:val="1"/>
                <w:color w:val="auto"/>
              </w:rPr>
              <w:t>10022</w:t>
            </w:r>
          </w:p>
        </w:tc>
        <w:tc>
          <w:tcPr>
            <w:tcW w:w="0" w:type="dxa"/>
            <w:vAlign w:val="bottom"/>
          </w:tcPr>
          <w:p>
            <w:pPr>
              <w:spacing w:after="0"/>
              <w:rPr>
                <w:sz w:val="1"/>
                <w:szCs w:val="1"/>
                <w:color w:val="auto"/>
              </w:rPr>
            </w:pPr>
          </w:p>
        </w:tc>
      </w:tr>
      <w:tr>
        <w:trPr>
          <w:trHeight w:val="230"/>
        </w:trPr>
        <w:tc>
          <w:tcPr>
            <w:tcW w:w="3280" w:type="dxa"/>
            <w:vAlign w:val="bottom"/>
          </w:tcPr>
          <w:p>
            <w:pPr>
              <w:jc w:val="center"/>
              <w:ind w:left="310"/>
              <w:spacing w:after="0"/>
              <w:rPr>
                <w:sz w:val="20"/>
                <w:szCs w:val="20"/>
                <w:color w:val="auto"/>
              </w:rPr>
            </w:pPr>
            <w:r>
              <w:rPr>
                <w:rFonts w:ascii="Arial" w:cs="Arial" w:eastAsia="Arial" w:hAnsi="Arial"/>
                <w:sz w:val="18"/>
                <w:szCs w:val="18"/>
                <w:color w:val="auto"/>
                <w:w w:val="92"/>
              </w:rPr>
              <w:t>(Address of principal executive offices)</w:t>
            </w:r>
          </w:p>
        </w:tc>
        <w:tc>
          <w:tcPr>
            <w:tcW w:w="4140" w:type="dxa"/>
            <w:vAlign w:val="bottom"/>
          </w:tcPr>
          <w:p>
            <w:pPr>
              <w:spacing w:after="0"/>
              <w:rPr>
                <w:sz w:val="20"/>
                <w:szCs w:val="20"/>
                <w:color w:val="auto"/>
              </w:rPr>
            </w:pPr>
          </w:p>
        </w:tc>
        <w:tc>
          <w:tcPr>
            <w:tcW w:w="2000" w:type="dxa"/>
            <w:vAlign w:val="bottom"/>
          </w:tcPr>
          <w:p>
            <w:pPr>
              <w:jc w:val="center"/>
              <w:ind w:left="23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256"/>
        </w:trPr>
        <w:tc>
          <w:tcPr>
            <w:tcW w:w="3280" w:type="dxa"/>
            <w:vAlign w:val="bottom"/>
          </w:tcPr>
          <w:p>
            <w:pPr>
              <w:spacing w:after="0"/>
              <w:rPr>
                <w:sz w:val="22"/>
                <w:szCs w:val="22"/>
                <w:color w:val="auto"/>
              </w:rPr>
            </w:pPr>
          </w:p>
        </w:tc>
        <w:tc>
          <w:tcPr>
            <w:tcW w:w="414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212-905-1000</w:t>
            </w: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4140" w:type="dxa"/>
            <w:vAlign w:val="bottom"/>
          </w:tcPr>
          <w:p>
            <w:pPr>
              <w:jc w:val="center"/>
              <w:ind w:right="210"/>
              <w:spacing w:after="0"/>
              <w:rPr>
                <w:sz w:val="20"/>
                <w:szCs w:val="20"/>
                <w:color w:val="auto"/>
              </w:rPr>
            </w:pPr>
            <w:r>
              <w:rPr>
                <w:rFonts w:ascii="Arial" w:cs="Arial" w:eastAsia="Arial" w:hAnsi="Arial"/>
                <w:sz w:val="18"/>
                <w:szCs w:val="18"/>
                <w:color w:val="auto"/>
                <w:w w:val="89"/>
              </w:rPr>
              <w:t>(Registrant's telephone number, including area code)</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0"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6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05" w:lineRule="exact"/>
        <w:rPr>
          <w:sz w:val="24"/>
          <w:szCs w:val="24"/>
          <w:color w:val="auto"/>
        </w:rPr>
      </w:pPr>
    </w:p>
    <w:p>
      <w:pPr>
        <w:ind w:left="540"/>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00" w:lineRule="exact"/>
        <w:rPr>
          <w:sz w:val="24"/>
          <w:szCs w:val="24"/>
          <w:color w:val="auto"/>
        </w:rPr>
      </w:pPr>
    </w:p>
    <w:p>
      <w:pPr>
        <w:spacing w:after="0" w:line="295" w:lineRule="exact"/>
        <w:rPr>
          <w:sz w:val="24"/>
          <w:szCs w:val="24"/>
          <w:color w:val="auto"/>
        </w:rPr>
      </w:pPr>
    </w:p>
    <w:p>
      <w:pPr>
        <w:ind w:left="540"/>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00" w:lineRule="exact"/>
        <w:rPr>
          <w:sz w:val="24"/>
          <w:szCs w:val="24"/>
          <w:color w:val="auto"/>
        </w:rPr>
      </w:pPr>
    </w:p>
    <w:p>
      <w:pPr>
        <w:spacing w:after="0" w:line="295" w:lineRule="exact"/>
        <w:rPr>
          <w:sz w:val="24"/>
          <w:szCs w:val="24"/>
          <w:color w:val="auto"/>
        </w:rPr>
      </w:pPr>
    </w:p>
    <w:p>
      <w:pPr>
        <w:ind w:left="540"/>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00" w:lineRule="exact"/>
        <w:rPr>
          <w:sz w:val="24"/>
          <w:szCs w:val="24"/>
          <w:color w:val="auto"/>
        </w:rPr>
      </w:pPr>
    </w:p>
    <w:p>
      <w:pPr>
        <w:spacing w:after="0" w:line="295" w:lineRule="exact"/>
        <w:rPr>
          <w:sz w:val="24"/>
          <w:szCs w:val="24"/>
          <w:color w:val="auto"/>
        </w:rPr>
      </w:pPr>
    </w:p>
    <w:p>
      <w:pPr>
        <w:ind w:left="540"/>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ectPr>
          <w:pgSz w:w="11900" w:h="16838" w:orient="portrait"/>
          <w:cols w:equalWidth="0" w:num="1">
            <w:col w:w="10560"/>
          </w:cols>
          <w:pgMar w:left="320" w:top="688" w:right="10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7"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On June 14, 2011, PennantPark Floating Rate Capital Ltd. issued a press release announcing the initiation of its monthly distribution. A copy of the press release is furnished as Exhibit 99.1 to this Form 8-K.</w:t>
      </w:r>
    </w:p>
    <w:p>
      <w:pPr>
        <w:spacing w:after="0" w:line="185"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filling under the Securities Exchange Act of 1933, as amended, or the Exchange Act, except as shall be expressly set forth by specific reference in such filing.</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79" w:lineRule="exact"/>
        <w:rPr>
          <w:sz w:val="20"/>
          <w:szCs w:val="20"/>
          <w:color w:val="auto"/>
        </w:rPr>
      </w:pPr>
    </w:p>
    <w:p>
      <w:pPr>
        <w:ind w:left="540" w:right="9320" w:hanging="532"/>
        <w:spacing w:after="0" w:line="633" w:lineRule="auto"/>
        <w:tabs>
          <w:tab w:leader="none" w:pos="255"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 w:lineRule="exact"/>
        <w:rPr>
          <w:rFonts w:ascii="Arial" w:cs="Arial" w:eastAsia="Arial" w:hAnsi="Arial"/>
          <w:sz w:val="16"/>
          <w:szCs w:val="16"/>
          <w:b w:val="1"/>
          <w:bCs w:val="1"/>
          <w:color w:val="auto"/>
        </w:rPr>
      </w:pPr>
    </w:p>
    <w:p>
      <w:pPr>
        <w:ind w:left="540" w:right="8420" w:hanging="532"/>
        <w:spacing w:after="0" w:line="563" w:lineRule="auto"/>
        <w:tabs>
          <w:tab w:leader="none" w:pos="26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540" w:right="8800" w:hanging="532"/>
        <w:spacing w:after="0" w:line="563" w:lineRule="auto"/>
        <w:tabs>
          <w:tab w:leader="none" w:pos="24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83"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PennantPark Floating Rate Capital Ltd. dated June 14, 2011</w:t>
      </w:r>
    </w:p>
    <w:p>
      <w:pPr>
        <w:spacing w:after="0" w:line="140"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ind w:firstLine="270"/>
        <w:spacing w:after="0" w:line="260"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Arial" w:cs="Arial" w:eastAsia="Arial" w:hAnsi="Arial"/>
                <w:sz w:val="18"/>
                <w:szCs w:val="18"/>
                <w:color w:val="auto"/>
              </w:rPr>
              <w:t>Dated: June 14, 2011</w:t>
            </w:r>
          </w:p>
        </w:tc>
        <w:tc>
          <w:tcPr>
            <w:tcW w:w="6180" w:type="dxa"/>
            <w:vAlign w:val="bottom"/>
            <w:gridSpan w:val="3"/>
          </w:tcPr>
          <w:p>
            <w:pPr>
              <w:ind w:left="216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310"/>
        </w:trPr>
        <w:tc>
          <w:tcPr>
            <w:tcW w:w="3680" w:type="dxa"/>
            <w:vAlign w:val="bottom"/>
          </w:tcPr>
          <w:p>
            <w:pPr>
              <w:spacing w:after="0"/>
              <w:rPr>
                <w:sz w:val="24"/>
                <w:szCs w:val="24"/>
                <w:color w:val="auto"/>
              </w:rPr>
            </w:pPr>
          </w:p>
        </w:tc>
        <w:tc>
          <w:tcPr>
            <w:tcW w:w="6180" w:type="dxa"/>
            <w:vAlign w:val="bottom"/>
            <w:gridSpan w:val="3"/>
          </w:tcPr>
          <w:p>
            <w:pPr>
              <w:ind w:left="2160"/>
              <w:spacing w:after="0"/>
              <w:rPr>
                <w:sz w:val="20"/>
                <w:szCs w:val="20"/>
                <w:color w:val="auto"/>
              </w:rPr>
            </w:pPr>
            <w:r>
              <w:rPr>
                <w:rFonts w:ascii="Arial" w:cs="Arial" w:eastAsia="Arial" w:hAnsi="Arial"/>
                <w:sz w:val="18"/>
                <w:szCs w:val="18"/>
                <w:color w:val="auto"/>
              </w:rPr>
              <w:t>By: /s/ Aviv Efrat</w:t>
            </w:r>
          </w:p>
        </w:tc>
      </w:tr>
      <w:tr>
        <w:trPr>
          <w:trHeight w:val="20"/>
        </w:trPr>
        <w:tc>
          <w:tcPr>
            <w:tcW w:w="36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507"/>
        </w:trPr>
        <w:tc>
          <w:tcPr>
            <w:tcW w:w="3680" w:type="dxa"/>
            <w:vAlign w:val="bottom"/>
          </w:tcPr>
          <w:p>
            <w:pPr>
              <w:spacing w:after="0"/>
              <w:rPr>
                <w:sz w:val="24"/>
                <w:szCs w:val="24"/>
                <w:color w:val="auto"/>
              </w:rPr>
            </w:pPr>
          </w:p>
        </w:tc>
        <w:tc>
          <w:tcPr>
            <w:tcW w:w="6180" w:type="dxa"/>
            <w:vAlign w:val="bottom"/>
            <w:gridSpan w:val="3"/>
          </w:tcPr>
          <w:p>
            <w:pPr>
              <w:ind w:left="2380"/>
              <w:spacing w:after="0"/>
              <w:rPr>
                <w:sz w:val="20"/>
                <w:szCs w:val="20"/>
                <w:color w:val="auto"/>
              </w:rPr>
            </w:pPr>
            <w:r>
              <w:rPr>
                <w:rFonts w:ascii="Arial" w:cs="Arial" w:eastAsia="Arial" w:hAnsi="Arial"/>
                <w:sz w:val="18"/>
                <w:szCs w:val="18"/>
                <w:color w:val="auto"/>
              </w:rPr>
              <w:t>Aviv Efrat</w:t>
            </w:r>
          </w:p>
        </w:tc>
      </w:tr>
      <w:tr>
        <w:trPr>
          <w:trHeight w:val="702"/>
        </w:trPr>
        <w:tc>
          <w:tcPr>
            <w:tcW w:w="3680" w:type="dxa"/>
            <w:vAlign w:val="bottom"/>
          </w:tcPr>
          <w:p>
            <w:pPr>
              <w:spacing w:after="0"/>
              <w:rPr>
                <w:sz w:val="24"/>
                <w:szCs w:val="24"/>
                <w:color w:val="auto"/>
              </w:rPr>
            </w:pPr>
          </w:p>
        </w:tc>
        <w:tc>
          <w:tcPr>
            <w:tcW w:w="6180" w:type="dxa"/>
            <w:vAlign w:val="bottom"/>
            <w:gridSpan w:val="3"/>
          </w:tcPr>
          <w:p>
            <w:pPr>
              <w:ind w:left="2440"/>
              <w:spacing w:after="0"/>
              <w:rPr>
                <w:sz w:val="20"/>
                <w:szCs w:val="20"/>
                <w:color w:val="auto"/>
              </w:rPr>
            </w:pPr>
            <w:r>
              <w:rPr>
                <w:rFonts w:ascii="Arial" w:cs="Arial" w:eastAsia="Arial" w:hAnsi="Arial"/>
                <w:sz w:val="18"/>
                <w:szCs w:val="18"/>
                <w:i w:val="1"/>
                <w:iCs w:val="1"/>
                <w:color w:val="auto"/>
              </w:rPr>
              <w:t>Chief Financial Officer &amp; Treasurer</w:t>
            </w:r>
          </w:p>
        </w:tc>
      </w:tr>
    </w:tbl>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220"/>
          </w:cols>
          <w:pgMar w:left="320" w:top="796" w:right="359" w:bottom="1440" w:gutter="0" w:footer="0" w:header="0"/>
        </w:sectPr>
      </w:pPr>
    </w:p>
    <w:p>
      <w:pPr>
        <w:spacing w:after="0" w:line="63" w:lineRule="exact"/>
        <w:rPr>
          <w:sz w:val="20"/>
          <w:szCs w:val="20"/>
          <w:color w:val="auto"/>
        </w:rPr>
      </w:pPr>
    </w:p>
    <w:p>
      <w:pPr>
        <w:ind w:left="2380"/>
        <w:spacing w:after="0"/>
        <w:rPr>
          <w:sz w:val="20"/>
          <w:szCs w:val="20"/>
          <w:color w:val="auto"/>
        </w:rPr>
      </w:pPr>
      <w:r>
        <w:rPr>
          <w:rFonts w:ascii="Arial" w:cs="Arial" w:eastAsia="Arial" w:hAnsi="Arial"/>
          <w:sz w:val="16"/>
          <w:szCs w:val="16"/>
          <w:b w:val="1"/>
          <w:bCs w:val="1"/>
          <w:color w:val="auto"/>
        </w:rPr>
        <w:t>Exhibit No.</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90" w:lineRule="exact"/>
        <w:rPr>
          <w:sz w:val="20"/>
          <w:szCs w:val="20"/>
          <w:color w:val="auto"/>
        </w:rPr>
      </w:pPr>
    </w:p>
    <w:p>
      <w:pPr>
        <w:sectPr>
          <w:pgSz w:w="11900" w:h="16838" w:orient="portrait"/>
          <w:cols w:equalWidth="0" w:num="2">
            <w:col w:w="7260" w:space="720"/>
            <w:col w:w="3240"/>
          </w:cols>
          <w:pgMar w:left="320" w:top="796" w:right="359" w:bottom="1440" w:gutter="0" w:footer="0" w:header="0"/>
          <w:type w:val="continuous"/>
        </w:sectPr>
      </w:pPr>
    </w:p>
    <w:p>
      <w:pPr>
        <w:jc w:val="center"/>
        <w:ind w:left="700"/>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of PennantPark Floating Rate Capital Ltd. dated June 14, 2011</w:t>
      </w:r>
    </w:p>
    <w:p>
      <w:pPr>
        <w:sectPr>
          <w:pgSz w:w="11900" w:h="16838" w:orient="portrait"/>
          <w:cols w:equalWidth="0" w:num="2">
            <w:col w:w="4940" w:space="720"/>
            <w:col w:w="5560"/>
          </w:cols>
          <w:pgMar w:left="320" w:top="796" w:right="359" w:bottom="1440" w:gutter="0" w:footer="0" w:header="0"/>
          <w:type w:val="continuous"/>
        </w:sectPr>
      </w:pPr>
    </w:p>
    <w:bookmarkStart w:id="2" w:name="page3"/>
    <w:bookmarkEnd w:id="2"/>
    <w:p>
      <w:pPr>
        <w:ind w:left="10160"/>
        <w:spacing w:after="0"/>
        <w:rPr>
          <w:sz w:val="20"/>
          <w:szCs w:val="20"/>
          <w:color w:val="auto"/>
        </w:rPr>
      </w:pPr>
      <w:r>
        <w:rPr>
          <w:rFonts w:ascii="Arial" w:cs="Arial" w:eastAsia="Arial" w:hAnsi="Arial"/>
          <w:sz w:val="17"/>
          <w:szCs w:val="17"/>
          <w:color w:val="auto"/>
        </w:rPr>
        <w:t>EXHIBIT 99.1</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25"/>
          <w:szCs w:val="25"/>
          <w:b w:val="1"/>
          <w:bCs w:val="1"/>
          <w:color w:val="auto"/>
        </w:rPr>
        <w:t>PennantPark Floating Rate Capital Ltd. Announces the Initiation of Monthly Distributions</w:t>
      </w:r>
    </w:p>
    <w:p>
      <w:pPr>
        <w:spacing w:after="0" w:line="242" w:lineRule="exact"/>
        <w:rPr>
          <w:sz w:val="20"/>
          <w:szCs w:val="20"/>
          <w:color w:val="auto"/>
        </w:rPr>
      </w:pPr>
    </w:p>
    <w:p>
      <w:pPr>
        <w:jc w:val="both"/>
        <w:ind w:right="340"/>
        <w:spacing w:after="0" w:line="279" w:lineRule="auto"/>
        <w:rPr>
          <w:sz w:val="20"/>
          <w:szCs w:val="20"/>
          <w:color w:val="auto"/>
        </w:rPr>
      </w:pPr>
      <w:r>
        <w:rPr>
          <w:rFonts w:ascii="Arial" w:cs="Arial" w:eastAsia="Arial" w:hAnsi="Arial"/>
          <w:sz w:val="17"/>
          <w:szCs w:val="17"/>
          <w:color w:val="auto"/>
        </w:rPr>
        <w:t>NEW YORK, June 14, 2011 (MARKETWIRE) -- PennantPark Floating Rate Capital Ltd. (the "Company") (Nasdaq: PFLT) declares its first monthly distribution for June 2011 of $0.05 per share, payable on July 1, 2011 to stockholders of record as of June 24, 2011. Distributions are paid from taxable earnings and may include a return of capital and/or capital gains. The specific tax characteristics of the distributions will be reported to stockholders on Form 1099 after the end of the calendar year and in its periodic reports filed with the SEC.</w:t>
      </w:r>
    </w:p>
    <w:p>
      <w:pPr>
        <w:spacing w:after="0" w:line="17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are pleased to be paying our first dividend only two months after inception," said Arthur Penn, Chairman and Chief Executive Officer. "As our portfolio ramp continues, we expect our monthly dividend to increase."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ABOUT PENNANTPARK FLOATING RATE CAPITAL LTD.</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press release may contain "forward-looking statements."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right="956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905-1000 www.pennantpark.com</w:t>
      </w:r>
    </w:p>
    <w:sectPr>
      <w:pgSz w:w="11900" w:h="16838" w:orient="portrait"/>
      <w:cols w:equalWidth="0" w:num="1">
        <w:col w:w="11240"/>
      </w:cols>
      <w:pgMar w:left="320" w:top="10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2020-05-05T12:06:21Z</dcterms:created>
  <dcterms:modified xsi:type="dcterms:W3CDTF">2020-05-05T12:06:21Z</dcterms:modified>
</cp:coreProperties>
</file>