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May 13, 2013.</w:t>
      </w:r>
    </w:p>
    <w:p>
      <w:pPr>
        <w:jc w:val="center"/>
        <w:ind w:right="-99"/>
        <w:spacing w:after="0" w:line="223" w:lineRule="auto"/>
        <w:rPr>
          <w:sz w:val="20"/>
          <w:szCs w:val="20"/>
          <w:color w:val="auto"/>
        </w:rPr>
      </w:pPr>
      <w:r>
        <w:rPr>
          <w:rFonts w:ascii="Arial" w:cs="Arial" w:eastAsia="Arial" w:hAnsi="Arial"/>
          <w:sz w:val="14"/>
          <w:szCs w:val="14"/>
          <w:b w:val="1"/>
          <w:bCs w:val="1"/>
          <w:color w:val="auto"/>
        </w:rPr>
        <w:t>Securities Act Registration No. 333-180084</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rPr>
          <w:sz w:val="20"/>
          <w:szCs w:val="20"/>
          <w:color w:val="auto"/>
        </w:rPr>
      </w:pPr>
      <w:r>
        <w:rPr>
          <w:rFonts w:ascii="Arial" w:cs="Arial" w:eastAsia="Arial" w:hAnsi="Arial"/>
          <w:sz w:val="18"/>
          <w:szCs w:val="18"/>
          <w:b w:val="1"/>
          <w:bCs w:val="1"/>
          <w:color w:val="auto"/>
        </w:rPr>
        <w:t xml:space="preserve">Post-Effective Amendment No. 2 </w:t>
      </w:r>
      <w:r>
        <w:rPr>
          <w:rFonts w:ascii="MS PGothic" w:cs="MS PGothic" w:eastAsia="MS PGothic" w:hAnsi="MS PGothic"/>
          <w:sz w:val="18"/>
          <w:szCs w:val="18"/>
          <w:color w:val="auto"/>
        </w:rPr>
        <w:t>☒</w:t>
      </w:r>
    </w:p>
    <w:p>
      <w:pPr>
        <w:spacing w:after="0" w:line="10" w:lineRule="exact"/>
        <w:rPr>
          <w:sz w:val="24"/>
          <w:szCs w:val="24"/>
          <w:color w:val="auto"/>
        </w:rPr>
      </w:pPr>
    </w:p>
    <w:p>
      <w:pPr>
        <w:jc w:val="center"/>
        <w:ind w:right="-99"/>
        <w:spacing w:after="0" w:line="207" w:lineRule="exact"/>
        <w:tabs>
          <w:tab w:leader="none" w:pos="24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William Tuttle</w:t>
      </w:r>
    </w:p>
    <w:p>
      <w:pPr>
        <w:jc w:val="center"/>
        <w:ind w:right="-99"/>
        <w:spacing w:after="0" w:line="221"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2"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1"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4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500" w:firstLine="464"/>
        <w:spacing w:after="0" w:line="239" w:lineRule="auto"/>
        <w:tabs>
          <w:tab w:leader="none" w:pos="60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60" w:type="dxa"/>
            <w:vAlign w:val="bottom"/>
            <w:tcBorders>
              <w:top w:val="single" w:sz="8" w:color="auto"/>
              <w:left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38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40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tcPr>
          <w:p>
            <w:pPr>
              <w:ind w:left="74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80" w:type="dxa"/>
            <w:vAlign w:val="bottom"/>
            <w:tcBorders>
              <w:right w:val="single" w:sz="8" w:color="auto"/>
            </w:tcBorders>
          </w:tcPr>
          <w:p>
            <w:pPr>
              <w:jc w:val="right"/>
              <w:ind w:right="332"/>
              <w:spacing w:after="0" w:line="148" w:lineRule="exact"/>
              <w:rPr>
                <w:sz w:val="20"/>
                <w:szCs w:val="20"/>
                <w:color w:val="auto"/>
              </w:rPr>
            </w:pPr>
            <w:r>
              <w:rPr>
                <w:rFonts w:ascii="Arial" w:cs="Arial" w:eastAsia="Arial" w:hAnsi="Arial"/>
                <w:sz w:val="14"/>
                <w:szCs w:val="14"/>
                <w:b w:val="1"/>
                <w:bCs w:val="1"/>
                <w:color w:val="auto"/>
              </w:rPr>
              <w:t>Amount Being</w:t>
            </w:r>
          </w:p>
        </w:tc>
        <w:tc>
          <w:tcPr>
            <w:tcW w:w="194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380" w:type="dxa"/>
            <w:vAlign w:val="bottom"/>
          </w:tcPr>
          <w:p>
            <w:pPr>
              <w:spacing w:after="0"/>
              <w:rPr>
                <w:sz w:val="12"/>
                <w:szCs w:val="12"/>
                <w:color w:val="auto"/>
              </w:rPr>
            </w:pPr>
          </w:p>
        </w:tc>
        <w:tc>
          <w:tcPr>
            <w:tcW w:w="1540" w:type="dxa"/>
            <w:vAlign w:val="bottom"/>
            <w:tcBorders>
              <w:right w:val="single" w:sz="8" w:color="auto"/>
            </w:tcBorders>
          </w:tcPr>
          <w:p>
            <w:pPr>
              <w:jc w:val="center"/>
              <w:ind w:right="234"/>
              <w:spacing w:after="0" w:line="148"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620" w:type="dxa"/>
            <w:vAlign w:val="bottom"/>
            <w:tcBorders>
              <w:right w:val="single" w:sz="8" w:color="auto"/>
            </w:tcBorders>
          </w:tcPr>
          <w:p>
            <w:pPr>
              <w:jc w:val="center"/>
              <w:ind w:right="33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760" w:type="dxa"/>
            <w:vAlign w:val="bottom"/>
            <w:tcBorders>
              <w:left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4"/>
                <w:szCs w:val="14"/>
                <w:b w:val="1"/>
                <w:bCs w:val="1"/>
                <w:color w:val="auto"/>
              </w:rPr>
              <w:t>Registered</w:t>
            </w:r>
          </w:p>
        </w:tc>
        <w:tc>
          <w:tcPr>
            <w:tcW w:w="188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Registered</w:t>
            </w:r>
          </w:p>
        </w:tc>
        <w:tc>
          <w:tcPr>
            <w:tcW w:w="194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3"/>
              </w:rPr>
              <w:t>Per Unit</w:t>
            </w: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right="23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35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80" w:type="dxa"/>
            <w:vAlign w:val="bottom"/>
            <w:tcBorders>
              <w:right w:val="single" w:sz="8" w:color="auto"/>
            </w:tcBorders>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80" w:type="dxa"/>
            <w:vAlign w:val="bottom"/>
            <w:tcBorders>
              <w:right w:val="single" w:sz="8" w:color="auto"/>
            </w:tcBorders>
            <w:vMerge w:val="restart"/>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150,000,000</w:t>
            </w:r>
            <w:r>
              <w:rPr>
                <w:rFonts w:ascii="Arial" w:cs="Arial" w:eastAsia="Arial" w:hAnsi="Arial"/>
                <w:sz w:val="22"/>
                <w:szCs w:val="22"/>
                <w:color w:val="auto"/>
                <w:vertAlign w:val="superscript"/>
              </w:rPr>
              <w:t>(5)</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17,190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5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$150,000,000.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$150,000,000.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jc w:val="both"/>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8(c) of the Securities Act of 1933 or until the Registration Statement shall become effective on such dates as the Commission, acting pursuant to said Section 8(c), may determine.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6 and “Sales of Common Stock Below Net Asset Value” on page 39 of this prospectus for more information.</w:t>
      </w:r>
    </w:p>
    <w:p>
      <w:pPr>
        <w:spacing w:after="0" w:line="46"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May 10, 2013 was $14.45 per share, and our net asset value on March 31, 2013 was $14.10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color w:val="auto"/>
        </w:rPr>
        <w:t>” beginning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1"/>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9">
              <w:r>
                <w:rPr>
                  <w:rFonts w:ascii="Arial" w:cs="Arial" w:eastAsia="Arial" w:hAnsi="Arial"/>
                  <w:sz w:val="14"/>
                  <w:szCs w:val="14"/>
                  <w:color w:val="0000EE"/>
                  <w:w w:val="89"/>
                </w:rPr>
                <w:t>FEES AND EXPENSES</w:t>
              </w:r>
            </w:hyperlink>
          </w:p>
        </w:tc>
        <w:tc>
          <w:tcPr>
            <w:tcW w:w="944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22</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8">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1"/>
          </w:tcPr>
          <w:p>
            <w:pPr>
              <w:spacing w:after="0"/>
              <w:rPr>
                <w:rFonts w:ascii="Arial" w:cs="Arial" w:eastAsia="Arial" w:hAnsi="Arial"/>
                <w:sz w:val="14"/>
                <w:szCs w:val="14"/>
                <w:color w:val="0000EE"/>
                <w:w w:val="93"/>
              </w:rPr>
            </w:pPr>
            <w:hyperlink w:anchor="page31">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26</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2">
              <w:r>
                <w:rPr>
                  <w:rFonts w:ascii="Arial" w:cs="Arial" w:eastAsia="Arial" w:hAnsi="Arial"/>
                  <w:sz w:val="14"/>
                  <w:szCs w:val="14"/>
                  <w:color w:val="0000EE"/>
                  <w:w w:val="90"/>
                </w:rPr>
                <w:t>SENIOR SECURITIES</w:t>
              </w:r>
            </w:hyperlink>
          </w:p>
        </w:tc>
        <w:tc>
          <w:tcPr>
            <w:tcW w:w="950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PRICE RANGE OF COMMON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39</w:t>
            </w:r>
          </w:p>
        </w:tc>
      </w:tr>
      <w:tr>
        <w:trPr>
          <w:trHeight w:val="196"/>
        </w:trPr>
        <w:tc>
          <w:tcPr>
            <w:tcW w:w="3480" w:type="dxa"/>
            <w:vAlign w:val="bottom"/>
            <w:tcBorders>
              <w:top w:val="single" w:sz="8" w:color="0000EE"/>
            </w:tcBorders>
            <w:gridSpan w:val="27"/>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43</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BUSINESS</w:t>
              </w:r>
            </w:hyperlink>
          </w:p>
        </w:tc>
        <w:tc>
          <w:tcPr>
            <w:tcW w:w="9780" w:type="dxa"/>
            <w:vAlign w:val="bottom"/>
            <w:gridSpan w:val="2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1"/>
          </w:tcPr>
          <w:p>
            <w:pPr>
              <w:spacing w:after="0"/>
              <w:rPr>
                <w:rFonts w:ascii="Arial" w:cs="Arial" w:eastAsia="Arial" w:hAnsi="Arial"/>
                <w:sz w:val="14"/>
                <w:szCs w:val="14"/>
                <w:color w:val="0000EE"/>
                <w:w w:val="93"/>
              </w:rPr>
            </w:pPr>
            <w:hyperlink w:anchor="page52">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52</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MANAGEMENT</w:t>
              </w:r>
            </w:hyperlink>
          </w:p>
        </w:tc>
        <w:tc>
          <w:tcPr>
            <w:tcW w:w="9260" w:type="dxa"/>
            <w:vAlign w:val="bottom"/>
            <w:gridSpan w:val="2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57</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6"/>
          </w:tcPr>
          <w:p>
            <w:pPr>
              <w:spacing w:after="0"/>
              <w:rPr>
                <w:rFonts w:ascii="Arial" w:cs="Arial" w:eastAsia="Arial" w:hAnsi="Arial"/>
                <w:sz w:val="14"/>
                <w:szCs w:val="14"/>
                <w:color w:val="0000EE"/>
                <w:w w:val="91"/>
              </w:rPr>
            </w:pPr>
            <w:hyperlink w:anchor="page67">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62</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64</w:t>
            </w:r>
          </w:p>
        </w:tc>
      </w:tr>
      <w:tr>
        <w:trPr>
          <w:trHeight w:val="196"/>
        </w:trPr>
        <w:tc>
          <w:tcPr>
            <w:tcW w:w="2540" w:type="dxa"/>
            <w:vAlign w:val="bottom"/>
            <w:tcBorders>
              <w:top w:val="single" w:sz="8" w:color="0000EE"/>
              <w:bottom w:val="single" w:sz="8" w:color="0000EE"/>
            </w:tcBorders>
            <w:gridSpan w:val="19"/>
          </w:tcPr>
          <w:p>
            <w:pPr>
              <w:spacing w:after="0"/>
              <w:rPr>
                <w:rFonts w:ascii="Arial" w:cs="Arial" w:eastAsia="Arial" w:hAnsi="Arial"/>
                <w:sz w:val="14"/>
                <w:szCs w:val="14"/>
                <w:color w:val="0000EE"/>
                <w:w w:val="93"/>
              </w:rPr>
            </w:pPr>
            <w:hyperlink w:anchor="page74">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69</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71</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8"/>
          </w:tcPr>
          <w:p>
            <w:pPr>
              <w:spacing w:after="0"/>
              <w:rPr>
                <w:rFonts w:ascii="Arial" w:cs="Arial" w:eastAsia="Arial" w:hAnsi="Arial"/>
                <w:sz w:val="14"/>
                <w:szCs w:val="14"/>
                <w:color w:val="0000EE"/>
                <w:w w:val="91"/>
              </w:rPr>
            </w:pPr>
            <w:hyperlink w:anchor="page77">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72</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r>
      <w:tr>
        <w:trPr>
          <w:trHeight w:val="196"/>
        </w:trPr>
        <w:tc>
          <w:tcPr>
            <w:tcW w:w="2680" w:type="dxa"/>
            <w:vAlign w:val="bottom"/>
            <w:tcBorders>
              <w:top w:val="single" w:sz="8" w:color="0000EE"/>
            </w:tcBorders>
            <w:gridSpan w:val="22"/>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77</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78</w:t>
            </w:r>
          </w:p>
        </w:tc>
      </w:tr>
      <w:tr>
        <w:trPr>
          <w:trHeight w:val="196"/>
        </w:trPr>
        <w:tc>
          <w:tcPr>
            <w:tcW w:w="260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1"/>
              </w:rPr>
            </w:pPr>
            <w:hyperlink w:anchor="page84">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79</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4">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89</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8">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93</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94</w:t>
            </w:r>
          </w:p>
        </w:tc>
      </w:tr>
      <w:tr>
        <w:trPr>
          <w:trHeight w:val="196"/>
        </w:trPr>
        <w:tc>
          <w:tcPr>
            <w:tcW w:w="3660" w:type="dxa"/>
            <w:vAlign w:val="bottom"/>
            <w:tcBorders>
              <w:top w:val="single" w:sz="8" w:color="0000EE"/>
            </w:tcBorders>
            <w:gridSpan w:val="29"/>
          </w:tcPr>
          <w:p>
            <w:pPr>
              <w:spacing w:after="0"/>
              <w:rPr>
                <w:rFonts w:ascii="Arial" w:cs="Arial" w:eastAsia="Arial" w:hAnsi="Arial"/>
                <w:sz w:val="14"/>
                <w:szCs w:val="14"/>
                <w:color w:val="0000EE"/>
              </w:rPr>
            </w:pPr>
            <w:hyperlink w:anchor="page103">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4">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4"/>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196"/>
        </w:trPr>
        <w:tc>
          <w:tcPr>
            <w:tcW w:w="3600" w:type="dxa"/>
            <w:vAlign w:val="bottom"/>
            <w:tcBorders>
              <w:top w:val="single" w:sz="8" w:color="0000EE"/>
            </w:tcBorders>
            <w:gridSpan w:val="28"/>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5"/>
          </w:tcPr>
          <w:p>
            <w:pPr>
              <w:spacing w:after="0"/>
              <w:rPr>
                <w:rFonts w:ascii="Arial" w:cs="Arial" w:eastAsia="Arial" w:hAnsi="Arial"/>
                <w:sz w:val="14"/>
                <w:szCs w:val="14"/>
                <w:color w:val="0000EE"/>
              </w:rPr>
            </w:pPr>
            <w:hyperlink w:anchor="page151">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61">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1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$150,000,000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right="160" w:firstLine="443"/>
        <w:spacing w:after="0" w:line="288"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as amended, or the Credit Facility, proceeds from the rotation of our portfolio and proceeds from public and private offerings of securities to finance our investment objectives.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6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123" w:lineRule="exact"/>
        <w:rPr>
          <w:sz w:val="20"/>
          <w:szCs w:val="20"/>
          <w:color w:val="auto"/>
        </w:rPr>
      </w:pPr>
    </w:p>
    <w:p>
      <w:pPr>
        <w:ind w:left="200" w:right="120" w:firstLine="443"/>
        <w:spacing w:after="0" w:line="227"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69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3694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7" w:lineRule="exact"/>
        <w:rPr>
          <w:sz w:val="20"/>
          <w:szCs w:val="20"/>
          <w:color w:val="auto"/>
        </w:rPr>
      </w:pPr>
    </w:p>
    <w:p>
      <w:pPr>
        <w:ind w:left="200" w:right="80" w:firstLine="443"/>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firstLine="443"/>
        <w:spacing w:after="0" w:line="227" w:lineRule="auto"/>
        <w:rPr>
          <w:sz w:val="20"/>
          <w:szCs w:val="20"/>
          <w:color w:val="auto"/>
        </w:rPr>
      </w:pPr>
      <w:r>
        <w:rPr>
          <w:rFonts w:ascii="Arial" w:cs="Arial" w:eastAsia="Arial" w:hAnsi="Arial"/>
          <w:sz w:val="14"/>
          <w:szCs w:val="14"/>
          <w:color w:val="auto"/>
        </w:rPr>
        <w:t>We maintain a $125 million Credit Facility, which matures in May 2018, with SunTrust Bank, or the Lender. During the Credit Facility’s period to and including May 14, 2016, or the revolving period, it bears interest at LIBOR plus 200 basis points, and after the revolving period, the rate sets to LIBOR plus 425 basis points for the remaining two years. The Credit Facility is secured by all of the assets held by Funding I, under which we had $34.2 million outstanding with an annual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 – Liquidity and Capital Resources”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8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9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898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20" w:firstLine="443"/>
        <w:spacing w:after="0" w:line="233"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8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March 31, 2013, the corresponding interest rate charged on such borrowings as of that date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Recent Developments</w:t>
      </w:r>
    </w:p>
    <w:p>
      <w:pPr>
        <w:spacing w:after="0" w:line="71" w:lineRule="exact"/>
        <w:rPr>
          <w:sz w:val="20"/>
          <w:szCs w:val="20"/>
          <w:color w:val="auto"/>
        </w:rPr>
      </w:pPr>
    </w:p>
    <w:p>
      <w:pPr>
        <w:ind w:left="200" w:right="100" w:firstLine="443"/>
        <w:spacing w:after="0" w:line="318" w:lineRule="auto"/>
        <w:rPr>
          <w:sz w:val="20"/>
          <w:szCs w:val="20"/>
          <w:color w:val="auto"/>
        </w:rPr>
      </w:pPr>
      <w:r>
        <w:rPr>
          <w:rFonts w:ascii="Arial" w:cs="Arial" w:eastAsia="Arial" w:hAnsi="Arial"/>
          <w:sz w:val="12"/>
          <w:szCs w:val="12"/>
          <w:color w:val="auto"/>
        </w:rPr>
        <w:t>On April 8, 2013, we sold an additional 450,000 shares of common stock pursuant to the exercise of the underwriters’ overallotment option that we granted in our March 2013 equity offering at a public offering price of $14.00 per share, generating gross proceeds of $6.3 million. Our Investment Adviser paid the entire sales load of $0.2 million in connection with the sale of these shares.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120" w:firstLine="443"/>
        <w:spacing w:after="0" w:line="239" w:lineRule="auto"/>
        <w:rPr>
          <w:sz w:val="20"/>
          <w:szCs w:val="20"/>
          <w:color w:val="auto"/>
        </w:rPr>
      </w:pPr>
      <w:r>
        <w:rPr>
          <w:rFonts w:ascii="Arial" w:cs="Arial" w:eastAsia="Arial" w:hAnsi="Arial"/>
          <w:sz w:val="14"/>
          <w:szCs w:val="14"/>
          <w:color w:val="auto"/>
        </w:rPr>
        <w:t>We intend to continue our monthly distributions to our common stockholders. Our monthly distributions, if any, are determined by our board of directors. See “Distributions” and “Price Range of Common Stock”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4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$150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1.67 %</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2.05 %</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2.25 %</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1.67 %</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4375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7.64 %</w:t>
      </w:r>
      <w:r>
        <w:rPr>
          <w:rFonts w:ascii="Arial" w:cs="Arial" w:eastAsia="Arial" w:hAnsi="Arial"/>
          <w:sz w:val="17"/>
          <w:szCs w:val="17"/>
          <w:color w:val="auto"/>
          <w:vertAlign w:val="superscript"/>
        </w:rPr>
        <w:t>(8)</w:t>
      </w:r>
    </w:p>
    <w:p>
      <w:pPr>
        <w:spacing w:after="0" w:line="200"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spacing w:after="0" w:line="4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March 31, 2013.</w:t>
      </w:r>
    </w:p>
    <w:p>
      <w:pPr>
        <w:spacing w:after="0" w:line="68" w:lineRule="exact"/>
        <w:rPr>
          <w:rFonts w:ascii="Arial" w:cs="Arial" w:eastAsia="Arial" w:hAnsi="Arial"/>
          <w:sz w:val="14"/>
          <w:szCs w:val="14"/>
          <w:color w:val="auto"/>
        </w:rPr>
      </w:pPr>
    </w:p>
    <w:p>
      <w:pPr>
        <w:ind w:left="580" w:right="70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March 31, 2013.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4"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U.S. generally accepted accounting principles, or GAAP. However, “Incentive fees payable under the Investment Management Agreement”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right="60" w:hanging="572"/>
        <w:spacing w:after="0" w:line="273"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right="120" w:hanging="572"/>
        <w:spacing w:after="0" w:line="27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28 of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0.83%, (2) total net annual expenses of 5.59%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3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10 Years</w:t>
            </w: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1100" w:type="dxa"/>
            <w:vAlign w:val="bottom"/>
            <w:tcBorders>
              <w:top w:val="single" w:sz="8" w:color="auto"/>
            </w:tcBorders>
            <w:shd w:val="clear" w:color="auto" w:fill="CCEEFF"/>
          </w:tcPr>
          <w:p>
            <w:pPr>
              <w:jc w:val="right"/>
              <w:ind w:right="932"/>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92</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198</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303</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w:t>
            </w:r>
          </w:p>
        </w:tc>
        <w:tc>
          <w:tcPr>
            <w:tcW w:w="80" w:type="dxa"/>
            <w:vAlign w:val="bottom"/>
            <w:tcBorders>
              <w:top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71"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b w:val="1"/>
          <w:bCs w:val="1"/>
          <w:i w:val="1"/>
          <w:iCs w:val="1"/>
          <w:color w:val="auto"/>
        </w:rPr>
        <w:t>Global capital markets could enter a period of severe disruption and instability. These market conditions have historically and could again have a material adverse effect on debt and equity capital markets in the United States, which could have a materially negative impact on our business, financial condition and results of operations.</w:t>
      </w:r>
    </w:p>
    <w:p>
      <w:pPr>
        <w:spacing w:after="0" w:line="12"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including the recent U.S. government spending cuts that took effect March 1, 2013, could have a material adverse effect on our business, financial condition and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our asset coverage, as defined in the 1940 Act, which we refer to as the asset coverage ratio.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Any unrealized losses we experience on our investment portfolio may be an indication of future realized losses, which could reduce our income available for distribution.</w:t>
      </w:r>
    </w:p>
    <w:p>
      <w:pPr>
        <w:spacing w:after="0" w:line="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Following periods of volatility in the market price of a company’s securities, securities class action litigation has often been brought against that company.</w:t>
      </w:r>
    </w:p>
    <w:p>
      <w:pPr>
        <w:spacing w:after="0" w:line="6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valuation of our portfolio companies. Negative credit events will lead to a decrease in the fair value of our portfolio companies.</w:t>
      </w:r>
    </w:p>
    <w:p>
      <w:pPr>
        <w:spacing w:after="0" w:line="139"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In addition, current market conditions have affected consumer confidence levels, which may harm the business of our portfolio companies and result in adverse changes in payment patterns. If interest rates rise, some of our portfolio companies may not be able to pay the escalating interest on our loans and may default. Increased delinquencies and default rates would negatively impact our results of operations. Deterioration in the quality of our credit portfolio could have a material adverse effect on our business, financial condition and results of operations.</w:t>
      </w:r>
    </w:p>
    <w:p>
      <w:pPr>
        <w:spacing w:after="0" w:line="111"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208"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the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with which our investment professionals have been affiliated.</w:t>
      </w:r>
    </w:p>
    <w:p>
      <w:pPr>
        <w:spacing w:after="0" w:line="69"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Any failure on our part to maintain our status as a business development company would reduce our operating flexibility.</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dividends.</w:t>
      </w:r>
    </w:p>
    <w:p>
      <w:pPr>
        <w:spacing w:after="0" w:line="69" w:lineRule="exact"/>
        <w:rPr>
          <w:sz w:val="20"/>
          <w:szCs w:val="20"/>
          <w:color w:val="auto"/>
        </w:rPr>
      </w:pPr>
    </w:p>
    <w:p>
      <w:pPr>
        <w:ind w:right="40" w:firstLine="456"/>
        <w:spacing w:after="0" w:line="267" w:lineRule="auto"/>
        <w:rPr>
          <w:sz w:val="20"/>
          <w:szCs w:val="20"/>
          <w:color w:val="auto"/>
        </w:rPr>
      </w:pPr>
      <w:r>
        <w:rPr>
          <w:rFonts w:ascii="Arial" w:cs="Arial" w:eastAsia="Arial" w:hAnsi="Arial"/>
          <w:sz w:val="12"/>
          <w:szCs w:val="12"/>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6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original issue discount, or OID, or contractual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11"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8" w:lineRule="exact"/>
        <w:rPr>
          <w:sz w:val="20"/>
          <w:szCs w:val="20"/>
          <w:color w:val="auto"/>
        </w:rPr>
      </w:pPr>
    </w:p>
    <w:p>
      <w:pPr>
        <w:ind w:right="100"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waivers and if Funding I is unable to obtain a waiver, compliance with the covenants may result in a corporate-level income tax on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Regulations governing our operation as a business development company will affect our ability to, and the way in which we, raise additional capital.</w:t>
      </w:r>
    </w:p>
    <w:p>
      <w:pPr>
        <w:spacing w:after="0" w:line="6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additional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permissable under the asset coverage definition under the 1940 Act. Our ability to pay dividends or issue additional senior securities would be restricted if our asset coverage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60" w:lineRule="exact"/>
        <w:rPr>
          <w:sz w:val="20"/>
          <w:szCs w:val="20"/>
          <w:color w:val="auto"/>
        </w:rPr>
      </w:pPr>
    </w:p>
    <w:p>
      <w:pPr>
        <w:jc w:val="both"/>
        <w:ind w:left="540" w:right="140" w:hanging="316"/>
        <w:spacing w:after="0" w:line="228"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are exposed to typical risks associated with leverage, including an increased risk of loss. If we issue preferred securities, they would rank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65"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on Form N-2, we must then be qualified to register our securities under the requirements of Form S-3. We may actually issue shares above or below a future net asset value.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42"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1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Funding I may fail to meet certain asset coverage tests, which would have an adverse effect on the timing of payments to us, or otherwise fail to satisfy various covenants.</w:t>
      </w:r>
    </w:p>
    <w:p>
      <w:pPr>
        <w:spacing w:after="0" w:line="92"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69"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have priority over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7"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As of March 31, 2013, we had outstanding borrowings of $34.2 million under our Credit Facility with a weighted average annual interest rate of 2.21% exclusive of the fees on the undrawn commitment of 0.375%. Accordingly, to cover the annual interest on our borrowings outstanding at March 31, 2013, at the then current rate, we would have to receive an annual yield of at least 0.42%. This example is for illustrative purposes only, and actual interest rates on our Credit Facility or any future borrowings are likely to fluctuate. The costs associated with our borrowings, including any increase in the management fee payable to our Investment Adviser, are and will be borne by our common stockholders.</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March 31, 2013 of 18% of total assets (including such borrowed funds), at a weighted average rate at the time of 2.21%, and assuming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6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80" w:type="dxa"/>
            <w:vAlign w:val="bottom"/>
          </w:tcPr>
          <w:p>
            <w:pPr>
              <w:jc w:val="right"/>
              <w:ind w:right="72"/>
              <w:spacing w:after="0"/>
              <w:rPr>
                <w:sz w:val="20"/>
                <w:szCs w:val="20"/>
                <w:color w:val="auto"/>
              </w:rPr>
            </w:pPr>
            <w:r>
              <w:rPr>
                <w:rFonts w:ascii="Arial" w:cs="Arial" w:eastAsia="Arial" w:hAnsi="Arial"/>
                <w:sz w:val="14"/>
                <w:szCs w:val="14"/>
                <w:color w:val="auto"/>
              </w:rPr>
              <w:t>(14.1)%</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(7.3)%</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6.2%</w:t>
            </w:r>
          </w:p>
        </w:tc>
        <w:tc>
          <w:tcPr>
            <w:tcW w:w="520" w:type="dxa"/>
            <w:vAlign w:val="bottom"/>
          </w:tcPr>
          <w:p>
            <w:pPr>
              <w:jc w:val="right"/>
              <w:spacing w:after="0"/>
              <w:rPr>
                <w:sz w:val="20"/>
                <w:szCs w:val="20"/>
                <w:color w:val="auto"/>
              </w:rPr>
            </w:pPr>
            <w:r>
              <w:rPr>
                <w:rFonts w:ascii="Arial" w:cs="Arial" w:eastAsia="Arial" w:hAnsi="Arial"/>
                <w:sz w:val="14"/>
                <w:szCs w:val="14"/>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5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2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58" w:lineRule="exact"/>
        <w:rPr>
          <w:sz w:val="20"/>
          <w:szCs w:val="20"/>
          <w:color w:val="auto"/>
        </w:rPr>
      </w:pPr>
    </w:p>
    <w:p>
      <w:pPr>
        <w:ind w:right="6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net asset value and market value of our common stock may become more volatile.</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debt securities and/or convertible debt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and/or convertible debt. In addition, we would pay (and the holders of our common stock would bear) all costs and expenses relating to the issuance and ongoing maintenance of the preferred stock, debt securities and/or convertible debt. Holders of preferred stock, debt securities and/or convertible debt may have different interests than holders of common stock and may at times have disproportionate influence over our affairs.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69"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entered into a license agreement, or the Licence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69" w:lineRule="exact"/>
        <w:rPr>
          <w:sz w:val="20"/>
          <w:szCs w:val="20"/>
          <w:color w:val="auto"/>
        </w:rPr>
      </w:pPr>
    </w:p>
    <w:p>
      <w:pPr>
        <w:ind w:right="480" w:firstLine="456"/>
        <w:spacing w:after="0" w:line="239" w:lineRule="auto"/>
        <w:rPr>
          <w:sz w:val="20"/>
          <w:szCs w:val="20"/>
          <w:color w:val="auto"/>
        </w:rPr>
      </w:pPr>
      <w:r>
        <w:rPr>
          <w:rFonts w:ascii="Arial" w:cs="Arial" w:eastAsia="Arial" w:hAnsi="Arial"/>
          <w:sz w:val="14"/>
          <w:szCs w:val="14"/>
          <w:color w:val="auto"/>
        </w:rPr>
        <w:t>The Credit Facility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securities or convertible debt may be volatile.</w:t>
      </w:r>
    </w:p>
    <w:p>
      <w:pPr>
        <w:spacing w:after="0" w:line="69" w:lineRule="exact"/>
        <w:rPr>
          <w:sz w:val="20"/>
          <w:szCs w:val="20"/>
          <w:color w:val="auto"/>
        </w:rPr>
      </w:pPr>
    </w:p>
    <w:p>
      <w:pPr>
        <w:ind w:right="440" w:firstLine="456"/>
        <w:spacing w:after="0" w:line="233" w:lineRule="auto"/>
        <w:rPr>
          <w:sz w:val="20"/>
          <w:szCs w:val="20"/>
          <w:color w:val="auto"/>
        </w:rPr>
      </w:pPr>
      <w:r>
        <w:rPr>
          <w:rFonts w:ascii="Arial" w:cs="Arial" w:eastAsia="Arial" w:hAnsi="Arial"/>
          <w:sz w:val="14"/>
          <w:szCs w:val="14"/>
          <w:color w:val="auto"/>
        </w:rPr>
        <w:t>If we publicly issue debt securities or convertible debt,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debt securities.</w:t>
      </w:r>
    </w:p>
    <w:p>
      <w:pPr>
        <w:spacing w:after="0" w:line="6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Terms relating to redemption may have a material adverse effect on the return on any debt securities.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6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quarterly the valuation of our portfolio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At March 31,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rely in part on our over-the-counter securities, which faced liquidity constraints under recent market conditions, to provide us with additional liquidity.</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4"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believe that most of our debt and equity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8"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7"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2"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9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6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6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69" w:lineRule="exact"/>
        <w:rPr>
          <w:sz w:val="20"/>
          <w:szCs w:val="20"/>
          <w:color w:val="auto"/>
        </w:rPr>
      </w:pPr>
    </w:p>
    <w:p>
      <w:pPr>
        <w:ind w:right="56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shares may trade at discounts from net asset value or at premiums that are unsustainable over the long term.</w:t>
      </w:r>
    </w:p>
    <w:p>
      <w:pPr>
        <w:spacing w:after="0" w:line="69"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$13.96 and $12.67 as of March 31, 2013 and September 30, 2012, respectively. Our NAV was $14.10 and $13.98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69"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There is a risk that our common stockholders may receive our stock as dividends in which case they may be required to pay taxes in excess of the cash they receive.</w:t>
      </w:r>
    </w:p>
    <w:p>
      <w:pPr>
        <w:spacing w:after="0" w:line="92"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20"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 Oxley Act, and other rules implemented by the SEC and the listing standards of the NASDAQ Stock Market LLC.</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9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40"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39" w:lineRule="exact"/>
        <w:rPr>
          <w:sz w:val="20"/>
          <w:szCs w:val="20"/>
          <w:color w:val="auto"/>
        </w:rPr>
      </w:pPr>
    </w:p>
    <w:p>
      <w:pPr>
        <w:ind w:right="22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94"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March 31, 2013, we had $34.2 million in borrowings outstanding under our $125.0 million Credit Facility. Borrowings under our Credit Facility bear interest at LIBOR plus 200 basis points per annum during the revolving period, and the rate resets to LIBOR plus 425 basis points per annum for the remaining two years. At March 31, 2013, the interest rate was 2.21%.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Interim results as of and for the six months ended March 31, 2013, are not necessarily indicative of the results that may be expected for the year ending September 30, 2013. The unaudited selected financial data for the six months ended March 31, 2013 and 2012, should be read in conjunction with our consolidated financial statements and related notes thereto and “Management’s Discussion and Analysis of Financial Condition and Results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2100" w:type="dxa"/>
            <w:vAlign w:val="bottom"/>
            <w:gridSpan w:val="4"/>
          </w:tcPr>
          <w:p>
            <w:pPr>
              <w:jc w:val="right"/>
              <w:ind w:right="720"/>
              <w:spacing w:after="0" w:line="149" w:lineRule="exact"/>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  8,103</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  5,411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12,099</w:t>
            </w:r>
          </w:p>
        </w:tc>
        <w:tc>
          <w:tcPr>
            <w:tcW w:w="660" w:type="dxa"/>
            <w:vAlign w:val="bottom"/>
          </w:tcPr>
          <w:p>
            <w:pPr>
              <w:spacing w:after="0"/>
              <w:rPr>
                <w:sz w:val="12"/>
                <w:szCs w:val="12"/>
                <w:color w:val="auto"/>
              </w:rPr>
            </w:pPr>
          </w:p>
        </w:tc>
        <w:tc>
          <w:tcPr>
            <w:tcW w:w="200" w:type="dxa"/>
            <w:vAlign w:val="bottom"/>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 after Credit Facility debt issuance and excise taxes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4,378</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2,491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5,789</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2,626</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3,725</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2,920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6,310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1,246</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4,971</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7,630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11,961</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14.10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14.12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0.54</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0.43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(2)</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0.18</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0.69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0.72</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(2),(3)</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0.50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0.44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Assets and Liabilities data (at period end):</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187,877</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151,174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178,367</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121,075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98"/>
              </w:rPr>
              <w:t>183,870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146,188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Credit Facility payable, at fair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34,200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47,561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75,123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11,852</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5,102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3,358</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138,879</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96,722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95,744</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92,072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1200" w:type="dxa"/>
            <w:vAlign w:val="bottom"/>
            <w:gridSpan w:val="2"/>
          </w:tcPr>
          <w:p>
            <w:pPr>
              <w:jc w:val="right"/>
              <w:ind w:right="512"/>
              <w:spacing w:after="0" w:line="149" w:lineRule="exact"/>
              <w:rPr>
                <w:sz w:val="20"/>
                <w:szCs w:val="20"/>
                <w:color w:val="auto"/>
              </w:rPr>
            </w:pPr>
            <w:r>
              <w:rPr>
                <w:rFonts w:ascii="Arial" w:cs="Arial" w:eastAsia="Arial" w:hAnsi="Arial"/>
                <w:sz w:val="14"/>
                <w:szCs w:val="14"/>
                <w:color w:val="auto"/>
              </w:rPr>
              <w:t>14.34%</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15.75%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29.43%</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(1)</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63</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6460" w:type="dxa"/>
            <w:vAlign w:val="bottom"/>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(1)</w:t>
            </w:r>
          </w:p>
        </w:tc>
        <w:tc>
          <w:tcPr>
            <w:tcW w:w="1200" w:type="dxa"/>
            <w:vAlign w:val="bottom"/>
            <w:gridSpan w:val="2"/>
          </w:tcPr>
          <w:p>
            <w:pPr>
              <w:jc w:val="right"/>
              <w:ind w:right="512"/>
              <w:spacing w:after="0"/>
              <w:rPr>
                <w:sz w:val="20"/>
                <w:szCs w:val="20"/>
                <w:color w:val="auto"/>
              </w:rPr>
            </w:pPr>
            <w:r>
              <w:rPr>
                <w:rFonts w:ascii="Arial" w:cs="Arial" w:eastAsia="Arial" w:hAnsi="Arial"/>
                <w:sz w:val="14"/>
                <w:szCs w:val="14"/>
                <w:color w:val="auto"/>
              </w:rPr>
              <w:t>8.8%</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340" w:hanging="332"/>
        <w:spacing w:after="0" w:line="23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Unaudited.</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basic weighted average shares outstanding for the respective periods.</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start-up and organizational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8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4,140</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87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2,059</w:t>
            </w:r>
          </w:p>
        </w:tc>
        <w:tc>
          <w:tcPr>
            <w:tcW w:w="100" w:type="dxa"/>
            <w:vAlign w:val="bottom"/>
          </w:tcPr>
          <w:p>
            <w:pPr>
              <w:spacing w:after="0"/>
              <w:rPr>
                <w:sz w:val="12"/>
                <w:szCs w:val="12"/>
                <w:color w:val="auto"/>
              </w:rPr>
            </w:pPr>
          </w:p>
        </w:tc>
      </w:tr>
      <w:tr>
        <w:trPr>
          <w:trHeight w:val="149"/>
        </w:trPr>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(294)</w:t>
            </w:r>
          </w:p>
        </w:tc>
      </w:tr>
      <w:tr>
        <w:trPr>
          <w:trHeight w:val="149"/>
        </w:trPr>
        <w:tc>
          <w:tcPr>
            <w:tcW w:w="87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100" w:type="dxa"/>
            <w:vAlign w:val="bottom"/>
          </w:tcPr>
          <w:p>
            <w:pPr>
              <w:spacing w:after="0"/>
              <w:rPr>
                <w:sz w:val="12"/>
                <w:szCs w:val="12"/>
                <w:color w:val="auto"/>
              </w:rPr>
            </w:pPr>
          </w:p>
        </w:tc>
      </w:tr>
      <w:tr>
        <w:trPr>
          <w:trHeight w:val="149"/>
        </w:trPr>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2"/>
                <w:szCs w:val="12"/>
                <w:color w:val="auto"/>
              </w:rPr>
            </w:pPr>
          </w:p>
        </w:tc>
      </w:tr>
      <w:tr>
        <w:trPr>
          <w:trHeight w:val="149"/>
        </w:trPr>
        <w:tc>
          <w:tcPr>
            <w:tcW w:w="87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14.10</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13.99</w:t>
            </w:r>
          </w:p>
        </w:tc>
        <w:tc>
          <w:tcPr>
            <w:tcW w:w="100" w:type="dxa"/>
            <w:vAlign w:val="bottom"/>
          </w:tcPr>
          <w:p>
            <w:pPr>
              <w:spacing w:after="0"/>
              <w:rPr>
                <w:sz w:val="12"/>
                <w:szCs w:val="12"/>
                <w:color w:val="auto"/>
              </w:rPr>
            </w:pPr>
          </w:p>
        </w:tc>
      </w:tr>
      <w:tr>
        <w:trPr>
          <w:trHeight w:val="149"/>
        </w:trPr>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106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Q3</w:t>
            </w:r>
          </w:p>
        </w:tc>
        <w:tc>
          <w:tcPr>
            <w:tcW w:w="300" w:type="dxa"/>
            <w:vAlign w:val="bottom"/>
          </w:tcPr>
          <w:p>
            <w:pPr>
              <w:spacing w:after="0"/>
              <w:rPr>
                <w:sz w:val="12"/>
                <w:szCs w:val="12"/>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3,487</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3,201</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2,944</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18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(1,459)</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3,944</w:t>
            </w:r>
          </w:p>
        </w:tc>
        <w:tc>
          <w:tcPr>
            <w:tcW w:w="18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387</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0.58</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8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13.94</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14.12</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spacing w:after="0"/>
              <w:rPr>
                <w:sz w:val="14"/>
                <w:szCs w:val="14"/>
                <w:color w:val="auto"/>
              </w:rPr>
            </w:pPr>
          </w:p>
        </w:tc>
        <w:tc>
          <w:tcPr>
            <w:tcW w:w="284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Q3*</w:t>
            </w:r>
          </w:p>
        </w:tc>
        <w:tc>
          <w:tcPr>
            <w:tcW w:w="2840" w:type="dxa"/>
            <w:vAlign w:val="bottom"/>
          </w:tcPr>
          <w:p>
            <w:pPr>
              <w:spacing w:after="0"/>
              <w:rPr>
                <w:sz w:val="12"/>
                <w:szCs w:val="12"/>
                <w:color w:val="auto"/>
              </w:rPr>
            </w:pPr>
          </w:p>
        </w:tc>
      </w:tr>
      <w:tr>
        <w:trPr>
          <w:trHeight w:val="142"/>
        </w:trPr>
        <w:tc>
          <w:tcPr>
            <w:tcW w:w="4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2840" w:type="dxa"/>
            <w:vAlign w:val="bottom"/>
            <w:tcBorders>
              <w:top w:val="single" w:sz="8" w:color="CCEEFF"/>
            </w:tcBorders>
            <w:shd w:val="clear" w:color="auto" w:fill="CCEEFF"/>
          </w:tcPr>
          <w:p>
            <w:pPr>
              <w:spacing w:after="0"/>
              <w:rPr>
                <w:sz w:val="12"/>
                <w:szCs w:val="12"/>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1,203</w:t>
            </w:r>
          </w:p>
        </w:tc>
        <w:tc>
          <w:tcPr>
            <w:tcW w:w="1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tcPr>
          <w:p>
            <w:pPr>
              <w:jc w:val="right"/>
              <w:ind w:right="280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(4,012)</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shd w:val="clear" w:color="auto" w:fill="CCEEFF"/>
          </w:tcPr>
          <w:p>
            <w:pPr>
              <w:jc w:val="right"/>
              <w:ind w:right="2840"/>
              <w:spacing w:after="0" w:line="149" w:lineRule="exact"/>
              <w:rPr>
                <w:sz w:val="20"/>
                <w:szCs w:val="20"/>
                <w:color w:val="auto"/>
              </w:rPr>
            </w:pPr>
            <w:r>
              <w:rPr>
                <w:rFonts w:ascii="Arial" w:cs="Arial" w:eastAsia="Arial" w:hAnsi="Arial"/>
                <w:sz w:val="14"/>
                <w:szCs w:val="14"/>
                <w:color w:val="auto"/>
              </w:rPr>
              <w:t>219</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(2,809)</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tcPr>
          <w:p>
            <w:pPr>
              <w:jc w:val="right"/>
              <w:ind w:right="280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net assets resulting from operations per common share</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shd w:val="clear" w:color="auto" w:fill="CCEEFF"/>
          </w:tcPr>
          <w:p>
            <w:pPr>
              <w:jc w:val="right"/>
              <w:ind w:right="2800"/>
              <w:spacing w:after="0" w:line="149" w:lineRule="exact"/>
              <w:rPr>
                <w:sz w:val="20"/>
                <w:szCs w:val="20"/>
                <w:color w:val="auto"/>
              </w:rPr>
            </w:pPr>
            <w:r>
              <w:rPr>
                <w:rFonts w:ascii="Arial" w:cs="Arial" w:eastAsia="Arial" w:hAnsi="Arial"/>
                <w:sz w:val="14"/>
                <w:szCs w:val="14"/>
                <w:color w:val="auto"/>
              </w:rPr>
              <w:t>(0.10)</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tcPr>
          <w:p>
            <w:pPr>
              <w:jc w:val="right"/>
              <w:ind w:right="2840"/>
              <w:spacing w:after="0" w:line="149" w:lineRule="exact"/>
              <w:rPr>
                <w:sz w:val="20"/>
                <w:szCs w:val="20"/>
                <w:color w:val="auto"/>
              </w:rPr>
            </w:pPr>
            <w:r>
              <w:rPr>
                <w:rFonts w:ascii="Arial" w:cs="Arial" w:eastAsia="Arial" w:hAnsi="Arial"/>
                <w:sz w:val="14"/>
                <w:szCs w:val="14"/>
                <w:color w:val="auto"/>
              </w:rPr>
              <w:t>14.06</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shd w:val="clear" w:color="auto" w:fill="CCEEFF"/>
          </w:tcPr>
          <w:p>
            <w:pPr>
              <w:jc w:val="right"/>
              <w:ind w:right="2840"/>
              <w:spacing w:after="0" w:line="149" w:lineRule="exact"/>
              <w:rPr>
                <w:sz w:val="20"/>
                <w:szCs w:val="20"/>
                <w:color w:val="auto"/>
              </w:rPr>
            </w:pPr>
            <w:r>
              <w:rPr>
                <w:rFonts w:ascii="Arial" w:cs="Arial" w:eastAsia="Arial" w:hAnsi="Arial"/>
                <w:sz w:val="14"/>
                <w:szCs w:val="14"/>
                <w:color w:val="auto"/>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830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For the period March 4, 2011 (commencement of operations) to June 30, 2011.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instruments bearing a variable rate of interest which may, from time to time, include variable-rate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36"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jc w:val="both"/>
        <w:ind w:firstLine="456"/>
        <w:spacing w:after="0" w:line="278" w:lineRule="auto"/>
        <w:rPr>
          <w:sz w:val="20"/>
          <w:szCs w:val="20"/>
          <w:color w:val="auto"/>
        </w:rPr>
      </w:pPr>
      <w:r>
        <w:rPr>
          <w:rFonts w:ascii="Arial" w:cs="Arial" w:eastAsia="Arial" w:hAnsi="Arial"/>
          <w:sz w:val="12"/>
          <w:szCs w:val="12"/>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OID, commitment, origination, structuring or diligence fees, fees for providing managerial assistance and possibly consulting fees.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Our primary operating expenses include the payment of a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undrawn commitment fees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420" w:hanging="316"/>
        <w:spacing w:after="0" w:line="239"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60" w:hanging="316"/>
        <w:spacing w:after="0" w:line="233"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“Total Estimated Annual Expenses” be calculated as a percentage of average net assets in the table on page 4 of this prospectus rather than as a percentage of average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table below illustrates our “Total Estimated Annual Expenses” as a percentage of average total assets:</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90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Annual Expenses (as a Percentage of Average Total Assets)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4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5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1.00 % </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574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 xml:space="preserve">1.22 % </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borrowed funds</w:t>
            </w:r>
          </w:p>
        </w:tc>
        <w:tc>
          <w:tcPr>
            <w:tcW w:w="5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1.35 % </w:t>
            </w:r>
            <w:r>
              <w:rPr>
                <w:rFonts w:ascii="Arial" w:cs="Arial" w:eastAsia="Arial" w:hAnsi="Arial"/>
                <w:sz w:val="17"/>
                <w:szCs w:val="17"/>
                <w:color w:val="auto"/>
                <w:vertAlign w:val="superscript"/>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456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1"/>
                <w:szCs w:val="11"/>
                <w:color w:val="auto"/>
              </w:rPr>
              <w:t xml:space="preserve">1.00 % </w:t>
            </w:r>
            <w:r>
              <w:rPr>
                <w:rFonts w:ascii="Arial" w:cs="Arial" w:eastAsia="Arial" w:hAnsi="Arial"/>
                <w:sz w:val="17"/>
                <w:szCs w:val="17"/>
                <w:color w:val="auto"/>
                <w:vertAlign w:val="superscript"/>
              </w:rPr>
              <w:t>(4)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2"/>
              </w:rPr>
              <w:t>Total estimated annual expenses</w:t>
            </w:r>
          </w:p>
        </w:tc>
        <w:tc>
          <w:tcPr>
            <w:tcW w:w="5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4.57 % </w:t>
            </w:r>
            <w:r>
              <w:rPr>
                <w:rFonts w:ascii="Arial" w:cs="Arial" w:eastAsia="Arial" w:hAnsi="Arial"/>
                <w:sz w:val="17"/>
                <w:szCs w:val="17"/>
                <w:color w:val="auto"/>
                <w:vertAlign w:val="superscript"/>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hanging="332"/>
        <w:spacing w:after="0" w:line="264"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GAAP. However, “Incentive fees payable under the Investment Management Agreement”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40" w:hanging="332"/>
        <w:spacing w:after="0" w:line="273"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but does not annualize them,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 w:hanging="332"/>
        <w:spacing w:after="0" w:line="288"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140" w:hanging="332"/>
        <w:spacing w:after="0" w:line="273"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March 31,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valuations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6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80" w:hanging="334"/>
        <w:spacing w:after="0" w:line="288" w:lineRule="auto"/>
        <w:tabs>
          <w:tab w:leader="none" w:pos="6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2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66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1"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4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As of March 31, 2013, our portfolio totaled $183.9 million and consisted of $159.7 million of senior secured loans, $10.4 million of second lien secured debt and $13.8 million of subordinated debt, preferred and common equity investments. Our debt portfolio consisted of 88% variable-rate investments (including 83% with a LIBOR or prime floor) and 12% fixed-rate investments. Overall, the portfolio had unrealized appreciation of $0.3 million. Our overall portfolio consisted of 63 companies with an average investment size of $2.9 million, had a weighted average yield on debt investments of 8.8%, and was invested 87% in senior secured loans, 6% in second lien secured debt and 7% in subordinated debt, preferred and common equity investments.</w:t>
      </w:r>
    </w:p>
    <w:p>
      <w:pPr>
        <w:spacing w:after="0" w:line="117"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17"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$91.4 million of senior secured loans, $12.2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portfolio companies and six existing portfolio companies with a weighted average yield on debt investments of 8.8%. Sales and repayments of investments for the six months ended March 31, 2013 totaled $74.2 million.</w:t>
      </w:r>
    </w:p>
    <w:p>
      <w:pPr>
        <w:spacing w:after="0" w:line="11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two existing portfolio companies with a weighted average yield on debt investments of 9.2%. Sales and repayments of investments for the six months ended March 31, 2012 totaled $41.6 million.</w:t>
      </w:r>
    </w:p>
    <w:p>
      <w:pPr>
        <w:spacing w:after="0" w:line="111"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13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2013 and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right="80" w:firstLine="456"/>
        <w:spacing w:after="0" w:line="227" w:lineRule="auto"/>
        <w:rPr>
          <w:sz w:val="20"/>
          <w:szCs w:val="20"/>
          <w:color w:val="auto"/>
        </w:rPr>
      </w:pPr>
      <w:r>
        <w:rPr>
          <w:rFonts w:ascii="Arial" w:cs="Arial" w:eastAsia="Arial" w:hAnsi="Arial"/>
          <w:sz w:val="14"/>
          <w:szCs w:val="14"/>
          <w:color w:val="auto"/>
        </w:rPr>
        <w:t>Investment income for the three and six months ended March 31, 2013 was $4.1 million and $8.1 million, respectively, and was attributable to $3.6 million and $6.9 million from senior secured loans, $0.2 million and $0.5 million from second lien secured debt investments and $0.3 million and $0.7 million from subordinated debt investments, respectively. This compares to investment income for the three and six months ended March 31, 2012, which was $2.9 million and $5.4 million, respectively, and was attributable to $2.3 million and $4.3 million from senior secured loans, $0.3 million and $0.6 million from second lien secured debt investments and $0.3 million and $0.5 million from subordinated debt investments, respectively. The increase in investment income was due to a larger portfolio which was funded through both our Credit Facility and rotation out of lower yielding assets. We intend to grow our portfolio with the proceeds of our recent offering of common stock and our increased borrowing capacity under our Credit Facility.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Expenses for the three and six months ended March 31, 2013 totaled $2.5 million and $4.4 million, respectively. Base management fee for the same periods totaled $0.5 million and $0.9 million, performance-based incentive fee totaled $0.6 million and $1.0 million (including $0.3 million of non-payable incentive fee), Credit Facility expenses totaled $0.5 million and $1.0 million (excluding $0.5 million of Credit Facility amendment expenses), general and administrative expenses totaled $0.4 million and $0.9 million and excise taxes were $0.1 million, respectively. This compares to expenses for the three and six months ended March 31, 2012, which totaled $1.4 million and $2.5 million, respectively. Base management fee for the same periods in the prior year totaled $0.4 million and $0.7 million, performance-based incentive fee totaled $0.2 million and $0.2 million, Credit Facility expenses totaled $0.3 million and $0.6 million and general and administrative expenses totaled $0.5 million and $1.0 million, respectively. The increase in management fee, incentive fee and Credit Facility expenses was due to the growth of our portfolio and expanding our borrowing capacity under our Credit Facility.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Net investment income totaled $1.7 million and $3.7 million, or $0.24 and $0.54 per share, for the three and six months ended March 31, 2013, respectively. Net investment income totaled $1.5 million and $2.9 million, or $0.23 and $0.43 per share, for the three and six months ended March 31, 2012, respectively. The increase in net investment income was due to a larger portfolio and higher yielding assets offset by higher Credit Facility expenses and management and incentive fee.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Sales and repayments of investments for the three and six months ended March 31, 2013 totaled $43.9 million and $74.2 million and realized gains totaled $1.1 million and $1.5 million, respectively. Sales and repayments of investments for the three and six months ended March 31, 2012 totaled $19.3 million and $41.6 million and realized gains totaled $0.1 million and $0.4 million, respectively. The increase in realized gains was driven by a higher volume of sales and early repayments than the comparable periods in the prior year.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For the three and six months ended March 31, 2013, we reported unrealized appreciation on investments of $0.4 million and $0.1 million, respectively. For the three and six months ended March 31, 2012, we reported unrealized appreciation on investments of $3.0 million and $4.1 million, respectively. As of March 31, 2013 and September 30, 2012, net unrealized appreciation on investments totaled $0.3 million and $0.3 million, respectively. The decrease in unrealized appreciation for current periods compared to prior periods was the result of the reversal of unrealized gains upon exiting our investments and changes in market values.</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the three and six months ended March 31, 2013, our long-term Credit Facility had a change in unrealized (appreciation) of zero and $(0.4) million, respectively. For the three and six months ended March 31, 2012, our long-term Credit Facility had a change in unrealized (appreciation) depreciation of $(0.1) million and $0.2 million, respectively. As of March 31,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Net increase in net assets resulting from operations totaled $3.2 million and $5.0 million, or $0.45 and $0.72 per share, respectively, for the three and six months ended March 31, 2013. This compares to a net increase in net assets resulting from operations which totaled $4.5 million and $7.6 million, or $0.66 and $1.12 per share, respectively, for the three and six months ended March 31, 2012. The decrease in net assets resulting from operations compared to last year was due to changes in fair value of our investments due to changes in the market values of our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right="1500" w:firstLine="456"/>
        <w:spacing w:after="0" w:line="342" w:lineRule="auto"/>
        <w:rPr>
          <w:sz w:val="20"/>
          <w:szCs w:val="20"/>
          <w:color w:val="auto"/>
        </w:rPr>
      </w:pPr>
      <w:r>
        <w:rPr>
          <w:rFonts w:ascii="Arial" w:cs="Arial" w:eastAsia="Arial" w:hAnsi="Arial"/>
          <w:sz w:val="14"/>
          <w:szCs w:val="14"/>
          <w:color w:val="auto"/>
        </w:rPr>
        <w:t xml:space="preserve">Set forth below are the results of operations for the year ended September 30, 2012 and the period from March 4, 2011 (commencement of operations) to September 30, 2011. </w:t>
      </w:r>
      <w:r>
        <w:rPr>
          <w:rFonts w:ascii="Arial" w:cs="Arial" w:eastAsia="Arial" w:hAnsi="Arial"/>
          <w:sz w:val="14"/>
          <w:szCs w:val="14"/>
          <w:b w:val="1"/>
          <w:bCs w:val="1"/>
          <w:i w:val="1"/>
          <w:iCs w:val="1"/>
          <w:color w:val="auto"/>
        </w:rPr>
        <w:t>Investment Income</w:t>
      </w:r>
    </w:p>
    <w:p>
      <w:pPr>
        <w:ind w:right="60" w:firstLine="456"/>
        <w:spacing w:after="0" w:line="230" w:lineRule="auto"/>
        <w:rPr>
          <w:sz w:val="20"/>
          <w:szCs w:val="20"/>
          <w:color w:val="auto"/>
        </w:rPr>
      </w:pPr>
      <w:r>
        <w:rPr>
          <w:rFonts w:ascii="Arial" w:cs="Arial" w:eastAsia="Arial" w:hAnsi="Arial"/>
          <w:sz w:val="14"/>
          <w:szCs w:val="14"/>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jc w:val="both"/>
        <w:ind w:right="100" w:firstLine="456"/>
        <w:spacing w:after="0" w:line="230" w:lineRule="auto"/>
        <w:rPr>
          <w:sz w:val="20"/>
          <w:szCs w:val="20"/>
          <w:color w:val="auto"/>
        </w:rPr>
      </w:pPr>
      <w:r>
        <w:rPr>
          <w:rFonts w:ascii="Arial" w:cs="Arial" w:eastAsia="Arial" w:hAnsi="Arial"/>
          <w:sz w:val="14"/>
          <w:szCs w:val="14"/>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58" w:lineRule="exact"/>
        <w:rPr>
          <w:sz w:val="20"/>
          <w:szCs w:val="20"/>
          <w:color w:val="auto"/>
        </w:rPr>
      </w:pPr>
    </w:p>
    <w:p>
      <w:pPr>
        <w:jc w:val="both"/>
        <w:ind w:right="200" w:firstLine="45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30"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or Decrease in Net Assets Resulting from Operations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Net increase in net assets resulting from operations totaled $12.0 million, or $1.75 per share, respectively,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Net decrease in net assets resulting from operations totaled $3.5 million, or $0.51 per share for the period March 4, 2011 (commencement of operations) to September 30, 2011.</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39"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On March 29, 2013, we amended Funding I’s Credit Facility with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to May 2016. As of March 31, 2013 and September 30, 2012 and 2011, Funding I had $34.2 million, $75.5 million and $24.7 million of outstanding borrowings under the Credit Facility, respectively, and carried an interest rate of 2.21%, 2.47% and 2.53%, respectively, excluding the 0.375%, 0.375% and 0.500% undrawn commitment fee, respectively.</w:t>
      </w:r>
    </w:p>
    <w:p>
      <w:pPr>
        <w:spacing w:after="0" w:line="117"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2"/>
          <w:szCs w:val="12"/>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and the third amendment thereto filed as an exhibit to Form 10-Q filed May 9, 2013. As of March 31, 2013, we were in compliance with the covenants relating to our Credit Facility.</w:t>
      </w:r>
    </w:p>
    <w:p>
      <w:pPr>
        <w:spacing w:after="0" w:line="120"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4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or strategic purposes. 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w:t>
      </w:r>
    </w:p>
    <w:p>
      <w:pPr>
        <w:spacing w:after="0" w:line="120"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At March 31, 2013 and September 30, 2012 and 2011, we had cash equivalents of $2.7 million, $3.8 million and $7.0 million, respectively, available for investing and general corporate purposes. We believe our liquidity and capital resources are sufficient to take advantage of market opportunities.</w:t>
      </w:r>
    </w:p>
    <w:p>
      <w:pPr>
        <w:spacing w:after="0" w:line="139"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39" w:lineRule="exact"/>
        <w:rPr>
          <w:sz w:val="20"/>
          <w:szCs w:val="20"/>
          <w:color w:val="auto"/>
        </w:rPr>
      </w:pPr>
    </w:p>
    <w:p>
      <w:pPr>
        <w:jc w:val="both"/>
        <w:ind w:right="20" w:firstLine="456"/>
        <w:spacing w:after="0" w:line="239" w:lineRule="auto"/>
        <w:rPr>
          <w:sz w:val="20"/>
          <w:szCs w:val="20"/>
          <w:color w:val="auto"/>
        </w:rPr>
      </w:pPr>
      <w:r>
        <w:rPr>
          <w:rFonts w:ascii="Arial" w:cs="Arial" w:eastAsia="Arial" w:hAnsi="Arial"/>
          <w:sz w:val="14"/>
          <w:szCs w:val="14"/>
          <w:color w:val="auto"/>
        </w:rPr>
        <w:t>Our operating activities used cash of $23.3 million for the six months ended March 31, 2012, and our financing activities provided cash of $20.2 million for the same period. Our operating activities used cash primarily for our investment activity that was financed by net draws under the Credit Facility.</w:t>
      </w:r>
    </w:p>
    <w:p>
      <w:pPr>
        <w:spacing w:after="0" w:line="13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Our operating activities used cash of $47.8 million for the year ended September 30, 2012, and our financing activities provided net cash proceeds of $44.7 million for the same period. Our operating activities used cash primarily for our investment activity that was provided from net draws under the Credit Facility.</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our investment activity that was provided from, primarily, proceeds from our initial public offering of common stock and draws under our Credit Facility.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summary of our significant contractual payment obligations as of March 31, 2013, including borrowings under our Credit Facility and other contractual obligations,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Payments due by period (in millions)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9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our Administration Agreement, which was re-approved by the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7" w:lineRule="exact"/>
        <w:rPr>
          <w:sz w:val="20"/>
          <w:szCs w:val="20"/>
          <w:color w:val="auto"/>
        </w:rPr>
      </w:pPr>
    </w:p>
    <w:p>
      <w:pPr>
        <w:jc w:val="both"/>
        <w:ind w:right="22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3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 to purchase shares of our common stock in the secondary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capital gain net income for the one-year period ending on October 31 of the calendar year and (3) the sum of any net ordinary income and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During the three and six months ended March 31, 2013, we declared to stockholders distributions of $0.255 and $0.503 per share, for total distributions of $1.7 million and $3.4 million, respectively. For the same periods in the prior year, we declared distributions of $0.225 and $0.435 per share, respectively, for total distributions of $1.5 million and $3.0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 quarterly.</w:t>
      </w:r>
    </w:p>
    <w:p>
      <w:pPr>
        <w:spacing w:after="0" w:line="150"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39" w:lineRule="exact"/>
        <w:rPr>
          <w:sz w:val="20"/>
          <w:szCs w:val="20"/>
          <w:color w:val="auto"/>
        </w:rPr>
      </w:pPr>
    </w:p>
    <w:p>
      <w:pPr>
        <w:jc w:val="both"/>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We are subject to financial market risks, including changes in interest rates. As of March 31, 2013, our debt portfolio consisted of 88% variable-rate investments (including 83% with a LIBOR or prime floor) and 12%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40"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Assuming that the most recent Statement of Assets and Liabilities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1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4"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ind w:right="340" w:firstLine="456"/>
        <w:spacing w:after="0" w:line="230" w:lineRule="auto"/>
        <w:rPr>
          <w:sz w:val="20"/>
          <w:szCs w:val="20"/>
          <w:color w:val="auto"/>
        </w:rPr>
      </w:pPr>
      <w:r>
        <w:rPr>
          <w:rFonts w:ascii="Arial" w:cs="Arial" w:eastAsia="Arial" w:hAnsi="Arial"/>
          <w:sz w:val="14"/>
          <w:szCs w:val="14"/>
          <w:color w:val="auto"/>
        </w:rPr>
        <w:t>Information about our senior securities shown in the following table as of March 31, 2013 has been derived from our unaudited Consolidated Financial Statements. Information about our senior securities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142"/>
        </w:trPr>
        <w:tc>
          <w:tcPr>
            <w:tcW w:w="6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2013 (as of March 31, 2013)</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$34,200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$5,061</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Fiscal 2012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$75,500</w:t>
            </w: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$2,268</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2011</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$4,735</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7"/>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net asset value, or NAV, and monthly distributions per share since April 8, 2011 (initial public offering). On May 10, 2013, the last reported closing price of our common stock was $14.45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High Closing</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Low Closing</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4"/>
          </w:tcPr>
          <w:p>
            <w:pPr>
              <w:ind w:left="260"/>
              <w:spacing w:after="0" w:line="145" w:lineRule="exact"/>
              <w:rPr>
                <w:sz w:val="20"/>
                <w:szCs w:val="20"/>
                <w:color w:val="auto"/>
              </w:rPr>
            </w:pPr>
            <w:r>
              <w:rPr>
                <w:rFonts w:ascii="Arial" w:cs="Arial" w:eastAsia="Arial" w:hAnsi="Arial"/>
                <w:sz w:val="14"/>
                <w:szCs w:val="14"/>
                <w:b w:val="1"/>
                <w:bCs w:val="1"/>
                <w:color w:val="auto"/>
              </w:rPr>
              <w:t>Closing Price</w:t>
            </w: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5"/>
              </w:rPr>
              <w:t>Price to</w:t>
            </w:r>
          </w:p>
        </w:tc>
        <w:tc>
          <w:tcPr>
            <w:tcW w:w="122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89"/>
              </w:rPr>
              <w:t>Price to</w:t>
            </w: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7"/>
              </w:rPr>
              <w:t>Period</w:t>
            </w:r>
          </w:p>
        </w:tc>
        <w:tc>
          <w:tcPr>
            <w:tcW w:w="5240" w:type="dxa"/>
            <w:vAlign w:val="bottom"/>
          </w:tcPr>
          <w:p>
            <w:pPr>
              <w:spacing w:after="0"/>
              <w:rPr>
                <w:sz w:val="13"/>
                <w:szCs w:val="13"/>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0"/>
                <w:szCs w:val="10"/>
                <w:b w:val="1"/>
                <w:bCs w:val="1"/>
                <w:color w:val="auto"/>
              </w:rPr>
              <w:t>NAV</w:t>
            </w:r>
            <w:r>
              <w:rPr>
                <w:rFonts w:ascii="Arial" w:cs="Arial" w:eastAsia="Arial" w:hAnsi="Arial"/>
                <w:sz w:val="15"/>
                <w:szCs w:val="15"/>
                <w:b w:val="1"/>
                <w:bCs w:val="1"/>
                <w:color w:val="auto"/>
                <w:vertAlign w:val="superscript"/>
              </w:rPr>
              <w:t>(1)</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3"/>
                <w:szCs w:val="13"/>
                <w:color w:val="auto"/>
              </w:rPr>
            </w:pPr>
          </w:p>
        </w:tc>
        <w:tc>
          <w:tcPr>
            <w:tcW w:w="1220" w:type="dxa"/>
            <w:vAlign w:val="bottom"/>
            <w:gridSpan w:val="2"/>
          </w:tcPr>
          <w:p>
            <w:pPr>
              <w:jc w:val="center"/>
              <w:ind w:right="42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00" w:type="dxa"/>
            <w:vAlign w:val="bottom"/>
          </w:tcPr>
          <w:p>
            <w:pPr>
              <w:spacing w:after="0"/>
              <w:rPr>
                <w:sz w:val="13"/>
                <w:szCs w:val="13"/>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22"/>
        </w:trPr>
        <w:tc>
          <w:tcPr>
            <w:tcW w:w="56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2013</w:t>
            </w:r>
          </w:p>
        </w:tc>
        <w:tc>
          <w:tcPr>
            <w:tcW w:w="4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4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 (through May 10, 2013)</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  N/A</w:t>
            </w: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$14.45</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3"/>
              </w:rPr>
              <w:t>$13.82</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0.1750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9"/>
        </w:trPr>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14.10</w:t>
            </w: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14.43</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12.94</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0.2550</w:t>
            </w:r>
          </w:p>
        </w:tc>
        <w:tc>
          <w:tcPr>
            <w:tcW w:w="0" w:type="dxa"/>
            <w:vAlign w:val="bottom"/>
          </w:tcPr>
          <w:p>
            <w:pPr>
              <w:spacing w:after="0"/>
              <w:rPr>
                <w:sz w:val="1"/>
                <w:szCs w:val="1"/>
                <w:color w:val="auto"/>
              </w:rPr>
            </w:pPr>
          </w:p>
        </w:tc>
      </w:tr>
      <w:tr>
        <w:trPr>
          <w:trHeight w:val="149"/>
        </w:trPr>
        <w:tc>
          <w:tcPr>
            <w:tcW w:w="5640" w:type="dxa"/>
            <w:vAlign w:val="bottom"/>
            <w:gridSpan w:val="2"/>
          </w:tcPr>
          <w:p>
            <w:pPr>
              <w:spacing w:after="0" w:line="149" w:lineRule="exact"/>
              <w:rPr>
                <w:sz w:val="20"/>
                <w:szCs w:val="20"/>
                <w:color w:val="auto"/>
              </w:rPr>
            </w:pPr>
            <w:r>
              <w:rPr>
                <w:rFonts w:ascii="Arial" w:cs="Arial" w:eastAsia="Arial" w:hAnsi="Arial"/>
                <w:sz w:val="14"/>
                <w:szCs w:val="14"/>
                <w:color w:val="auto"/>
              </w:rPr>
              <w:t>First quarter</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13.99</w:t>
            </w: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13.30</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12.35</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0.2475</w:t>
            </w:r>
          </w:p>
        </w:tc>
        <w:tc>
          <w:tcPr>
            <w:tcW w:w="0" w:type="dxa"/>
            <w:vAlign w:val="bottom"/>
          </w:tcPr>
          <w:p>
            <w:pPr>
              <w:spacing w:after="0"/>
              <w:rPr>
                <w:sz w:val="1"/>
                <w:szCs w:val="1"/>
                <w:color w:val="auto"/>
              </w:rPr>
            </w:pPr>
          </w:p>
        </w:tc>
      </w:tr>
      <w:tr>
        <w:trPr>
          <w:trHeight w:val="149"/>
        </w:trPr>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13.98</w:t>
            </w: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13.03</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11.85</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0.2400</w:t>
            </w:r>
          </w:p>
        </w:tc>
        <w:tc>
          <w:tcPr>
            <w:tcW w:w="0" w:type="dxa"/>
            <w:vAlign w:val="bottom"/>
          </w:tcPr>
          <w:p>
            <w:pPr>
              <w:spacing w:after="0"/>
              <w:rPr>
                <w:sz w:val="1"/>
                <w:szCs w:val="1"/>
                <w:color w:val="auto"/>
              </w:rPr>
            </w:pPr>
          </w:p>
        </w:tc>
      </w:tr>
      <w:tr>
        <w:trPr>
          <w:trHeight w:val="149"/>
        </w:trPr>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13.94</w:t>
            </w: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11.93</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11.46</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0.2350</w:t>
            </w:r>
          </w:p>
        </w:tc>
        <w:tc>
          <w:tcPr>
            <w:tcW w:w="0" w:type="dxa"/>
            <w:vAlign w:val="bottom"/>
          </w:tcPr>
          <w:p>
            <w:pPr>
              <w:spacing w:after="0"/>
              <w:rPr>
                <w:sz w:val="1"/>
                <w:szCs w:val="1"/>
                <w:color w:val="auto"/>
              </w:rPr>
            </w:pPr>
          </w:p>
        </w:tc>
      </w:tr>
      <w:tr>
        <w:trPr>
          <w:trHeight w:val="149"/>
        </w:trPr>
        <w:tc>
          <w:tcPr>
            <w:tcW w:w="564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14.12</w:t>
            </w: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12.10</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10.52</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0.2250</w:t>
            </w:r>
          </w:p>
        </w:tc>
        <w:tc>
          <w:tcPr>
            <w:tcW w:w="0" w:type="dxa"/>
            <w:vAlign w:val="bottom"/>
          </w:tcPr>
          <w:p>
            <w:pPr>
              <w:spacing w:after="0"/>
              <w:rPr>
                <w:sz w:val="1"/>
                <w:szCs w:val="1"/>
                <w:color w:val="auto"/>
              </w:rPr>
            </w:pPr>
          </w:p>
        </w:tc>
      </w:tr>
      <w:tr>
        <w:trPr>
          <w:trHeight w:val="149"/>
        </w:trPr>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13.68</w:t>
            </w: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11.03</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10.01</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0.2100</w:t>
            </w:r>
          </w:p>
        </w:tc>
        <w:tc>
          <w:tcPr>
            <w:tcW w:w="0" w:type="dxa"/>
            <w:vAlign w:val="bottom"/>
          </w:tcPr>
          <w:p>
            <w:pPr>
              <w:spacing w:after="0"/>
              <w:rPr>
                <w:sz w:val="1"/>
                <w:szCs w:val="1"/>
                <w:color w:val="auto"/>
              </w:rPr>
            </w:pPr>
          </w:p>
        </w:tc>
      </w:tr>
      <w:tr>
        <w:trPr>
          <w:trHeight w:val="149"/>
        </w:trPr>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13.44</w:t>
            </w: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12.85</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10.34</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0.2000</w:t>
            </w:r>
          </w:p>
        </w:tc>
        <w:tc>
          <w:tcPr>
            <w:tcW w:w="0" w:type="dxa"/>
            <w:vAlign w:val="bottom"/>
          </w:tcPr>
          <w:p>
            <w:pPr>
              <w:spacing w:after="0"/>
              <w:rPr>
                <w:sz w:val="1"/>
                <w:szCs w:val="1"/>
                <w:color w:val="auto"/>
              </w:rPr>
            </w:pPr>
          </w:p>
        </w:tc>
      </w:tr>
      <w:tr>
        <w:trPr>
          <w:trHeight w:val="172"/>
        </w:trPr>
        <w:tc>
          <w:tcPr>
            <w:tcW w:w="5640" w:type="dxa"/>
            <w:vAlign w:val="bottom"/>
            <w:gridSpan w:val="2"/>
          </w:tcPr>
          <w:p>
            <w:pPr>
              <w:spacing w:after="0"/>
              <w:rPr>
                <w:sz w:val="20"/>
                <w:szCs w:val="20"/>
                <w:color w:val="auto"/>
              </w:rPr>
            </w:pPr>
            <w:r>
              <w:rPr>
                <w:rFonts w:ascii="Arial" w:cs="Arial" w:eastAsia="Arial" w:hAnsi="Arial"/>
                <w:sz w:val="14"/>
                <w:szCs w:val="14"/>
                <w:color w:val="auto"/>
              </w:rPr>
              <w:t>Third quarter*</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14.06</w:t>
            </w:r>
          </w:p>
        </w:tc>
        <w:tc>
          <w:tcPr>
            <w:tcW w:w="1080" w:type="dxa"/>
            <w:vAlign w:val="bottom"/>
            <w:gridSpan w:val="3"/>
          </w:tcPr>
          <w:p>
            <w:pPr>
              <w:jc w:val="right"/>
              <w:ind w:right="520"/>
              <w:spacing w:after="0"/>
              <w:rPr>
                <w:sz w:val="20"/>
                <w:szCs w:val="20"/>
                <w:color w:val="auto"/>
              </w:rPr>
            </w:pPr>
            <w:r>
              <w:rPr>
                <w:rFonts w:ascii="Arial" w:cs="Arial" w:eastAsia="Arial" w:hAnsi="Arial"/>
                <w:sz w:val="14"/>
                <w:szCs w:val="14"/>
                <w:color w:val="auto"/>
              </w:rPr>
              <w:t>13.70</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12.27</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(3)</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840" w:type="dxa"/>
            <w:vAlign w:val="bottom"/>
            <w:gridSpan w:val="2"/>
          </w:tcPr>
          <w:p>
            <w:pPr>
              <w:ind w:left="300"/>
              <w:spacing w:after="0"/>
              <w:rPr>
                <w:sz w:val="20"/>
                <w:szCs w:val="20"/>
                <w:color w:val="auto"/>
              </w:rPr>
            </w:pPr>
            <w:r>
              <w:rPr>
                <w:rFonts w:ascii="Arial" w:cs="Arial" w:eastAsia="Arial" w:hAnsi="Arial"/>
                <w:sz w:val="14"/>
                <w:szCs w:val="14"/>
                <w:color w:val="auto"/>
              </w:rPr>
              <w:t>0.0500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left="220" w:right="80" w:hanging="212"/>
        <w:spacing w:after="0" w:line="230"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for more information.</w:t>
      </w:r>
    </w:p>
    <w:p>
      <w:pPr>
        <w:ind w:left="220" w:hanging="212"/>
        <w:spacing w:after="0" w:line="22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quarter-end NAV.</w:t>
      </w:r>
    </w:p>
    <w:p>
      <w:pPr>
        <w:ind w:left="220" w:hanging="212"/>
        <w:spacing w:after="0" w:line="22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a distribution of $0.0875 per share payable June 3, 2013 to stockholders of record May 20, 2013.</w:t>
      </w: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From April 8, 2011 (initial public offering) to June 30, 2011.</w:t>
      </w:r>
    </w:p>
    <w:p>
      <w:pPr>
        <w:spacing w:after="0" w:line="138"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traded on the NASDAQ Global Select Market at $13.96 and $12.67 as of March 31, 2013 and September 30, 2012, respectively. Our NAV was $14.10 and $13.98 per share,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a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3"/>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3900" w:type="dxa"/>
            <w:vAlign w:val="bottom"/>
            <w:vMerge w:val="restart"/>
          </w:tcPr>
          <w:p>
            <w:pPr>
              <w:spacing w:after="0"/>
              <w:rPr>
                <w:sz w:val="14"/>
                <w:szCs w:val="14"/>
                <w:color w:val="auto"/>
              </w:rPr>
            </w:pPr>
          </w:p>
        </w:tc>
        <w:tc>
          <w:tcPr>
            <w:tcW w:w="254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Payment Dates</w:t>
            </w:r>
          </w:p>
        </w:tc>
        <w:tc>
          <w:tcPr>
            <w:tcW w:w="54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22"/>
        </w:trPr>
        <w:tc>
          <w:tcPr>
            <w:tcW w:w="47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2013</w:t>
            </w:r>
          </w:p>
        </w:tc>
        <w:tc>
          <w:tcPr>
            <w:tcW w:w="25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May 20, 2013</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June 3, 2013</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April 19, 2013</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May 1, 2013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22, 2013</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April 1, 2013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February 19, 2013</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March 1, 2013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January 22, 2013</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February 1, 2013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December 21, 2012</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January 2, 2013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November 20, 2012</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December 3, 2012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October 19, 2012</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November 1, 2012</w:t>
            </w: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0.6775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2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September 20, 2012</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October 1, 2012</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August 20, 2012</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September 4, 2012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20, 2012</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August 1, 2012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21, 2012</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July 2, 2012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May 22, 2012</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June 1, 2012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April 20, 2012</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May 1, 2012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22, 2012</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April 2, 2012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February 20, 2012</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March 1, 2012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January 20, 2012</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February 1, 2012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December 23, 2011</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January 3, 2012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November 21, 2011</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December 1, 2011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October 21, 2011</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November 1, 2011</w:t>
            </w: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Total</w:t>
            </w:r>
          </w:p>
        </w:tc>
        <w:tc>
          <w:tcPr>
            <w:tcW w:w="2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0.9100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2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September 23, 2011</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October 3, 2011</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August 22, 2011</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September 1, 2011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22, 2011</w:t>
            </w:r>
          </w:p>
        </w:tc>
        <w:tc>
          <w:tcPr>
            <w:tcW w:w="4000" w:type="dxa"/>
            <w:vAlign w:val="bottom"/>
            <w:gridSpan w:val="3"/>
          </w:tcPr>
          <w:p>
            <w:pPr>
              <w:ind w:left="2540"/>
              <w:spacing w:after="0" w:line="149" w:lineRule="exact"/>
              <w:rPr>
                <w:sz w:val="20"/>
                <w:szCs w:val="20"/>
                <w:color w:val="auto"/>
              </w:rPr>
            </w:pPr>
            <w:r>
              <w:rPr>
                <w:rFonts w:ascii="Arial" w:cs="Arial" w:eastAsia="Arial" w:hAnsi="Arial"/>
                <w:sz w:val="14"/>
                <w:szCs w:val="14"/>
                <w:color w:val="auto"/>
              </w:rPr>
              <w:t>August 1, 2011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24, 2011</w:t>
            </w:r>
          </w:p>
        </w:tc>
        <w:tc>
          <w:tcPr>
            <w:tcW w:w="4000" w:type="dxa"/>
            <w:vAlign w:val="bottom"/>
            <w:gridSpan w:val="3"/>
            <w:shd w:val="clear" w:color="auto" w:fill="CCEEFF"/>
          </w:tcPr>
          <w:p>
            <w:pPr>
              <w:ind w:left="2540"/>
              <w:spacing w:after="0" w:line="149" w:lineRule="exact"/>
              <w:rPr>
                <w:sz w:val="20"/>
                <w:szCs w:val="20"/>
                <w:color w:val="auto"/>
              </w:rPr>
            </w:pPr>
            <w:r>
              <w:rPr>
                <w:rFonts w:ascii="Arial" w:cs="Arial" w:eastAsia="Arial" w:hAnsi="Arial"/>
                <w:sz w:val="14"/>
                <w:szCs w:val="14"/>
                <w:color w:val="auto"/>
              </w:rPr>
              <w:t>July 1, 2011</w:t>
            </w: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40" w:type="dxa"/>
            <w:vAlign w:val="bottom"/>
            <w:gridSpan w:val="2"/>
          </w:tcPr>
          <w:p>
            <w:pPr>
              <w:ind w:left="580"/>
              <w:spacing w:after="0"/>
              <w:rPr>
                <w:sz w:val="20"/>
                <w:szCs w:val="20"/>
                <w:color w:val="auto"/>
              </w:rPr>
            </w:pPr>
            <w:r>
              <w:rPr>
                <w:rFonts w:ascii="Arial" w:cs="Arial" w:eastAsia="Arial" w:hAnsi="Arial"/>
                <w:sz w:val="14"/>
                <w:szCs w:val="14"/>
                <w:b w:val="1"/>
                <w:bCs w:val="1"/>
                <w:color w:val="auto"/>
              </w:rPr>
              <w:t>Total</w:t>
            </w:r>
          </w:p>
        </w:tc>
        <w:tc>
          <w:tcPr>
            <w:tcW w:w="2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In January 2014, a Form 1099-DIV will be sent to stockholders that will state the amount and composition of distributions and provide information with respect to appropriate tax treatment of our distributions.</w:t>
      </w:r>
    </w:p>
    <w:p>
      <w:pPr>
        <w:spacing w:after="0" w:line="112" w:lineRule="exact"/>
        <w:rPr>
          <w:sz w:val="20"/>
          <w:szCs w:val="20"/>
          <w:color w:val="auto"/>
        </w:rPr>
      </w:pPr>
    </w:p>
    <w:p>
      <w:pPr>
        <w:ind w:right="20" w:firstLine="456"/>
        <w:spacing w:after="0" w:line="318"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lesser extent equity investments. Our investment size may generally range between $1 million and $10 million, on average, although we expect that this investment size will vary proportionately with the size of our capital base.</w:t>
      </w:r>
    </w:p>
    <w:p>
      <w:pPr>
        <w:spacing w:after="0" w:line="5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elected to be treated, and intend to qualify annually as a RIC under the Code.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4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240" w:hanging="316"/>
        <w:spacing w:after="0" w:line="231"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w:t>
      </w:r>
      <w:r>
        <w:rPr>
          <w:rFonts w:ascii="Arial" w:cs="Arial" w:eastAsia="Arial" w:hAnsi="Arial"/>
          <w:sz w:val="14"/>
          <w:szCs w:val="14"/>
          <w:color w:val="auto"/>
        </w:rPr>
        <w:t>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20 years of experience in mezzanine lending, leveraged finance, distressed debt and private equity businesses. These senior investment in each of these business across economic and market cycles. We believe this extensive experience and history has resulted in a strong reputation across the capital markets.</w:t>
      </w:r>
    </w:p>
    <w:p>
      <w:pPr>
        <w:spacing w:after="0" w:line="58"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Lending to middle-market companies requires in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60" w:firstLine="342"/>
        <w:spacing w:after="0" w:line="278" w:lineRule="auto"/>
        <w:rPr>
          <w:sz w:val="20"/>
          <w:szCs w:val="20"/>
          <w:color w:val="auto"/>
        </w:rPr>
      </w:pPr>
      <w:r>
        <w:rPr>
          <w:rFonts w:ascii="Arial" w:cs="Arial" w:eastAsia="Arial" w:hAnsi="Arial"/>
          <w:sz w:val="12"/>
          <w:szCs w:val="12"/>
          <w:color w:val="auto"/>
        </w:rPr>
        <w:t>We maintain a $125.0 million Credit Facility, which matures in May 2018, with the Lender. During the Credit Facility’s revolving period, it bears interest at LIBOR plus 200 basis points, and after the revolving period, the rate sets to LIBOR plus 425 basis points for the remaining two years. The Credit Facility is secured by all of the assets held by Funding I, under which we had drawn $34.2 million outstanding with a weighted average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4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2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Environmental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Auto Sector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Financial Services</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Grocery</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Broadcasting and Entertainment</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Healthcare, Education and Childcare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High Tech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w w:val="87"/>
              </w:rPr>
              <w:t>Home &amp; Office Furnishings, Housewares &amp; Durable Consumer Products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Cable Television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Hotels, Motels, Inns and Gaming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Cargo Transportation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Insurance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Leisure, Amusement, Motion Picture, Entertainment</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Communications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Logistics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Manufacturing / Basic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Non-Durable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Media; Broadcasting and Subscription</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Mining, Steel, Iron and Non-Precious Metals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Distribution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Oil and Gas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Manufacturing</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Other Media</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Personal, Food and Miscellaneous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Education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Printing and Publishing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Energy / Utilities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Retail Stores</w:t>
            </w:r>
          </w:p>
        </w:tc>
      </w:tr>
      <w:tr>
        <w:trPr>
          <w:trHeight w:val="230"/>
        </w:trPr>
        <w:tc>
          <w:tcPr>
            <w:tcW w:w="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Telecommunications</w:t>
            </w:r>
          </w:p>
        </w:tc>
      </w:tr>
      <w:tr>
        <w:trPr>
          <w:trHeight w:val="405"/>
        </w:trPr>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0" w:type="dxa"/>
            <w:vAlign w:val="bottom"/>
          </w:tcPr>
          <w:p>
            <w:pPr>
              <w:ind w:left="1460"/>
              <w:spacing w:after="0"/>
              <w:rPr>
                <w:sz w:val="20"/>
                <w:szCs w:val="20"/>
                <w:color w:val="auto"/>
              </w:rPr>
            </w:pPr>
            <w:r>
              <w:rPr>
                <w:rFonts w:ascii="Arial" w:cs="Arial" w:eastAsia="Arial" w:hAnsi="Arial"/>
                <w:sz w:val="14"/>
                <w:szCs w:val="14"/>
                <w:color w:val="auto"/>
              </w:rPr>
              <w:t>50</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w:t>
      </w:r>
    </w:p>
    <w:p>
      <w:pPr>
        <w:sectPr>
          <w:pgSz w:w="11900" w:h="16838" w:orient="portrait"/>
          <w:cols w:equalWidth="0" w:num="1">
            <w:col w:w="11420"/>
          </w:cols>
          <w:pgMar w:left="240" w:top="459" w:right="2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ALG USA Holdings, LLC</w:t>
            </w:r>
          </w:p>
        </w:tc>
        <w:tc>
          <w:tcPr>
            <w:tcW w:w="620" w:type="dxa"/>
            <w:vAlign w:val="bottom"/>
            <w:vMerge w:val="continue"/>
          </w:tcPr>
          <w:p>
            <w:pPr>
              <w:spacing w:after="0"/>
              <w:rPr>
                <w:sz w:val="14"/>
                <w:szCs w:val="14"/>
                <w:color w:val="auto"/>
              </w:rPr>
            </w:pPr>
          </w:p>
        </w:tc>
        <w:tc>
          <w:tcPr>
            <w:tcW w:w="1100" w:type="dxa"/>
            <w:vAlign w:val="bottom"/>
            <w:gridSpan w:val="2"/>
          </w:tcPr>
          <w:p>
            <w:pPr>
              <w:ind w:left="920"/>
              <w:spacing w:after="0"/>
              <w:rPr>
                <w:sz w:val="20"/>
                <w:szCs w:val="20"/>
                <w:color w:val="auto"/>
              </w:rPr>
            </w:pPr>
            <w:r>
              <w:rPr>
                <w:rFonts w:ascii="Arial" w:cs="Arial" w:eastAsia="Arial" w:hAnsi="Arial"/>
                <w:sz w:val="14"/>
                <w:szCs w:val="14"/>
                <w:color w:val="auto"/>
                <w:w w:val="78"/>
              </w:rPr>
              <w:t>5%</w:t>
            </w:r>
          </w:p>
        </w:tc>
        <w:tc>
          <w:tcPr>
            <w:tcW w:w="0" w:type="dxa"/>
            <w:vAlign w:val="bottom"/>
          </w:tcPr>
          <w:p>
            <w:pPr>
              <w:spacing w:after="0"/>
              <w:rPr>
                <w:sz w:val="1"/>
                <w:szCs w:val="1"/>
                <w:color w:val="auto"/>
              </w:rPr>
            </w:pPr>
          </w:p>
        </w:tc>
      </w:tr>
      <w:tr>
        <w:trPr>
          <w:trHeight w:val="178"/>
        </w:trPr>
        <w:tc>
          <w:tcPr>
            <w:tcW w:w="42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KIK Custom Products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Northfield Park Associates LLC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RiverBoat Corporation of Mississippi</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DS Waters of America,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Orbitz Worldwide,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620" w:type="dxa"/>
            <w:vAlign w:val="bottom"/>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8"/>
              </w:rPr>
              <w:t>March 31, 2013</w:t>
            </w:r>
          </w:p>
        </w:tc>
        <w:tc>
          <w:tcPr>
            <w:tcW w:w="120" w:type="dxa"/>
            <w:vAlign w:val="bottom"/>
          </w:tcPr>
          <w:p>
            <w:pPr>
              <w:spacing w:after="0"/>
              <w:rPr>
                <w:sz w:val="15"/>
                <w:szCs w:val="15"/>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Consumer Services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70"/>
        </w:trPr>
        <w:tc>
          <w:tcPr>
            <w:tcW w:w="420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5"/>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September 30, 2012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Healogics Inc. (f/k/a National Healing Corp.)</w:t>
            </w:r>
          </w:p>
        </w:tc>
        <w:tc>
          <w:tcPr>
            <w:tcW w:w="640" w:type="dxa"/>
            <w:vAlign w:val="bottom"/>
            <w:vMerge w:val="continue"/>
          </w:tcPr>
          <w:p>
            <w:pPr>
              <w:spacing w:after="0"/>
              <w:rPr>
                <w:sz w:val="14"/>
                <w:szCs w:val="14"/>
                <w:color w:val="auto"/>
              </w:rPr>
            </w:pPr>
          </w:p>
        </w:tc>
        <w:tc>
          <w:tcPr>
            <w:tcW w:w="1320" w:type="dxa"/>
            <w:vAlign w:val="bottom"/>
            <w:gridSpan w:val="2"/>
          </w:tcPr>
          <w:p>
            <w:pPr>
              <w:ind w:left="1140"/>
              <w:spacing w:after="0"/>
              <w:rPr>
                <w:sz w:val="20"/>
                <w:szCs w:val="20"/>
                <w:color w:val="auto"/>
              </w:rPr>
            </w:pPr>
            <w:r>
              <w:rPr>
                <w:rFonts w:ascii="Arial" w:cs="Arial" w:eastAsia="Arial" w:hAnsi="Arial"/>
                <w:sz w:val="14"/>
                <w:szCs w:val="14"/>
                <w:color w:val="auto"/>
                <w:w w:val="78"/>
              </w:rPr>
              <w:t>3%</w:t>
            </w:r>
          </w:p>
        </w:tc>
        <w:tc>
          <w:tcPr>
            <w:tcW w:w="0" w:type="dxa"/>
            <w:vAlign w:val="bottom"/>
          </w:tcPr>
          <w:p>
            <w:pPr>
              <w:spacing w:after="0"/>
              <w:rPr>
                <w:sz w:val="1"/>
                <w:szCs w:val="1"/>
                <w:color w:val="auto"/>
              </w:rPr>
            </w:pPr>
          </w:p>
        </w:tc>
      </w:tr>
      <w:tr>
        <w:trPr>
          <w:trHeight w:val="178"/>
        </w:trPr>
        <w:tc>
          <w:tcPr>
            <w:tcW w:w="41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KIK Custom Products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Mood Media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Yonkers Racing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DS Waters of America,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Viamedia Services Corp.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-1191260</wp:posOffset>
            </wp:positionV>
            <wp:extent cx="72466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-942340</wp:posOffset>
            </wp:positionV>
            <wp:extent cx="724662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-702310</wp:posOffset>
            </wp:positionV>
            <wp:extent cx="72466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-462280</wp:posOffset>
            </wp:positionV>
            <wp:extent cx="72466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-222250</wp:posOffset>
            </wp:positionV>
            <wp:extent cx="72466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62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2012</w:t>
            </w:r>
          </w:p>
        </w:tc>
        <w:tc>
          <w:tcPr>
            <w:tcW w:w="120" w:type="dxa"/>
            <w:vAlign w:val="bottom"/>
          </w:tcPr>
          <w:p>
            <w:pPr>
              <w:spacing w:after="0"/>
              <w:rPr>
                <w:sz w:val="15"/>
                <w:szCs w:val="15"/>
                <w:color w:val="auto"/>
              </w:rPr>
            </w:pPr>
          </w:p>
        </w:tc>
      </w:tr>
      <w:tr>
        <w:trPr>
          <w:trHeight w:val="169"/>
        </w:trPr>
        <w:tc>
          <w:tcPr>
            <w:tcW w:w="41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9"/>
                <w:szCs w:val="19"/>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-1456690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-1174115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-899795</wp:posOffset>
            </wp:positionV>
            <wp:extent cx="72466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-590550</wp:posOffset>
            </wp:positionV>
            <wp:extent cx="72466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-281940</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26035</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214630</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340" w:space="600"/>
            <w:col w:w="5480"/>
          </w:cols>
          <w:pgMar w:left="240" w:top="459" w:right="2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Accordingly they may have obligations to investors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order.</w:t>
      </w:r>
    </w:p>
    <w:p>
      <w:pPr>
        <w:spacing w:after="0" w:line="13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As of March 31, 2013, our portfolio consisted of 63 companies and was invested 87% in senior secured loans, 6% in second lien secured debt and 7%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March 31, 2013,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71"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March 31,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March 31, 2013 Consolidated Financial Statements included elsewhere in this prospectus.</w:t>
      </w:r>
    </w:p>
    <w:p>
      <w:pPr>
        <w:spacing w:after="0" w:line="5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less than 5%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ALG USA Holdings,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 Campus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Newtown Square, PA 19073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American Gilsonite Company</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Metals and Mining</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1717 St. James Place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Houston, TX 77056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ARC Auto Group, Inc. and Casco Auto Group,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855 Main Street, 10th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Bridgeport, CT 06604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281 Sanders Creek Parkway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East Syracuse, NY 13057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ATI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790 Remington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Bolingbrook, IL 60440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00" w:type="dxa"/>
            <w:vAlign w:val="bottom"/>
            <w:gridSpan w:val="3"/>
          </w:tcPr>
          <w:p>
            <w:pPr>
              <w:spacing w:after="0"/>
              <w:rPr>
                <w:sz w:val="20"/>
                <w:szCs w:val="20"/>
                <w:color w:val="auto"/>
              </w:rPr>
            </w:pPr>
            <w:r>
              <w:rPr>
                <w:rFonts w:ascii="Arial" w:cs="Arial" w:eastAsia="Arial" w:hAnsi="Arial"/>
                <w:sz w:val="14"/>
                <w:szCs w:val="14"/>
                <w:color w:val="auto"/>
              </w:rPr>
              <w:t>Attachmate Corporation</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1500 Dexter Avenue N.</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Seattle, WA 98109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BBB Industries,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5640 Commerce Blvd. East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Mobile, AL 36619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Berlin Packaging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525 West Monroe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Chicago, IL 60661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600 Travis Street, Suite 600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Houston, TX 77002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Cannery Casino Resorts,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2121 E Craig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North Las Vegas, NV 89030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DCS Business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Livermore, CA 94551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DS Waters Of America,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30328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Edmenturn, Inc. (f/k/a Archipelago Learning,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5600 West 83rd Street,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8200 Tower, Bloomington, MN 55437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EIG Investors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 Corporate Drive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Burlington, MA 01803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Emerald Performance Materials,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2020 Front Street, Suite 100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Cuyahoga Falls, OH 44221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eResearchtechnology, Inc.</w:t>
            </w:r>
          </w:p>
        </w:tc>
        <w:tc>
          <w:tcPr>
            <w:tcW w:w="2160" w:type="dxa"/>
            <w:vAlign w:val="bottom"/>
            <w:tcBorders>
              <w:top w:val="single" w:sz="8" w:color="CCEEFF"/>
            </w:tcBorders>
            <w:shd w:val="clear" w:color="auto" w:fill="CCEEFF"/>
          </w:tcPr>
          <w:p>
            <w:pPr>
              <w:spacing w:after="0"/>
              <w:rPr>
                <w:sz w:val="9"/>
                <w:szCs w:val="9"/>
                <w:color w:val="auto"/>
              </w:rPr>
            </w:pPr>
          </w:p>
        </w:tc>
        <w:tc>
          <w:tcPr>
            <w:tcW w:w="242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Healthcare and Pharmaceuticals</w:t>
            </w:r>
          </w:p>
        </w:tc>
        <w:tc>
          <w:tcPr>
            <w:tcW w:w="10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ind w:left="540"/>
              <w:spacing w:after="0" w:line="111" w:lineRule="exact"/>
              <w:rPr>
                <w:sz w:val="20"/>
                <w:szCs w:val="20"/>
                <w:color w:val="auto"/>
              </w:rPr>
            </w:pPr>
            <w:r>
              <w:rPr>
                <w:rFonts w:ascii="Arial" w:cs="Arial" w:eastAsia="Arial" w:hAnsi="Arial"/>
                <w:sz w:val="12"/>
                <w:szCs w:val="12"/>
                <w:color w:val="auto"/>
              </w:rPr>
              <w:t>First Lien Secured Debt</w:t>
            </w:r>
          </w:p>
        </w:tc>
        <w:tc>
          <w:tcPr>
            <w:tcW w:w="10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1818 Market Street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Philandelphia, PA 19103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Fishnet Security,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6130 Sprint Parkway, Suite 400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Overland Park, KS 66211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GFA Brands,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 West Century Road, Suite 260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Paramus, NJ 07652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w w:val="98"/>
              </w:rPr>
              <w:t>Graton Economic Development Authority</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Federated Indians of Graton Rancheria</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6400 Redwood Drive, Suite 300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Rohnert Park, CA 94928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1000 South Oyster Bay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Hicksville, NY 11801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Howard Berger Co.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Wholesale</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324A Half Acre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Cranbury, NJ 08512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IDQ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2901 West Kingsley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Garland, TX 75041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Ikaria,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Perryville III Corporate Park</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53 Frontage Road, 3rd FL.</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 BOX 9001</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Hampton, NJ 08827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InfuSystem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31700 Reseach Park Drive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Madison Heights, MI 48071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Jackson Hewitt Tax Service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 Sylvan Way</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Parsippany, NJ 07054</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Soho Centre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260 Queen St.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 Toronto, Canada</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KIK Custom Products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101 Macintosh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Concord, ON L4K 4L5</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Canada</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Milk Specialties Company</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7500 Flying Cloud Drive, Suite 500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MModal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9009 Carothers Parkway, Suite C-1</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Franklin, TN 37067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Mood Media Corporation</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Toronto, ON M2P 2C2</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Canada</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MOSAID Technologies Incorporated</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 Hines Road, Suite 203</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Ottawa, Ontario, Canada</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K2K 2X1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MX USA,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930 Ridgebrook Rd, 3rd FL</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Sparks, MD 21152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NAB Holdings,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Banking, Finance, Insurance and Real</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250 Stephenson Highway</w:t>
            </w:r>
          </w:p>
        </w:tc>
        <w:tc>
          <w:tcPr>
            <w:tcW w:w="216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Estate</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Troy, MI 48083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Northfield Park Associates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10705 Northfield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Northfield, OH 44067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3"/>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Orbitz Worldwide,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Transportation: Consumer</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 W. Madison Street, Suite 1000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Chicago, IL 60661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Pelican Products,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23215 Early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Torrance, CA 90505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Premier Dental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530 S Main Street, 6th FL</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Orange CA 92868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RiverBoat Corporation of Mississippi</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1510 West Loop South</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77027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Sabre Industries,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Construction and Building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8653 East Highway 67</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Alvarado, TX 76009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Seven Seas Cruises R.L.</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Miami, FL 33122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McLean, VA 22102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 George’s University Scholastic Services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Sunrise Highway, Bldg.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Great River, NY 11739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Sutherland Global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1160 Pittsford Victor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Pittsford, NY 14534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Tekelec Global,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5200 Paramount Parkway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Morrisville, NC 27560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Therakos,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1001 US Route 202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Raritan, NJ 08869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Preferred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Charlotte, NC 28217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Common Equity</w:t>
            </w: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UniTek Global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1777 Sentry Parkway West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Gwynedd Hall Suite 202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Blue Bell, PA 19422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Valitas Health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12647 Olive Boulevard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Louis, MO 63141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Varel International Energy Mezzanine Funding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1625W. Crossby Road, Suite 124</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Carrollton, Dallas County, TX 75006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Vestcom International,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7302 Kanis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Little Rock, AR 72204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Water Pik,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Consumer Goods: Durable</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ind w:left="540"/>
              <w:spacing w:after="0" w:line="131" w:lineRule="exact"/>
              <w:rPr>
                <w:sz w:val="20"/>
                <w:szCs w:val="20"/>
                <w:color w:val="auto"/>
              </w:rPr>
            </w:pPr>
            <w:r>
              <w:rPr>
                <w:rFonts w:ascii="Arial" w:cs="Arial" w:eastAsia="Arial" w:hAnsi="Arial"/>
                <w:sz w:val="14"/>
                <w:szCs w:val="14"/>
                <w:color w:val="auto"/>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Wilton Brands,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2240 W. 75th Street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Woodridge, IL 60517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Z Wireless</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3109 West 41st Street, # 113</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Sioux Falls, SD 57105</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 Voting ownership percentage refers only to common equity, preferred equity and warrants held, if any, were we have voting rights.</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2013 and September 30, 2012.</w:t>
      </w:r>
    </w:p>
    <w:p>
      <w:pPr>
        <w:sectPr>
          <w:pgSz w:w="11900" w:h="16838" w:orient="portrait"/>
          <w:cols w:equalWidth="0" w:num="1">
            <w:col w:w="11420"/>
          </w:cols>
          <w:pgMar w:left="240" w:top="459"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Classification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Hotel, Gaming and Leisure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Healthcare and Pharmaceuticals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Goods: Non-Durable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Services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Beverage, Food and Tobacco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Business Services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High Tech Industries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Media: Advertising, Printing and Publishing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Automotive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Chemicals, Plastics and Rubber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Media: Diversified and Production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Containers, Packaging and Glass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Telecommunications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Construction and Building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Goods: Durable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Energy: Oil and Gas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Metals and Mining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Transportation: Consumer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Aerospace and Defense</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Banking, Finance, Insurance &amp; Real Estate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Environmental Industries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Wholesale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All Other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16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March 31, 2013</w:t>
            </w:r>
          </w:p>
        </w:tc>
        <w:tc>
          <w:tcPr>
            <w:tcW w:w="114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September 30, 2012</w:t>
            </w:r>
          </w:p>
        </w:tc>
        <w:tc>
          <w:tcPr>
            <w:tcW w:w="100" w:type="dxa"/>
            <w:vAlign w:val="bottom"/>
          </w:tcPr>
          <w:p>
            <w:pPr>
              <w:spacing w:after="0"/>
              <w:rPr>
                <w:sz w:val="14"/>
                <w:szCs w:val="14"/>
                <w:color w:val="auto"/>
              </w:rPr>
            </w:pPr>
          </w:p>
        </w:tc>
      </w:tr>
      <w:tr>
        <w:trPr>
          <w:trHeight w:val="223"/>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9%</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159"/>
        </w:trPr>
        <w:tc>
          <w:tcPr>
            <w:tcW w:w="2040" w:type="dxa"/>
            <w:vAlign w:val="bottom"/>
            <w:gridSpan w:val="2"/>
          </w:tcPr>
          <w:p>
            <w:pPr>
              <w:jc w:val="right"/>
              <w:ind w:right="1020"/>
              <w:spacing w:after="0" w:line="159" w:lineRule="exact"/>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w:t>
            </w:r>
          </w:p>
        </w:tc>
      </w:tr>
      <w:tr>
        <w:trPr>
          <w:trHeight w:val="20"/>
        </w:trPr>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40" w:type="dxa"/>
            <w:vAlign w:val="bottom"/>
            <w:gridSpan w:val="2"/>
          </w:tcPr>
          <w:p>
            <w:pPr>
              <w:jc w:val="right"/>
              <w:ind w:right="1020"/>
              <w:spacing w:after="0" w:line="155" w:lineRule="exact"/>
              <w:rPr>
                <w:sz w:val="20"/>
                <w:szCs w:val="20"/>
                <w:color w:val="auto"/>
              </w:rPr>
            </w:pPr>
            <w:r>
              <w:rPr>
                <w:rFonts w:ascii="Arial" w:cs="Arial" w:eastAsia="Arial" w:hAnsi="Arial"/>
                <w:sz w:val="14"/>
                <w:szCs w:val="14"/>
                <w:color w:val="auto"/>
              </w:rPr>
              <w:t>100%</w:t>
            </w: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-3112135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-2837815</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-2563495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-2289175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-2014855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-1740535</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-1465580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-1191260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-916940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-642620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-368300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-119380</wp:posOffset>
            </wp:positionV>
            <wp:extent cx="724662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-3395345</wp:posOffset>
            </wp:positionV>
            <wp:extent cx="72466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2">
            <w:col w:w="4920" w:space="720"/>
            <w:col w:w="578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positions of our Chief Executive Officer and Chairman of the board of directors results in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60" w:firstLine="8"/>
        <w:spacing w:after="0" w:line="227" w:lineRule="auto"/>
        <w:tabs>
          <w:tab w:leader="none" w:pos="191"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we are in compliance with our asset coverage ratio, as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Adam K. Bernstein (49),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Marshall Brozost (45),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Jeffrey Flug (50), Director. Mr. Flug became a Director of PennantPark Floating Rate Capital Ltd. and PennantPark Investment Corporation in October 2010 and February 2007, respectively. Since October 2012, Mr. Flug has been a director of Sears Hometown and outlet store.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5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Samuel L. Katz (47), Director. Mr. Katz became a Director of PennantPark Floating Rate Capital Ltd. and PennantPark Investment Corporation in October 2010 and February 2007,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Arthur H. Penn (49),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Aviv Efrat (49),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140" w:firstLine="456"/>
        <w:spacing w:after="0" w:line="228" w:lineRule="auto"/>
        <w:rPr>
          <w:sz w:val="20"/>
          <w:szCs w:val="20"/>
          <w:color w:val="auto"/>
        </w:rPr>
      </w:pPr>
      <w:r>
        <w:rPr>
          <w:rFonts w:ascii="Arial" w:cs="Arial" w:eastAsia="Arial" w:hAnsi="Arial"/>
          <w:sz w:val="14"/>
          <w:szCs w:val="14"/>
          <w:color w:val="auto"/>
        </w:rPr>
        <w:t>Guy F. Talarico (57), Chief Compliance Officer. Mr. Talarico became the Chief Compliance Officer of PennantPark Floating Rate Capital Ltd. and PennantPark Investment Corporation in March 2011 and May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For the fiscal year ended September 30, 2012,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stockholders meetings.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us to our directors for the fiscal year ended September 30, 2012. No compensation is paid directly by us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3700" w:type="dxa"/>
            <w:vAlign w:val="bottom"/>
            <w:gridSpan w:val="7"/>
          </w:tcPr>
          <w:p>
            <w:pPr>
              <w:ind w:left="660"/>
              <w:spacing w:after="0"/>
              <w:rPr>
                <w:sz w:val="20"/>
                <w:szCs w:val="20"/>
                <w:color w:val="auto"/>
              </w:rPr>
            </w:pPr>
            <w:r>
              <w:rPr>
                <w:rFonts w:ascii="Arial" w:cs="Arial" w:eastAsia="Arial" w:hAnsi="Arial"/>
                <w:sz w:val="14"/>
                <w:szCs w:val="14"/>
                <w:b w:val="1"/>
                <w:bCs w:val="1"/>
                <w:color w:val="auto"/>
              </w:rPr>
              <w:t>PennantPark Investment Corporation</w:t>
            </w:r>
          </w:p>
        </w:tc>
      </w:tr>
      <w:tr>
        <w:trPr>
          <w:trHeight w:val="129"/>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Pension or</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Pension or</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benefits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benefits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4"/>
              </w:rPr>
              <w:t>accrued as part</w:t>
            </w:r>
          </w:p>
        </w:tc>
        <w:tc>
          <w:tcPr>
            <w:tcW w:w="80" w:type="dxa"/>
            <w:vAlign w:val="bottom"/>
          </w:tcPr>
          <w:p>
            <w:pPr>
              <w:spacing w:after="0"/>
              <w:rPr>
                <w:sz w:val="11"/>
                <w:szCs w:val="11"/>
                <w:color w:val="auto"/>
              </w:rPr>
            </w:pPr>
          </w:p>
        </w:tc>
        <w:tc>
          <w:tcPr>
            <w:tcW w:w="134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86"/>
              </w:rPr>
              <w:t>Total paid to</w:t>
            </w:r>
          </w:p>
        </w:tc>
        <w:tc>
          <w:tcPr>
            <w:tcW w:w="100" w:type="dxa"/>
            <w:vAlign w:val="bottom"/>
          </w:tcPr>
          <w:p>
            <w:pPr>
              <w:spacing w:after="0"/>
              <w:rPr>
                <w:sz w:val="11"/>
                <w:szCs w:val="11"/>
                <w:color w:val="auto"/>
              </w:rPr>
            </w:pPr>
          </w:p>
        </w:tc>
        <w:tc>
          <w:tcPr>
            <w:tcW w:w="12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4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right"/>
              <w:ind w:right="56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3"/>
              </w:rPr>
              <w:t>director/officer</w:t>
            </w: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 (as defined in the 1940 Act).”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March 31, 2013 our portfolio managers also managed investments on behalf of the following entities: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Entity</w:t>
            </w: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00" w:type="dxa"/>
            <w:vAlign w:val="bottom"/>
          </w:tcPr>
          <w:p>
            <w:pPr>
              <w:spacing w:after="0"/>
              <w:rPr>
                <w:sz w:val="11"/>
                <w:szCs w:val="11"/>
                <w:color w:val="auto"/>
              </w:rPr>
            </w:pPr>
          </w:p>
        </w:tc>
        <w:tc>
          <w:tcPr>
            <w:tcW w:w="5820" w:type="dxa"/>
            <w:vAlign w:val="bottom"/>
          </w:tcPr>
          <w:p>
            <w:pPr>
              <w:ind w:left="40"/>
              <w:spacing w:after="0" w:line="131" w:lineRule="exact"/>
              <w:rPr>
                <w:sz w:val="20"/>
                <w:szCs w:val="20"/>
                <w:color w:val="auto"/>
              </w:rPr>
            </w:pPr>
            <w:r>
              <w:rPr>
                <w:rFonts w:ascii="Arial" w:cs="Arial" w:eastAsia="Arial" w:hAnsi="Arial"/>
                <w:sz w:val="14"/>
                <w:szCs w:val="14"/>
                <w:color w:val="auto"/>
                <w:w w:val="93"/>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color w:val="auto"/>
              </w:rPr>
              <w:t>Other Managed Fund</w:t>
            </w:r>
            <w:r>
              <w:rPr>
                <w:rFonts w:ascii="Arial" w:cs="Arial" w:eastAsia="Arial" w:hAnsi="Arial"/>
                <w:sz w:val="22"/>
                <w:szCs w:val="22"/>
                <w:color w:val="auto"/>
                <w:vertAlign w:val="superscript"/>
              </w:rPr>
              <w:t>(1)</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company</w:t>
            </w: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0" w:type="dxa"/>
            <w:vAlign w:val="bottom"/>
          </w:tcPr>
          <w:p>
            <w:pPr>
              <w:spacing w:after="0"/>
              <w:rPr>
                <w:sz w:val="1"/>
                <w:szCs w:val="1"/>
                <w:color w:val="auto"/>
              </w:rPr>
            </w:pPr>
          </w:p>
        </w:tc>
      </w:tr>
      <w:tr>
        <w:trPr>
          <w:trHeight w:val="161"/>
        </w:trPr>
        <w:tc>
          <w:tcPr>
            <w:tcW w:w="3220" w:type="dxa"/>
            <w:vAlign w:val="bottom"/>
            <w:gridSpan w:val="2"/>
            <w:vMerge w:val="continue"/>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Private Investment</w:t>
            </w:r>
          </w:p>
        </w:tc>
        <w:tc>
          <w:tcPr>
            <w:tcW w:w="5820" w:type="dxa"/>
            <w:vAlign w:val="bottom"/>
          </w:tcPr>
          <w:p>
            <w:pPr>
              <w:ind w:left="40"/>
              <w:spacing w:after="0"/>
              <w:rPr>
                <w:sz w:val="20"/>
                <w:szCs w:val="20"/>
                <w:color w:val="auto"/>
              </w:rPr>
            </w:pPr>
            <w:r>
              <w:rPr>
                <w:rFonts w:ascii="Arial" w:cs="Arial" w:eastAsia="Arial" w:hAnsi="Arial"/>
                <w:sz w:val="14"/>
                <w:szCs w:val="14"/>
                <w:color w:val="auto"/>
              </w:rPr>
              <w:t>Other credit opportunities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3260"/>
        <w:spacing w:after="0"/>
        <w:rPr>
          <w:sz w:val="20"/>
          <w:szCs w:val="20"/>
          <w:color w:val="auto"/>
        </w:rPr>
      </w:pPr>
      <w:r>
        <w:rPr>
          <w:rFonts w:ascii="Arial" w:cs="Arial" w:eastAsia="Arial" w:hAnsi="Arial"/>
          <w:sz w:val="14"/>
          <w:szCs w:val="14"/>
          <w:color w:val="auto"/>
        </w:rPr>
        <w:t>Fund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 The management and incentive fees are based on gross assets and performance, respectively.</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jc w:val="right"/>
        <w:ind w:right="60"/>
        <w:spacing w:after="0"/>
        <w:rPr>
          <w:sz w:val="20"/>
          <w:szCs w:val="20"/>
          <w:color w:val="auto"/>
        </w:rPr>
      </w:pPr>
      <w:r>
        <w:rPr>
          <w:rFonts w:ascii="Arial" w:cs="Arial" w:eastAsia="Arial" w:hAnsi="Arial"/>
          <w:sz w:val="14"/>
          <w:szCs w:val="14"/>
          <w:color w:val="auto"/>
        </w:rPr>
        <w:t>$1,152</w:t>
      </w:r>
    </w:p>
    <w:p>
      <w:pPr>
        <w:spacing w:after="0" w:line="12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33</w:t>
      </w:r>
    </w:p>
    <w:p>
      <w:pPr>
        <w:sectPr>
          <w:pgSz w:w="11900" w:h="16838" w:orient="portrait"/>
          <w:cols w:equalWidth="0" w:num="2">
            <w:col w:w="10400" w:space="160"/>
            <w:col w:w="86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 following table sets forth, as of April 30,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Morgan Stanley and Co. Inc.</w:t>
            </w:r>
          </w:p>
        </w:tc>
        <w:tc>
          <w:tcPr>
            <w:tcW w:w="1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1585 Broadway</w:t>
            </w:r>
          </w:p>
        </w:tc>
        <w:tc>
          <w:tcPr>
            <w:tcW w:w="20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598,858</w:t>
            </w: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10036-8293</w:t>
            </w: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Independent Directors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Jeffrey Flug</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59,500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tcPr>
          <w:p>
            <w:pPr>
              <w:ind w:left="420"/>
              <w:spacing w:after="0" w:line="189" w:lineRule="exact"/>
              <w:rPr>
                <w:sz w:val="20"/>
                <w:szCs w:val="20"/>
                <w:color w:val="auto"/>
              </w:rPr>
            </w:pPr>
            <w:r>
              <w:rPr>
                <w:rFonts w:ascii="Arial" w:cs="Arial" w:eastAsia="Arial" w:hAnsi="Arial"/>
                <w:sz w:val="13"/>
                <w:szCs w:val="13"/>
                <w:color w:val="auto"/>
              </w:rPr>
              <w:t>Arthur H. Penn</w:t>
            </w:r>
            <w:r>
              <w:rPr>
                <w:rFonts w:ascii="Arial" w:cs="Arial" w:eastAsia="Arial" w:hAnsi="Arial"/>
                <w:sz w:val="21"/>
                <w:szCs w:val="21"/>
                <w:color w:val="auto"/>
                <w:vertAlign w:val="superscript"/>
              </w:rPr>
              <w:t>(3)</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149,209</w:t>
            </w: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219,459</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360" w:firstLine="443"/>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April 30, 2013.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5780" w:type="dxa"/>
            <w:vAlign w:val="bottom"/>
            <w:gridSpan w:val="5"/>
          </w:tcPr>
          <w:p>
            <w:pPr>
              <w:ind w:left="1280"/>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80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98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9"/>
              </w:rPr>
              <w:t>PennantPark Investment</w:t>
            </w:r>
          </w:p>
        </w:tc>
        <w:tc>
          <w:tcPr>
            <w:tcW w:w="2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Rate Capital Ltd.</w:t>
            </w: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Corporation</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Adam K. Bernstein</w:t>
            </w:r>
          </w:p>
        </w:tc>
        <w:tc>
          <w:tcPr>
            <w:tcW w:w="12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$ 50,001 - $100,000</w:t>
            </w:r>
          </w:p>
        </w:tc>
        <w:tc>
          <w:tcPr>
            <w:tcW w:w="5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1"/>
                <w:szCs w:val="11"/>
                <w:color w:val="auto"/>
              </w:rPr>
              <w:t>$500,001 - $ 1,000,000</w:t>
            </w:r>
            <w:r>
              <w:rPr>
                <w:rFonts w:ascii="Arial" w:cs="Arial" w:eastAsia="Arial" w:hAnsi="Arial"/>
                <w:sz w:val="16"/>
                <w:szCs w:val="16"/>
                <w:color w:val="auto"/>
                <w:vertAlign w:val="superscript"/>
              </w:rPr>
              <w:t>(2)</w:t>
            </w:r>
          </w:p>
        </w:tc>
        <w:tc>
          <w:tcPr>
            <w:tcW w:w="52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0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98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6"/>
              </w:rPr>
              <w:t>Over $1,000,000</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$ 500,001 - $1,000,000</w:t>
            </w:r>
          </w:p>
        </w:tc>
        <w:tc>
          <w:tcPr>
            <w:tcW w:w="520" w:type="dxa"/>
            <w:vAlign w:val="bottom"/>
          </w:tcPr>
          <w:p>
            <w:pPr>
              <w:spacing w:after="0"/>
              <w:rPr>
                <w:sz w:val="14"/>
                <w:szCs w:val="14"/>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color w:val="auto"/>
                <w:w w:val="88"/>
              </w:rPr>
              <w:t>Over $1,000,000</w:t>
            </w: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$ 50,001 - $ 100,000</w:t>
            </w: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152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8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 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40" w:firstLine="456"/>
        <w:spacing w:after="0" w:line="264"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 For the fiscal year ended September 30, 2012, and for the period March 4, 2011 (commencement of operations) to September 30, 2011, the Investment Adviser earned base management fees of $1.5 million and $0.4 million, respectively, from us.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December 31, 20XX = $160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December 31, 20XX = $10 million</w:t>
      </w:r>
    </w:p>
    <w:p>
      <w:pPr>
        <w:ind w:left="46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March 31, 20XX = $200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March 31, 20XX = $20 million</w:t>
      </w:r>
    </w:p>
    <w:p>
      <w:pPr>
        <w:ind w:left="46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8" w:lineRule="exact"/>
        <w:rPr>
          <w:sz w:val="20"/>
          <w:szCs w:val="20"/>
          <w:color w:val="auto"/>
        </w:rPr>
      </w:pPr>
    </w:p>
    <w:p>
      <w:pPr>
        <w:ind w:left="460" w:right="200"/>
        <w:spacing w:after="0" w:line="239" w:lineRule="auto"/>
        <w:rPr>
          <w:sz w:val="20"/>
          <w:szCs w:val="20"/>
          <w:color w:val="auto"/>
        </w:rPr>
      </w:pPr>
      <w:r>
        <w:rPr>
          <w:rFonts w:ascii="Arial" w:cs="Arial" w:eastAsia="Arial" w:hAnsi="Arial"/>
          <w:sz w:val="14"/>
          <w:szCs w:val="14"/>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456"/>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that we receive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commencing on December 31, 2011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For the three and six months ended March 31, 2013 and 2012, the Investment Adviser did not earn a performance based incentive fee on capital gains as calculated under the Investment Management Agreement.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22"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37"/>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37"/>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60"/>
          </w:cols>
          <w:pgMar w:left="240" w:top="459" w:right="29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3"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the Investment Adviser incurred on behalf of the Administrator, for the services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Repayment</w:t>
      </w:r>
    </w:p>
    <w:p>
      <w:pPr>
        <w:spacing w:after="0" w:line="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60" w:firstLine="456"/>
        <w:spacing w:after="0" w:line="195"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New York 11219, or by the plan administrator’s Interactive Voice Response System at 1-800-278-4353.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As of May 10, 2013,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May 10, 2013 was $14.45 per share. As of May 10, 2013, we had four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May 10, 2013:</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10,302,912</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right="40" w:firstLine="456"/>
        <w:spacing w:after="0" w:line="230" w:lineRule="auto"/>
        <w:rPr>
          <w:sz w:val="20"/>
          <w:szCs w:val="20"/>
          <w:color w:val="auto"/>
        </w:rPr>
      </w:pPr>
      <w:r>
        <w:rPr>
          <w:rFonts w:ascii="Arial" w:cs="Arial" w:eastAsia="Arial" w:hAnsi="Arial"/>
          <w:sz w:val="14"/>
          <w:szCs w:val="14"/>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8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20" w:firstLine="8"/>
        <w:spacing w:after="0" w:line="268" w:lineRule="auto"/>
        <w:tabs>
          <w:tab w:leader="none" w:pos="184"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in 2015, 2016, and 2014, respectively, and in each case, those directors will serve until their successors are duly elected and qualify. Upon expiration of their current terms, directors of each class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and stockholder proposals</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4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will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will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on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where we merge out of existence or sell our assets, the resulting entity must agree to be legally responsible for our obligations under the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adversely affect any right of repayment at the holder’s option;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hanging="346"/>
        <w:spacing w:after="0"/>
        <w:tabs>
          <w:tab w:leader="none" w:pos="13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4"/>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4"/>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55" w:lineRule="exact"/>
        <w:rPr>
          <w:rFonts w:ascii="Arial" w:cs="Arial" w:eastAsia="Arial" w:hAnsi="Arial"/>
          <w:sz w:val="14"/>
          <w:szCs w:val="14"/>
          <w:color w:val="auto"/>
        </w:rPr>
      </w:pPr>
    </w:p>
    <w:p>
      <w:pPr>
        <w:ind w:left="1940" w:right="340" w:hanging="338"/>
        <w:spacing w:after="0" w:line="317" w:lineRule="auto"/>
        <w:tabs>
          <w:tab w:leader="none" w:pos="1940" w:val="left"/>
        </w:tabs>
        <w:numPr>
          <w:ilvl w:val="2"/>
          <w:numId w:val="64"/>
        </w:numPr>
        <w:rPr>
          <w:rFonts w:ascii="Arial" w:cs="Arial" w:eastAsia="Arial" w:hAnsi="Arial"/>
          <w:sz w:val="12"/>
          <w:szCs w:val="12"/>
          <w:color w:val="auto"/>
        </w:rPr>
      </w:pPr>
      <w:r>
        <w:rPr>
          <w:rFonts w:ascii="Arial" w:cs="Arial" w:eastAsia="Arial" w:hAnsi="Arial"/>
          <w:sz w:val="12"/>
          <w:szCs w:val="12"/>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ind w:left="680" w:hanging="334"/>
        <w:spacing w:after="0"/>
        <w:tabs>
          <w:tab w:leader="none" w:pos="6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compliant with the 1940 Act.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480" w:firstLine="456"/>
        <w:spacing w:after="0" w:line="248"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pursuant to Rule 13a-15 of the Exchange Act, our management must prepare an annual report regarding its assessment of our internal controls over financial reporting, firm; and</w:t>
      </w:r>
    </w:p>
    <w:p>
      <w:pPr>
        <w:spacing w:after="0" w:line="78" w:lineRule="exact"/>
        <w:rPr>
          <w:rFonts w:ascii="Arial" w:cs="Arial" w:eastAsia="Arial" w:hAnsi="Arial"/>
          <w:sz w:val="12"/>
          <w:szCs w:val="12"/>
          <w:color w:val="auto"/>
        </w:rPr>
      </w:pPr>
    </w:p>
    <w:p>
      <w:pPr>
        <w:ind w:left="540" w:hanging="316"/>
        <w:spacing w:after="0" w:line="233"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election we must, among other requirements, meet certain source-of-income and quarterly asset diversification requirements (as described below). We also must annually distribute dividends of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gains net income for the one-year period ending on October 31 of the calendar year and (3) the sum of any net ordinary income plus capital gains net income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100" w:hanging="316"/>
        <w:spacing w:after="0" w:line="317" w:lineRule="auto"/>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67"/>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318" w:lineRule="auto"/>
        <w:tabs>
          <w:tab w:leader="none" w:pos="1380" w:val="left"/>
        </w:tabs>
        <w:numPr>
          <w:ilvl w:val="1"/>
          <w:numId w:val="67"/>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8"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7"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40"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39"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Effective January 1, 2014, withholding agents will be required to withhold U.S. tax (at a 30% rate) on payments of taxable dividends and (effective January 1, 2017) redemption proceeds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1"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4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Non-U.S. stockholders may also be subject to U.S. estate tax with respect to their investment in our common shares.</w:t>
      </w:r>
    </w:p>
    <w:p>
      <w:pPr>
        <w:spacing w:after="0" w:line="150"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05"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NY 11219, telephone number: (800) 937-5449. American Stock Transfer &amp; Trust Company, LLC may also serve as trustee for offerings of our debt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20" w:type="dxa"/>
            <w:vAlign w:val="bottom"/>
            <w:gridSpan w:val="12"/>
          </w:tcPr>
          <w:p>
            <w:pPr>
              <w:jc w:val="center"/>
              <w:ind w:right="264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Annual Financial Statements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0" w:type="dxa"/>
            <w:vAlign w:val="bottom"/>
            <w:gridSpan w:val="17"/>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Management’s Report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345"/>
        </w:trPr>
        <w:tc>
          <w:tcPr>
            <w:tcW w:w="3180" w:type="dxa"/>
            <w:vAlign w:val="bottom"/>
            <w:tcBorders>
              <w:top w:val="single" w:sz="8" w:color="0000EE"/>
              <w:bottom w:val="single" w:sz="8" w:color="0000EE"/>
            </w:tcBorders>
            <w:gridSpan w:val="4"/>
          </w:tcPr>
          <w:p>
            <w:pPr>
              <w:spacing w:after="0"/>
              <w:rPr>
                <w:rFonts w:ascii="Arial" w:cs="Arial" w:eastAsia="Arial" w:hAnsi="Arial"/>
                <w:sz w:val="14"/>
                <w:szCs w:val="14"/>
                <w:color w:val="0000EE"/>
                <w:w w:val="88"/>
              </w:rPr>
            </w:pPr>
            <w:hyperlink w:anchor="page107">
              <w:r>
                <w:rPr>
                  <w:rFonts w:ascii="Arial" w:cs="Arial" w:eastAsia="Arial" w:hAnsi="Arial"/>
                  <w:sz w:val="14"/>
                  <w:szCs w:val="14"/>
                  <w:color w:val="0000EE"/>
                  <w:w w:val="88"/>
                </w:rPr>
                <w:t>Report of Independent Registered Public Accounting Firm</w:t>
              </w:r>
            </w:hyperlink>
          </w:p>
        </w:tc>
        <w:tc>
          <w:tcPr>
            <w:tcW w:w="500" w:type="dxa"/>
            <w:vAlign w:val="bottom"/>
            <w:tcBorders>
              <w:top w:val="single" w:sz="8" w:color="0000EE"/>
            </w:tcBorders>
          </w:tcPr>
          <w:p>
            <w:pPr>
              <w:spacing w:after="0"/>
              <w:rPr>
                <w:sz w:val="24"/>
                <w:szCs w:val="24"/>
                <w:color w:val="auto"/>
              </w:rPr>
            </w:pPr>
          </w:p>
        </w:tc>
        <w:tc>
          <w:tcPr>
            <w:tcW w:w="67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Report of Independent Registered Public Accounting Firm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345"/>
        </w:trPr>
        <w:tc>
          <w:tcPr>
            <w:tcW w:w="5680" w:type="dxa"/>
            <w:vAlign w:val="bottom"/>
            <w:tcBorders>
              <w:top w:val="single" w:sz="8" w:color="0000EE"/>
            </w:tcBorders>
            <w:gridSpan w:val="10"/>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Consolidated Statements of Assets and Liabilities as of September 30, 2012 and 2011</w:t>
              </w:r>
            </w:hyperlink>
          </w:p>
        </w:tc>
        <w:tc>
          <w:tcPr>
            <w:tcW w:w="472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0">
              <w:r>
                <w:rPr>
                  <w:rFonts w:ascii="Arial" w:cs="Arial" w:eastAsia="Arial" w:hAnsi="Arial"/>
                  <w:sz w:val="14"/>
                  <w:szCs w:val="14"/>
                  <w:color w:val="0000EE"/>
                </w:rPr>
                <w:t>Consolidated Statements of Operations for the year ended September 30, 2012 and for the period March 4, 2011 (commencement of operations) to</w:t>
              </w:r>
            </w:hyperlink>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129"/>
        </w:trPr>
        <w:tc>
          <w:tcPr>
            <w:tcW w:w="796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110">
              <w:r>
                <w:rPr>
                  <w:rFonts w:ascii="Arial" w:cs="Arial" w:eastAsia="Arial" w:hAnsi="Arial"/>
                  <w:sz w:val="14"/>
                  <w:szCs w:val="14"/>
                  <w:color w:val="0000EE"/>
                </w:rPr>
                <w:t>September 30, 2011</w:t>
              </w:r>
            </w:hyperlink>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w w:val="92"/>
              </w:rPr>
            </w:pPr>
            <w:hyperlink w:anchor="page111">
              <w:r>
                <w:rPr>
                  <w:rFonts w:ascii="Arial" w:cs="Arial" w:eastAsia="Arial" w:hAnsi="Arial"/>
                  <w:sz w:val="14"/>
                  <w:szCs w:val="14"/>
                  <w:color w:val="0000EE"/>
                  <w:w w:val="92"/>
                </w:rPr>
                <w:t>Consolidated Statements of Changes in Net Assets for the year ended September 30, 2012 and for the period March 4, 2011 (commencement of operations) to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345"/>
        </w:trPr>
        <w:tc>
          <w:tcPr>
            <w:tcW w:w="9700" w:type="dxa"/>
            <w:vAlign w:val="bottom"/>
            <w:tcBorders>
              <w:top w:val="single" w:sz="8" w:color="0000EE"/>
            </w:tcBorders>
            <w:gridSpan w:val="16"/>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Consolidated Statements of Cash Flows for the year ended September 30, 2012 and for the period March 4, 2011 (commencement of operations) to</w:t>
              </w:r>
            </w:hyperlink>
          </w:p>
        </w:tc>
        <w:tc>
          <w:tcPr>
            <w:tcW w:w="7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129"/>
        </w:trPr>
        <w:tc>
          <w:tcPr>
            <w:tcW w:w="800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112">
              <w:r>
                <w:rPr>
                  <w:rFonts w:ascii="Arial" w:cs="Arial" w:eastAsia="Arial" w:hAnsi="Arial"/>
                  <w:sz w:val="14"/>
                  <w:szCs w:val="14"/>
                  <w:color w:val="0000EE"/>
                </w:rPr>
                <w:t>September 30, 2011</w:t>
              </w:r>
            </w:hyperlink>
          </w:p>
        </w:tc>
        <w:tc>
          <w:tcPr>
            <w:tcW w:w="2400" w:type="dxa"/>
            <w:vAlign w:val="bottom"/>
            <w:gridSpan w:val="2"/>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Consolidated Schedules of Investments as of September 30, 2012 and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F-9</w:t>
            </w:r>
          </w:p>
        </w:tc>
        <w:tc>
          <w:tcPr>
            <w:tcW w:w="0" w:type="dxa"/>
            <w:vAlign w:val="bottom"/>
          </w:tcPr>
          <w:p>
            <w:pPr>
              <w:spacing w:after="0"/>
              <w:rPr>
                <w:sz w:val="1"/>
                <w:szCs w:val="1"/>
                <w:color w:val="auto"/>
              </w:rPr>
            </w:pPr>
          </w:p>
        </w:tc>
      </w:tr>
      <w:tr>
        <w:trPr>
          <w:trHeight w:val="345"/>
        </w:trPr>
        <w:tc>
          <w:tcPr>
            <w:tcW w:w="4880" w:type="dxa"/>
            <w:vAlign w:val="bottom"/>
            <w:tcBorders>
              <w:top w:val="single" w:sz="8" w:color="0000EE"/>
            </w:tcBorders>
            <w:gridSpan w:val="7"/>
          </w:tcPr>
          <w:p>
            <w:pPr>
              <w:spacing w:after="0"/>
              <w:rPr>
                <w:rFonts w:ascii="Arial" w:cs="Arial" w:eastAsia="Arial" w:hAnsi="Arial"/>
                <w:sz w:val="14"/>
                <w:szCs w:val="14"/>
                <w:color w:val="0000EE"/>
              </w:rPr>
            </w:pPr>
            <w:hyperlink w:anchor="page117">
              <w:r>
                <w:rPr>
                  <w:rFonts w:ascii="Arial" w:cs="Arial" w:eastAsia="Arial" w:hAnsi="Arial"/>
                  <w:sz w:val="14"/>
                  <w:szCs w:val="14"/>
                  <w:color w:val="0000EE"/>
                </w:rPr>
                <w:t>Notes to the Consolidated Financial Statements</w:t>
              </w:r>
            </w:hyperlink>
          </w:p>
        </w:tc>
        <w:tc>
          <w:tcPr>
            <w:tcW w:w="552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F-13</w:t>
            </w:r>
          </w:p>
        </w:tc>
        <w:tc>
          <w:tcPr>
            <w:tcW w:w="0" w:type="dxa"/>
            <w:vAlign w:val="bottom"/>
          </w:tcPr>
          <w:p>
            <w:pPr>
              <w:spacing w:after="0"/>
              <w:rPr>
                <w:sz w:val="1"/>
                <w:szCs w:val="1"/>
                <w:color w:val="auto"/>
              </w:rPr>
            </w:pPr>
          </w:p>
        </w:tc>
      </w:tr>
      <w:tr>
        <w:trPr>
          <w:trHeight w:val="371"/>
        </w:trPr>
        <w:tc>
          <w:tcPr>
            <w:tcW w:w="25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Interim Financial Statements</w:t>
            </w:r>
          </w:p>
        </w:tc>
        <w:tc>
          <w:tcPr>
            <w:tcW w:w="7840" w:type="dxa"/>
            <w:vAlign w:val="bottom"/>
            <w:gridSpan w:val="1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80" w:type="dxa"/>
            <w:vAlign w:val="bottom"/>
            <w:tcBorders>
              <w:bottom w:val="single" w:sz="8" w:color="0000EE"/>
            </w:tcBorders>
            <w:gridSpan w:val="4"/>
          </w:tcPr>
          <w:p>
            <w:pPr>
              <w:spacing w:after="0"/>
              <w:rPr>
                <w:rFonts w:ascii="Arial" w:cs="Arial" w:eastAsia="Arial" w:hAnsi="Arial"/>
                <w:sz w:val="14"/>
                <w:szCs w:val="14"/>
                <w:color w:val="0000EE"/>
                <w:w w:val="88"/>
              </w:rPr>
            </w:pPr>
            <w:hyperlink w:anchor="page130">
              <w:r>
                <w:rPr>
                  <w:rFonts w:ascii="Arial" w:cs="Arial" w:eastAsia="Arial" w:hAnsi="Arial"/>
                  <w:sz w:val="14"/>
                  <w:szCs w:val="14"/>
                  <w:color w:val="0000EE"/>
                  <w:w w:val="88"/>
                </w:rPr>
                <w:t>Report of Independent Registered Public Accounting Firm</w:t>
              </w:r>
            </w:hyperlink>
          </w:p>
        </w:tc>
        <w:tc>
          <w:tcPr>
            <w:tcW w:w="722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F-26</w:t>
            </w:r>
          </w:p>
        </w:tc>
        <w:tc>
          <w:tcPr>
            <w:tcW w:w="0" w:type="dxa"/>
            <w:vAlign w:val="bottom"/>
          </w:tcPr>
          <w:p>
            <w:pPr>
              <w:spacing w:after="0"/>
              <w:rPr>
                <w:sz w:val="1"/>
                <w:szCs w:val="1"/>
                <w:color w:val="auto"/>
              </w:rPr>
            </w:pPr>
          </w:p>
        </w:tc>
      </w:tr>
      <w:tr>
        <w:trPr>
          <w:trHeight w:val="345"/>
        </w:trPr>
        <w:tc>
          <w:tcPr>
            <w:tcW w:w="5880" w:type="dxa"/>
            <w:vAlign w:val="bottom"/>
            <w:tcBorders>
              <w:bottom w:val="single" w:sz="8" w:color="0000EE"/>
            </w:tcBorders>
            <w:gridSpan w:val="11"/>
          </w:tcPr>
          <w:p>
            <w:pPr>
              <w:spacing w:after="0"/>
              <w:rPr>
                <w:rFonts w:ascii="Arial" w:cs="Arial" w:eastAsia="Arial" w:hAnsi="Arial"/>
                <w:sz w:val="14"/>
                <w:szCs w:val="14"/>
                <w:color w:val="0000EE"/>
                <w:w w:val="86"/>
              </w:rPr>
            </w:pPr>
            <w:hyperlink w:anchor="page131">
              <w:r>
                <w:rPr>
                  <w:rFonts w:ascii="Arial" w:cs="Arial" w:eastAsia="Arial" w:hAnsi="Arial"/>
                  <w:sz w:val="14"/>
                  <w:szCs w:val="14"/>
                  <w:color w:val="0000EE"/>
                  <w:w w:val="86"/>
                </w:rPr>
                <w:t>Consolidated Statements of Assets and Liabilities as of March 31, 2013 (unaudited) and September 30, 2012</w:t>
              </w:r>
            </w:hyperlink>
          </w:p>
        </w:tc>
        <w:tc>
          <w:tcPr>
            <w:tcW w:w="45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F-27</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32">
              <w:r>
                <w:rPr>
                  <w:rFonts w:ascii="Arial" w:cs="Arial" w:eastAsia="Arial" w:hAnsi="Arial"/>
                  <w:sz w:val="14"/>
                  <w:szCs w:val="14"/>
                  <w:color w:val="0000EE"/>
                </w:rPr>
                <w:t>Consolidated Statements of Operations for the three and six months ended March 31, 2013 and 2012 (unaudited)</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F-28</w:t>
            </w:r>
          </w:p>
        </w:tc>
        <w:tc>
          <w:tcPr>
            <w:tcW w:w="0" w:type="dxa"/>
            <w:vAlign w:val="bottom"/>
          </w:tcPr>
          <w:p>
            <w:pPr>
              <w:spacing w:after="0"/>
              <w:rPr>
                <w:sz w:val="1"/>
                <w:szCs w:val="1"/>
                <w:color w:val="auto"/>
              </w:rPr>
            </w:pPr>
          </w:p>
        </w:tc>
      </w:tr>
      <w:tr>
        <w:trPr>
          <w:trHeight w:val="20"/>
        </w:trPr>
        <w:tc>
          <w:tcPr>
            <w:tcW w:w="3020" w:type="dxa"/>
            <w:vAlign w:val="bottom"/>
            <w:gridSpan w:val="3"/>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0" w:type="dxa"/>
            <w:vAlign w:val="bottom"/>
            <w:tcBorders>
              <w:bottom w:val="single" w:sz="8" w:color="0000EE"/>
            </w:tcBorders>
            <w:gridSpan w:val="13"/>
          </w:tcPr>
          <w:p>
            <w:pPr>
              <w:spacing w:after="0"/>
              <w:rPr>
                <w:rFonts w:ascii="Arial" w:cs="Arial" w:eastAsia="Arial" w:hAnsi="Arial"/>
                <w:sz w:val="14"/>
                <w:szCs w:val="14"/>
                <w:color w:val="0000EE"/>
                <w:w w:val="86"/>
              </w:rPr>
            </w:pPr>
            <w:hyperlink w:anchor="page133">
              <w:r>
                <w:rPr>
                  <w:rFonts w:ascii="Arial" w:cs="Arial" w:eastAsia="Arial" w:hAnsi="Arial"/>
                  <w:sz w:val="14"/>
                  <w:szCs w:val="14"/>
                  <w:color w:val="0000EE"/>
                  <w:w w:val="86"/>
                </w:rPr>
                <w:t>Consolidated Statements of Changes in Net Assets for the six months ended March 31, 2013 and 2012 (unaudited)</w:t>
              </w:r>
            </w:hyperlink>
          </w:p>
        </w:tc>
        <w:tc>
          <w:tcPr>
            <w:tcW w:w="420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F-29</w:t>
            </w:r>
          </w:p>
        </w:tc>
        <w:tc>
          <w:tcPr>
            <w:tcW w:w="0" w:type="dxa"/>
            <w:vAlign w:val="bottom"/>
          </w:tcPr>
          <w:p>
            <w:pPr>
              <w:spacing w:after="0"/>
              <w:rPr>
                <w:sz w:val="1"/>
                <w:szCs w:val="1"/>
                <w:color w:val="auto"/>
              </w:rPr>
            </w:pPr>
          </w:p>
        </w:tc>
      </w:tr>
      <w:tr>
        <w:trPr>
          <w:trHeight w:val="345"/>
        </w:trPr>
        <w:tc>
          <w:tcPr>
            <w:tcW w:w="5620" w:type="dxa"/>
            <w:vAlign w:val="bottom"/>
            <w:tcBorders>
              <w:bottom w:val="single" w:sz="8" w:color="0000EE"/>
            </w:tcBorders>
            <w:gridSpan w:val="9"/>
          </w:tcPr>
          <w:p>
            <w:pPr>
              <w:spacing w:after="0"/>
              <w:rPr>
                <w:rFonts w:ascii="Arial" w:cs="Arial" w:eastAsia="Arial" w:hAnsi="Arial"/>
                <w:sz w:val="14"/>
                <w:szCs w:val="14"/>
                <w:color w:val="0000EE"/>
                <w:w w:val="86"/>
              </w:rPr>
            </w:pPr>
            <w:hyperlink w:anchor="page134">
              <w:r>
                <w:rPr>
                  <w:rFonts w:ascii="Arial" w:cs="Arial" w:eastAsia="Arial" w:hAnsi="Arial"/>
                  <w:sz w:val="14"/>
                  <w:szCs w:val="14"/>
                  <w:color w:val="0000EE"/>
                  <w:w w:val="86"/>
                </w:rPr>
                <w:t>Consolidated Statements of Cash Flows for the six months ended March 31, 2013 and 2012 (unaudited)</w:t>
              </w:r>
            </w:hyperlink>
          </w:p>
        </w:tc>
        <w:tc>
          <w:tcPr>
            <w:tcW w:w="478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F-30</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Consolidated Schedules of Investments as of March 31, 2013 (unaudited) and September 30, 2012</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F-31</w:t>
            </w:r>
          </w:p>
        </w:tc>
        <w:tc>
          <w:tcPr>
            <w:tcW w:w="0" w:type="dxa"/>
            <w:vAlign w:val="bottom"/>
          </w:tcPr>
          <w:p>
            <w:pPr>
              <w:spacing w:after="0"/>
              <w:rPr>
                <w:sz w:val="1"/>
                <w:szCs w:val="1"/>
                <w:color w:val="auto"/>
              </w:rPr>
            </w:pPr>
          </w:p>
        </w:tc>
      </w:tr>
      <w:tr>
        <w:trPr>
          <w:trHeight w:val="345"/>
        </w:trPr>
        <w:tc>
          <w:tcPr>
            <w:tcW w:w="5320" w:type="dxa"/>
            <w:vAlign w:val="bottom"/>
            <w:tcBorders>
              <w:top w:val="single" w:sz="8" w:color="0000EE"/>
            </w:tcBorders>
            <w:gridSpan w:val="8"/>
          </w:tcPr>
          <w:p>
            <w:pPr>
              <w:spacing w:after="0"/>
              <w:rPr>
                <w:rFonts w:ascii="Arial" w:cs="Arial" w:eastAsia="Arial" w:hAnsi="Arial"/>
                <w:sz w:val="14"/>
                <w:szCs w:val="14"/>
                <w:color w:val="0000EE"/>
              </w:rPr>
            </w:pPr>
            <w:hyperlink w:anchor="page139">
              <w:r>
                <w:rPr>
                  <w:rFonts w:ascii="Arial" w:cs="Arial" w:eastAsia="Arial" w:hAnsi="Arial"/>
                  <w:sz w:val="14"/>
                  <w:szCs w:val="14"/>
                  <w:color w:val="0000EE"/>
                </w:rPr>
                <w:t>Notes to Consolidated Financial Statements (unaudited)</w:t>
              </w:r>
            </w:hyperlink>
          </w:p>
        </w:tc>
        <w:tc>
          <w:tcPr>
            <w:tcW w:w="508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F-35</w:t>
            </w:r>
          </w:p>
        </w:tc>
        <w:tc>
          <w:tcPr>
            <w:tcW w:w="0" w:type="dxa"/>
            <w:vAlign w:val="bottom"/>
          </w:tcPr>
          <w:p>
            <w:pPr>
              <w:spacing w:after="0"/>
              <w:rPr>
                <w:sz w:val="1"/>
                <w:szCs w:val="1"/>
                <w:color w:val="auto"/>
              </w:rPr>
            </w:pPr>
          </w:p>
        </w:tc>
      </w:tr>
      <w:tr>
        <w:trPr>
          <w:trHeight w:val="304"/>
        </w:trPr>
        <w:tc>
          <w:tcPr>
            <w:tcW w:w="10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8"/>
          </w:tcPr>
          <w:p>
            <w:pPr>
              <w:jc w:val="center"/>
              <w:ind w:right="4600"/>
              <w:spacing w:after="0"/>
              <w:rPr>
                <w:sz w:val="20"/>
                <w:szCs w:val="20"/>
                <w:color w:val="auto"/>
              </w:rPr>
            </w:pPr>
            <w:r>
              <w:rPr>
                <w:rFonts w:ascii="Arial" w:cs="Arial" w:eastAsia="Arial" w:hAnsi="Arial"/>
                <w:sz w:val="14"/>
                <w:szCs w:val="14"/>
                <w:color w:val="auto"/>
                <w:w w:val="85"/>
              </w:rPr>
              <w:t>F-1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5"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66"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320" w:firstLine="456"/>
        <w:spacing w:after="0" w:line="233"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2012, our internal control over financial reporting is effective based on those criteria.</w:t>
      </w:r>
    </w:p>
    <w:p>
      <w:pPr>
        <w:spacing w:after="0" w:line="112"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The Company’s independent registered public accounting firm that audited the financial statements has issued an audit report on the effectiveness of our internal control over financial reporting as of September 30, 2012. This report appears on page F-4.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2" w:lineRule="exact"/>
        <w:rPr>
          <w:sz w:val="20"/>
          <w:szCs w:val="20"/>
          <w:color w:val="auto"/>
        </w:rPr>
      </w:pPr>
    </w:p>
    <w:p>
      <w:pPr>
        <w:ind w:right="160" w:firstLine="456"/>
        <w:spacing w:after="0" w:line="228"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13"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(COSO), and our report dated November 14, 2012 expressed an unqualified opinion on the effectiveness of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2"/>
          <w:szCs w:val="12"/>
          <w:i w:val="1"/>
          <w:iCs w:val="1"/>
          <w:color w:val="auto"/>
        </w:rPr>
        <w:t>Internal</w:t>
      </w:r>
      <w:r>
        <w:rPr>
          <w:rFonts w:ascii="Arial" w:cs="Arial" w:eastAsia="Arial" w:hAnsi="Arial"/>
          <w:sz w:val="12"/>
          <w:szCs w:val="12"/>
          <w:color w:val="auto"/>
        </w:rPr>
        <w:t xml:space="preserve"> </w:t>
      </w:r>
      <w:r>
        <w:rPr>
          <w:rFonts w:ascii="Arial" w:cs="Arial" w:eastAsia="Arial" w:hAnsi="Arial"/>
          <w:sz w:val="12"/>
          <w:szCs w:val="12"/>
          <w:i w:val="1"/>
          <w:iCs w:val="1"/>
          <w:color w:val="auto"/>
        </w:rPr>
        <w:t>Control—Integrated Framework</w:t>
      </w:r>
      <w:r>
        <w:rPr>
          <w:rFonts w:ascii="Arial" w:cs="Arial" w:eastAsia="Arial" w:hAnsi="Arial"/>
          <w:sz w:val="12"/>
          <w:szCs w:val="12"/>
          <w:color w:val="auto"/>
        </w:rPr>
        <w:t>, issued by the Committee of Sponsoring Organizations of the Treadway Commission (COSO). Management of the Company is responsible for maintaining effective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control over financial reporting and for its assessment of the effectiveness of internal control over financial reporting, included on page 53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90"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September 30, 2012</w:t>
            </w:r>
          </w:p>
        </w:tc>
        <w:tc>
          <w:tcPr>
            <w:tcW w:w="16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(cost—$171,578,009 and $114,829,621, respectively)</w:t>
            </w:r>
          </w:p>
        </w:tc>
        <w:tc>
          <w:tcPr>
            <w:tcW w:w="1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171,834,400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1,388,867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986,278</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2,467,500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311,313</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spacing w:after="0"/>
              <w:rPr>
                <w:sz w:val="14"/>
                <w:szCs w:val="14"/>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8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548,053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479,547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3,357,500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2,323,250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Facility payable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(cost—$75,500,000 and $24,650,000, respectively) (See Notes 5 and 10)</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75,122,500</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24,650,000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161,550</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150,246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424,747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fees payable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506,314</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447,120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2,055,000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82,622,784</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29,003,155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Common stock, 6,850,667 shares are issued and outstanding.</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Par value $0.001 per share and 100,000,000 shares authorized.</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6,851</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95,192,222</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97,251,174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(1,313,000)</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1,223,913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256,391</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377,500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net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95,743,877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 and net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 September 30,</w:t>
            </w:r>
          </w:p>
        </w:tc>
        <w:tc>
          <w:tcPr>
            <w:tcW w:w="2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3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11,856,483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242,065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income</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12,098,548</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1,494,616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fees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564,540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1,482,339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583,613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182,995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3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1,310,084</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556,076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Credit Facility costs and excise tax expense</w:t>
            </w: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5,435,192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1,260,417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issuance costs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1,366,043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Excise tax</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42,027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5,788,867</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2,626,460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6,309,681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320,139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911,925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(See Note 5)</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4,739,272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5,651,197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(3,793,392)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380" w:type="dxa"/>
            <w:vAlign w:val="bottom"/>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8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per common share (See Note 6)</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color w:val="auto"/>
              </w:rPr>
              <w:t>Net investment income per common share</w:t>
            </w:r>
          </w:p>
        </w:tc>
        <w:tc>
          <w:tcPr>
            <w:tcW w:w="3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0.92</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For the period 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September 30, 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to 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1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6,309,681</w:t>
            </w:r>
          </w:p>
        </w:tc>
        <w:tc>
          <w:tcPr>
            <w:tcW w:w="22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911,925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2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(6,234,106)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(1,712,667)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sales load charges (See Notes 1 and 3)</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(2,055,000)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97,258,025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3,671,772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Net assets:</w:t>
            </w: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color w:val="auto"/>
              </w:rPr>
              <w:t>End of period</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95,743,877</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Distributions in excess of net investment income, end of period</w:t>
            </w:r>
          </w:p>
        </w:tc>
        <w:tc>
          <w:tcPr>
            <w:tcW w:w="1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(1,313,000)</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26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Capital Share Activity:</w:t>
            </w:r>
          </w:p>
        </w:tc>
        <w:tc>
          <w:tcPr>
            <w:tcW w:w="1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shares from offerings</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 period March 04, 2011</w:t>
            </w: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2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September 30, 2012</w:t>
            </w: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to September 30, 2011</w:t>
            </w:r>
          </w:p>
        </w:tc>
      </w:tr>
      <w:tr>
        <w:trPr>
          <w:trHeight w:val="129"/>
        </w:trPr>
        <w:tc>
          <w:tcPr>
            <w:tcW w:w="20" w:type="dxa"/>
            <w:vAlign w:val="bottom"/>
          </w:tcPr>
          <w:p>
            <w:pPr>
              <w:spacing w:after="0"/>
              <w:rPr>
                <w:sz w:val="11"/>
                <w:szCs w:val="11"/>
                <w:color w:val="auto"/>
              </w:rPr>
            </w:pPr>
          </w:p>
        </w:tc>
        <w:tc>
          <w:tcPr>
            <w:tcW w:w="6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11,960,878</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(3,473,253)</w:t>
            </w:r>
          </w:p>
        </w:tc>
      </w:tr>
      <w:tr>
        <w:trPr>
          <w:trHeight w:val="138"/>
        </w:trPr>
        <w:tc>
          <w:tcPr>
            <w:tcW w:w="20" w:type="dxa"/>
            <w:vAlign w:val="bottom"/>
          </w:tcPr>
          <w:p>
            <w:pPr>
              <w:spacing w:after="0"/>
              <w:rPr>
                <w:sz w:val="11"/>
                <w:szCs w:val="11"/>
                <w:color w:val="auto"/>
              </w:rPr>
            </w:pPr>
          </w:p>
        </w:tc>
        <w:tc>
          <w:tcPr>
            <w:tcW w:w="694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w w:val="87"/>
              </w:rPr>
              <w:t>Adjustments to reconcile net increase (decrease) in net assets resulting from operations to net cash used by operating</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940" w:type="dxa"/>
            <w:vAlign w:val="bottom"/>
            <w:shd w:val="clear" w:color="auto" w:fill="CCEEFF"/>
          </w:tcPr>
          <w:p>
            <w:pPr>
              <w:ind w:left="80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(4,361,772)</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4,105,380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(377,500)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realized gain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(911,925)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(311,988)</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(704,452)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(128,673,695)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(147,545,077)</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interest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(119,552)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71,499,356</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33,206,493</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receivable for investments sold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1,481,222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(2,467,500)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receivable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(656,172)</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(732,695)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(147,939)</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(163,374)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2,367,500</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unfunded investments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(161,370)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2,323,250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11,304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150,246</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management fee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158,315</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266,432</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506,314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accrued expenses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303,440</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9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by operating activities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(47,826,048)</w:t>
            </w:r>
          </w:p>
        </w:tc>
        <w:tc>
          <w:tcPr>
            <w:tcW w:w="180" w:type="dxa"/>
            <w:vAlign w:val="bottom"/>
          </w:tcPr>
          <w:p>
            <w:pPr>
              <w:spacing w:after="0"/>
              <w:rPr>
                <w:sz w:val="14"/>
                <w:szCs w:val="14"/>
                <w:color w:val="auto"/>
              </w:rPr>
            </w:pPr>
          </w:p>
        </w:tc>
        <w:tc>
          <w:tcPr>
            <w:tcW w:w="2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(113,687,455)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offerings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(6,165,599)</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(1,233,120)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97,650,000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29,000,000</w:t>
            </w:r>
          </w:p>
        </w:tc>
      </w:tr>
      <w:tr>
        <w:trPr>
          <w:trHeight w:val="156"/>
        </w:trPr>
        <w:tc>
          <w:tcPr>
            <w:tcW w:w="20" w:type="dxa"/>
            <w:vAlign w:val="bottom"/>
          </w:tcPr>
          <w:p>
            <w:pPr>
              <w:spacing w:after="0"/>
              <w:rPr>
                <w:sz w:val="13"/>
                <w:szCs w:val="13"/>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(46,800,000)</w:t>
            </w:r>
          </w:p>
        </w:tc>
        <w:tc>
          <w:tcPr>
            <w:tcW w:w="180" w:type="dxa"/>
            <w:vAlign w:val="bottom"/>
          </w:tcPr>
          <w:p>
            <w:pPr>
              <w:spacing w:after="0"/>
              <w:rPr>
                <w:sz w:val="13"/>
                <w:szCs w:val="13"/>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44,684,401</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120,674,905</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Net (decrease) increase in cash equivalents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(3,141,647)</w:t>
            </w:r>
          </w:p>
        </w:tc>
        <w:tc>
          <w:tcPr>
            <w:tcW w:w="180" w:type="dxa"/>
            <w:vAlign w:val="bottom"/>
          </w:tcPr>
          <w:p>
            <w:pPr>
              <w:spacing w:after="0"/>
              <w:rPr>
                <w:sz w:val="13"/>
                <w:szCs w:val="13"/>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end of period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3,845,803</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1,471,035</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5,556</w:t>
            </w: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Taxes paid</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3,952</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700" w:type="dxa"/>
            <w:vAlign w:val="bottom"/>
            <w:vMerge w:val="restart"/>
          </w:tcPr>
          <w:p>
            <w:pPr>
              <w:jc w:val="center"/>
              <w:ind w:left="872"/>
              <w:spacing w:after="0"/>
              <w:rPr>
                <w:sz w:val="20"/>
                <w:szCs w:val="20"/>
                <w:color w:val="auto"/>
              </w:rPr>
            </w:pPr>
            <w:r>
              <w:rPr>
                <w:rFonts w:ascii="Arial" w:cs="Arial" w:eastAsia="Arial" w:hAnsi="Arial"/>
                <w:sz w:val="14"/>
                <w:szCs w:val="14"/>
                <w:b w:val="1"/>
                <w:bCs w:val="1"/>
                <w:color w:val="auto"/>
                <w:w w:val="95"/>
              </w:rPr>
              <w:t>Maturity</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Current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Par/</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5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9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vMerge w:val="continue"/>
          </w:tcPr>
          <w:p>
            <w:pPr>
              <w:spacing w:after="0"/>
              <w:rPr>
                <w:sz w:val="12"/>
                <w:szCs w:val="12"/>
                <w:color w:val="auto"/>
              </w:rPr>
            </w:pPr>
          </w:p>
        </w:tc>
        <w:tc>
          <w:tcPr>
            <w:tcW w:w="72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4"/>
                <w:szCs w:val="14"/>
                <w:b w:val="1"/>
                <w:bCs w:val="1"/>
                <w:color w:val="auto"/>
                <w:vertAlign w:val="superscript"/>
              </w:rPr>
              <w:t>(3),(4)</w:t>
            </w:r>
          </w:p>
        </w:tc>
        <w:tc>
          <w:tcPr>
            <w:tcW w:w="20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Debt—156.9%</w:t>
            </w: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Airvana Network Solutions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03/25/2015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L+800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214,286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  214,838</w:t>
            </w:r>
          </w:p>
        </w:tc>
        <w:tc>
          <w:tcPr>
            <w:tcW w:w="720" w:type="dxa"/>
            <w:vAlign w:val="bottom"/>
          </w:tcPr>
          <w:p>
            <w:pPr>
              <w:jc w:val="right"/>
              <w:spacing w:after="0"/>
              <w:rPr>
                <w:sz w:val="20"/>
                <w:szCs w:val="20"/>
                <w:color w:val="auto"/>
              </w:rPr>
            </w:pPr>
            <w:r>
              <w:rPr>
                <w:rFonts w:ascii="Arial" w:cs="Arial" w:eastAsia="Arial" w:hAnsi="Arial"/>
                <w:sz w:val="14"/>
                <w:szCs w:val="14"/>
                <w:color w:val="auto"/>
              </w:rPr>
              <w:t>$  214,018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Archipelago Learning,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05/17/2018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959,574</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987,500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Aspen Dental Management,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10/06/2016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2,937,079</w:t>
            </w:r>
          </w:p>
        </w:tc>
        <w:tc>
          <w:tcPr>
            <w:tcW w:w="720" w:type="dxa"/>
            <w:vAlign w:val="bottom"/>
          </w:tcPr>
          <w:p>
            <w:pPr>
              <w:jc w:val="right"/>
              <w:spacing w:after="0"/>
              <w:rPr>
                <w:sz w:val="20"/>
                <w:szCs w:val="20"/>
                <w:color w:val="auto"/>
              </w:rPr>
            </w:pPr>
            <w:r>
              <w:rPr>
                <w:rFonts w:ascii="Arial" w:cs="Arial" w:eastAsia="Arial" w:hAnsi="Arial"/>
                <w:sz w:val="14"/>
                <w:szCs w:val="14"/>
                <w:color w:val="auto"/>
              </w:rPr>
              <w:t>2,962,613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1700" w:type="dxa"/>
            <w:vAlign w:val="bottom"/>
            <w:shd w:val="clear" w:color="auto" w:fill="CCEEFF"/>
          </w:tcPr>
          <w:p>
            <w:pPr>
              <w:jc w:val="center"/>
              <w:ind w:left="872"/>
              <w:spacing w:after="0" w:line="149" w:lineRule="exact"/>
              <w:rPr>
                <w:sz w:val="20"/>
                <w:szCs w:val="20"/>
                <w:color w:val="auto"/>
              </w:rPr>
            </w:pPr>
            <w:r>
              <w:rPr>
                <w:rFonts w:ascii="Arial" w:cs="Arial" w:eastAsia="Arial" w:hAnsi="Arial"/>
                <w:sz w:val="14"/>
                <w:szCs w:val="14"/>
                <w:color w:val="auto"/>
                <w:w w:val="85"/>
              </w:rPr>
              <w:t>11/22/2017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2,943,750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2,888,381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2,960,309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985,747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Coat Systems,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02/15/2018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3,902,979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C.H.I. Overhead Doors,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08/17/2017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3,866,119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3,801,408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3,859,675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03/19/2018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3,733,125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3,673,063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3,677,128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12/01/2016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981,827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08/29/2017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10.50%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L+900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3,980,000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3,904,846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4,109,350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P+350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950,104</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946,081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945,353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04/20/2018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3,990,000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3,952,867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4,009,950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05/18/2018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1,975,762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2,004,975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2,884,003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2,898,672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2,977,500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1,956,496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2,012,456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(8)</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09/02/2019</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9.63%</w:t>
            </w:r>
          </w:p>
        </w:tc>
        <w:tc>
          <w:tcPr>
            <w:tcW w:w="8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05/27/2016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2,956,829</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2,933,351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2,934,653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4,962,500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4,742,008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4,925,281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04/01/2019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2,929,228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2,992,463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Howard Berger Co. LLC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08/03/2017</w:t>
            </w: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Wholesale</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2,743,125</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2,702,953</w:t>
            </w:r>
          </w:p>
        </w:tc>
        <w:tc>
          <w:tcPr>
            <w:tcW w:w="720" w:type="dxa"/>
            <w:vAlign w:val="bottom"/>
          </w:tcPr>
          <w:p>
            <w:pPr>
              <w:jc w:val="right"/>
              <w:spacing w:after="0"/>
              <w:rPr>
                <w:sz w:val="20"/>
                <w:szCs w:val="20"/>
                <w:color w:val="auto"/>
              </w:rPr>
            </w:pPr>
            <w:r>
              <w:rPr>
                <w:rFonts w:ascii="Arial" w:cs="Arial" w:eastAsia="Arial" w:hAnsi="Arial"/>
                <w:sz w:val="14"/>
                <w:szCs w:val="14"/>
                <w:color w:val="auto"/>
              </w:rPr>
              <w:t>2,715,694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03/30/2017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11.50%</w:t>
            </w:r>
          </w:p>
        </w:tc>
        <w:tc>
          <w:tcPr>
            <w:tcW w:w="8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1,963,159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Ikaria,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06/22/2016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1,700,000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1,691,500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1,649,000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08/07/2014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L+338</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6,836,508</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6,534,349</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5,247,020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09/10/2015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L+775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5,476,250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5,512,699</w:t>
            </w:r>
          </w:p>
        </w:tc>
        <w:tc>
          <w:tcPr>
            <w:tcW w:w="720" w:type="dxa"/>
            <w:vAlign w:val="bottom"/>
          </w:tcPr>
          <w:p>
            <w:pPr>
              <w:jc w:val="right"/>
              <w:spacing w:after="0"/>
              <w:rPr>
                <w:sz w:val="20"/>
                <w:szCs w:val="20"/>
                <w:color w:val="auto"/>
              </w:rPr>
            </w:pPr>
            <w:r>
              <w:rPr>
                <w:rFonts w:ascii="Arial" w:cs="Arial" w:eastAsia="Arial" w:hAnsi="Arial"/>
                <w:sz w:val="14"/>
                <w:szCs w:val="14"/>
                <w:color w:val="auto"/>
              </w:rPr>
              <w:t>5,558,394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06/02/2014</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4,937,500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4,845,282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1,844,649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1,821,373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1,766,252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MModal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08/16/2019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3,349,374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3,351,125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(6)</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05/07/2018</w:t>
            </w:r>
          </w:p>
        </w:tc>
        <w:tc>
          <w:tcPr>
            <w:tcW w:w="2060" w:type="dxa"/>
            <w:vAlign w:val="bottom"/>
          </w:tcPr>
          <w:p>
            <w:pPr>
              <w:jc w:val="center"/>
              <w:spacing w:after="0"/>
              <w:rPr>
                <w:sz w:val="20"/>
                <w:szCs w:val="20"/>
                <w:color w:val="auto"/>
              </w:rPr>
            </w:pPr>
            <w:r>
              <w:rPr>
                <w:rFonts w:ascii="Arial" w:cs="Arial" w:eastAsia="Arial" w:hAnsi="Arial"/>
                <w:sz w:val="14"/>
                <w:szCs w:val="14"/>
                <w:color w:val="auto"/>
                <w:w w:val="89"/>
              </w:rPr>
              <w:t>Media: Diversified and Production</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3,950,000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3,916,596</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12/23/2016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2,887,500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2,826,368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MX USA, INC and KAN-DI-KI,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05/01/2017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2,943,607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2,955,150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04/24/2018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Banking, Finance, Insurance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973,817</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997,375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Real Estate</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Pelican Products,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07/11/2018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1,496,250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1,467,389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1,492,509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08/01/2014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5,497,407</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4,931,995</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4,439,156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1.00%)</w:t>
            </w: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1,958,715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1,967,594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07/06/2017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978,077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970,036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967,889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700" w:type="dxa"/>
            <w:vAlign w:val="bottom"/>
          </w:tcPr>
          <w:p>
            <w:pPr>
              <w:jc w:val="center"/>
              <w:ind w:left="852"/>
              <w:spacing w:after="0" w:line="138" w:lineRule="exact"/>
              <w:rPr>
                <w:sz w:val="20"/>
                <w:szCs w:val="20"/>
                <w:color w:val="auto"/>
              </w:rPr>
            </w:pPr>
            <w:r>
              <w:rPr>
                <w:rFonts w:ascii="Arial" w:cs="Arial" w:eastAsia="Arial" w:hAnsi="Arial"/>
                <w:sz w:val="14"/>
                <w:szCs w:val="14"/>
                <w:color w:val="auto"/>
                <w:w w:val="88"/>
              </w:rPr>
              <w:t>10/19/2017</w:t>
            </w:r>
          </w:p>
        </w:tc>
        <w:tc>
          <w:tcPr>
            <w:tcW w:w="206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tcPr>
          <w:p>
            <w:pPr>
              <w:jc w:val="right"/>
              <w:ind w:right="113"/>
              <w:spacing w:after="0" w:line="138"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L+625</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9"/>
              </w:rPr>
              <w:t>1,980,000</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1,909,788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1,994,850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Subscription</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02/08/2018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3,898,141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Sabre Industries,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08/24/2018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2,955,509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2,973,126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05/31/2017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2,938,182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2,960,648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Seven Seas Cruises S. DE R.L.</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12/21/2018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1,485,300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1,505,625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2,962,512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2,939,052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147,935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13.50%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L+1,200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1,875,000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1,823,914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10/27/2017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958,036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04/16/2018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1,935,550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2,938,318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2,844,000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1,481,250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1,474,945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Vantage Specialties,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02/09/2018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2,930,559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2,999,925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04/19/2016</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4,187,556</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4,147,483</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12/22/2016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2,940,842</w:t>
            </w:r>
          </w:p>
        </w:tc>
        <w:tc>
          <w:tcPr>
            <w:tcW w:w="720" w:type="dxa"/>
            <w:vAlign w:val="bottom"/>
          </w:tcPr>
          <w:p>
            <w:pPr>
              <w:jc w:val="right"/>
              <w:spacing w:after="0"/>
              <w:rPr>
                <w:sz w:val="20"/>
                <w:szCs w:val="20"/>
                <w:color w:val="auto"/>
              </w:rPr>
            </w:pPr>
            <w:r>
              <w:rPr>
                <w:rFonts w:ascii="Arial" w:cs="Arial" w:eastAsia="Arial" w:hAnsi="Arial"/>
                <w:sz w:val="14"/>
                <w:szCs w:val="14"/>
                <w:color w:val="auto"/>
              </w:rPr>
              <w:t>2,643,300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1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w w:val="94"/>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W3 CO.</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10/31/2017</w:t>
            </w:r>
          </w:p>
        </w:tc>
        <w:tc>
          <w:tcPr>
            <w:tcW w:w="1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w:t>
            </w:r>
          </w:p>
        </w:tc>
        <w:tc>
          <w:tcPr>
            <w:tcW w:w="26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L+625</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1,985,000</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1,916,035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1,982,519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Consumer Goods: 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6.75%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3,465,000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Environmental Industries</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11.38%</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Metals and Mining</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Automotive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Utilities: Water</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tcPr>
          <w:p>
            <w:pPr>
              <w:spacing w:after="0"/>
              <w:rPr>
                <w:sz w:val="13"/>
                <w:szCs w:val="13"/>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11,608,643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Subordinated Debt/Corporate Notes—8.7% </w:t>
            </w:r>
            <w:r>
              <w:rPr>
                <w:rFonts w:ascii="Arial" w:cs="Arial" w:eastAsia="Arial" w:hAnsi="Arial"/>
                <w:sz w:val="22"/>
                <w:szCs w:val="22"/>
                <w:b w:val="1"/>
                <w:bCs w:val="1"/>
                <w:color w:val="auto"/>
                <w:vertAlign w:val="superscript"/>
              </w:rPr>
              <w:t>(8)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13.00%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14.25%</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4,508,719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4,508,719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w w:val="95"/>
              </w:rPr>
              <w:t>(PIK 2.25%)</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9,194,181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8,296,719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tcPr>
          <w:p>
            <w:pPr>
              <w:jc w:val="right"/>
              <w:ind w:right="72"/>
              <w:spacing w:after="0" w:line="138" w:lineRule="exact"/>
              <w:rPr>
                <w:sz w:val="20"/>
                <w:szCs w:val="20"/>
                <w:color w:val="auto"/>
              </w:rPr>
            </w:pPr>
            <w:r>
              <w:rPr>
                <w:rFonts w:ascii="Arial" w:cs="Arial" w:eastAsia="Arial" w:hAnsi="Arial"/>
                <w:sz w:val="14"/>
                <w:szCs w:val="14"/>
                <w:color w:val="auto"/>
              </w:rPr>
              <w:t>12.50%</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176</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110,697</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200,571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gridSpan w:val="2"/>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Telecommunications</w:t>
            </w: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1,091,018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10,845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406,450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1,101,863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Total Investments in Non-Controlled, Non-Affiliated Portfolio Companies</w:t>
            </w: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171,578,009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175,423,812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175,680,203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926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30"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Basis Point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8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84"/>
              </w:rPr>
              <w:t>Above</w:t>
            </w:r>
          </w:p>
        </w:tc>
        <w:tc>
          <w:tcPr>
            <w:tcW w:w="840" w:type="dxa"/>
            <w:vAlign w:val="bottom"/>
          </w:tcPr>
          <w:p>
            <w:pPr>
              <w:jc w:val="right"/>
              <w:ind w:right="292"/>
              <w:spacing w:after="0" w:line="135"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ind w:right="13"/>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03/25/2015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1,209,524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1,213,365</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Artel, LLC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978,043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07/29/2017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Chester Downs and Marina,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07/31/2016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Hotel, Gaming and Leisure</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12.38%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L+988</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478,873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488,220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08/17/2017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07/28/2017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P+350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982,590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2,966,250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Frac Tech International,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05/06/2016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Energy: Oil and Gas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2,073,930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2,054,330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05/27/2016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7.01%</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Harmony Foods Corporation </w:t>
            </w:r>
            <w:r>
              <w:rPr>
                <w:rFonts w:ascii="Arial" w:cs="Arial" w:eastAsia="Arial" w:hAnsi="Arial"/>
                <w:sz w:val="22"/>
                <w:szCs w:val="22"/>
                <w:color w:val="auto"/>
                <w:vertAlign w:val="superscript"/>
              </w:rPr>
              <w:t>(5), (6), (11)</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10.00%</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08/16/2017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2,493,750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(5), (7)</w:t>
            </w:r>
          </w:p>
        </w:tc>
        <w:tc>
          <w:tcPr>
            <w:tcW w:w="1220" w:type="dxa"/>
            <w:vAlign w:val="bottom"/>
          </w:tcPr>
          <w:p>
            <w:pPr>
              <w:ind w:left="500"/>
              <w:spacing w:after="0" w:line="138" w:lineRule="exact"/>
              <w:rPr>
                <w:sz w:val="20"/>
                <w:szCs w:val="20"/>
                <w:color w:val="auto"/>
              </w:rPr>
            </w:pPr>
            <w:r>
              <w:rPr>
                <w:rFonts w:ascii="Arial" w:cs="Arial" w:eastAsia="Arial" w:hAnsi="Arial"/>
                <w:sz w:val="14"/>
                <w:szCs w:val="14"/>
                <w:color w:val="auto"/>
                <w:w w:val="99"/>
              </w:rPr>
              <w:t>08/07/2014</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3.61%</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L+338</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6,981,823</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6,523,240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09/10/2015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P+675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5,476,250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KAR Auction Services, Inc.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05/19/2017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2,978,487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(5), (7)</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05/31/2014</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L+700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4"/>
                <w:szCs w:val="14"/>
                <w:color w:val="auto"/>
              </w:rPr>
              <w:t>Medpace Holdings, Inc.</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06/17/2017</w:t>
            </w:r>
          </w:p>
        </w:tc>
        <w:tc>
          <w:tcPr>
            <w:tcW w:w="20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6.50%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L+500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1,995,000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1,966,025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4"/>
              </w:rPr>
              <w:t>05/06/2018  Media: Diversified and Production</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3,990,000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060" w:type="dxa"/>
            <w:vAlign w:val="bottom"/>
            <w:gridSpan w:val="2"/>
          </w:tcPr>
          <w:p>
            <w:pPr>
              <w:spacing w:after="0"/>
              <w:rPr>
                <w:sz w:val="20"/>
                <w:szCs w:val="20"/>
                <w:color w:val="auto"/>
              </w:rPr>
            </w:pPr>
            <w:r>
              <w:rPr>
                <w:rFonts w:ascii="Arial" w:cs="Arial" w:eastAsia="Arial" w:hAnsi="Arial"/>
                <w:sz w:val="14"/>
                <w:szCs w:val="14"/>
                <w:color w:val="auto"/>
              </w:rPr>
              <w:t xml:space="preserve">Penton Media, Inc. </w:t>
            </w:r>
            <w:r>
              <w:rPr>
                <w:rFonts w:ascii="Arial" w:cs="Arial" w:eastAsia="Arial" w:hAnsi="Arial"/>
                <w:sz w:val="22"/>
                <w:szCs w:val="22"/>
                <w:color w:val="auto"/>
                <w:vertAlign w:val="superscript"/>
              </w:rPr>
              <w:t>(5)</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08/01/2014  Media: Diversified and Production</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5.00%</w:t>
            </w:r>
            <w:r>
              <w:rPr>
                <w:rFonts w:ascii="Arial" w:cs="Arial" w:eastAsia="Arial" w:hAnsi="Arial"/>
                <w:sz w:val="22"/>
                <w:szCs w:val="22"/>
                <w:color w:val="auto"/>
                <w:vertAlign w:val="superscript"/>
              </w:rPr>
              <w:t>(8)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5,498,048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4,675,936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3,802,818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3"/>
              </w:rPr>
              <w:t>05/08/2017   Containers, Packaging and Glass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1,995,000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07/06/2017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987,986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Select Medical Corporation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2,963,943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Tank Intermediate Holding Corp.</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3"/>
              </w:rPr>
              <w:t>04/15/2016   Containers, Packaging and Glass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1,835,472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1,831,420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04/28/2017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04/14/2016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4,968,750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4,923,769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06/19/2017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06/15/2016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2,964,480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06/02/2017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1,496,250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Viamedia Services Corp. </w:t>
            </w:r>
            <w:r>
              <w:rPr>
                <w:rFonts w:ascii="Arial" w:cs="Arial" w:eastAsia="Arial" w:hAnsi="Arial"/>
                <w:sz w:val="15"/>
                <w:szCs w:val="15"/>
                <w:color w:val="auto"/>
                <w:vertAlign w:val="superscript"/>
              </w:rPr>
              <w:t>(5)</w:t>
            </w:r>
          </w:p>
        </w:tc>
        <w:tc>
          <w:tcPr>
            <w:tcW w:w="3240" w:type="dxa"/>
            <w:vAlign w:val="bottom"/>
            <w:gridSpan w:val="2"/>
          </w:tcPr>
          <w:p>
            <w:pPr>
              <w:ind w:left="500"/>
              <w:spacing w:after="0" w:line="138" w:lineRule="exact"/>
              <w:rPr>
                <w:sz w:val="20"/>
                <w:szCs w:val="20"/>
                <w:color w:val="auto"/>
              </w:rPr>
            </w:pPr>
            <w:r>
              <w:rPr>
                <w:rFonts w:ascii="Arial" w:cs="Arial" w:eastAsia="Arial" w:hAnsi="Arial"/>
                <w:sz w:val="14"/>
                <w:szCs w:val="14"/>
                <w:color w:val="auto"/>
                <w:w w:val="97"/>
              </w:rPr>
              <w:t>04/19/2016   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4,750,000</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4,694,273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12/22/2016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Water Pik,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08/10/2017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3,465,501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07/15/2016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11.38%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4,355,966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First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94,975,314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01/29/2018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L+900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(5),(7)</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11/06/2018  Media: Diversified and Production</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L+875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1,485,581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09/01/2018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12.13%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05/09/2018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L+725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990,624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05/15/2019</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12,379,445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12,255,000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Notes—7.6%</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(5),(11)</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11/15/2015</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11.63%</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1,524,891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3,762,500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3,688,091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2,206,000</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Par/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22"/>
                <w:szCs w:val="22"/>
                <w:b w:val="1"/>
                <w:bCs w:val="1"/>
                <w:color w:val="auto"/>
                <w:w w:val="92"/>
                <w:vertAlign w:val="superscript"/>
              </w:rPr>
              <w:t>(2)</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9"/>
              </w:rPr>
              <w:t>Maturity</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6"/>
                <w:szCs w:val="16"/>
                <w:b w:val="1"/>
                <w:bCs w:val="1"/>
                <w:color w:val="auto"/>
                <w:vertAlign w:val="superscript"/>
              </w:rPr>
              <w:t>(5),(10)</w:t>
            </w: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10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3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95,000</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(5),(10)</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114,829,621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Equivalents—7.6%</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6,987,450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121,817,071</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(25,639,586)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926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5" w:lineRule="exact"/>
        <w:rPr>
          <w:sz w:val="20"/>
          <w:szCs w:val="20"/>
          <w:color w:val="auto"/>
        </w:rPr>
      </w:pPr>
    </w:p>
    <w:p>
      <w:pPr>
        <w:ind w:right="8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11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95" w:lineRule="exact"/>
        <w:rPr>
          <w:sz w:val="20"/>
          <w:szCs w:val="20"/>
          <w:color w:val="auto"/>
        </w:rPr>
      </w:pPr>
    </w:p>
    <w:p>
      <w:pPr>
        <w:jc w:val="both"/>
        <w:ind w:right="160" w:firstLine="456"/>
        <w:spacing w:after="0" w:line="27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9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66" w:lineRule="exact"/>
        <w:rPr>
          <w:sz w:val="20"/>
          <w:szCs w:val="20"/>
          <w:color w:val="auto"/>
        </w:rPr>
      </w:pPr>
    </w:p>
    <w:p>
      <w:pPr>
        <w:jc w:val="both"/>
        <w:ind w:right="380" w:firstLine="456"/>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5"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800" w:right="220" w:hanging="454"/>
        <w:spacing w:after="0" w:line="239" w:lineRule="auto"/>
        <w:tabs>
          <w:tab w:leader="none" w:pos="8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800" w:hanging="454"/>
        <w:spacing w:after="0"/>
        <w:tabs>
          <w:tab w:leader="none" w:pos="8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20" w:hanging="454"/>
        <w:spacing w:after="0" w:line="233" w:lineRule="auto"/>
        <w:tabs>
          <w:tab w:leader="none" w:pos="8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1" w:lineRule="exact"/>
        <w:rPr>
          <w:rFonts w:ascii="Arial" w:cs="Arial" w:eastAsia="Arial" w:hAnsi="Arial"/>
          <w:sz w:val="14"/>
          <w:szCs w:val="14"/>
          <w:color w:val="auto"/>
        </w:rPr>
      </w:pPr>
    </w:p>
    <w:p>
      <w:pPr>
        <w:ind w:left="540" w:hanging="190"/>
        <w:spacing w:after="0"/>
        <w:tabs>
          <w:tab w:leader="none" w:pos="540" w:val="left"/>
        </w:tabs>
        <w:numPr>
          <w:ilvl w:val="1"/>
          <w:numId w:val="7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23"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1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9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23"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12"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23"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12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25"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01"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13"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0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25" w:lineRule="exact"/>
        <w:rPr>
          <w:sz w:val="20"/>
          <w:szCs w:val="20"/>
          <w:color w:val="auto"/>
        </w:rPr>
      </w:pPr>
    </w:p>
    <w:p>
      <w:pPr>
        <w:ind w:right="120" w:firstLine="1141"/>
        <w:spacing w:after="0" w:line="233" w:lineRule="auto"/>
        <w:rPr>
          <w:sz w:val="20"/>
          <w:szCs w:val="20"/>
          <w:color w:val="auto"/>
        </w:rPr>
      </w:pPr>
      <w:r>
        <w:rPr>
          <w:rFonts w:ascii="Arial" w:cs="Arial" w:eastAsia="Arial" w:hAnsi="Arial"/>
          <w:sz w:val="14"/>
          <w:szCs w:val="14"/>
          <w:color w:val="auto"/>
        </w:rPr>
        <w:t>Purchases of long-term investments, including PIK, for the year ended September 30, 2012 totaled $128.8 million. Sales and repayments of long-term investments for the year ended September 30, 2012 totaled $71.5 million. Purchases of long-term investments, including PIK, for the period March 4, 2011 (commencement of operations) to September 30, 2011, totaled $147.5 million. Sales and repayments for the same period totaled $33.2 million.</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ind w:left="660"/>
              <w:spacing w:after="0"/>
              <w:rPr>
                <w:sz w:val="20"/>
                <w:szCs w:val="20"/>
                <w:color w:val="auto"/>
              </w:rPr>
            </w:pPr>
            <w:r>
              <w:rPr>
                <w:rFonts w:ascii="Arial" w:cs="Arial" w:eastAsia="Arial" w:hAnsi="Arial"/>
                <w:sz w:val="14"/>
                <w:szCs w:val="14"/>
                <w:color w:val="auto"/>
                <w:w w:val="87"/>
              </w:rPr>
              <w:t>Investments and cash equivalents consisted of the following:</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32"/>
              <w:spacing w:after="0"/>
              <w:rPr>
                <w:sz w:val="20"/>
                <w:szCs w:val="20"/>
                <w:color w:val="auto"/>
              </w:rPr>
            </w:pPr>
            <w:r>
              <w:rPr>
                <w:rFonts w:ascii="Arial" w:cs="Arial" w:eastAsia="Arial" w:hAnsi="Arial"/>
                <w:sz w:val="14"/>
                <w:szCs w:val="14"/>
                <w:b w:val="1"/>
                <w:bCs w:val="1"/>
                <w:color w:val="auto"/>
              </w:rPr>
              <w:t>September 30, 2012</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82"/>
              </w:rPr>
              <w:t>150,258,038</w:t>
            </w: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94,975,314</w:t>
            </w: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11,608,643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12,379,445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9,194,181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517,147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171,578,009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114,829,621</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175,423,812</w:t>
            </w:r>
          </w:p>
        </w:tc>
        <w:tc>
          <w:tcPr>
            <w:tcW w:w="4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8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121,817,071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F-17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67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7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September 30:</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360" w:type="dxa"/>
            <w:vAlign w:val="bottom"/>
            <w:tcBorders>
              <w:bottom w:val="single" w:sz="8" w:color="auto"/>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r>
      <w:tr>
        <w:trPr>
          <w:trHeight w:val="142"/>
        </w:trPr>
        <w:tc>
          <w:tcPr>
            <w:tcW w:w="3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2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960"/>
              <w:spacing w:after="0" w:line="142"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Telecommunications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Metals and Mining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Energy: Oil and Gas</w:t>
            </w:r>
          </w:p>
        </w:tc>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3200" w:type="dxa"/>
            <w:vAlign w:val="bottom"/>
            <w:gridSpan w:val="2"/>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56"/>
        </w:trPr>
        <w:tc>
          <w:tcPr>
            <w:tcW w:w="3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200" w:type="dxa"/>
            <w:vAlign w:val="bottom"/>
            <w:gridSpan w:val="2"/>
          </w:tcPr>
          <w:p>
            <w:pPr>
              <w:spacing w:after="0"/>
              <w:rPr>
                <w:sz w:val="13"/>
                <w:szCs w:val="13"/>
                <w:color w:val="auto"/>
              </w:rPr>
            </w:pPr>
          </w:p>
        </w:tc>
        <w:tc>
          <w:tcPr>
            <w:tcW w:w="1880" w:type="dxa"/>
            <w:vAlign w:val="bottom"/>
            <w:gridSpan w:val="2"/>
          </w:tcPr>
          <w:p>
            <w:pPr>
              <w:jc w:val="right"/>
              <w:ind w:right="960"/>
              <w:spacing w:after="0" w:line="155" w:lineRule="exact"/>
              <w:rPr>
                <w:sz w:val="20"/>
                <w:szCs w:val="20"/>
                <w:color w:val="auto"/>
              </w:rPr>
            </w:pPr>
            <w:r>
              <w:rPr>
                <w:rFonts w:ascii="Arial" w:cs="Arial" w:eastAsia="Arial" w:hAnsi="Arial"/>
                <w:sz w:val="14"/>
                <w:szCs w:val="14"/>
                <w:color w:val="auto"/>
              </w:rPr>
              <w:t>100%</w:t>
            </w: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3540" w:type="dxa"/>
            <w:vAlign w:val="bottom"/>
          </w:tcPr>
          <w:p>
            <w:pPr>
              <w:spacing w:after="0"/>
              <w:rPr>
                <w:sz w:val="24"/>
                <w:szCs w:val="24"/>
                <w:color w:val="auto"/>
              </w:rPr>
            </w:pPr>
          </w:p>
        </w:tc>
        <w:tc>
          <w:tcPr>
            <w:tcW w:w="5080" w:type="dxa"/>
            <w:vAlign w:val="bottom"/>
            <w:gridSpan w:val="4"/>
          </w:tcPr>
          <w:p>
            <w:pPr>
              <w:jc w:val="right"/>
              <w:ind w:right="3700"/>
              <w:spacing w:after="0"/>
              <w:rPr>
                <w:sz w:val="20"/>
                <w:szCs w:val="20"/>
                <w:color w:val="auto"/>
              </w:rPr>
            </w:pPr>
            <w:r>
              <w:rPr>
                <w:rFonts w:ascii="Arial" w:cs="Arial" w:eastAsia="Arial" w:hAnsi="Arial"/>
                <w:sz w:val="14"/>
                <w:szCs w:val="14"/>
                <w:color w:val="auto"/>
              </w:rPr>
              <w:t>F-18</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740"/>
          </w:cols>
          <w:pgMar w:left="240" w:top="459" w:right="9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2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20" w:right="620" w:hanging="944"/>
        <w:spacing w:after="0" w:line="318" w:lineRule="auto"/>
        <w:tabs>
          <w:tab w:leader="none" w:pos="14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9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3"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1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6"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Fair Value as of</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1"/>
        </w:trPr>
        <w:tc>
          <w:tcPr>
            <w:tcW w:w="4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 2012</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Valuation Technique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Unobservable Input</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155,983,312</w:t>
            </w:r>
          </w:p>
        </w:tc>
        <w:tc>
          <w:tcPr>
            <w:tcW w:w="1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Market Comparable</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Broker/Dealer bid quotes</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1 - 6</w:t>
            </w: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4100" w:type="dxa"/>
            <w:vAlign w:val="bottom"/>
            <w:gridSpan w:val="3"/>
          </w:tcPr>
          <w:p>
            <w:pPr>
              <w:spacing w:after="0"/>
              <w:rPr>
                <w:sz w:val="20"/>
                <w:szCs w:val="20"/>
                <w:color w:val="auto"/>
              </w:rPr>
            </w:pPr>
            <w:r>
              <w:rPr>
                <w:rFonts w:ascii="Arial" w:cs="Arial" w:eastAsia="Arial" w:hAnsi="Arial"/>
                <w:sz w:val="14"/>
                <w:szCs w:val="14"/>
                <w:color w:val="auto"/>
              </w:rPr>
              <w:t>First lien, second lien, subordinated debt/corporate notes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11,760,650</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Market Comparable</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Market Yield</w:t>
            </w:r>
          </w:p>
        </w:tc>
        <w:tc>
          <w:tcPr>
            <w:tcW w:w="960" w:type="dxa"/>
            <w:vAlign w:val="bottom"/>
          </w:tcPr>
          <w:p>
            <w:pPr>
              <w:jc w:val="right"/>
              <w:spacing w:after="0"/>
              <w:rPr>
                <w:sz w:val="20"/>
                <w:szCs w:val="20"/>
                <w:color w:val="auto"/>
              </w:rPr>
            </w:pPr>
            <w:r>
              <w:rPr>
                <w:rFonts w:ascii="Arial" w:cs="Arial" w:eastAsia="Arial" w:hAnsi="Arial"/>
                <w:sz w:val="14"/>
                <w:szCs w:val="14"/>
                <w:color w:val="auto"/>
              </w:rPr>
              <w:t>7.3% -15.3%</w:t>
            </w:r>
          </w:p>
        </w:tc>
        <w:tc>
          <w:tcPr>
            <w:tcW w:w="680" w:type="dxa"/>
            <w:vAlign w:val="bottom"/>
          </w:tcPr>
          <w:p>
            <w:pPr>
              <w:ind w:left="2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1,302,438</w:t>
            </w: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Enterprise Market Value</w:t>
            </w:r>
          </w:p>
        </w:tc>
        <w:tc>
          <w:tcPr>
            <w:tcW w:w="20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EBITDA multiple</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6.5x – 8.5x</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(6.8x)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Pr>
          <w:p>
            <w:pPr>
              <w:spacing w:after="0"/>
              <w:rPr>
                <w:sz w:val="13"/>
                <w:szCs w:val="13"/>
                <w:color w:val="auto"/>
              </w:rPr>
            </w:pPr>
          </w:p>
        </w:tc>
        <w:tc>
          <w:tcPr>
            <w:tcW w:w="1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169,046,400</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75,122,500</w:t>
            </w:r>
          </w:p>
        </w:tc>
        <w:tc>
          <w:tcPr>
            <w:tcW w:w="194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Discount rate</w:t>
            </w:r>
          </w:p>
        </w:tc>
        <w:tc>
          <w:tcPr>
            <w:tcW w:w="960" w:type="dxa"/>
            <w:vAlign w:val="bottom"/>
            <w:shd w:val="clear" w:color="auto" w:fill="CCEEFF"/>
          </w:tcPr>
          <w:p>
            <w:pPr>
              <w:jc w:val="center"/>
              <w:ind w:left="612"/>
              <w:spacing w:after="0" w:line="143" w:lineRule="exact"/>
              <w:rPr>
                <w:sz w:val="20"/>
                <w:szCs w:val="20"/>
                <w:color w:val="auto"/>
              </w:rPr>
            </w:pPr>
            <w:r>
              <w:rPr>
                <w:rFonts w:ascii="Arial" w:cs="Arial" w:eastAsia="Arial" w:hAnsi="Arial"/>
                <w:sz w:val="14"/>
                <w:szCs w:val="14"/>
                <w:color w:val="auto"/>
                <w:w w:val="87"/>
              </w:rPr>
              <w:t>3.1%</w:t>
            </w: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3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9"/>
          </w:tcPr>
          <w:p>
            <w:pPr>
              <w:jc w:val="right"/>
              <w:ind w:right="109"/>
              <w:spacing w:after="0"/>
              <w:rPr>
                <w:sz w:val="20"/>
                <w:szCs w:val="20"/>
                <w:color w:val="auto"/>
              </w:rPr>
            </w:pPr>
            <w:r>
              <w:rPr>
                <w:rFonts w:ascii="Arial" w:cs="Arial" w:eastAsia="Arial" w:hAnsi="Arial"/>
                <w:sz w:val="14"/>
                <w:szCs w:val="14"/>
                <w:b w:val="1"/>
                <w:bCs w:val="1"/>
                <w:color w:val="auto"/>
              </w:rPr>
              <w:t>Fair Value Measurements at September 30, 2012</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gridSpan w:val="2"/>
            <w:vMerge w:val="continue"/>
          </w:tcPr>
          <w:p>
            <w:pPr>
              <w:spacing w:after="0"/>
              <w:rPr>
                <w:sz w:val="12"/>
                <w:szCs w:val="12"/>
                <w:color w:val="auto"/>
              </w:rPr>
            </w:pP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right"/>
              <w:ind w:right="129"/>
              <w:spacing w:after="0"/>
              <w:rPr>
                <w:sz w:val="20"/>
                <w:szCs w:val="20"/>
                <w:color w:val="auto"/>
              </w:rPr>
            </w:pPr>
            <w:r>
              <w:rPr>
                <w:rFonts w:ascii="Arial" w:cs="Arial" w:eastAsia="Arial" w:hAnsi="Arial"/>
                <w:sz w:val="14"/>
                <w:szCs w:val="14"/>
                <w:b w:val="1"/>
                <w:bCs w:val="1"/>
                <w:color w:val="auto"/>
                <w:w w:val="86"/>
              </w:rPr>
              <w:t>Fair Value Measurements at September 30, 2011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8"/>
              </w:rPr>
              <w:t>Fair Value</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Level 1</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2,033,747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5,849,130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117,711,691</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2020" w:type="dxa"/>
            <w:vAlign w:val="bottom"/>
            <w:gridSpan w:val="3"/>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4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80" w:type="dxa"/>
            <w:vAlign w:val="bottom"/>
          </w:tcPr>
          <w:p>
            <w:pPr>
              <w:spacing w:after="0"/>
              <w:rPr>
                <w:sz w:val="24"/>
                <w:szCs w:val="24"/>
                <w:color w:val="auto"/>
              </w:rPr>
            </w:pPr>
          </w:p>
        </w:tc>
        <w:tc>
          <w:tcPr>
            <w:tcW w:w="2020" w:type="dxa"/>
            <w:vAlign w:val="bottom"/>
            <w:gridSpan w:val="3"/>
          </w:tcPr>
          <w:p>
            <w:pPr>
              <w:jc w:val="right"/>
              <w:ind w:right="369"/>
              <w:spacing w:after="0"/>
              <w:rPr>
                <w:sz w:val="20"/>
                <w:szCs w:val="20"/>
                <w:color w:val="auto"/>
              </w:rPr>
            </w:pPr>
            <w:r>
              <w:rPr>
                <w:rFonts w:ascii="Arial" w:cs="Arial" w:eastAsia="Arial" w:hAnsi="Arial"/>
                <w:sz w:val="14"/>
                <w:szCs w:val="14"/>
                <w:color w:val="auto"/>
              </w:rPr>
              <w:t>F-20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5"/>
              </w:rPr>
              <w:t>Year Ended September 30, 2012</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5"/>
              </w:rPr>
              <w:t>subordinated debt</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10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First Lien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4"/>
          </w:tcPr>
          <w:p>
            <w:pPr>
              <w:jc w:val="center"/>
              <w:ind w:right="420"/>
              <w:spacing w:after="0" w:line="176" w:lineRule="exact"/>
              <w:rPr>
                <w:sz w:val="20"/>
                <w:szCs w:val="20"/>
                <w:color w:val="auto"/>
              </w:rPr>
            </w:pPr>
            <w:r>
              <w:rPr>
                <w:rFonts w:ascii="Arial" w:cs="Arial" w:eastAsia="Arial" w:hAnsi="Arial"/>
                <w:sz w:val="13"/>
                <w:szCs w:val="13"/>
                <w:b w:val="1"/>
                <w:bCs w:val="1"/>
                <w:color w:val="auto"/>
                <w:w w:val="90"/>
              </w:rPr>
              <w:t xml:space="preserve">and equity investments </w:t>
            </w:r>
            <w:r>
              <w:rPr>
                <w:rFonts w:ascii="Arial" w:cs="Arial" w:eastAsia="Arial" w:hAnsi="Arial"/>
                <w:sz w:val="20"/>
                <w:szCs w:val="20"/>
                <w:b w:val="1"/>
                <w:bCs w:val="1"/>
                <w:color w:val="auto"/>
                <w:w w:val="90"/>
                <w:vertAlign w:val="superscript"/>
              </w:rPr>
              <w:t>(1)</w:t>
            </w:r>
          </w:p>
        </w:tc>
        <w:tc>
          <w:tcPr>
            <w:tcW w:w="2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September 30, 2011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18,206,115</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107,535,494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630,647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278,832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3,543,311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1,422,002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4,965,313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114,967,516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7,945,929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122,913,445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40" w:type="dxa"/>
            <w:vAlign w:val="bottom"/>
            <w:shd w:val="clear" w:color="auto" w:fill="CCEEFF"/>
          </w:tcPr>
          <w:p>
            <w:pPr>
              <w:spacing w:after="0"/>
              <w:rPr>
                <w:sz w:val="12"/>
                <w:szCs w:val="12"/>
                <w:color w:val="auto"/>
              </w:rPr>
            </w:pPr>
          </w:p>
        </w:tc>
        <w:tc>
          <w:tcPr>
            <w:tcW w:w="10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(58,261,106)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(9,016,225)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(67,277,331)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150,209,747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18,836,653</w:t>
            </w: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appreciation for the year ended September 30, 2012 reported within the net change in</w:t>
            </w: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unrealized appreciation on investments in our Consolidated Statement of Operations attributable to our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assets still held at the reporting date.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4,140,166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1,424,404</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5,564,570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12"/>
          </w:tcPr>
          <w:p>
            <w:pPr>
              <w:jc w:val="right"/>
              <w:ind w:right="400"/>
              <w:spacing w:after="0"/>
              <w:rPr>
                <w:sz w:val="20"/>
                <w:szCs w:val="20"/>
                <w:color w:val="auto"/>
              </w:rPr>
            </w:pPr>
            <w:r>
              <w:rPr>
                <w:rFonts w:ascii="Arial" w:cs="Arial" w:eastAsia="Arial" w:hAnsi="Arial"/>
                <w:sz w:val="14"/>
                <w:szCs w:val="14"/>
                <w:b w:val="1"/>
                <w:bCs w:val="1"/>
                <w:color w:val="auto"/>
                <w:w w:val="91"/>
              </w:rPr>
              <w:t>For the period March 4, 2011 (commencement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Second lien, subordinated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and equity investments</w:t>
            </w:r>
          </w:p>
        </w:tc>
        <w:tc>
          <w:tcPr>
            <w:tcW w:w="2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March 4, 2011</w:t>
            </w:r>
          </w:p>
        </w:tc>
        <w:tc>
          <w:tcPr>
            <w:tcW w:w="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218,684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93,319</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(3,591,606)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(123,301)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121,246,206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22,766,732</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(28,543,905)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(4,530,635)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2011</w:t>
            </w:r>
          </w:p>
        </w:tc>
        <w:tc>
          <w:tcPr>
            <w:tcW w:w="1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89,329,379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18,206,115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4"/>
                <w:szCs w:val="14"/>
                <w:color w:val="auto"/>
                <w:w w:val="89"/>
              </w:rPr>
              <w:t>Net change in unrealized appreciation (depreciation) for the period reported within the net change in unrealized depreciation</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8"/>
              </w:rPr>
              <w:t>on investments in our Consolidated Statement of Operations attributable to our Level 3 assets still held at the reporting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date.</w:t>
            </w:r>
          </w:p>
        </w:tc>
        <w:tc>
          <w:tcPr>
            <w:tcW w:w="1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5"/>
          </w:tcPr>
          <w:p>
            <w:pPr>
              <w:jc w:val="right"/>
              <w:spacing w:after="0" w:line="159" w:lineRule="exact"/>
              <w:rPr>
                <w:sz w:val="20"/>
                <w:szCs w:val="20"/>
                <w:color w:val="auto"/>
              </w:rPr>
            </w:pPr>
            <w:r>
              <w:rPr>
                <w:rFonts w:ascii="Arial" w:cs="Arial" w:eastAsia="Arial" w:hAnsi="Arial"/>
                <w:sz w:val="14"/>
                <w:szCs w:val="14"/>
                <w:color w:val="auto"/>
              </w:rPr>
              <w:t>(3,591,606)</w:t>
            </w:r>
          </w:p>
        </w:tc>
        <w:tc>
          <w:tcPr>
            <w:tcW w:w="3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(123,301)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4"/>
          </w:tcPr>
          <w:p>
            <w:pPr>
              <w:jc w:val="right"/>
              <w:ind w:right="1540"/>
              <w:spacing w:after="0"/>
              <w:rPr>
                <w:sz w:val="20"/>
                <w:szCs w:val="20"/>
                <w:color w:val="auto"/>
              </w:rPr>
            </w:pPr>
            <w:r>
              <w:rPr>
                <w:rFonts w:ascii="Arial" w:cs="Arial" w:eastAsia="Arial" w:hAnsi="Arial"/>
                <w:sz w:val="14"/>
                <w:szCs w:val="14"/>
                <w:b w:val="1"/>
                <w:bCs w:val="1"/>
                <w:color w:val="auto"/>
                <w:w w:val="91"/>
              </w:rPr>
              <w:t>Carrying / 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w w:val="89"/>
              </w:rPr>
              <w:t>For the period March 4, 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September 30, 2012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Long-Term Credit Facility</w:t>
            </w:r>
          </w:p>
        </w:tc>
        <w:tc>
          <w:tcPr>
            <w:tcW w:w="1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spacing w:after="0" w:line="149" w:lineRule="exact"/>
              <w:rPr>
                <w:sz w:val="20"/>
                <w:szCs w:val="20"/>
                <w:color w:val="auto"/>
              </w:rPr>
            </w:pPr>
            <w:r>
              <w:rPr>
                <w:rFonts w:ascii="Arial" w:cs="Arial" w:eastAsia="Arial" w:hAnsi="Arial"/>
                <w:sz w:val="14"/>
                <w:szCs w:val="14"/>
                <w:color w:val="auto"/>
              </w:rPr>
              <w:t>Beginning Balance, September 30, 2011 (cost – $24,650,000)</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24,650,000</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(377,500)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Borrowings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97,650,000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(46,800,000)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 (cost – $75,500,000 and $24,650,000, respectively)</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75,122,500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5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September 30, 2012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September 30, 2011 *</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3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76"/>
              </w:rPr>
              <w:t>$</w:t>
            </w:r>
          </w:p>
        </w:tc>
        <w:tc>
          <w:tcPr>
            <w:tcW w:w="2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6,850,667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jc w:val="right"/>
              <w:spacing w:after="0" w:line="149" w:lineRule="exact"/>
              <w:rPr>
                <w:sz w:val="20"/>
                <w:szCs w:val="20"/>
                <w:color w:val="auto"/>
              </w:rPr>
            </w:pPr>
            <w:r>
              <w:rPr>
                <w:rFonts w:ascii="Arial" w:cs="Arial" w:eastAsia="Arial" w:hAnsi="Arial"/>
                <w:sz w:val="14"/>
                <w:szCs w:val="14"/>
                <w:color w:val="auto"/>
              </w:rPr>
              <w:t>6,826,105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per share resulting from operations</w:t>
            </w:r>
          </w:p>
        </w:tc>
        <w:tc>
          <w:tcPr>
            <w:tcW w:w="5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4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Weighted average shares is based on the initial public offering issuance date of April 13, 2011.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71" w:lineRule="exact"/>
        <w:rPr>
          <w:sz w:val="20"/>
          <w:szCs w:val="20"/>
          <w:color w:val="auto"/>
        </w:rPr>
      </w:pPr>
    </w:p>
    <w:p>
      <w:pPr>
        <w:ind w:right="460" w:firstLine="456"/>
        <w:spacing w:after="0" w:line="288" w:lineRule="auto"/>
        <w:rPr>
          <w:sz w:val="20"/>
          <w:szCs w:val="20"/>
          <w:color w:val="auto"/>
        </w:rPr>
      </w:pPr>
      <w:r>
        <w:rPr>
          <w:rFonts w:ascii="Arial" w:cs="Arial" w:eastAsia="Arial" w:hAnsi="Arial"/>
          <w:sz w:val="12"/>
          <w:szCs w:val="12"/>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84"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112" w:lineRule="exact"/>
        <w:rPr>
          <w:sz w:val="20"/>
          <w:szCs w:val="20"/>
          <w:color w:val="auto"/>
        </w:rPr>
      </w:pPr>
    </w:p>
    <w:p>
      <w:pPr>
        <w:ind w:right="400" w:firstLine="456"/>
        <w:spacing w:after="0" w:line="239" w:lineRule="auto"/>
        <w:rPr>
          <w:sz w:val="20"/>
          <w:szCs w:val="20"/>
          <w:color w:val="auto"/>
        </w:rPr>
      </w:pPr>
      <w:r>
        <w:rPr>
          <w:rFonts w:ascii="Arial" w:cs="Arial" w:eastAsia="Arial" w:hAnsi="Arial"/>
          <w:sz w:val="14"/>
          <w:szCs w:val="14"/>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September 30, 2012</w:t>
            </w:r>
          </w:p>
        </w:tc>
      </w:tr>
      <w:tr>
        <w:trPr>
          <w:trHeight w:val="142"/>
        </w:trPr>
        <w:tc>
          <w:tcPr>
            <w:tcW w:w="5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w:t>
            </w:r>
          </w:p>
        </w:tc>
        <w:tc>
          <w:tcPr>
            <w:tcW w:w="100" w:type="dxa"/>
            <w:vAlign w:val="bottom"/>
            <w:tcBorders>
              <w:top w:val="single" w:sz="8" w:color="CCEEFF"/>
            </w:tcBorders>
            <w:shd w:val="clear" w:color="auto" w:fill="CCEEFF"/>
          </w:tcPr>
          <w:p>
            <w:pPr>
              <w:spacing w:after="0"/>
              <w:rPr>
                <w:sz w:val="12"/>
                <w:szCs w:val="12"/>
                <w:color w:val="auto"/>
              </w:rPr>
            </w:pPr>
          </w:p>
        </w:tc>
      </w:tr>
      <w:tr>
        <w:trPr>
          <w:trHeight w:val="172"/>
        </w:trPr>
        <w:tc>
          <w:tcPr>
            <w:tcW w:w="5080" w:type="dxa"/>
            <w:vAlign w:val="bottom"/>
          </w:tcPr>
          <w:p>
            <w:pPr>
              <w:spacing w:after="0"/>
              <w:rPr>
                <w:sz w:val="20"/>
                <w:szCs w:val="20"/>
                <w:color w:val="auto"/>
              </w:rPr>
            </w:pPr>
            <w:r>
              <w:rPr>
                <w:rFonts w:ascii="Arial" w:cs="Arial" w:eastAsia="Arial" w:hAnsi="Arial"/>
                <w:sz w:val="14"/>
                <w:szCs w:val="14"/>
                <w:color w:val="auto"/>
              </w:rPr>
              <w:t>Increase in undistributed net investment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3,952</w:t>
            </w:r>
          </w:p>
        </w:tc>
      </w:tr>
    </w:tbl>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March 4, 2011</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September 30, 2012</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September 30, 2011</w:t>
            </w:r>
          </w:p>
        </w:tc>
      </w:tr>
      <w:tr>
        <w:trPr>
          <w:trHeight w:val="142"/>
        </w:trPr>
        <w:tc>
          <w:tcPr>
            <w:tcW w:w="20" w:type="dxa"/>
            <w:vAlign w:val="bottom"/>
          </w:tcPr>
          <w:p>
            <w:pPr>
              <w:spacing w:after="0"/>
              <w:rPr>
                <w:sz w:val="12"/>
                <w:szCs w:val="12"/>
                <w:color w:val="auto"/>
              </w:rPr>
            </w:pPr>
          </w:p>
        </w:tc>
        <w:tc>
          <w:tcPr>
            <w:tcW w:w="4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2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w w:val="76"/>
              </w:rPr>
              <w:t>$</w:t>
            </w:r>
          </w:p>
        </w:tc>
        <w:tc>
          <w:tcPr>
            <w:tcW w:w="3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4520" w:type="dxa"/>
            <w:vAlign w:val="bottom"/>
          </w:tcPr>
          <w:p>
            <w:pPr>
              <w:spacing w:after="0" w:line="138" w:lineRule="exact"/>
              <w:rPr>
                <w:sz w:val="20"/>
                <w:szCs w:val="20"/>
                <w:color w:val="auto"/>
              </w:rPr>
            </w:pPr>
            <w:r>
              <w:rPr>
                <w:rFonts w:ascii="Arial" w:cs="Arial" w:eastAsia="Arial" w:hAnsi="Arial"/>
                <w:sz w:val="14"/>
                <w:szCs w:val="14"/>
                <w:color w:val="auto"/>
                <w:w w:val="91"/>
              </w:rPr>
              <w:t>Net change in unrealized (depreciation) appreciation on investments and Credit</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520" w:type="dxa"/>
            <w:vAlign w:val="bottom"/>
          </w:tcPr>
          <w:p>
            <w:pPr>
              <w:ind w:left="200"/>
              <w:spacing w:after="0" w:line="159" w:lineRule="exact"/>
              <w:rPr>
                <w:sz w:val="20"/>
                <w:szCs w:val="20"/>
                <w:color w:val="auto"/>
              </w:rPr>
            </w:pPr>
            <w:r>
              <w:rPr>
                <w:rFonts w:ascii="Arial" w:cs="Arial" w:eastAsia="Arial" w:hAnsi="Arial"/>
                <w:sz w:val="14"/>
                <w:szCs w:val="14"/>
                <w:color w:val="auto"/>
              </w:rPr>
              <w:t>Facility transactions not taxable</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(4,739,272)</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60" w:type="dxa"/>
            <w:vAlign w:val="bottom"/>
          </w:tcPr>
          <w:p>
            <w:pPr>
              <w:jc w:val="right"/>
              <w:spacing w:after="0" w:line="159" w:lineRule="exact"/>
              <w:rPr>
                <w:sz w:val="20"/>
                <w:szCs w:val="20"/>
                <w:color w:val="auto"/>
              </w:rPr>
            </w:pPr>
            <w:r>
              <w:rPr>
                <w:rFonts w:ascii="Arial" w:cs="Arial" w:eastAsia="Arial" w:hAnsi="Arial"/>
                <w:sz w:val="14"/>
                <w:szCs w:val="14"/>
                <w:color w:val="auto"/>
              </w:rPr>
              <w:t>4,105,380</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307,975</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1,297,741</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Other non deductible expenses</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net income before deductions for distribution</w:t>
            </w:r>
          </w:p>
        </w:tc>
        <w:tc>
          <w:tcPr>
            <w:tcW w:w="6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7,571,608</w:t>
            </w:r>
          </w:p>
        </w:tc>
        <w:tc>
          <w:tcPr>
            <w:tcW w:w="58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1,929,868</w:t>
            </w:r>
          </w:p>
        </w:tc>
        <w:tc>
          <w:tcPr>
            <w:tcW w:w="12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components of accumulated surplus (deficit) on book basis and a reconciliation to accumulated surplus (deficit) on a tax basis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5"/>
              </w:rPr>
              <w:t>As of September 30, 2012</w:t>
            </w:r>
          </w:p>
        </w:tc>
        <w:tc>
          <w:tcPr>
            <w:tcW w:w="580" w:type="dxa"/>
            <w:vAlign w:val="bottom"/>
          </w:tcPr>
          <w:p>
            <w:pPr>
              <w:spacing w:after="0"/>
              <w:rPr>
                <w:sz w:val="14"/>
                <w:szCs w:val="14"/>
                <w:color w:val="auto"/>
              </w:rPr>
            </w:pPr>
          </w:p>
        </w:tc>
        <w:tc>
          <w:tcPr>
            <w:tcW w:w="31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As of September 30, 2011</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2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2,139,738</w:t>
            </w:r>
          </w:p>
        </w:tc>
        <w:tc>
          <w:tcPr>
            <w:tcW w:w="4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w w:val="76"/>
              </w:rPr>
              <w:t>$</w:t>
            </w:r>
          </w:p>
        </w:tc>
        <w:tc>
          <w:tcPr>
            <w:tcW w:w="3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696,748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Dividends payable and other temporary differences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(2,228,826)</w:t>
            </w:r>
          </w:p>
        </w:tc>
        <w:tc>
          <w:tcPr>
            <w:tcW w:w="580" w:type="dxa"/>
            <w:vAlign w:val="bottom"/>
          </w:tcPr>
          <w:p>
            <w:pPr>
              <w:spacing w:after="0"/>
              <w:rPr>
                <w:sz w:val="12"/>
                <w:szCs w:val="12"/>
                <w:color w:val="auto"/>
              </w:rPr>
            </w:pPr>
          </w:p>
        </w:tc>
        <w:tc>
          <w:tcPr>
            <w:tcW w:w="3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(1,777,288)</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633,891</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Total accumulated surplus (deficit)</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240" w:type="dxa"/>
            <w:vAlign w:val="bottom"/>
            <w:gridSpan w:val="2"/>
          </w:tcPr>
          <w:p>
            <w:pPr>
              <w:jc w:val="right"/>
              <w:ind w:right="157"/>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line="155" w:lineRule="exact"/>
              <w:rPr>
                <w:sz w:val="20"/>
                <w:szCs w:val="20"/>
                <w:color w:val="auto"/>
              </w:rPr>
            </w:pPr>
            <w:r>
              <w:rPr>
                <w:rFonts w:ascii="Arial" w:cs="Arial" w:eastAsia="Arial" w:hAnsi="Arial"/>
                <w:sz w:val="14"/>
                <w:szCs w:val="14"/>
                <w:color w:val="auto"/>
              </w:rPr>
              <w:t>544,803</w:t>
            </w:r>
          </w:p>
        </w:tc>
        <w:tc>
          <w:tcPr>
            <w:tcW w:w="440" w:type="dxa"/>
            <w:vAlign w:val="bottom"/>
          </w:tcPr>
          <w:p>
            <w:pPr>
              <w:spacing w:after="0"/>
              <w:rPr>
                <w:sz w:val="13"/>
                <w:szCs w:val="13"/>
                <w:color w:val="auto"/>
              </w:rPr>
            </w:pPr>
          </w:p>
        </w:tc>
        <w:tc>
          <w:tcPr>
            <w:tcW w:w="580" w:type="dxa"/>
            <w:vAlign w:val="bottom"/>
          </w:tcPr>
          <w:p>
            <w:pPr>
              <w:jc w:val="right"/>
              <w:ind w:right="432"/>
              <w:spacing w:after="0" w:line="155" w:lineRule="exact"/>
              <w:rPr>
                <w:sz w:val="20"/>
                <w:szCs w:val="20"/>
                <w:color w:val="auto"/>
              </w:rPr>
            </w:pPr>
            <w:r>
              <w:rPr>
                <w:rFonts w:ascii="Arial" w:cs="Arial" w:eastAsia="Arial" w:hAnsi="Arial"/>
                <w:sz w:val="14"/>
                <w:szCs w:val="14"/>
                <w:color w:val="auto"/>
                <w:w w:val="76"/>
              </w:rPr>
              <w:t>$</w:t>
            </w:r>
          </w:p>
        </w:tc>
        <w:tc>
          <w:tcPr>
            <w:tcW w:w="3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(5,185,920)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In accordance with Section 19(a) under the 1940 Act, $103,884 of the Company’s distributions paid to stockholders during the fiscal year ended September 30, 2012 represent a distribution of long-term realized capital gains. The tax characteristics of dividends accrued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ind w:right="752"/>
              <w:spacing w:after="0" w:line="149" w:lineRule="exact"/>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32"/>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1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2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6,130,222</w:t>
            </w: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w w:val="76"/>
              </w:rPr>
              <w:t>$</w:t>
            </w:r>
          </w:p>
        </w:tc>
        <w:tc>
          <w:tcPr>
            <w:tcW w:w="3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1,712,667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103,884</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02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6,234,106</w:t>
            </w:r>
          </w:p>
        </w:tc>
        <w:tc>
          <w:tcPr>
            <w:tcW w:w="90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3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1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vMerge w:val="continue"/>
          </w:tcPr>
          <w:p>
            <w:pPr>
              <w:spacing w:after="0"/>
              <w:rPr>
                <w:sz w:val="13"/>
                <w:szCs w:val="13"/>
                <w:color w:val="auto"/>
              </w:rPr>
            </w:pPr>
          </w:p>
        </w:tc>
        <w:tc>
          <w:tcPr>
            <w:tcW w:w="2020" w:type="dxa"/>
            <w:vAlign w:val="bottom"/>
            <w:gridSpan w:val="2"/>
          </w:tcPr>
          <w:p>
            <w:pPr>
              <w:jc w:val="right"/>
              <w:ind w:right="209"/>
              <w:spacing w:after="0" w:line="155" w:lineRule="exact"/>
              <w:rPr>
                <w:sz w:val="20"/>
                <w:szCs w:val="20"/>
                <w:color w:val="auto"/>
              </w:rPr>
            </w:pPr>
            <w:r>
              <w:rPr>
                <w:rFonts w:ascii="Arial" w:cs="Arial" w:eastAsia="Arial" w:hAnsi="Arial"/>
                <w:sz w:val="14"/>
                <w:szCs w:val="14"/>
                <w:color w:val="auto"/>
              </w:rPr>
              <w:t>$</w:t>
            </w:r>
          </w:p>
        </w:tc>
        <w:tc>
          <w:tcPr>
            <w:tcW w:w="2000" w:type="dxa"/>
            <w:vAlign w:val="bottom"/>
          </w:tcPr>
          <w:p>
            <w:pPr>
              <w:jc w:val="right"/>
              <w:spacing w:after="0" w:line="155" w:lineRule="exact"/>
              <w:rPr>
                <w:sz w:val="20"/>
                <w:szCs w:val="20"/>
                <w:color w:val="auto"/>
              </w:rPr>
            </w:pPr>
            <w:r>
              <w:rPr>
                <w:rFonts w:ascii="Arial" w:cs="Arial" w:eastAsia="Arial" w:hAnsi="Arial"/>
                <w:sz w:val="14"/>
                <w:szCs w:val="14"/>
                <w:color w:val="auto"/>
              </w:rPr>
              <w:t>0.91</w:t>
            </w:r>
          </w:p>
        </w:tc>
        <w:tc>
          <w:tcPr>
            <w:tcW w:w="900" w:type="dxa"/>
            <w:vAlign w:val="bottom"/>
            <w:gridSpan w:val="2"/>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3180" w:type="dxa"/>
            <w:vAlign w:val="bottom"/>
          </w:tcPr>
          <w:p>
            <w:pPr>
              <w:jc w:val="right"/>
              <w:spacing w:after="0" w:line="155" w:lineRule="exact"/>
              <w:rPr>
                <w:sz w:val="20"/>
                <w:szCs w:val="20"/>
                <w:color w:val="auto"/>
              </w:rPr>
            </w:pPr>
            <w:r>
              <w:rPr>
                <w:rFonts w:ascii="Arial" w:cs="Arial" w:eastAsia="Arial" w:hAnsi="Arial"/>
                <w:sz w:val="14"/>
                <w:szCs w:val="14"/>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jc w:val="right"/>
              <w:ind w:right="1332"/>
              <w:spacing w:after="0"/>
              <w:rPr>
                <w:sz w:val="20"/>
                <w:szCs w:val="20"/>
                <w:color w:val="auto"/>
              </w:rPr>
            </w:pPr>
            <w:r>
              <w:rPr>
                <w:rFonts w:ascii="Arial" w:cs="Arial" w:eastAsia="Arial" w:hAnsi="Arial"/>
                <w:sz w:val="14"/>
                <w:szCs w:val="14"/>
                <w:color w:val="auto"/>
              </w:rPr>
              <w:t>F-23</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25"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Our net assets and net asset value per share on September 30, 2012 and 2011 were $95.7 million and $13.98 per share and $92.1 million and $13.44 per share, respectively. Below are the financial highlights: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(commencement of operations)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5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360" w:type="dxa"/>
            <w:vAlign w:val="bottom"/>
          </w:tcPr>
          <w:p>
            <w:pPr>
              <w:spacing w:after="0"/>
              <w:rPr>
                <w:sz w:val="13"/>
                <w:szCs w:val="13"/>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 (loss)</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Dividends to stockholders</w:t>
            </w:r>
            <w:r>
              <w:rPr>
                <w:rFonts w:ascii="Arial" w:cs="Arial" w:eastAsia="Arial" w:hAnsi="Arial"/>
                <w:sz w:val="17"/>
                <w:szCs w:val="17"/>
                <w:color w:val="auto"/>
                <w:vertAlign w:val="superscript"/>
              </w:rPr>
              <w:t>(2)</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(0.91)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Offering costs</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(0.30)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8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12.67</w:t>
            </w:r>
          </w:p>
        </w:tc>
        <w:tc>
          <w:tcPr>
            <w:tcW w:w="360" w:type="dxa"/>
            <w:vAlign w:val="bottom"/>
          </w:tcPr>
          <w:p>
            <w:pPr>
              <w:spacing w:after="0"/>
              <w:rPr>
                <w:sz w:val="13"/>
                <w:szCs w:val="13"/>
                <w:color w:val="auto"/>
              </w:rPr>
            </w:pPr>
          </w:p>
        </w:tc>
        <w:tc>
          <w:tcPr>
            <w:tcW w:w="4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(4)</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interest and expenses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95,743,877</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46,133,607</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7,550,877</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Average debt per share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50.80%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6073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Not annualized for period less than a year.</w:t>
      </w:r>
    </w:p>
    <w:p>
      <w:pPr>
        <w:ind w:left="220" w:hanging="212"/>
        <w:spacing w:after="0" w:line="185" w:lineRule="auto"/>
        <w:tabs>
          <w:tab w:leader="none" w:pos="220" w:val="left"/>
        </w:tabs>
        <w:numPr>
          <w:ilvl w:val="0"/>
          <w:numId w:val="74"/>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period except for net asset value.</w:t>
      </w:r>
    </w:p>
    <w:p>
      <w:pPr>
        <w:ind w:left="220" w:hanging="212"/>
        <w:spacing w:after="0" w:line="182" w:lineRule="auto"/>
        <w:tabs>
          <w:tab w:leader="none" w:pos="220" w:val="left"/>
        </w:tabs>
        <w:numPr>
          <w:ilvl w:val="0"/>
          <w:numId w:val="74"/>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220" w:hanging="212"/>
        <w:spacing w:after="0" w:line="182" w:lineRule="auto"/>
        <w:tabs>
          <w:tab w:leader="none" w:pos="220" w:val="left"/>
        </w:tabs>
        <w:numPr>
          <w:ilvl w:val="0"/>
          <w:numId w:val="74"/>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dividends and distributions, if any, reinvested in accordance with our dividend reinvestment plan.</w:t>
      </w:r>
    </w:p>
    <w:p>
      <w:pPr>
        <w:ind w:left="220" w:hanging="212"/>
        <w:spacing w:after="0" w:line="185" w:lineRule="auto"/>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2"/>
          <w:szCs w:val="12"/>
          <w:color w:val="auto"/>
        </w:rPr>
        <w:t>Operating expenses exclude Credit Facility 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25" w:lineRule="exact"/>
        <w:rPr>
          <w:sz w:val="20"/>
          <w:szCs w:val="20"/>
          <w:color w:val="auto"/>
        </w:rPr>
      </w:pPr>
    </w:p>
    <w:p>
      <w:pPr>
        <w:ind w:firstLine="342"/>
        <w:spacing w:after="0" w:line="228" w:lineRule="auto"/>
        <w:rPr>
          <w:sz w:val="20"/>
          <w:szCs w:val="20"/>
          <w:color w:val="auto"/>
        </w:rPr>
      </w:pPr>
      <w:r>
        <w:rPr>
          <w:rFonts w:ascii="Arial" w:cs="Arial" w:eastAsia="Arial" w:hAnsi="Arial"/>
          <w:sz w:val="14"/>
          <w:szCs w:val="14"/>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12"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12" w:lineRule="exact"/>
        <w:rPr>
          <w:sz w:val="20"/>
          <w:szCs w:val="20"/>
          <w:color w:val="auto"/>
        </w:rPr>
      </w:pPr>
    </w:p>
    <w:p>
      <w:pPr>
        <w:jc w:val="both"/>
        <w:ind w:right="20" w:firstLine="456"/>
        <w:spacing w:after="0" w:line="230" w:lineRule="auto"/>
        <w:rPr>
          <w:sz w:val="20"/>
          <w:szCs w:val="20"/>
          <w:color w:val="auto"/>
        </w:rPr>
      </w:pPr>
      <w:r>
        <w:rPr>
          <w:rFonts w:ascii="Arial" w:cs="Arial" w:eastAsia="Arial" w:hAnsi="Arial"/>
          <w:sz w:val="14"/>
          <w:szCs w:val="14"/>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25"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jc w:val="both"/>
        <w:ind w:right="300" w:firstLine="799"/>
        <w:spacing w:after="0" w:line="288" w:lineRule="auto"/>
        <w:rPr>
          <w:sz w:val="20"/>
          <w:szCs w:val="20"/>
          <w:color w:val="auto"/>
        </w:rPr>
      </w:pPr>
      <w:r>
        <w:rPr>
          <w:rFonts w:ascii="Arial" w:cs="Arial" w:eastAsia="Arial" w:hAnsi="Arial"/>
          <w:sz w:val="12"/>
          <w:szCs w:val="12"/>
          <w:color w:val="auto"/>
        </w:rPr>
        <w:t>We have reviewed the accompanying consolidated statement of assets and liabilities of PennantPark Floating Rate Capital Ltd. and its Subsidiary (the “Company”), including the consolidated schedule of investments, as of March 31, 2013 and the consolidated statements of operations for the three and six months ended March 31, 2013 and 2012, and the consolidated statements of changes in net assets, and cash flows for the six months ended March 31, 2013 and 2012. These consolidated financial statements are the responsibility of the Company’s management.</w:t>
      </w:r>
    </w:p>
    <w:p>
      <w:pPr>
        <w:spacing w:after="0" w:line="111" w:lineRule="exact"/>
        <w:rPr>
          <w:sz w:val="20"/>
          <w:szCs w:val="20"/>
          <w:color w:val="auto"/>
        </w:rPr>
      </w:pPr>
    </w:p>
    <w:p>
      <w:pPr>
        <w:ind w:right="180" w:firstLine="799"/>
        <w:spacing w:after="0" w:line="230"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ind w:firstLine="799"/>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ind w:right="300" w:firstLine="799"/>
        <w:spacing w:after="0" w:line="288" w:lineRule="auto"/>
        <w:rPr>
          <w:sz w:val="20"/>
          <w:szCs w:val="20"/>
          <w:color w:val="auto"/>
        </w:rPr>
      </w:pPr>
      <w:r>
        <w:rPr>
          <w:rFonts w:ascii="Arial" w:cs="Arial" w:eastAsia="Arial" w:hAnsi="Arial"/>
          <w:sz w:val="12"/>
          <w:szCs w:val="12"/>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14605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9,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(unaudited)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September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(cost—$183,536,973 and $171,578,009, respectively)</w:t>
            </w:r>
          </w:p>
        </w:tc>
        <w:tc>
          <w:tcPr>
            <w:tcW w:w="1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183,869,762</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171,834,400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2,725,248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3,845,803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1,231,099</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1,388,867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50,735</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assets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187,876,844</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178,366,661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599,476</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548,053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11,852,369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Credit Facility payable (cost—$34,200,000 and $75,500,000, respectively) (See Notes 5 and 9)</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34,200,000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75,122,500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153,476</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456,637</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876,067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859,334</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48,997,359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82,622,784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Common stock, 9,851,151 and 6,850,667 shares are issued and outstanding, respectively.</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 value $0.001 per share and 100,000,000 shares authorized</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9,851</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136,796,167</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95,192,222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(1,030,705)</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2,771,383</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1,223,913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332,789</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net assets</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138,879,485</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 and net assets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11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187,876,844</w:t>
            </w:r>
          </w:p>
        </w:tc>
        <w:tc>
          <w:tcPr>
            <w:tcW w:w="380" w:type="dxa"/>
            <w:vAlign w:val="bottom"/>
          </w:tcPr>
          <w:p>
            <w:pPr>
              <w:spacing w:after="0"/>
              <w:rPr>
                <w:sz w:val="13"/>
                <w:szCs w:val="13"/>
                <w:color w:val="auto"/>
              </w:rPr>
            </w:pPr>
          </w:p>
        </w:tc>
        <w:tc>
          <w:tcPr>
            <w:tcW w:w="2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178,366,661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 value per share</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0219"/>
          </w:cols>
          <w:pgMar w:left="240" w:top="459" w:right="1440"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w w:val="95"/>
              </w:rPr>
              <w:t>Three Months Ended March 31,</w:t>
            </w:r>
          </w:p>
        </w:tc>
        <w:tc>
          <w:tcPr>
            <w:tcW w:w="60" w:type="dxa"/>
            <w:vAlign w:val="bottom"/>
          </w:tcPr>
          <w:p>
            <w:pPr>
              <w:spacing w:after="0"/>
              <w:rPr>
                <w:sz w:val="14"/>
                <w:szCs w:val="14"/>
                <w:color w:val="auto"/>
              </w:rPr>
            </w:pPr>
          </w:p>
        </w:tc>
        <w:tc>
          <w:tcPr>
            <w:tcW w:w="1840" w:type="dxa"/>
            <w:vAlign w:val="bottom"/>
            <w:gridSpan w:val="7"/>
          </w:tcPr>
          <w:p>
            <w:pPr>
              <w:ind w:left="40"/>
              <w:spacing w:after="0"/>
              <w:rPr>
                <w:sz w:val="20"/>
                <w:szCs w:val="20"/>
                <w:color w:val="auto"/>
              </w:rPr>
            </w:pPr>
            <w:r>
              <w:rPr>
                <w:rFonts w:ascii="Arial" w:cs="Arial" w:eastAsia="Arial" w:hAnsi="Arial"/>
                <w:sz w:val="14"/>
                <w:szCs w:val="14"/>
                <w:b w:val="1"/>
                <w:bCs w:val="1"/>
                <w:color w:val="auto"/>
                <w:w w:val="93"/>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3,976,016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2,824,557</w:t>
            </w:r>
          </w:p>
        </w:tc>
        <w:tc>
          <w:tcPr>
            <w:tcW w:w="2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7,614,243</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5,267,364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163,861</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119,173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488,307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143,394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4,139,877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2,943,730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8,102,550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5,410,758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456,637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370,352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915,623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563,191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175,740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980,220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175,740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495,395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342,496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966,463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621,476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153,679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149,624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308,824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287,959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271,709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360,618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639,209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719,587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excise tax expense and amendment costs</w:t>
            </w: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1,940,611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1,398,830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3,810,339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2,490,959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33,341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Credit Facility amendment costs (See Note 9)</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2,473,952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1,398,830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4,377,752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2,490,959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1,665,925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1,544,900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3,724,798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2,919,799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1,104,627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95,712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1,547,470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405,887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435,183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2,996,463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76,398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4,065,554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(112,000)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435,183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2,884,463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(301,102)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4,304,554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from investments and Credit Facility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1,539,810</w:t>
            </w: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2,980,175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1,246,368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4,710,441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3,205,735</w:t>
            </w:r>
          </w:p>
        </w:tc>
        <w:tc>
          <w:tcPr>
            <w:tcW w:w="20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4,525,075</w:t>
            </w:r>
          </w:p>
        </w:tc>
        <w:tc>
          <w:tcPr>
            <w:tcW w:w="22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4,971,166</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7,630,240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Basic - Net increase in net assets resulting from operations per common share (See Note 6)</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0.72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Basic - Net investment income per common share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gridSpan w:val="2"/>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0.24</w:t>
            </w:r>
          </w:p>
        </w:tc>
        <w:tc>
          <w:tcPr>
            <w:tcW w:w="20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0.54</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 Net increase in net assets resulting from operations per common share (See Note 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Diluted - Net investment income per common share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gridSpan w:val="2"/>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0.24</w:t>
            </w:r>
          </w:p>
        </w:tc>
        <w:tc>
          <w:tcPr>
            <w:tcW w:w="20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0.53</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3,724,798</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2,919,799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1,547,470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405,887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appreciation on investments</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76,398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4,065,554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54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4,971,166</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7,630,240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(3,442,503)</w:t>
            </w:r>
          </w:p>
        </w:tc>
        <w:tc>
          <w:tcPr>
            <w:tcW w:w="80" w:type="dxa"/>
            <w:vAlign w:val="bottom"/>
          </w:tcPr>
          <w:p>
            <w:pPr>
              <w:spacing w:after="0"/>
              <w:rPr>
                <w:sz w:val="13"/>
                <w:szCs w:val="13"/>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(2,980,040)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Public offering and distributions reinvested</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42,006,945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(400,000)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9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43,135,608</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4,650,200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92,072,105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End of period</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138,879,485</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96,722,305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420"/>
              <w:spacing w:after="0"/>
              <w:rPr>
                <w:sz w:val="20"/>
                <w:szCs w:val="20"/>
                <w:color w:val="auto"/>
              </w:rPr>
            </w:pPr>
            <w:r>
              <w:rPr>
                <w:rFonts w:ascii="Arial" w:cs="Arial" w:eastAsia="Arial" w:hAnsi="Arial"/>
                <w:sz w:val="14"/>
                <w:szCs w:val="14"/>
                <w:color w:val="auto"/>
              </w:rPr>
              <w:t>Distributions in excess of net investment income, end of period</w:t>
            </w: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54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(1,030,705)</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2"/>
              </w:rPr>
              <w:t>(1,452,769)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5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Shares issued from public offering</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issued from reinvestment of dividends</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6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4,971,166</w:t>
            </w: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7,630,240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provided by (used for) operating activities: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appreciation on investments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(76,398)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(4,065,554)</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(239,000)</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(1,547,470)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(405,887)</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(565,957)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(333,296)</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Purchase of investments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(83,971,182)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(72,216,125)</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Payments-in-kind interest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(101,480)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(47,292)</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74,227,125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41,604,263</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receivable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157,768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(353,235)</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Decrease in receivables for investments sold</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986,278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2,467,500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prepaid expenses and other assets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112,632</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payables for investments purchased</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8,494,869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1,788,630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payable on Credit Facility</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192,249</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Increase in management fee payable</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31,890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103,920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175,740</w:t>
            </w:r>
          </w:p>
        </w:tc>
        <w:tc>
          <w:tcPr>
            <w:tcW w:w="0" w:type="dxa"/>
            <w:vAlign w:val="bottom"/>
          </w:tcPr>
          <w:p>
            <w:pPr>
              <w:spacing w:after="0"/>
              <w:rPr>
                <w:sz w:val="1"/>
                <w:szCs w:val="1"/>
                <w:color w:val="auto"/>
              </w:rPr>
            </w:pPr>
          </w:p>
        </w:tc>
      </w:tr>
      <w:tr>
        <w:trPr>
          <w:trHeight w:val="156"/>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Increase in accrued other expenses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412,214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242,912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(used for) operating activities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4,018,580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(23,342,303)</w:t>
            </w:r>
          </w:p>
        </w:tc>
        <w:tc>
          <w:tcPr>
            <w:tcW w:w="0" w:type="dxa"/>
            <w:vAlign w:val="bottom"/>
          </w:tcPr>
          <w:p>
            <w:pPr>
              <w:spacing w:after="0"/>
              <w:rPr>
                <w:sz w:val="1"/>
                <w:szCs w:val="1"/>
                <w:color w:val="auto"/>
              </w:rPr>
            </w:pPr>
          </w:p>
        </w:tc>
      </w:tr>
      <w:tr>
        <w:trPr>
          <w:trHeight w:val="156"/>
        </w:trPr>
        <w:tc>
          <w:tcPr>
            <w:tcW w:w="94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Public offering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42,000,000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sales load paid</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(2,055,000)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(3,384,135)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(2,945,787)</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45,250,000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54,050,000</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9)</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(86,550,000)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(30,900,000)</w:t>
            </w:r>
          </w:p>
        </w:tc>
        <w:tc>
          <w:tcPr>
            <w:tcW w:w="0" w:type="dxa"/>
            <w:vAlign w:val="bottom"/>
          </w:tcPr>
          <w:p>
            <w:pPr>
              <w:spacing w:after="0"/>
              <w:rPr>
                <w:sz w:val="1"/>
                <w:szCs w:val="1"/>
                <w:color w:val="auto"/>
              </w:rPr>
            </w:pPr>
          </w:p>
        </w:tc>
      </w:tr>
      <w:tr>
        <w:trPr>
          <w:trHeight w:val="27"/>
        </w:trPr>
        <w:tc>
          <w:tcPr>
            <w:tcW w:w="9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for) provided by financing activities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(5,139,135)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20,204,213</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Arial" w:cs="Arial" w:eastAsia="Arial" w:hAnsi="Arial"/>
                <w:sz w:val="14"/>
                <w:szCs w:val="14"/>
                <w:b w:val="1"/>
                <w:bCs w:val="1"/>
                <w:color w:val="auto"/>
              </w:rPr>
              <w:t>Net decrease in cash equivalents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(1,120,555)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(3,138,090)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60" w:type="dxa"/>
            <w:vAlign w:val="bottom"/>
          </w:tcPr>
          <w:p>
            <w:pPr>
              <w:spacing w:after="0" w:line="155" w:lineRule="exact"/>
              <w:rPr>
                <w:sz w:val="20"/>
                <w:szCs w:val="20"/>
                <w:color w:val="auto"/>
              </w:rPr>
            </w:pPr>
            <w:r>
              <w:rPr>
                <w:rFonts w:ascii="Arial" w:cs="Arial" w:eastAsia="Arial" w:hAnsi="Arial"/>
                <w:sz w:val="14"/>
                <w:szCs w:val="14"/>
                <w:b w:val="1"/>
                <w:bCs w:val="1"/>
                <w:color w:val="auto"/>
              </w:rPr>
              <w:t>Cash equivalents,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2,725,248</w:t>
            </w:r>
          </w:p>
        </w:tc>
        <w:tc>
          <w:tcPr>
            <w:tcW w:w="2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3,849,360</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60" w:type="dxa"/>
            <w:vAlign w:val="bottom"/>
          </w:tcPr>
          <w:p>
            <w:pPr>
              <w:ind w:left="44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974,538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429,227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Excise taxes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79,140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60" w:type="dxa"/>
            <w:vAlign w:val="bottom"/>
          </w:tcPr>
          <w:p>
            <w:pPr>
              <w:ind w:left="440"/>
              <w:spacing w:after="0" w:line="155" w:lineRule="exact"/>
              <w:rPr>
                <w:sz w:val="20"/>
                <w:szCs w:val="20"/>
                <w:color w:val="auto"/>
              </w:rPr>
            </w:pPr>
            <w:r>
              <w:rPr>
                <w:rFonts w:ascii="Arial" w:cs="Arial" w:eastAsia="Arial" w:hAnsi="Arial"/>
                <w:sz w:val="14"/>
                <w:szCs w:val="14"/>
                <w:color w:val="auto"/>
              </w:rPr>
              <w:t>Dividend reinvested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440" w:type="dxa"/>
            <w:vAlign w:val="bottom"/>
            <w:vMerge w:val="restart"/>
          </w:tcPr>
          <w:p>
            <w:pPr>
              <w:jc w:val="center"/>
              <w:ind w:left="612"/>
              <w:spacing w:after="0"/>
              <w:rPr>
                <w:sz w:val="20"/>
                <w:szCs w:val="20"/>
                <w:color w:val="auto"/>
              </w:rPr>
            </w:pPr>
            <w:r>
              <w:rPr>
                <w:rFonts w:ascii="Arial" w:cs="Arial" w:eastAsia="Arial" w:hAnsi="Arial"/>
                <w:sz w:val="14"/>
                <w:szCs w:val="14"/>
                <w:b w:val="1"/>
                <w:bCs w:val="1"/>
                <w:color w:val="auto"/>
                <w:w w:val="95"/>
              </w:rPr>
              <w:t>Maturity</w:t>
            </w: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Current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Par /</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52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8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vMerge w:val="continue"/>
          </w:tcPr>
          <w:p>
            <w:pPr>
              <w:spacing w:after="0"/>
              <w:rPr>
                <w:sz w:val="12"/>
                <w:szCs w:val="12"/>
                <w:color w:val="auto"/>
              </w:rPr>
            </w:pPr>
          </w:p>
        </w:tc>
        <w:tc>
          <w:tcPr>
            <w:tcW w:w="960" w:type="dxa"/>
            <w:vAlign w:val="bottom"/>
          </w:tcPr>
          <w:p>
            <w:pPr>
              <w:jc w:val="right"/>
              <w:ind w:right="413"/>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94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Companies—132.4%</w:t>
            </w:r>
            <w:r>
              <w:rPr>
                <w:rFonts w:ascii="Arial" w:cs="Arial" w:eastAsia="Arial" w:hAnsi="Arial"/>
                <w:sz w:val="15"/>
                <w:szCs w:val="15"/>
                <w:b w:val="1"/>
                <w:bCs w:val="1"/>
                <w:color w:val="auto"/>
                <w:vertAlign w:val="superscript"/>
              </w:rPr>
              <w:t>(3),(4)</w:t>
            </w:r>
          </w:p>
        </w:tc>
        <w:tc>
          <w:tcPr>
            <w:tcW w:w="2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Debt—115.0%</w:t>
            </w:r>
          </w:p>
        </w:tc>
        <w:tc>
          <w:tcPr>
            <w:tcW w:w="14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ALG USA Holdings,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02/28/2019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$8,429,233</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97"/>
              </w:rPr>
              <w:t>$ 8,415,000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ARC Auto Group,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11/15/2018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2,543,625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2,519,876</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2,563,763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Aspen Dental Management, Inc.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10/06/2016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2,930,850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2,836,594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ATI Holdings, Inc.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12/21/2019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2,963,147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3,033,647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Attachmate Corporation</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11/22/2017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2,831,250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2,784,237</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2,854,843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07/31/2017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964,483</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960,942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976,137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BBB Industries,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03/27/2019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2,975,000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Berlin Packaging L.L.C.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03/28/2019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L+350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1,990,000</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1,990,000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03/19/2018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3,714,375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3,658,259</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3,658,659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12/03/2018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980,988</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973,177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976,083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08/29/2017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10.50%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L+900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3,960,000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3,892,574</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4,059,000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07/28/2017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P+350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925,363</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921,835</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923,050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Edmenturn, Inc. (f/k/a Archipelago Learning,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05/17/2018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Media: Broadcasting and Subscription</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962,813</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962,812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966,423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11/12/2019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1,976,242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05/18/2018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2,482,496</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2,463,517</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2,494,909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2,985,019</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2,970,201</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3,014,869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Fishnet Security,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2,963,909</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2,992,500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1,940,000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1,905,699</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1,961,825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09/02/2019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9.63%</w:t>
            </w:r>
          </w:p>
        </w:tc>
        <w:tc>
          <w:tcPr>
            <w:tcW w:w="8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3,360,000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05/27/2016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2,949,343</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2,940,257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2,934,596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04/01/2019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2,970,000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2,918,581</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2,992,275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08/03/2017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Wholesale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2,729,375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2,694,461</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2,702,081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11.50%</w:t>
            </w:r>
          </w:p>
        </w:tc>
        <w:tc>
          <w:tcPr>
            <w:tcW w:w="8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1,966,362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Ikaria Acqusition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06/22/2016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1,691,500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1,683,717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1,708,415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InfuSystem Holdings,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11/30/2016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11.99%</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P+625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2,175,000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2,229,812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440" w:type="dxa"/>
            <w:vAlign w:val="bottom"/>
            <w:shd w:val="clear" w:color="auto" w:fill="CCEEFF"/>
          </w:tcPr>
          <w:p>
            <w:pPr>
              <w:jc w:val="center"/>
              <w:ind w:left="632"/>
              <w:spacing w:after="0" w:line="138" w:lineRule="exact"/>
              <w:rPr>
                <w:sz w:val="20"/>
                <w:szCs w:val="20"/>
                <w:color w:val="auto"/>
              </w:rPr>
            </w:pPr>
            <w:r>
              <w:rPr>
                <w:rFonts w:ascii="Arial" w:cs="Arial" w:eastAsia="Arial" w:hAnsi="Arial"/>
                <w:sz w:val="14"/>
                <w:szCs w:val="14"/>
                <w:color w:val="auto"/>
                <w:w w:val="88"/>
              </w:rPr>
              <w:t>08/07/2014</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0"/>
                <w:szCs w:val="10"/>
                <w:color w:val="auto"/>
              </w:rPr>
              <w:t>3.58%</w:t>
            </w:r>
            <w:r>
              <w:rPr>
                <w:rFonts w:ascii="Arial" w:cs="Arial" w:eastAsia="Arial" w:hAnsi="Arial"/>
                <w:sz w:val="15"/>
                <w:szCs w:val="15"/>
                <w:color w:val="auto"/>
                <w:vertAlign w:val="superscript"/>
              </w:rPr>
              <w:t>(9)</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L+338</w:t>
            </w:r>
          </w:p>
        </w:tc>
        <w:tc>
          <w:tcPr>
            <w:tcW w:w="7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6,836,508</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6,621,979</w:t>
            </w:r>
          </w:p>
        </w:tc>
        <w:tc>
          <w:tcPr>
            <w:tcW w:w="9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4,785,555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10/16/2017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10.00%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L+850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3,273,298</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3,349,000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09/10/2015</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10.50%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P+725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5,909,957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5,945,073</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5,880,407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06/02/2014</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4,912,500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4,848,463</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4,875,656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Milk Specialties Company</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11/09/2018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3,368,102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3,434,000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MModal Inc.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08/16/2019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3,383,191</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3,337,786</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3,247,863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05/07/2018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2,360,522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2,342,587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2,358,752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12/23/2016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2,721,385</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2,788,875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MX USA,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05/01/2017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2,970,000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2,933,577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2,977,425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tcPr>
          <w:p>
            <w:pPr>
              <w:spacing w:after="0" w:line="138" w:lineRule="exact"/>
              <w:rPr>
                <w:sz w:val="20"/>
                <w:szCs w:val="20"/>
                <w:color w:val="auto"/>
              </w:rPr>
            </w:pPr>
            <w:r>
              <w:rPr>
                <w:rFonts w:ascii="Arial" w:cs="Arial" w:eastAsia="Arial" w:hAnsi="Arial"/>
                <w:sz w:val="14"/>
                <w:szCs w:val="14"/>
                <w:color w:val="auto"/>
              </w:rPr>
              <w:t>NAB Holdings, LLC</w:t>
            </w:r>
          </w:p>
        </w:tc>
        <w:tc>
          <w:tcPr>
            <w:tcW w:w="1440" w:type="dxa"/>
            <w:vAlign w:val="bottom"/>
          </w:tcPr>
          <w:p>
            <w:pPr>
              <w:jc w:val="center"/>
              <w:ind w:left="632"/>
              <w:spacing w:after="0" w:line="138" w:lineRule="exact"/>
              <w:rPr>
                <w:sz w:val="20"/>
                <w:szCs w:val="20"/>
                <w:color w:val="auto"/>
              </w:rPr>
            </w:pPr>
            <w:r>
              <w:rPr>
                <w:rFonts w:ascii="Arial" w:cs="Arial" w:eastAsia="Arial" w:hAnsi="Arial"/>
                <w:sz w:val="14"/>
                <w:szCs w:val="14"/>
                <w:color w:val="auto"/>
                <w:w w:val="88"/>
              </w:rPr>
              <w:t>04/24/2018</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85"/>
              </w:rPr>
              <w:t>Banking, Finance, Insurance and Real</w:t>
            </w:r>
          </w:p>
        </w:tc>
        <w:tc>
          <w:tcPr>
            <w:tcW w:w="94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962,500</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950,224</w:t>
            </w:r>
          </w:p>
        </w:tc>
        <w:tc>
          <w:tcPr>
            <w:tcW w:w="96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972,125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20" w:type="dxa"/>
            <w:vAlign w:val="bottom"/>
          </w:tcPr>
          <w:p>
            <w:pPr>
              <w:jc w:val="center"/>
              <w:spacing w:after="0" w:line="159" w:lineRule="exact"/>
              <w:rPr>
                <w:sz w:val="20"/>
                <w:szCs w:val="20"/>
                <w:color w:val="auto"/>
              </w:rPr>
            </w:pPr>
            <w:r>
              <w:rPr>
                <w:rFonts w:ascii="Arial" w:cs="Arial" w:eastAsia="Arial" w:hAnsi="Arial"/>
                <w:sz w:val="14"/>
                <w:szCs w:val="14"/>
                <w:color w:val="auto"/>
                <w:w w:val="80"/>
              </w:rPr>
              <w:t>Estate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12/19/2018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4,414,105</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4,601,250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Orbitz Worldwide, Inc., Term Loan C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03/25/2019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 Consumer</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3,960,084</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4,038,332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07/11/2018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1,488,750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1,462,509</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1,488,750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tcPr>
          <w:p>
            <w:pPr>
              <w:spacing w:after="0" w:line="138" w:lineRule="exact"/>
              <w:rPr>
                <w:sz w:val="20"/>
                <w:szCs w:val="20"/>
                <w:color w:val="auto"/>
              </w:rPr>
            </w:pPr>
            <w:r>
              <w:rPr>
                <w:rFonts w:ascii="Arial" w:cs="Arial" w:eastAsia="Arial" w:hAnsi="Arial"/>
                <w:sz w:val="10"/>
                <w:szCs w:val="10"/>
                <w:color w:val="auto"/>
              </w:rPr>
              <w:t xml:space="preserve">Penton Media, Inc. </w:t>
            </w:r>
            <w:r>
              <w:rPr>
                <w:rFonts w:ascii="Arial" w:cs="Arial" w:eastAsia="Arial" w:hAnsi="Arial"/>
                <w:sz w:val="15"/>
                <w:szCs w:val="15"/>
                <w:color w:val="auto"/>
                <w:vertAlign w:val="superscript"/>
              </w:rPr>
              <w:t>(8)</w:t>
            </w:r>
          </w:p>
        </w:tc>
        <w:tc>
          <w:tcPr>
            <w:tcW w:w="1440" w:type="dxa"/>
            <w:vAlign w:val="bottom"/>
          </w:tcPr>
          <w:p>
            <w:pPr>
              <w:jc w:val="center"/>
              <w:ind w:left="632"/>
              <w:spacing w:after="0" w:line="138" w:lineRule="exact"/>
              <w:rPr>
                <w:sz w:val="20"/>
                <w:szCs w:val="20"/>
                <w:color w:val="auto"/>
              </w:rPr>
            </w:pPr>
            <w:r>
              <w:rPr>
                <w:rFonts w:ascii="Arial" w:cs="Arial" w:eastAsia="Arial" w:hAnsi="Arial"/>
                <w:sz w:val="14"/>
                <w:szCs w:val="14"/>
                <w:color w:val="auto"/>
                <w:w w:val="88"/>
              </w:rPr>
              <w:t>08/01/2014</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6.00%</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L+500</w:t>
            </w:r>
          </w:p>
        </w:tc>
        <w:tc>
          <w:tcPr>
            <w:tcW w:w="7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5,497,697</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5,101,044</w:t>
            </w:r>
          </w:p>
        </w:tc>
        <w:tc>
          <w:tcPr>
            <w:tcW w:w="96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5,286,954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(PIK 2.00%)</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Premier Dental Services,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11/01/2018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3,391,500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3,295,382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3,399,979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11/29/2016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10.00%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L+875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4,250,000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4,172,535</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4,207,500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08/24/2018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2,951,469</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2,990,630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04/21/2017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2,773,249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2,754,202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2,696,985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12/20/2017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2,486,250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2,438,423</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2,480,034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Sutherland Global Services,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03/06/2019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980,145</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01/29/2018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13.50%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L+1,200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1,408,837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1,372,727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1,627,207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Therakos,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12/27/2017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2,904,882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2,951,353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04/16/2018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1,985,000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1,930,464</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1,965,150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06/19/2017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2,926,538</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2,873,812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06/02/2017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1,266,455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1,261,822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1,266,455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440" w:type="dxa"/>
            <w:vAlign w:val="bottom"/>
          </w:tcPr>
          <w:p>
            <w:pPr>
              <w:jc w:val="center"/>
              <w:ind w:left="632"/>
              <w:spacing w:after="0" w:line="138" w:lineRule="exact"/>
              <w:rPr>
                <w:sz w:val="20"/>
                <w:szCs w:val="20"/>
                <w:color w:val="auto"/>
              </w:rPr>
            </w:pPr>
            <w:r>
              <w:rPr>
                <w:rFonts w:ascii="Arial" w:cs="Arial" w:eastAsia="Arial" w:hAnsi="Arial"/>
                <w:sz w:val="14"/>
                <w:szCs w:val="14"/>
                <w:color w:val="auto"/>
                <w:w w:val="88"/>
              </w:rPr>
              <w:t>04/19/2016</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94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3,875,111</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3,843,936</w:t>
            </w:r>
          </w:p>
        </w:tc>
        <w:tc>
          <w:tcPr>
            <w:tcW w:w="96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3,875,111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12/22/2016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P+450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2,933,256</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1,920,750</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9"/>
              </w:rPr>
              <w:t>Maturity</w:t>
            </w:r>
          </w:p>
        </w:tc>
        <w:tc>
          <w:tcPr>
            <w:tcW w:w="2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Above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Par /</w:t>
            </w:r>
          </w:p>
        </w:tc>
        <w:tc>
          <w:tcPr>
            <w:tcW w:w="60" w:type="dxa"/>
            <w:vAlign w:val="bottom"/>
          </w:tcPr>
          <w:p>
            <w:pPr>
              <w:spacing w:after="0"/>
              <w:rPr>
                <w:sz w:val="14"/>
                <w:szCs w:val="14"/>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18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b w:val="1"/>
                <w:bCs w:val="1"/>
                <w:color w:val="auto"/>
                <w:w w:val="98"/>
              </w:rPr>
              <w:t>Coupon</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Water Pik, Inc.</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08/10/2017</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760" w:type="dxa"/>
            <w:vAlign w:val="bottom"/>
            <w:tcBorders>
              <w:top w:val="single" w:sz="8" w:color="auto"/>
            </w:tcBorders>
            <w:shd w:val="clear" w:color="auto" w:fill="CCEEFF"/>
          </w:tcPr>
          <w:p>
            <w:pPr>
              <w:jc w:val="center"/>
              <w:ind w:right="272"/>
              <w:spacing w:after="0" w:line="142" w:lineRule="exact"/>
              <w:rPr>
                <w:sz w:val="20"/>
                <w:szCs w:val="20"/>
                <w:color w:val="auto"/>
              </w:rPr>
            </w:pPr>
            <w:r>
              <w:rPr>
                <w:rFonts w:ascii="Arial" w:cs="Arial" w:eastAsia="Arial" w:hAnsi="Arial"/>
                <w:sz w:val="14"/>
                <w:szCs w:val="14"/>
                <w:color w:val="auto"/>
                <w:w w:val="87"/>
              </w:rPr>
              <w:t>Consumer Goods: Durable</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6.75</w:t>
            </w:r>
          </w:p>
        </w:tc>
        <w:tc>
          <w:tcPr>
            <w:tcW w:w="400" w:type="dxa"/>
            <w:vAlign w:val="bottom"/>
            <w:tcBorders>
              <w:top w:val="single" w:sz="8" w:color="CCEEFF"/>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L+525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3,447,500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3,420,248</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3,438,881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Consumer Goods: Non-Durable</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7.50%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3,315,000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3,254,750</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3,356,438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Z Wireless</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12/21/2016</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94"/>
              </w:rPr>
              <w:t>Retail</w:t>
            </w:r>
          </w:p>
        </w:tc>
        <w:tc>
          <w:tcPr>
            <w:tcW w:w="1000" w:type="dxa"/>
            <w:vAlign w:val="bottom"/>
            <w:gridSpan w:val="2"/>
            <w:shd w:val="clear" w:color="auto" w:fill="CCEEFF"/>
          </w:tcPr>
          <w:p>
            <w:pPr>
              <w:jc w:val="right"/>
              <w:ind w:right="92"/>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L+1,225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2,707,318</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2,656,561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2,710,078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color w:val="auto"/>
                <w:w w:val="93"/>
              </w:rPr>
              <w:t>(PIK 1.50 %)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4"/>
              </w:rPr>
              <w:t>159,997,444</w:t>
            </w:r>
          </w:p>
        </w:tc>
        <w:tc>
          <w:tcPr>
            <w:tcW w:w="60" w:type="dxa"/>
            <w:vAlign w:val="bottom"/>
          </w:tcPr>
          <w:p>
            <w:pPr>
              <w:spacing w:after="0"/>
              <w:rPr>
                <w:sz w:val="14"/>
                <w:szCs w:val="14"/>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4"/>
              </w:rPr>
              <w:t>159,682,263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Metals and Mining</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11.50%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Berlin Packaging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03/28/2020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L+750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1,970,000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10/23/2019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11.00%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L+975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1,906,607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1,859,054</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1,925,673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Cannery Casino Resorts,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1,668,423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9.13%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1,623,750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9,997,477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10,347,423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Subordinated Debt/Corporate Notes—8.6%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88"/>
              </w:rPr>
              <w:t>Consumer Goods: Non-Durable</w:t>
            </w:r>
          </w:p>
        </w:tc>
        <w:tc>
          <w:tcPr>
            <w:tcW w:w="10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11.63%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3,831,006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2,603,500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2"/>
          </w:tcPr>
          <w:p>
            <w:pPr>
              <w:jc w:val="center"/>
              <w:ind w:right="440"/>
              <w:spacing w:after="0" w:line="138"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tcPr>
          <w:p>
            <w:pPr>
              <w:jc w:val="right"/>
              <w:ind w:right="212"/>
              <w:spacing w:after="0" w:line="138" w:lineRule="exact"/>
              <w:rPr>
                <w:sz w:val="20"/>
                <w:szCs w:val="20"/>
                <w:color w:val="auto"/>
              </w:rPr>
            </w:pPr>
            <w:r>
              <w:rPr>
                <w:rFonts w:ascii="Arial" w:cs="Arial" w:eastAsia="Arial" w:hAnsi="Arial"/>
                <w:sz w:val="14"/>
                <w:szCs w:val="14"/>
                <w:color w:val="auto"/>
              </w:rPr>
              <w:t>14.25%</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4,560,151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4,483,524</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4,696,956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72"/>
              <w:spacing w:after="0"/>
              <w:rPr>
                <w:sz w:val="20"/>
                <w:szCs w:val="20"/>
                <w:color w:val="auto"/>
              </w:rPr>
            </w:pPr>
            <w:r>
              <w:rPr>
                <w:rFonts w:ascii="Arial" w:cs="Arial" w:eastAsia="Arial" w:hAnsi="Arial"/>
                <w:sz w:val="14"/>
                <w:szCs w:val="14"/>
                <w:color w:val="auto"/>
                <w:w w:val="93"/>
              </w:rPr>
              <w:t>(PIK 2.25 %)</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6"/>
              </w:rPr>
              <w:t>Varel International Energy Mezzanine Funding Corp.</w:t>
            </w:r>
          </w:p>
        </w:tc>
        <w:tc>
          <w:tcPr>
            <w:tcW w:w="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01/15/2018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3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shd w:val="clear" w:color="auto" w:fill="CCEEFF"/>
          </w:tcPr>
          <w:p>
            <w:pPr>
              <w:jc w:val="right"/>
              <w:ind w:right="212"/>
              <w:spacing w:after="0" w:line="139" w:lineRule="exact"/>
              <w:rPr>
                <w:sz w:val="20"/>
                <w:szCs w:val="20"/>
                <w:color w:val="auto"/>
              </w:rPr>
            </w:pPr>
            <w:r>
              <w:rPr>
                <w:rFonts w:ascii="Arial" w:cs="Arial" w:eastAsia="Arial" w:hAnsi="Arial"/>
                <w:sz w:val="14"/>
                <w:szCs w:val="14"/>
                <w:color w:val="auto"/>
              </w:rPr>
              <w:t>14.00%</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89"/>
              </w:rPr>
              <w:t>1,774,080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1,740,367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1,766,608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color w:val="auto"/>
                <w:w w:val="93"/>
              </w:rPr>
              <w:t>(PIK 4.00 %)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Vestcom International,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06/27/2019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12.00%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2,859,027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2,803,341</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2,837,100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12,858,238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11,904,164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shd w:val="clear" w:color="auto" w:fill="CCEEFF"/>
          </w:tcPr>
          <w:p>
            <w:pPr>
              <w:jc w:val="right"/>
              <w:ind w:right="212"/>
              <w:spacing w:after="0" w:line="138" w:lineRule="exact"/>
              <w:rPr>
                <w:sz w:val="20"/>
                <w:szCs w:val="20"/>
                <w:color w:val="auto"/>
              </w:rPr>
            </w:pPr>
            <w:r>
              <w:rPr>
                <w:rFonts w:ascii="Arial" w:cs="Arial" w:eastAsia="Arial" w:hAnsi="Arial"/>
                <w:sz w:val="14"/>
                <w:szCs w:val="14"/>
                <w:color w:val="auto"/>
              </w:rPr>
              <w:t>12.50%</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176</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110,697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243,338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Interests—1.2%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106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shd w:val="clear" w:color="auto" w:fill="CCEEFF"/>
          </w:tcPr>
          <w:p>
            <w:pPr>
              <w:jc w:val="right"/>
              <w:ind w:right="39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401,797</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401,450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1,494,877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 (TrustHouse</w:t>
            </w:r>
          </w:p>
        </w:tc>
        <w:tc>
          <w:tcPr>
            <w:tcW w:w="106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tcPr>
          <w:p>
            <w:pPr>
              <w:jc w:val="center"/>
              <w:ind w:right="440"/>
              <w:spacing w:after="0" w:line="138"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tcPr>
          <w:p>
            <w:pPr>
              <w:jc w:val="right"/>
              <w:ind w:right="39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14,305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Parent Holdings, Inc.</w:t>
            </w:r>
          </w:p>
        </w:tc>
        <w:tc>
          <w:tcPr>
            <w:tcW w:w="106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shd w:val="clear" w:color="auto" w:fill="CCEEFF"/>
          </w:tcPr>
          <w:p>
            <w:pPr>
              <w:jc w:val="right"/>
              <w:ind w:right="39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15,179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166,667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183,392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(Vestcom International,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573,117</w:t>
            </w:r>
          </w:p>
        </w:tc>
        <w:tc>
          <w:tcPr>
            <w:tcW w:w="6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1,692,574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Total Investments in Non-Controlled, Non-Affiliated Portfolio Companies</w:t>
            </w: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183,536,973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183,869,762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2,725,248</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2,725,248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Total Investments and Cash Equivalents—134.4%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186,262,221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186,595,010</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Assets—(34.4)%</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8"/>
              </w:rPr>
              <w:t>(47,715,525)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138,879,485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30"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40" w:type="dxa"/>
            <w:vAlign w:val="bottom"/>
          </w:tcPr>
          <w:p>
            <w:pPr>
              <w:jc w:val="right"/>
              <w:ind w:right="353"/>
              <w:spacing w:after="0" w:line="135" w:lineRule="exact"/>
              <w:rPr>
                <w:sz w:val="20"/>
                <w:szCs w:val="20"/>
                <w:color w:val="auto"/>
              </w:rPr>
            </w:pPr>
            <w:r>
              <w:rPr>
                <w:rFonts w:ascii="Arial" w:cs="Arial" w:eastAsia="Arial" w:hAnsi="Arial"/>
                <w:sz w:val="14"/>
                <w:szCs w:val="14"/>
                <w:b w:val="1"/>
                <w:bCs w:val="1"/>
                <w:color w:val="auto"/>
              </w:rPr>
              <w:t>Current</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Par /</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80" w:type="dxa"/>
            <w:vAlign w:val="bottom"/>
          </w:tcPr>
          <w:p>
            <w:pPr>
              <w:ind w:left="560"/>
              <w:spacing w:after="0"/>
              <w:rPr>
                <w:sz w:val="20"/>
                <w:szCs w:val="20"/>
                <w:color w:val="auto"/>
              </w:rPr>
            </w:pPr>
            <w:r>
              <w:rPr>
                <w:rFonts w:ascii="Arial" w:cs="Arial" w:eastAsia="Arial" w:hAnsi="Arial"/>
                <w:sz w:val="14"/>
                <w:szCs w:val="14"/>
                <w:b w:val="1"/>
                <w:bCs w:val="1"/>
                <w:color w:val="auto"/>
              </w:rPr>
              <w:t>Maturity</w:t>
            </w:r>
          </w:p>
        </w:tc>
        <w:tc>
          <w:tcPr>
            <w:tcW w:w="222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9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2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5"/>
                <w:szCs w:val="15"/>
                <w:b w:val="1"/>
                <w:bCs w:val="1"/>
                <w:color w:val="auto"/>
                <w:vertAlign w:val="superscript"/>
              </w:rPr>
              <w:t>(3),(4)</w:t>
            </w: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Debt—156.9%</w:t>
            </w:r>
          </w:p>
        </w:tc>
        <w:tc>
          <w:tcPr>
            <w:tcW w:w="12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03/25/2015</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L+800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214,286</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7"/>
              </w:rPr>
              <w:t>$  214,838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214,018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Archipelago Learning, Inc.</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05/17/2018</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7.50%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L+600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987,500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959,574</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10/06/2016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2,977,500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2,937,079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2,962,613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11/22/2017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2,943,750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2,888,381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2,960,309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07/31/2017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985,747</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Coat Systems,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02/15/2018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3,975,000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3,902,979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4,014,750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C.H.I. Overhead Doors,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08/17/2017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3,866,119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3,801,408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3,859,675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03/19/2018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3,733,125</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3,673,063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3,677,128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12/01/2016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981,827</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08/29/2017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L+900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3,980,000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3,904,846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4,109,350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07/28/2017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P+350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950,104</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946,081</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945,353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04/20/2018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L+625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3,990,000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3,952,867</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4,009,950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05/18/2018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1,975,762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2,004,975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05/02/2018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2,884,003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11/30/2017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2,977,500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2,898,672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2,977,500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07/02/2018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1,956,496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2,012,456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09/02/2019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9.63%</w:t>
            </w:r>
          </w:p>
        </w:tc>
        <w:tc>
          <w:tcPr>
            <w:tcW w:w="90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3,000,000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05/27/2016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2,956,829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2,933,351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2,934,653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11/30/2017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4,962,500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4,742,008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4,925,281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04/01/2019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2,985,000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2,929,228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2,992,463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Howard Berger Co. LLC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08/03/2017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Wholesale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2,743,125</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2,702,953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2,715,694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03/30/2017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11.50%</w:t>
            </w:r>
          </w:p>
        </w:tc>
        <w:tc>
          <w:tcPr>
            <w:tcW w:w="90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1,963,159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Ikaria Acquisition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06/22/2016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1,691,500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1,649,000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08/07/2014</w:t>
            </w:r>
          </w:p>
        </w:tc>
        <w:tc>
          <w:tcPr>
            <w:tcW w:w="2220" w:type="dxa"/>
            <w:vAlign w:val="bottom"/>
            <w:shd w:val="clear" w:color="auto" w:fill="CCEEFF"/>
          </w:tcPr>
          <w:p>
            <w:pPr>
              <w:jc w:val="center"/>
              <w:ind w:right="12"/>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40" w:type="dxa"/>
            <w:vAlign w:val="bottom"/>
            <w:shd w:val="clear" w:color="auto" w:fill="CCEEFF"/>
          </w:tcPr>
          <w:p>
            <w:pPr>
              <w:jc w:val="right"/>
              <w:ind w:right="3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L+338</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6,836,508</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3"/>
              </w:rPr>
              <w:t>6,534,349</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5,247,020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ind w:right="1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09/10/2015</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5,476,250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5,512,699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5,558,394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06/02/2014</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4,937,500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4,845,282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4,863,438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06/19/2017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1,844,649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1,821,373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1,766,252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MModal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08/16/2019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3,400,000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3,349,374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3,351,125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05/07/2018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3,950,000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3,916,596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3,921,611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12/23/2016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2,887,500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2,826,368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MX USA, Inc. and KAN-DI-KI, LLC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05/01/2017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2,943,607</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2,955,150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3500" w:type="dxa"/>
            <w:vAlign w:val="bottom"/>
            <w:gridSpan w:val="2"/>
            <w:shd w:val="clear" w:color="auto" w:fill="CCEEFF"/>
          </w:tcPr>
          <w:p>
            <w:pPr>
              <w:ind w:left="520"/>
              <w:spacing w:after="0" w:line="138" w:lineRule="exact"/>
              <w:rPr>
                <w:sz w:val="20"/>
                <w:szCs w:val="20"/>
                <w:color w:val="auto"/>
              </w:rPr>
            </w:pPr>
            <w:r>
              <w:rPr>
                <w:rFonts w:ascii="Arial" w:cs="Arial" w:eastAsia="Arial" w:hAnsi="Arial"/>
                <w:sz w:val="14"/>
                <w:szCs w:val="14"/>
                <w:color w:val="auto"/>
                <w:w w:val="92"/>
              </w:rPr>
              <w:t>04/24/2018   Banking, Finance, Insurance and Real</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987,500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973,817</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997,375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0"/>
              </w:rPr>
              <w:t>Estate</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Pelican Products,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07/11/2018</w:t>
            </w:r>
          </w:p>
        </w:tc>
        <w:tc>
          <w:tcPr>
            <w:tcW w:w="222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1,496,250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1,467,389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1,492,509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08/01/2014</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5.00%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L+400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5,497,407</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3"/>
              </w:rPr>
              <w:t>4,931,995</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4,439,156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(PIK 1.00 %)</w:t>
            </w: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05/08/2017</w:t>
            </w:r>
          </w:p>
        </w:tc>
        <w:tc>
          <w:tcPr>
            <w:tcW w:w="222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1,975,000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1,958,715</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1,967,594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07/06/2017</w:t>
            </w:r>
          </w:p>
        </w:tc>
        <w:tc>
          <w:tcPr>
            <w:tcW w:w="2220" w:type="dxa"/>
            <w:vAlign w:val="bottom"/>
            <w:shd w:val="clear" w:color="auto" w:fill="CCEEFF"/>
          </w:tcPr>
          <w:p>
            <w:pPr>
              <w:jc w:val="center"/>
              <w:ind w:right="12"/>
              <w:spacing w:after="0" w:line="149" w:lineRule="exact"/>
              <w:rPr>
                <w:sz w:val="20"/>
                <w:szCs w:val="20"/>
                <w:color w:val="auto"/>
              </w:rPr>
            </w:pPr>
            <w:r>
              <w:rPr>
                <w:rFonts w:ascii="Arial" w:cs="Arial" w:eastAsia="Arial" w:hAnsi="Arial"/>
                <w:sz w:val="14"/>
                <w:szCs w:val="14"/>
                <w:color w:val="auto"/>
                <w:w w:val="89"/>
              </w:rPr>
              <w:t>Capital Equipment</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978,077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970,036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280" w:type="dxa"/>
            <w:vAlign w:val="bottom"/>
          </w:tcPr>
          <w:p>
            <w:pPr>
              <w:ind w:left="520"/>
              <w:spacing w:after="0" w:line="138" w:lineRule="exact"/>
              <w:rPr>
                <w:sz w:val="20"/>
                <w:szCs w:val="20"/>
                <w:color w:val="auto"/>
              </w:rPr>
            </w:pPr>
            <w:r>
              <w:rPr>
                <w:rFonts w:ascii="Arial" w:cs="Arial" w:eastAsia="Arial" w:hAnsi="Arial"/>
                <w:sz w:val="14"/>
                <w:szCs w:val="14"/>
                <w:color w:val="auto"/>
              </w:rPr>
              <w:t>10/19/2017</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L+625</w:t>
            </w:r>
          </w:p>
        </w:tc>
        <w:tc>
          <w:tcPr>
            <w:tcW w:w="90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1,980,000</w:t>
            </w:r>
          </w:p>
        </w:tc>
        <w:tc>
          <w:tcPr>
            <w:tcW w:w="200" w:type="dxa"/>
            <w:vAlign w:val="bottom"/>
          </w:tcPr>
          <w:p>
            <w:pPr>
              <w:spacing w:after="0"/>
              <w:rPr>
                <w:sz w:val="11"/>
                <w:szCs w:val="11"/>
                <w:color w:val="auto"/>
              </w:rPr>
            </w:pP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93"/>
              </w:rPr>
              <w:t>1,909,788</w:t>
            </w:r>
          </w:p>
        </w:tc>
        <w:tc>
          <w:tcPr>
            <w:tcW w:w="1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1,994,850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88"/>
              </w:rPr>
              <w:t>Subscription</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02/08/2018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3,970,000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3,898,141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Sabre Industries,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08/24/2018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2,955,509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2,973,126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05/31/2017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2,962,500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2,938,182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2,960,648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Seven Seas Cruises S. DE R.L.</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12/21/2018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1,485,300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04/21/2017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2,962,512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2,939,052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01/29/2018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147,935</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01/29/2018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13.50%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L+1,200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1,875,000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1,823,914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10/27/2017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992,500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958,036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04/16/2018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1,935,550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1,950,113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06/19/2017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2,962,500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2,938,318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06/02/2017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1,481,250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1,474,945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1,466,438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Vantage Specialties,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02/09/2018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2,930,559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2,999,925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04/19/2016</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4,187,556</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3"/>
              </w:rPr>
              <w:t>4,147,483</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ind w:right="1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Virtual Radiologic Corporation</w:t>
            </w:r>
          </w:p>
        </w:tc>
        <w:tc>
          <w:tcPr>
            <w:tcW w:w="1280" w:type="dxa"/>
            <w:vAlign w:val="bottom"/>
          </w:tcPr>
          <w:p>
            <w:pPr>
              <w:ind w:left="520"/>
              <w:spacing w:after="0"/>
              <w:rPr>
                <w:sz w:val="20"/>
                <w:szCs w:val="20"/>
                <w:color w:val="auto"/>
              </w:rPr>
            </w:pPr>
            <w:r>
              <w:rPr>
                <w:rFonts w:ascii="Arial" w:cs="Arial" w:eastAsia="Arial" w:hAnsi="Arial"/>
                <w:sz w:val="14"/>
                <w:szCs w:val="14"/>
                <w:color w:val="auto"/>
              </w:rPr>
              <w:t>12/22/2016</w:t>
            </w:r>
          </w:p>
        </w:tc>
        <w:tc>
          <w:tcPr>
            <w:tcW w:w="22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rPr>
                <w:sz w:val="20"/>
                <w:szCs w:val="20"/>
                <w:color w:val="auto"/>
              </w:rPr>
            </w:pPr>
            <w:r>
              <w:rPr>
                <w:rFonts w:ascii="Arial" w:cs="Arial" w:eastAsia="Arial" w:hAnsi="Arial"/>
                <w:sz w:val="14"/>
                <w:szCs w:val="14"/>
                <w:color w:val="auto"/>
              </w:rPr>
              <w:t>P+450</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2,970,000</w:t>
            </w: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2,940,842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2,643,300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12"/>
              <w:spacing w:after="0" w:line="135" w:lineRule="exact"/>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Par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94"/>
              </w:rPr>
              <w:t>Coupon</w:t>
            </w:r>
          </w:p>
        </w:tc>
        <w:tc>
          <w:tcPr>
            <w:tcW w:w="82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W3 CO.</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10/31/2017</w:t>
            </w:r>
          </w:p>
        </w:tc>
        <w:tc>
          <w:tcPr>
            <w:tcW w:w="10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Energy: Oil and Gas</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w:t>
            </w:r>
          </w:p>
        </w:tc>
        <w:tc>
          <w:tcPr>
            <w:tcW w:w="320" w:type="dxa"/>
            <w:vAlign w:val="bottom"/>
            <w:tcBorders>
              <w:top w:val="single" w:sz="8" w:color="CCEEFF"/>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L+625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1,985,000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1,916,035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1,982,519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Consumer Goods: Durable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3,465,000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3,456,338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Environmental Industries</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11.38%</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150,209,747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Metals and Mining</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11.50%</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12.13%</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Utilities: Water</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tcPr>
          <w:p>
            <w:pPr>
              <w:spacing w:after="0"/>
              <w:rPr>
                <w:sz w:val="13"/>
                <w:szCs w:val="13"/>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9.13%</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11,608,643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12,025,500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11.63%</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13.00%</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0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gridSpan w:val="2"/>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14.25%</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4,508,719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4,508,719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4"/>
                <w:szCs w:val="14"/>
                <w:color w:val="auto"/>
                <w:w w:val="93"/>
              </w:rPr>
              <w:t>(PIK 2.25 %)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9,194,181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8,296,719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3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4"/>
              </w:rPr>
              <w:t>Beverage, Food and Tobacco</w:t>
            </w:r>
          </w:p>
        </w:tc>
        <w:tc>
          <w:tcPr>
            <w:tcW w:w="920" w:type="dxa"/>
            <w:vAlign w:val="bottom"/>
            <w:gridSpan w:val="2"/>
          </w:tcPr>
          <w:p>
            <w:pPr>
              <w:jc w:val="right"/>
              <w:ind w:right="132"/>
              <w:spacing w:after="0" w:line="138"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176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110,697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200,571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3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Telecommunications</w:t>
            </w:r>
          </w:p>
        </w:tc>
        <w:tc>
          <w:tcPr>
            <w:tcW w:w="920" w:type="dxa"/>
            <w:vAlign w:val="bottom"/>
            <w:gridSpan w:val="2"/>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401,797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401,450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1,091,018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23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gridSpan w:val="2"/>
            <w:shd w:val="clear" w:color="auto" w:fill="CCEEFF"/>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10,845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1,101,863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9"/>
              </w:rPr>
              <w:t>Total Investments in Non-Controlled, Non-Affiliated Portfolio</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171,578,009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w w:val="89"/>
              </w:rPr>
              <w:t>171,834,400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175,423,812</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175,680,203</w:t>
            </w: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3"/>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230"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10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9" w:lineRule="exact"/>
        <w:rPr>
          <w:sz w:val="20"/>
          <w:szCs w:val="20"/>
          <w:color w:val="auto"/>
        </w:rPr>
      </w:pPr>
    </w:p>
    <w:p>
      <w:pPr>
        <w:ind w:firstLine="799"/>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2" w:lineRule="exact"/>
        <w:rPr>
          <w:sz w:val="20"/>
          <w:szCs w:val="20"/>
          <w:color w:val="auto"/>
        </w:rPr>
      </w:pPr>
    </w:p>
    <w:p>
      <w:pPr>
        <w:jc w:val="both"/>
        <w:ind w:right="20" w:firstLine="799"/>
        <w:spacing w:after="0" w:line="28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1" w:lineRule="exact"/>
        <w:rPr>
          <w:sz w:val="20"/>
          <w:szCs w:val="20"/>
          <w:color w:val="auto"/>
        </w:rPr>
      </w:pPr>
    </w:p>
    <w:p>
      <w:pPr>
        <w:ind w:right="360" w:firstLine="799"/>
        <w:spacing w:after="0" w:line="318" w:lineRule="auto"/>
        <w:rPr>
          <w:sz w:val="20"/>
          <w:szCs w:val="20"/>
          <w:color w:val="auto"/>
        </w:rPr>
      </w:pPr>
      <w:r>
        <w:rPr>
          <w:rFonts w:ascii="Arial" w:cs="Arial" w:eastAsia="Arial" w:hAnsi="Arial"/>
          <w:sz w:val="12"/>
          <w:szCs w:val="12"/>
          <w:color w:val="auto"/>
        </w:rPr>
        <w:t>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 See Note 11.</w:t>
      </w:r>
    </w:p>
    <w:p>
      <w:pPr>
        <w:spacing w:after="0" w:line="94" w:lineRule="exact"/>
        <w:rPr>
          <w:sz w:val="20"/>
          <w:szCs w:val="20"/>
          <w:color w:val="auto"/>
        </w:rPr>
      </w:pPr>
    </w:p>
    <w:p>
      <w:pPr>
        <w:ind w:right="140" w:firstLine="799"/>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right="100" w:firstLine="799"/>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owing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right="20" w:firstLine="799"/>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40" w:lineRule="exact"/>
        <w:rPr>
          <w:sz w:val="20"/>
          <w:szCs w:val="20"/>
          <w:color w:val="auto"/>
        </w:rPr>
      </w:pPr>
    </w:p>
    <w:p>
      <w:pPr>
        <w:ind w:right="200" w:firstLine="799"/>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69"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0"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3" w:lineRule="exact"/>
        <w:rPr>
          <w:sz w:val="20"/>
          <w:szCs w:val="20"/>
          <w:color w:val="auto"/>
        </w:rPr>
      </w:pPr>
    </w:p>
    <w:p>
      <w:pPr>
        <w:ind w:right="200" w:firstLine="799"/>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1380" w:right="160" w:hanging="346"/>
        <w:spacing w:after="0" w:line="239" w:lineRule="auto"/>
        <w:tabs>
          <w:tab w:leader="none" w:pos="13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1380" w:hanging="346"/>
        <w:spacing w:after="0"/>
        <w:tabs>
          <w:tab w:leader="none" w:pos="13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1380" w:hanging="346"/>
        <w:spacing w:after="0" w:line="288" w:lineRule="auto"/>
        <w:tabs>
          <w:tab w:leader="none" w:pos="1380" w:val="left"/>
        </w:tabs>
        <w:numPr>
          <w:ilvl w:val="1"/>
          <w:numId w:val="77"/>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1380" w:right="80" w:hanging="346"/>
        <w:spacing w:after="0" w:line="239" w:lineRule="auto"/>
        <w:tabs>
          <w:tab w:leader="none" w:pos="13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1380" w:right="460" w:hanging="346"/>
        <w:spacing w:after="0" w:line="239" w:lineRule="auto"/>
        <w:tabs>
          <w:tab w:leader="none" w:pos="13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9" w:lineRule="exact"/>
        <w:rPr>
          <w:rFonts w:ascii="Arial" w:cs="Arial" w:eastAsia="Arial" w:hAnsi="Arial"/>
          <w:sz w:val="14"/>
          <w:szCs w:val="14"/>
          <w:color w:val="auto"/>
        </w:rPr>
      </w:pPr>
    </w:p>
    <w:p>
      <w:pPr>
        <w:ind w:left="540" w:hanging="190"/>
        <w:spacing w:after="0"/>
        <w:tabs>
          <w:tab w:leader="none" w:pos="540" w:val="left"/>
        </w:tabs>
        <w:numPr>
          <w:ilvl w:val="0"/>
          <w:numId w:val="7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69"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right="240" w:firstLine="799"/>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69" w:lineRule="exact"/>
        <w:rPr>
          <w:sz w:val="20"/>
          <w:szCs w:val="20"/>
          <w:color w:val="auto"/>
        </w:rPr>
      </w:pPr>
    </w:p>
    <w:p>
      <w:pPr>
        <w:ind w:right="60" w:firstLine="799"/>
        <w:spacing w:after="0" w:line="273" w:lineRule="auto"/>
        <w:rPr>
          <w:sz w:val="20"/>
          <w:szCs w:val="20"/>
          <w:color w:val="auto"/>
        </w:rPr>
      </w:pPr>
      <w:r>
        <w:rPr>
          <w:rFonts w:ascii="Arial" w:cs="Arial" w:eastAsia="Arial" w:hAnsi="Arial"/>
          <w:sz w:val="12"/>
          <w:szCs w:val="12"/>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six months ended March 31, 2013 and 2012, respectively.</w:t>
      </w:r>
    </w:p>
    <w:p>
      <w:pPr>
        <w:spacing w:after="0" w:line="120" w:lineRule="exact"/>
        <w:rPr>
          <w:sz w:val="20"/>
          <w:szCs w:val="20"/>
          <w:color w:val="auto"/>
        </w:rPr>
      </w:pPr>
    </w:p>
    <w:p>
      <w:pPr>
        <w:ind w:right="80" w:firstLine="799"/>
        <w:spacing w:after="0" w:line="230"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39" w:lineRule="exact"/>
        <w:rPr>
          <w:sz w:val="20"/>
          <w:szCs w:val="20"/>
          <w:color w:val="auto"/>
        </w:rPr>
      </w:pPr>
    </w:p>
    <w:p>
      <w:pPr>
        <w:ind w:right="100" w:firstLine="799"/>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69" w:lineRule="exact"/>
        <w:rPr>
          <w:sz w:val="20"/>
          <w:szCs w:val="20"/>
          <w:color w:val="auto"/>
        </w:rPr>
      </w:pPr>
    </w:p>
    <w:p>
      <w:pPr>
        <w:ind w:right="320" w:firstLine="799"/>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w:t>
      </w:r>
    </w:p>
    <w:p>
      <w:pPr>
        <w:spacing w:after="0" w:line="139" w:lineRule="exact"/>
        <w:rPr>
          <w:sz w:val="20"/>
          <w:szCs w:val="20"/>
          <w:color w:val="auto"/>
        </w:rPr>
      </w:pPr>
    </w:p>
    <w:p>
      <w:pPr>
        <w:ind w:right="40" w:firstLine="799"/>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69" w:lineRule="exact"/>
        <w:rPr>
          <w:sz w:val="20"/>
          <w:szCs w:val="20"/>
          <w:color w:val="auto"/>
        </w:rPr>
      </w:pPr>
    </w:p>
    <w:p>
      <w:pPr>
        <w:jc w:val="both"/>
        <w:ind w:right="100" w:firstLine="799"/>
        <w:spacing w:after="0" w:line="233" w:lineRule="auto"/>
        <w:rPr>
          <w:sz w:val="20"/>
          <w:szCs w:val="20"/>
          <w:color w:val="auto"/>
        </w:rPr>
      </w:pPr>
      <w:r>
        <w:rPr>
          <w:rFonts w:ascii="Arial" w:cs="Arial" w:eastAsia="Arial" w:hAnsi="Arial"/>
          <w:sz w:val="14"/>
          <w:szCs w:val="14"/>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creditors of Funding I have received a security interest in all its assets and are not intended to be available to the creditors of PennantPark Floating Rate Capital Ltd. or any affiliate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right="100" w:firstLine="799"/>
        <w:spacing w:after="0" w:line="228"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40"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799"/>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firstLine="799"/>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and six months ended March 31, 2013 and 2012, the Investment Adviser did not earn a performance based incentive fee on capital gains as calculated under the Investment Management Agreement.</w:t>
      </w:r>
    </w:p>
    <w:p>
      <w:pPr>
        <w:spacing w:after="0" w:line="117" w:lineRule="exact"/>
        <w:rPr>
          <w:sz w:val="20"/>
          <w:szCs w:val="20"/>
          <w:color w:val="auto"/>
        </w:rPr>
      </w:pPr>
    </w:p>
    <w:p>
      <w:pPr>
        <w:ind w:right="160" w:firstLine="799"/>
        <w:spacing w:after="0" w:line="266"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w:t>
      </w:r>
    </w:p>
    <w:p>
      <w:pPr>
        <w:spacing w:after="0" w:line="127" w:lineRule="exact"/>
        <w:rPr>
          <w:sz w:val="20"/>
          <w:szCs w:val="20"/>
          <w:color w:val="auto"/>
        </w:rPr>
      </w:pPr>
    </w:p>
    <w:p>
      <w:pPr>
        <w:ind w:firstLine="799"/>
        <w:spacing w:after="0" w:line="267"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w:t>
      </w:r>
    </w:p>
    <w:p>
      <w:pPr>
        <w:spacing w:after="0" w:line="276" w:lineRule="exact"/>
        <w:rPr>
          <w:sz w:val="20"/>
          <w:szCs w:val="20"/>
          <w:color w:val="auto"/>
        </w:rPr>
      </w:pPr>
    </w:p>
    <w:p>
      <w:pPr>
        <w:ind w:right="80" w:firstLine="799"/>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right="40" w:firstLine="799"/>
        <w:spacing w:after="0" w:line="288" w:lineRule="auto"/>
        <w:rPr>
          <w:sz w:val="20"/>
          <w:szCs w:val="20"/>
          <w:color w:val="auto"/>
        </w:rPr>
      </w:pPr>
      <w:r>
        <w:rPr>
          <w:rFonts w:ascii="Arial" w:cs="Arial" w:eastAsia="Arial" w:hAnsi="Arial"/>
          <w:sz w:val="12"/>
          <w:szCs w:val="12"/>
          <w:color w:val="auto"/>
        </w:rPr>
        <w:t>Purchases of long-term investments, including PIK, for the three and six months ended March 31, 2013 totaled $45.1 million and $84.1 million, respectively. For the same periods in the prior year, purchases of long-term investments, including PIK, totaled $32.9 million and $72.3 million, respectively. Sales and repayments of long-term investments for the three and six months ended March 31, 2013 totaled $43.9 million and $74.2 million, respectively. For the same periods in the prior year, sales and repayments of long-term investments totaled $19.3 million and $41.6 million, respectively.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4920" w:type="dxa"/>
            <w:vAlign w:val="bottom"/>
            <w:gridSpan w:val="4"/>
          </w:tcPr>
          <w:p>
            <w:pPr>
              <w:ind w:left="340"/>
              <w:spacing w:after="0"/>
              <w:rPr>
                <w:sz w:val="20"/>
                <w:szCs w:val="20"/>
                <w:color w:val="auto"/>
              </w:rPr>
            </w:pPr>
            <w:r>
              <w:rPr>
                <w:rFonts w:ascii="Arial" w:cs="Arial" w:eastAsia="Arial" w:hAnsi="Arial"/>
                <w:sz w:val="14"/>
                <w:szCs w:val="14"/>
                <w:color w:val="auto"/>
              </w:rPr>
              <w:t>Investments and cash equivalents consisted of the following:</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60" w:type="dxa"/>
            <w:vAlign w:val="bottom"/>
            <w:vMerge w:val="restart"/>
          </w:tcPr>
          <w:p>
            <w:pPr>
              <w:spacing w:after="0"/>
              <w:rPr>
                <w:sz w:val="24"/>
                <w:szCs w:val="2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Investment Classification</w:t>
            </w:r>
          </w:p>
        </w:tc>
        <w:tc>
          <w:tcPr>
            <w:tcW w:w="3360" w:type="dxa"/>
            <w:vAlign w:val="bottom"/>
            <w:gridSpan w:val="2"/>
            <w:vMerge w:val="restart"/>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6"/>
          </w:tcPr>
          <w:p>
            <w:pPr>
              <w:ind w:left="42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640"/>
              <w:spacing w:after="0" w:line="129" w:lineRule="exact"/>
              <w:rPr>
                <w:sz w:val="20"/>
                <w:szCs w:val="20"/>
                <w:color w:val="auto"/>
              </w:rPr>
            </w:pPr>
            <w:r>
              <w:rPr>
                <w:rFonts w:ascii="Arial" w:cs="Arial" w:eastAsia="Arial" w:hAnsi="Arial"/>
                <w:sz w:val="14"/>
                <w:szCs w:val="14"/>
                <w:b w:val="1"/>
                <w:bCs w:val="1"/>
                <w:color w:val="auto"/>
              </w:rPr>
              <w:t>Cost</w:t>
            </w:r>
          </w:p>
        </w:tc>
        <w:tc>
          <w:tcPr>
            <w:tcW w:w="78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Cost</w:t>
            </w: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Fair Value</w:t>
            </w:r>
          </w:p>
        </w:tc>
        <w:tc>
          <w:tcPr>
            <w:tcW w:w="3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4920" w:type="dxa"/>
            <w:vAlign w:val="bottom"/>
            <w:tcBorders>
              <w:top w:val="single" w:sz="8" w:color="CCEEFF"/>
            </w:tcBorders>
            <w:gridSpan w:val="4"/>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12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$ 159,997,444</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$ 159,682,263</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$ 150,258,038</w:t>
            </w:r>
          </w:p>
        </w:tc>
        <w:tc>
          <w:tcPr>
            <w:tcW w:w="3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$ 150,209,747</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tcPr>
          <w:p>
            <w:pPr>
              <w:spacing w:after="0" w:line="149" w:lineRule="exact"/>
              <w:rPr>
                <w:sz w:val="20"/>
                <w:szCs w:val="20"/>
                <w:color w:val="auto"/>
              </w:rPr>
            </w:pPr>
            <w:r>
              <w:rPr>
                <w:rFonts w:ascii="Arial" w:cs="Arial" w:eastAsia="Arial" w:hAnsi="Arial"/>
                <w:sz w:val="14"/>
                <w:szCs w:val="14"/>
                <w:color w:val="auto"/>
              </w:rPr>
              <w:t>Second lien</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9,997,477</w:t>
            </w:r>
          </w:p>
        </w:tc>
        <w:tc>
          <w:tcPr>
            <w:tcW w:w="38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10,347,423</w:t>
            </w:r>
          </w:p>
        </w:tc>
        <w:tc>
          <w:tcPr>
            <w:tcW w:w="124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11,608,643</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12,858,238</w:t>
            </w:r>
          </w:p>
        </w:tc>
        <w:tc>
          <w:tcPr>
            <w:tcW w:w="3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11,904,164</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3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8,296,719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920" w:type="dxa"/>
            <w:vAlign w:val="bottom"/>
            <w:gridSpan w:val="4"/>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28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683,814</w:t>
            </w:r>
          </w:p>
        </w:tc>
        <w:tc>
          <w:tcPr>
            <w:tcW w:w="38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1,935,912</w:t>
            </w:r>
          </w:p>
        </w:tc>
        <w:tc>
          <w:tcPr>
            <w:tcW w:w="2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517,147</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2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183,536,973</w:t>
            </w:r>
          </w:p>
        </w:tc>
        <w:tc>
          <w:tcPr>
            <w:tcW w:w="38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183,869,762</w:t>
            </w:r>
          </w:p>
        </w:tc>
        <w:tc>
          <w:tcPr>
            <w:tcW w:w="2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171,578,009</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171,834,400</w:t>
            </w:r>
          </w:p>
        </w:tc>
        <w:tc>
          <w:tcPr>
            <w:tcW w:w="80" w:type="dxa"/>
            <w:vAlign w:val="bottom"/>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80" w:type="dxa"/>
            <w:vAlign w:val="bottom"/>
            <w:gridSpan w:val="5"/>
          </w:tcPr>
          <w:p>
            <w:pPr>
              <w:ind w:left="460"/>
              <w:spacing w:after="0" w:line="155" w:lineRule="exact"/>
              <w:rPr>
                <w:sz w:val="20"/>
                <w:szCs w:val="20"/>
                <w:color w:val="auto"/>
              </w:rPr>
            </w:pPr>
            <w:r>
              <w:rPr>
                <w:rFonts w:ascii="Arial" w:cs="Arial" w:eastAsia="Arial" w:hAnsi="Arial"/>
                <w:sz w:val="14"/>
                <w:szCs w:val="14"/>
                <w:color w:val="auto"/>
              </w:rPr>
              <w:t>Cash equivalents</w:t>
            </w:r>
          </w:p>
        </w:tc>
        <w:tc>
          <w:tcPr>
            <w:tcW w:w="12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2,725,248</w:t>
            </w:r>
          </w:p>
        </w:tc>
        <w:tc>
          <w:tcPr>
            <w:tcW w:w="3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2,725,248</w:t>
            </w:r>
          </w:p>
        </w:tc>
        <w:tc>
          <w:tcPr>
            <w:tcW w:w="2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$ 186,262,221</w:t>
            </w:r>
          </w:p>
        </w:tc>
        <w:tc>
          <w:tcPr>
            <w:tcW w:w="3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4"/>
              </w:rPr>
              <w:t>$ 186,595,010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$ 175,423,812</w:t>
            </w:r>
          </w:p>
        </w:tc>
        <w:tc>
          <w:tcPr>
            <w:tcW w:w="3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$ 175,680,203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60" w:type="dxa"/>
            <w:vAlign w:val="bottom"/>
          </w:tcPr>
          <w:p>
            <w:pPr>
              <w:spacing w:after="0"/>
              <w:rPr>
                <w:sz w:val="24"/>
                <w:szCs w:val="24"/>
                <w:color w:val="auto"/>
              </w:rPr>
            </w:pPr>
          </w:p>
        </w:tc>
        <w:tc>
          <w:tcPr>
            <w:tcW w:w="10780" w:type="dxa"/>
            <w:vAlign w:val="bottom"/>
            <w:gridSpan w:val="19"/>
          </w:tcPr>
          <w:p>
            <w:pPr>
              <w:ind w:left="340"/>
              <w:spacing w:after="0"/>
              <w:rPr>
                <w:sz w:val="20"/>
                <w:szCs w:val="20"/>
                <w:color w:val="auto"/>
              </w:rPr>
            </w:pPr>
            <w:r>
              <w:rPr>
                <w:rFonts w:ascii="Arial" w:cs="Arial" w:eastAsia="Arial" w:hAnsi="Arial"/>
                <w:sz w:val="14"/>
                <w:szCs w:val="14"/>
                <w:color w:val="auto"/>
                <w:w w:val="86"/>
              </w:rPr>
              <w:t>The table below describes investments by industry classification and enumerates the percentage, by fair value, of the total portfolio assets (excluding cash equivalents) in such industries were as</w:t>
            </w:r>
          </w:p>
        </w:tc>
        <w:tc>
          <w:tcPr>
            <w:tcW w:w="0" w:type="dxa"/>
            <w:vAlign w:val="bottom"/>
          </w:tcPr>
          <w:p>
            <w:pPr>
              <w:spacing w:after="0"/>
              <w:rPr>
                <w:sz w:val="1"/>
                <w:szCs w:val="1"/>
                <w:color w:val="auto"/>
              </w:rPr>
            </w:pPr>
          </w:p>
        </w:tc>
      </w:tr>
      <w:tr>
        <w:trPr>
          <w:trHeight w:val="172"/>
        </w:trPr>
        <w:tc>
          <w:tcPr>
            <w:tcW w:w="5380" w:type="dxa"/>
            <w:vAlign w:val="bottom"/>
            <w:gridSpan w:val="5"/>
          </w:tcPr>
          <w:p>
            <w:pPr>
              <w:spacing w:after="0"/>
              <w:rPr>
                <w:sz w:val="20"/>
                <w:szCs w:val="20"/>
                <w:color w:val="auto"/>
              </w:rPr>
            </w:pPr>
            <w:r>
              <w:rPr>
                <w:rFonts w:ascii="Arial" w:cs="Arial" w:eastAsia="Arial" w:hAnsi="Arial"/>
                <w:sz w:val="14"/>
                <w:szCs w:val="14"/>
                <w:color w:val="auto"/>
              </w:rPr>
              <w:t>follows:</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492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Industry Classification</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92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March 31, 2013</w:t>
            </w:r>
          </w:p>
        </w:tc>
        <w:tc>
          <w:tcPr>
            <w:tcW w:w="124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w w:val="85"/>
              </w:rPr>
              <w:t>September 30, 2012</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Hotel, Gaming and Leisure</w:t>
            </w:r>
          </w:p>
        </w:tc>
        <w:tc>
          <w:tcPr>
            <w:tcW w:w="1700" w:type="dxa"/>
            <w:vAlign w:val="bottom"/>
            <w:gridSpan w:val="2"/>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Consumer Services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Business Services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Telecommunications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Consumer Goods: Durable</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Metals and Mining</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Transportation: Consumer</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Aerospace and Defense</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Wholesale</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700" w:type="dxa"/>
            <w:vAlign w:val="bottom"/>
            <w:gridSpan w:val="2"/>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340" w:type="dxa"/>
            <w:vAlign w:val="bottom"/>
            <w:tcBorders>
              <w:bottom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920" w:type="dxa"/>
            <w:vAlign w:val="bottom"/>
            <w:gridSpan w:val="4"/>
          </w:tcPr>
          <w:p>
            <w:pPr>
              <w:ind w:left="920"/>
              <w:spacing w:after="0" w:line="155" w:lineRule="exact"/>
              <w:rPr>
                <w:sz w:val="20"/>
                <w:szCs w:val="20"/>
                <w:color w:val="auto"/>
              </w:rPr>
            </w:pPr>
            <w:r>
              <w:rPr>
                <w:rFonts w:ascii="Arial" w:cs="Arial" w:eastAsia="Arial" w:hAnsi="Arial"/>
                <w:sz w:val="14"/>
                <w:szCs w:val="14"/>
                <w:color w:val="auto"/>
              </w:rPr>
              <w:t>Total</w:t>
            </w:r>
          </w:p>
        </w:tc>
        <w:tc>
          <w:tcPr>
            <w:tcW w:w="242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100%</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00" w:right="960" w:hanging="580"/>
        <w:spacing w:after="0" w:line="318" w:lineRule="auto"/>
        <w:tabs>
          <w:tab w:leader="none" w:pos="14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jc w:val="center"/>
        <w:ind w:right="60"/>
        <w:spacing w:after="0"/>
        <w:tabs>
          <w:tab w:leader="none" w:pos="1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100" w:firstLine="799"/>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799"/>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200" w:firstLine="799"/>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799"/>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2013, our ability to observe valuation inputs resulted in reclassification of assets from Level 3 to 2 and we had no other transfers between levels. This compares to the six months ended March 31, 2012, which resulted in no reclassification of assets from Levels 1, 2 or 3.</w:t>
      </w:r>
    </w:p>
    <w:p>
      <w:pPr>
        <w:spacing w:after="0" w:line="139" w:lineRule="exact"/>
        <w:rPr>
          <w:sz w:val="20"/>
          <w:szCs w:val="20"/>
          <w:color w:val="auto"/>
        </w:rPr>
      </w:pPr>
    </w:p>
    <w:p>
      <w:pPr>
        <w:ind w:right="40" w:firstLine="799"/>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jc w:val="both"/>
        <w:ind w:right="20" w:firstLine="799"/>
        <w:spacing w:after="0" w:line="233" w:lineRule="auto"/>
        <w:rPr>
          <w:sz w:val="20"/>
          <w:szCs w:val="20"/>
          <w:color w:val="auto"/>
        </w:rPr>
      </w:pPr>
      <w:r>
        <w:rPr>
          <w:rFonts w:ascii="Arial" w:cs="Arial" w:eastAsia="Arial" w:hAnsi="Arial"/>
          <w:sz w:val="14"/>
          <w:szCs w:val="14"/>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340"/>
          </w:cols>
          <w:pgMar w:left="240" w:top="459" w:right="3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799"/>
        <w:spacing w:after="0" w:line="266" w:lineRule="auto"/>
        <w:rPr>
          <w:sz w:val="20"/>
          <w:szCs w:val="20"/>
          <w:color w:val="auto"/>
        </w:rPr>
      </w:pPr>
      <w:r>
        <w:rPr>
          <w:rFonts w:ascii="Arial" w:cs="Arial" w:eastAsia="Arial" w:hAnsi="Arial"/>
          <w:sz w:val="12"/>
          <w:szCs w:val="12"/>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4320" w:type="dxa"/>
            <w:vAlign w:val="bottom"/>
            <w:vMerge w:val="restart"/>
          </w:tcPr>
          <w:p>
            <w:pPr>
              <w:spacing w:after="0"/>
              <w:rPr>
                <w:sz w:val="14"/>
                <w:szCs w:val="14"/>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Fair Value as of</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8"/>
              </w:rPr>
              <w:t>March 31, 2013</w:t>
            </w:r>
          </w:p>
        </w:tc>
        <w:tc>
          <w:tcPr>
            <w:tcW w:w="17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36"/>
        </w:trPr>
        <w:tc>
          <w:tcPr>
            <w:tcW w:w="52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 second lien, subordinated debt/corporate notes</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157,963,729</w:t>
            </w:r>
          </w:p>
        </w:tc>
        <w:tc>
          <w:tcPr>
            <w:tcW w:w="3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Market Comparable</w:t>
            </w:r>
          </w:p>
        </w:tc>
        <w:tc>
          <w:tcPr>
            <w:tcW w:w="22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Broker/Dealer bid quotes</w:t>
            </w:r>
          </w:p>
        </w:tc>
        <w:tc>
          <w:tcPr>
            <w:tcW w:w="2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60" w:type="dxa"/>
            <w:vAlign w:val="bottom"/>
          </w:tcPr>
          <w:p>
            <w:pPr>
              <w:spacing w:after="0"/>
              <w:rPr>
                <w:sz w:val="12"/>
                <w:szCs w:val="12"/>
                <w:color w:val="auto"/>
              </w:rPr>
            </w:pPr>
          </w:p>
        </w:tc>
        <w:tc>
          <w:tcPr>
            <w:tcW w:w="12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19,742,871</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Market Comparable</w:t>
            </w: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Market Yield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7.3% - 14.9%(12.0%)</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1,935,912</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Enterprise Market Value</w:t>
            </w:r>
          </w:p>
        </w:tc>
        <w:tc>
          <w:tcPr>
            <w:tcW w:w="1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EBITDA multiple</w:t>
            </w: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6.8x – 9.5x (8.2x)</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40"/>
              <w:spacing w:after="0"/>
              <w:rPr>
                <w:sz w:val="20"/>
                <w:szCs w:val="20"/>
                <w:color w:val="auto"/>
              </w:rPr>
            </w:pPr>
            <w:r>
              <w:rPr>
                <w:rFonts w:ascii="Arial" w:cs="Arial" w:eastAsia="Arial" w:hAnsi="Arial"/>
                <w:sz w:val="14"/>
                <w:szCs w:val="14"/>
                <w:color w:val="auto"/>
              </w:rPr>
              <w:t>Total Level 3 investments</w:t>
            </w: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179,642,512</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34,200,000</w:t>
            </w:r>
          </w:p>
        </w:tc>
        <w:tc>
          <w:tcPr>
            <w:tcW w:w="17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87"/>
              </w:rPr>
              <w:t>Market Comparable</w:t>
            </w:r>
          </w:p>
        </w:tc>
        <w:tc>
          <w:tcPr>
            <w:tcW w:w="176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89"/>
              </w:rPr>
              <w:t>Market Yield</w:t>
            </w:r>
          </w:p>
        </w:tc>
        <w:tc>
          <w:tcPr>
            <w:tcW w:w="13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4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0"/>
              </w:rPr>
              <w:t>Fair Value Measurements at March 31, 2013</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Level 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1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159,682,263</w:t>
            </w: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159,682,263</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10,347,423</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3"/>
              </w:rPr>
              <w:t>1,623,750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8,723,673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11,904,164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2,603,500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9,300,664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1,935,912</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1,935,912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183,869,762</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4,227,250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179,642,512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Cash equivalents</w:t>
            </w: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2,725,248</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3"/>
              </w:rPr>
              <w:t>2,725,248</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186,595,010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2,725,248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4,227,250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179,642,512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gridSpan w:val="2"/>
            <w:vMerge w:val="continue"/>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34,200,000</w:t>
            </w:r>
          </w:p>
        </w:tc>
        <w:tc>
          <w:tcPr>
            <w:tcW w:w="60" w:type="dxa"/>
            <w:vAlign w:val="bottom"/>
          </w:tcPr>
          <w:p>
            <w:pPr>
              <w:spacing w:after="0"/>
              <w:rPr>
                <w:sz w:val="12"/>
                <w:szCs w:val="12"/>
                <w:color w:val="auto"/>
              </w:rPr>
            </w:pPr>
          </w:p>
        </w:tc>
        <w:tc>
          <w:tcPr>
            <w:tcW w:w="5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34,200,000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6"/>
              </w:rPr>
              <w:t>Fair Value Measurements at September 30, 2012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6"/>
              </w:rPr>
              <w:t>Fair Value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Level 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2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150,209,747</w:t>
            </w:r>
          </w:p>
        </w:tc>
        <w:tc>
          <w:tcPr>
            <w:tcW w:w="5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150,209,747</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3"/>
              </w:rPr>
              <w:t>2,788,000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3"/>
              </w:rPr>
              <w:t>2,788,000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Cash equivalents</w:t>
            </w:r>
          </w:p>
        </w:tc>
        <w:tc>
          <w:tcPr>
            <w:tcW w:w="2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2"/>
            <w:vMerge w:val="continue"/>
          </w:tcPr>
          <w:p>
            <w:pPr>
              <w:spacing w:after="0"/>
              <w:rPr>
                <w:sz w:val="13"/>
                <w:szCs w:val="13"/>
                <w:color w:val="auto"/>
              </w:rPr>
            </w:pP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3,845,803</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3"/>
              </w:rPr>
              <w:t>3,845,803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175,680,203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3,845,803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3"/>
              </w:rPr>
              <w:t>2,788,000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gridSpan w:val="2"/>
            <w:vMerge w:val="continue"/>
          </w:tcPr>
          <w:p>
            <w:pPr>
              <w:spacing w:after="0"/>
              <w:rPr>
                <w:sz w:val="12"/>
                <w:szCs w:val="12"/>
                <w:color w:val="auto"/>
              </w:rPr>
            </w:pPr>
          </w:p>
        </w:tc>
        <w:tc>
          <w:tcPr>
            <w:tcW w:w="23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75,122,500</w:t>
            </w:r>
          </w:p>
        </w:tc>
        <w:tc>
          <w:tcPr>
            <w:tcW w:w="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75,122,500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80" w:type="dxa"/>
            <w:vAlign w:val="bottom"/>
            <w:gridSpan w:val="2"/>
          </w:tcPr>
          <w:p>
            <w:pPr>
              <w:jc w:val="right"/>
              <w:ind w:right="789"/>
              <w:spacing w:after="0"/>
              <w:rPr>
                <w:sz w:val="20"/>
                <w:szCs w:val="20"/>
                <w:color w:val="auto"/>
              </w:rPr>
            </w:pPr>
            <w:r>
              <w:rPr>
                <w:rFonts w:ascii="Arial" w:cs="Arial" w:eastAsia="Arial" w:hAnsi="Arial"/>
                <w:sz w:val="14"/>
                <w:szCs w:val="14"/>
                <w:color w:val="auto"/>
              </w:rPr>
              <w:t>F-42</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8"/>
              </w:rPr>
              <w:t>Six Months Ended March 31, 2013</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6"/>
          </w:tcPr>
          <w:p>
            <w:pPr>
              <w:jc w:val="right"/>
              <w:ind w:right="260"/>
              <w:spacing w:after="0" w:line="148" w:lineRule="exact"/>
              <w:rPr>
                <w:sz w:val="20"/>
                <w:szCs w:val="20"/>
                <w:color w:val="auto"/>
              </w:rPr>
            </w:pPr>
            <w:r>
              <w:rPr>
                <w:rFonts w:ascii="Arial" w:cs="Arial" w:eastAsia="Arial" w:hAnsi="Arial"/>
                <w:sz w:val="14"/>
                <w:szCs w:val="14"/>
                <w:b w:val="1"/>
                <w:bCs w:val="1"/>
                <w:color w:val="auto"/>
                <w:w w:val="98"/>
              </w:rPr>
              <w:t>First Lien</w:t>
            </w:r>
          </w:p>
        </w:tc>
        <w:tc>
          <w:tcPr>
            <w:tcW w:w="340" w:type="dxa"/>
            <w:vAlign w:val="bottom"/>
          </w:tcPr>
          <w:p>
            <w:pPr>
              <w:spacing w:after="0"/>
              <w:rPr>
                <w:sz w:val="12"/>
                <w:szCs w:val="12"/>
                <w:color w:val="auto"/>
              </w:rPr>
            </w:pPr>
          </w:p>
        </w:tc>
        <w:tc>
          <w:tcPr>
            <w:tcW w:w="1740" w:type="dxa"/>
            <w:vAlign w:val="bottom"/>
            <w:gridSpan w:val="5"/>
          </w:tcPr>
          <w:p>
            <w:pPr>
              <w:jc w:val="center"/>
              <w:ind w:right="420"/>
              <w:spacing w:after="0" w:line="148" w:lineRule="exact"/>
              <w:rPr>
                <w:sz w:val="20"/>
                <w:szCs w:val="20"/>
                <w:color w:val="auto"/>
              </w:rPr>
            </w:pPr>
            <w:r>
              <w:rPr>
                <w:rFonts w:ascii="Arial" w:cs="Arial" w:eastAsia="Arial" w:hAnsi="Arial"/>
                <w:sz w:val="14"/>
                <w:szCs w:val="14"/>
                <w:b w:val="1"/>
                <w:bCs w:val="1"/>
                <w:color w:val="auto"/>
                <w:w w:val="84"/>
              </w:rPr>
              <w:t>and equity investments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4"/>
                <w:szCs w:val="14"/>
                <w:color w:val="auto"/>
              </w:rPr>
              <w:t>150,209,747</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18,836,653</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169,046,400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1,132,985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414,485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1,547,470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 appreciation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(266,886)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539,275</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75,103,378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9,486,250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84,589,628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(66,496,961)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(7,730,164)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(74,227,125)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(1,586,250)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(1,586,250)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March 31, 2013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159,682,263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19,960,249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179,642,512</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color w:val="auto"/>
                <w:w w:val="89"/>
              </w:rPr>
              <w:t>Net change in unrealized appreciation (depreciation) reported within the net change in unrealized appreciation on investments in</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our Consolidated Statement of Operations attributable to our Level 3 assets still held at the reporting date.</w:t>
            </w:r>
          </w:p>
        </w:tc>
        <w:tc>
          <w:tcPr>
            <w:tcW w:w="18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580,762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(1,973,070)</w:t>
            </w:r>
          </w:p>
        </w:tc>
        <w:tc>
          <w:tcPr>
            <w:tcW w:w="30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7"/>
              </w:rPr>
              <w:t>(1,392,308)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9"/>
              <w:spacing w:after="0"/>
              <w:rPr>
                <w:sz w:val="20"/>
                <w:szCs w:val="20"/>
                <w:color w:val="auto"/>
              </w:rPr>
            </w:pPr>
            <w:r>
              <w:rPr>
                <w:rFonts w:ascii="Arial" w:cs="Arial" w:eastAsia="Arial" w:hAnsi="Arial"/>
                <w:sz w:val="14"/>
                <w:szCs w:val="14"/>
                <w:b w:val="1"/>
                <w:bCs w:val="1"/>
                <w:color w:val="auto"/>
                <w:w w:val="88"/>
              </w:rPr>
              <w:t>Six Months Ended March 31, 2012</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right"/>
              <w:ind w:right="140"/>
              <w:spacing w:after="0" w:line="148" w:lineRule="exact"/>
              <w:rPr>
                <w:sz w:val="20"/>
                <w:szCs w:val="20"/>
                <w:color w:val="auto"/>
              </w:rPr>
            </w:pPr>
            <w:r>
              <w:rPr>
                <w:rFonts w:ascii="Arial" w:cs="Arial" w:eastAsia="Arial" w:hAnsi="Arial"/>
                <w:sz w:val="14"/>
                <w:szCs w:val="14"/>
                <w:b w:val="1"/>
                <w:bCs w:val="1"/>
                <w:color w:val="auto"/>
                <w:w w:val="91"/>
              </w:rPr>
              <w:t>First Lien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89,329,379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18,206,115</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107,535,494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315,366</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86,442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3,176,684</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543,615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3,720,299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4"/>
              </w:rPr>
              <w:t>67,494,977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2,868,886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70,363,863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(34,010,082)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(5,533,750)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(39,543,832)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March 31, 2012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126,306,324</w:t>
            </w:r>
          </w:p>
        </w:tc>
        <w:tc>
          <w:tcPr>
            <w:tcW w:w="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16,171,308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appreciation reported within the net change in unrealized appreciation on investments in our</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3,638,956</w:t>
            </w:r>
          </w:p>
        </w:tc>
        <w:tc>
          <w:tcPr>
            <w:tcW w:w="40" w:type="dxa"/>
            <w:vAlign w:val="bottom"/>
          </w:tcPr>
          <w:p>
            <w:pPr>
              <w:spacing w:after="0"/>
              <w:rPr>
                <w:sz w:val="13"/>
                <w:szCs w:val="13"/>
                <w:color w:val="auto"/>
              </w:rPr>
            </w:pPr>
          </w:p>
        </w:tc>
        <w:tc>
          <w:tcPr>
            <w:tcW w:w="540" w:type="dxa"/>
            <w:vAlign w:val="bottom"/>
            <w:gridSpan w:val="3"/>
          </w:tcPr>
          <w:p>
            <w:pPr>
              <w:ind w:left="440"/>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546,020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4,184,976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312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7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76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Beginning Balance, September 30, 2012 and 2011, respectively</w:t>
            </w:r>
          </w:p>
        </w:tc>
        <w:tc>
          <w:tcPr>
            <w:tcW w:w="18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7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(cost – $75,500,000 and $24,650,000, respectively)</w:t>
            </w:r>
          </w:p>
        </w:tc>
        <w:tc>
          <w:tcPr>
            <w:tcW w:w="288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$ 75,122,500</w:t>
            </w:r>
          </w:p>
        </w:tc>
        <w:tc>
          <w:tcPr>
            <w:tcW w:w="10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$ 24,650,000</w:t>
            </w:r>
          </w:p>
        </w:tc>
        <w:tc>
          <w:tcPr>
            <w:tcW w:w="0" w:type="dxa"/>
            <w:vAlign w:val="bottom"/>
          </w:tcPr>
          <w:p>
            <w:pPr>
              <w:spacing w:after="0"/>
              <w:rPr>
                <w:sz w:val="1"/>
                <w:szCs w:val="1"/>
                <w:color w:val="auto"/>
              </w:rPr>
            </w:pPr>
          </w:p>
        </w:tc>
      </w:tr>
      <w:tr>
        <w:trPr>
          <w:trHeight w:val="149"/>
        </w:trPr>
        <w:tc>
          <w:tcPr>
            <w:tcW w:w="4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 unrealized appreciation (depreciation) included in earnings</w:t>
            </w:r>
          </w:p>
        </w:tc>
        <w:tc>
          <w:tcPr>
            <w:tcW w:w="2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377,500</w:t>
            </w:r>
          </w:p>
        </w:tc>
        <w:tc>
          <w:tcPr>
            <w:tcW w:w="10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(239,000)</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Borrowings</w:t>
            </w:r>
          </w:p>
        </w:tc>
        <w:tc>
          <w:tcPr>
            <w:tcW w:w="2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45,250,000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54,050,000</w:t>
            </w:r>
          </w:p>
        </w:tc>
        <w:tc>
          <w:tcPr>
            <w:tcW w:w="0" w:type="dxa"/>
            <w:vAlign w:val="bottom"/>
          </w:tcPr>
          <w:p>
            <w:pPr>
              <w:spacing w:after="0"/>
              <w:rPr>
                <w:sz w:val="1"/>
                <w:szCs w:val="1"/>
                <w:color w:val="auto"/>
              </w:rPr>
            </w:pPr>
          </w:p>
        </w:tc>
      </w:tr>
      <w:tr>
        <w:trPr>
          <w:trHeight w:val="149"/>
        </w:trPr>
        <w:tc>
          <w:tcPr>
            <w:tcW w:w="4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Repayments</w:t>
            </w:r>
          </w:p>
        </w:tc>
        <w:tc>
          <w:tcPr>
            <w:tcW w:w="2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(86,550,000)</w:t>
            </w:r>
          </w:p>
        </w:tc>
        <w:tc>
          <w:tcPr>
            <w:tcW w:w="10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(30,900,000)</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18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4760" w:type="dxa"/>
            <w:vAlign w:val="bottom"/>
            <w:gridSpan w:val="2"/>
          </w:tcPr>
          <w:p>
            <w:pPr>
              <w:spacing w:after="0" w:line="145" w:lineRule="exact"/>
              <w:rPr>
                <w:sz w:val="20"/>
                <w:szCs w:val="20"/>
                <w:color w:val="auto"/>
              </w:rPr>
            </w:pPr>
            <w:r>
              <w:rPr>
                <w:rFonts w:ascii="Arial" w:cs="Arial" w:eastAsia="Arial" w:hAnsi="Arial"/>
                <w:sz w:val="14"/>
                <w:szCs w:val="14"/>
                <w:color w:val="auto"/>
              </w:rPr>
              <w:t>Ending Balance, March 31, 2013 and 2012, respectively</w:t>
            </w:r>
          </w:p>
        </w:tc>
        <w:tc>
          <w:tcPr>
            <w:tcW w:w="18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(cost – $34,200,000 and $47,800,000, respectively)</w:t>
            </w:r>
          </w:p>
        </w:tc>
        <w:tc>
          <w:tcPr>
            <w:tcW w:w="28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$ 34,200,000</w:t>
            </w:r>
          </w:p>
        </w:tc>
        <w:tc>
          <w:tcPr>
            <w:tcW w:w="10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$ 47,561,000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3"/>
          </w:tcPr>
          <w:p>
            <w:pPr>
              <w:jc w:val="right"/>
              <w:ind w:right="1800"/>
              <w:spacing w:after="0"/>
              <w:rPr>
                <w:sz w:val="20"/>
                <w:szCs w:val="20"/>
                <w:color w:val="auto"/>
              </w:rPr>
            </w:pPr>
            <w:r>
              <w:rPr>
                <w:rFonts w:ascii="Arial" w:cs="Arial" w:eastAsia="Arial" w:hAnsi="Arial"/>
                <w:sz w:val="14"/>
                <w:szCs w:val="14"/>
                <w:color w:val="auto"/>
              </w:rPr>
              <w:t>F-43</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799"/>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53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142"/>
        </w:trPr>
        <w:tc>
          <w:tcPr>
            <w:tcW w:w="5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3,205,735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4,525,075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4,971,166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7,630,240</w:t>
            </w:r>
          </w:p>
        </w:tc>
        <w:tc>
          <w:tcPr>
            <w:tcW w:w="60" w:type="dxa"/>
            <w:vAlign w:val="bottom"/>
            <w:shd w:val="clear" w:color="auto" w:fill="CCEEFF"/>
          </w:tcPr>
          <w:p>
            <w:pPr>
              <w:spacing w:after="0"/>
              <w:rPr>
                <w:sz w:val="12"/>
                <w:szCs w:val="12"/>
                <w:color w:val="auto"/>
              </w:rPr>
            </w:pPr>
          </w:p>
        </w:tc>
      </w:tr>
      <w:tr>
        <w:trPr>
          <w:trHeight w:val="149"/>
        </w:trPr>
        <w:tc>
          <w:tcPr>
            <w:tcW w:w="5320" w:type="dxa"/>
            <w:vAlign w:val="bottom"/>
          </w:tcPr>
          <w:p>
            <w:pPr>
              <w:spacing w:after="0" w:line="149" w:lineRule="exact"/>
              <w:rPr>
                <w:sz w:val="20"/>
                <w:szCs w:val="20"/>
                <w:color w:val="auto"/>
              </w:rPr>
            </w:pPr>
            <w:r>
              <w:rPr>
                <w:rFonts w:ascii="Arial" w:cs="Arial" w:eastAsia="Arial" w:hAnsi="Arial"/>
                <w:sz w:val="14"/>
                <w:szCs w:val="14"/>
                <w:color w:val="auto"/>
              </w:rPr>
              <w:t>Denominator for basic weighted average shares</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7,050,833</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3"/>
              </w:rPr>
              <w:t>6,850,667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6,949,650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6,850,667</w:t>
            </w:r>
          </w:p>
        </w:tc>
        <w:tc>
          <w:tcPr>
            <w:tcW w:w="60" w:type="dxa"/>
            <w:vAlign w:val="bottom"/>
          </w:tcPr>
          <w:p>
            <w:pPr>
              <w:spacing w:after="0"/>
              <w:rPr>
                <w:sz w:val="12"/>
                <w:szCs w:val="12"/>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 for diluted weighted average shares*</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7,080,833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3"/>
              </w:rPr>
              <w:t>6,850,667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3"/>
              </w:rPr>
              <w:t>6,964,485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6,850,667</w:t>
            </w:r>
          </w:p>
        </w:tc>
        <w:tc>
          <w:tcPr>
            <w:tcW w:w="60" w:type="dxa"/>
            <w:vAlign w:val="bottom"/>
            <w:shd w:val="clear" w:color="auto" w:fill="CCEEFF"/>
          </w:tcPr>
          <w:p>
            <w:pPr>
              <w:spacing w:after="0"/>
              <w:rPr>
                <w:sz w:val="12"/>
                <w:szCs w:val="12"/>
                <w:color w:val="auto"/>
              </w:rPr>
            </w:pPr>
          </w:p>
        </w:tc>
      </w:tr>
      <w:tr>
        <w:trPr>
          <w:trHeight w:val="149"/>
        </w:trPr>
        <w:tc>
          <w:tcPr>
            <w:tcW w:w="5320" w:type="dxa"/>
            <w:vAlign w:val="bottom"/>
          </w:tcPr>
          <w:p>
            <w:pPr>
              <w:spacing w:after="0" w:line="149" w:lineRule="exact"/>
              <w:rPr>
                <w:sz w:val="20"/>
                <w:szCs w:val="20"/>
                <w:color w:val="auto"/>
              </w:rPr>
            </w:pPr>
            <w:r>
              <w:rPr>
                <w:rFonts w:ascii="Arial" w:cs="Arial" w:eastAsia="Arial" w:hAnsi="Arial"/>
                <w:sz w:val="14"/>
                <w:szCs w:val="14"/>
                <w:color w:val="auto"/>
              </w:rPr>
              <w:t>Basic net increase in net assets per share resulting from operations</w:t>
            </w: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0.66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0.72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tcPr>
          <w:p>
            <w:pPr>
              <w:spacing w:after="0"/>
              <w:rPr>
                <w:sz w:val="12"/>
                <w:szCs w:val="12"/>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increase in net assets per share resulting from operations*</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0.71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shares issued in connection with the underwriters’ overallotment option.</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20" w:firstLine="799"/>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2013 and September 30, 2012, cash equivalents consisted of money market funds in the amounts of $2.7 million and $3.8 million,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3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3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820" w:type="dxa"/>
            <w:vAlign w:val="bottom"/>
          </w:tcPr>
          <w:p>
            <w:pPr>
              <w:ind w:left="80"/>
              <w:spacing w:after="0"/>
              <w:rPr>
                <w:sz w:val="20"/>
                <w:szCs w:val="20"/>
                <w:color w:val="auto"/>
              </w:rPr>
            </w:pPr>
            <w:r>
              <w:rPr>
                <w:rFonts w:ascii="Arial" w:cs="Arial" w:eastAsia="Arial" w:hAnsi="Arial"/>
                <w:sz w:val="14"/>
                <w:szCs w:val="14"/>
                <w:color w:val="auto"/>
              </w:rPr>
              <w:t>Below are the financial highlights: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13.98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0.54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1"/>
                <w:szCs w:val="11"/>
                <w:color w:val="auto"/>
              </w:rPr>
              <w:t xml:space="preserve">Net change in realized and unrealized gain </w:t>
            </w:r>
            <w:r>
              <w:rPr>
                <w:rFonts w:ascii="Arial" w:cs="Arial" w:eastAsia="Arial" w:hAnsi="Arial"/>
                <w:sz w:val="17"/>
                <w:szCs w:val="17"/>
                <w:color w:val="auto"/>
                <w:vertAlign w:val="superscript"/>
              </w:rPr>
              <w:t>(1)</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0.18</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0.72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1"/>
                <w:szCs w:val="11"/>
                <w:color w:val="auto"/>
              </w:rPr>
              <w:t xml:space="preserve">Dividends to stockholders </w:t>
            </w:r>
            <w:r>
              <w:rPr>
                <w:rFonts w:ascii="Arial" w:cs="Arial" w:eastAsia="Arial" w:hAnsi="Arial"/>
                <w:sz w:val="17"/>
                <w:szCs w:val="17"/>
                <w:color w:val="auto"/>
                <w:vertAlign w:val="superscript"/>
              </w:rPr>
              <w:t>(1), (2)</w:t>
            </w:r>
          </w:p>
        </w:tc>
        <w:tc>
          <w:tcPr>
            <w:tcW w:w="80" w:type="dxa"/>
            <w:vAlign w:val="bottom"/>
          </w:tcPr>
          <w:p>
            <w:pPr>
              <w:spacing w:after="0"/>
              <w:rPr>
                <w:sz w:val="12"/>
                <w:szCs w:val="12"/>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(0.50)</w:t>
            </w:r>
          </w:p>
        </w:tc>
        <w:tc>
          <w:tcPr>
            <w:tcW w:w="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common stock issuance and offering costs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(0.10)</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4"/>
                <w:szCs w:val="14"/>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4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color w:val="auto"/>
              </w:rPr>
              <w:t>14.10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13.96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spacing w:after="0" w:line="176" w:lineRule="exact"/>
              <w:rPr>
                <w:sz w:val="20"/>
                <w:szCs w:val="20"/>
                <w:color w:val="auto"/>
              </w:rPr>
            </w:pPr>
            <w:r>
              <w:rPr>
                <w:rFonts w:ascii="Arial" w:cs="Arial" w:eastAsia="Arial" w:hAnsi="Arial"/>
                <w:sz w:val="13"/>
                <w:szCs w:val="13"/>
                <w:color w:val="auto"/>
              </w:rPr>
              <w:t xml:space="preserve">Total return* </w:t>
            </w:r>
            <w:r>
              <w:rPr>
                <w:rFonts w:ascii="Arial" w:cs="Arial" w:eastAsia="Arial" w:hAnsi="Arial"/>
                <w:sz w:val="20"/>
                <w:szCs w:val="20"/>
                <w:color w:val="auto"/>
                <w:vertAlign w:val="superscript"/>
              </w:rPr>
              <w:t>(3)</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14.34%</w:t>
            </w:r>
          </w:p>
        </w:tc>
        <w:tc>
          <w:tcPr>
            <w:tcW w:w="6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9,851,151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6,850,667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Ratios / Supplemental Data: **</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1"/>
                <w:szCs w:val="11"/>
                <w:color w:val="auto"/>
              </w:rPr>
              <w:t xml:space="preserve">Ratio of Credit Facility related expenses to average net assets </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2.37%</w:t>
            </w: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8.05%</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7.27%</w:t>
            </w: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w w:val="82"/>
              </w:rPr>
              <w:t>138,879,485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96,722,305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4"/>
                <w:szCs w:val="14"/>
                <w:color w:val="auto"/>
              </w:rPr>
              <w:t>Average debt outstanding</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4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color w:val="auto"/>
                <w:w w:val="91"/>
              </w:rPr>
              <w:t>73,503,159</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82"/>
              </w:rPr>
              <w:t>34,512,568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per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10.58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85.12%</w:t>
            </w: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right="8580" w:firstLine="8"/>
        <w:spacing w:after="0" w:line="268" w:lineRule="auto"/>
        <w:tabs>
          <w:tab w:leader="none" w:pos="216" w:val="left"/>
        </w:tabs>
        <w:numPr>
          <w:ilvl w:val="0"/>
          <w:numId w:val="80"/>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(1)</w:t>
      </w:r>
      <w:r>
        <w:rPr>
          <w:rFonts w:ascii="Arial" w:cs="Arial" w:eastAsia="Arial" w:hAnsi="Arial"/>
          <w:sz w:val="11"/>
          <w:szCs w:val="11"/>
          <w:color w:val="auto"/>
        </w:rPr>
        <w:t xml:space="preserve">  Per share data are calculated based on the weighted average shares outstanding for the respective periods.</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Dividends and distributions are determined based on taxable income calculated in accordance with income tax regulations, which may differ from amounts determined under GAAP.</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(3)</w:t>
      </w:r>
      <w:r>
        <w:rPr>
          <w:rFonts w:ascii="Arial" w:cs="Arial" w:eastAsia="Arial" w:hAnsi="Arial"/>
          <w:sz w:val="11"/>
          <w:szCs w:val="11"/>
          <w:color w:val="auto"/>
        </w:rPr>
        <w:t xml:space="preserve">  Total return is based on the change in market price per share during the period and takes into account dividends and distributions, if any, reinvested in accordance with our dividend reinvestment plan.</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(4)</w:t>
      </w:r>
      <w:r>
        <w:rPr>
          <w:rFonts w:ascii="Arial" w:cs="Arial" w:eastAsia="Arial" w:hAnsi="Arial"/>
          <w:sz w:val="11"/>
          <w:szCs w:val="11"/>
          <w:color w:val="auto"/>
        </w:rPr>
        <w:t xml:space="preserve">  Operating expenses exclude Credit Facility amendment costs.</w:t>
      </w:r>
    </w:p>
    <w:p>
      <w:pPr>
        <w:spacing w:after="0"/>
        <w:rPr>
          <w:rFonts w:ascii="Arial" w:cs="Arial" w:eastAsia="Arial" w:hAnsi="Arial"/>
          <w:sz w:val="12"/>
          <w:szCs w:val="12"/>
          <w:color w:val="auto"/>
        </w:rPr>
      </w:pPr>
      <w:r>
        <w:rPr>
          <w:rFonts w:ascii="Arial" w:cs="Arial" w:eastAsia="Arial" w:hAnsi="Arial"/>
          <w:sz w:val="22"/>
          <w:szCs w:val="22"/>
          <w:color w:val="auto"/>
          <w:vertAlign w:val="superscript"/>
        </w:rPr>
        <w:t>(5)</w:t>
      </w:r>
      <w:r>
        <w:rPr>
          <w:rFonts w:ascii="Arial" w:cs="Arial" w:eastAsia="Arial" w:hAnsi="Arial"/>
          <w:sz w:val="14"/>
          <w:szCs w:val="14"/>
          <w:color w:val="auto"/>
        </w:rPr>
        <w:t xml:space="preserve">  Ratio does not annualize Credit Facility amendment costs.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71" w:lineRule="exact"/>
        <w:rPr>
          <w:sz w:val="20"/>
          <w:szCs w:val="20"/>
          <w:color w:val="auto"/>
        </w:rPr>
      </w:pPr>
    </w:p>
    <w:p>
      <w:pPr>
        <w:ind w:firstLine="799"/>
        <w:spacing w:after="0" w:line="278" w:lineRule="auto"/>
        <w:rPr>
          <w:sz w:val="20"/>
          <w:szCs w:val="20"/>
          <w:color w:val="auto"/>
        </w:rPr>
      </w:pPr>
      <w:r>
        <w:rPr>
          <w:rFonts w:ascii="Arial" w:cs="Arial" w:eastAsia="Arial" w:hAnsi="Arial"/>
          <w:sz w:val="12"/>
          <w:szCs w:val="12"/>
          <w:color w:val="auto"/>
        </w:rPr>
        <w:t>On March 29, 2013, we amended Funding I’s Credit Facility with SunTrust Bank, or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(as defined below) to May 2016. As of March 31, 2013 and September 30, 2012, Funding I had $34.2 million and $75.5 million of outstanding borrowings under the Credit Facility, respectively, and carried an interest rate of 2.21% and 2.47%, respectively, excluding the 0.375% undrawn commitment fee.</w:t>
      </w:r>
    </w:p>
    <w:p>
      <w:pPr>
        <w:spacing w:after="0" w:line="117" w:lineRule="exact"/>
        <w:rPr>
          <w:sz w:val="20"/>
          <w:szCs w:val="20"/>
          <w:color w:val="auto"/>
        </w:rPr>
      </w:pPr>
    </w:p>
    <w:p>
      <w:pPr>
        <w:jc w:val="both"/>
        <w:ind w:right="20" w:firstLine="799"/>
        <w:spacing w:after="0" w:line="288" w:lineRule="auto"/>
        <w:rPr>
          <w:sz w:val="20"/>
          <w:szCs w:val="20"/>
          <w:color w:val="auto"/>
        </w:rPr>
      </w:pPr>
      <w:r>
        <w:rPr>
          <w:rFonts w:ascii="Arial" w:cs="Arial" w:eastAsia="Arial" w:hAnsi="Arial"/>
          <w:sz w:val="12"/>
          <w:szCs w:val="12"/>
          <w:color w:val="auto"/>
        </w:rPr>
        <w:t>During the period to and including May 14,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280"/>
          </w:cols>
          <w:pgMar w:left="240" w:top="459" w:right="3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firstLine="799"/>
        <w:spacing w:after="0" w:line="230"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39" w:lineRule="exact"/>
        <w:rPr>
          <w:sz w:val="20"/>
          <w:szCs w:val="20"/>
          <w:color w:val="auto"/>
        </w:rPr>
      </w:pPr>
    </w:p>
    <w:p>
      <w:pPr>
        <w:ind w:right="100" w:firstLine="799"/>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120" w:firstLine="799"/>
        <w:spacing w:after="0" w:line="230"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71"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EVENTS</w:t>
      </w:r>
    </w:p>
    <w:p>
      <w:pPr>
        <w:spacing w:after="0" w:line="71" w:lineRule="exact"/>
        <w:rPr>
          <w:sz w:val="20"/>
          <w:szCs w:val="20"/>
          <w:color w:val="auto"/>
        </w:rPr>
      </w:pPr>
    </w:p>
    <w:p>
      <w:pPr>
        <w:ind w:right="580" w:firstLine="799"/>
        <w:spacing w:after="0" w:line="318" w:lineRule="auto"/>
        <w:rPr>
          <w:sz w:val="20"/>
          <w:szCs w:val="20"/>
          <w:color w:val="auto"/>
        </w:rPr>
      </w:pPr>
      <w:r>
        <w:rPr>
          <w:rFonts w:ascii="Arial" w:cs="Arial" w:eastAsia="Arial" w:hAnsi="Arial"/>
          <w:sz w:val="12"/>
          <w:szCs w:val="12"/>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524"/>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524"/>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660" w:right="420" w:hanging="565"/>
        <w:spacing w:after="0" w:line="239" w:lineRule="auto"/>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Articles of Amendment and Restatement of the Registrant (Incorporated by reference to Exhibit 99(A) to the Registrant’s Registration Statement on Form N-2 (File No. 333-170243), filed on March 29, 2011).</w:t>
      </w:r>
    </w:p>
    <w:p>
      <w:pPr>
        <w:spacing w:after="0" w:line="152" w:lineRule="exact"/>
        <w:rPr>
          <w:rFonts w:ascii="Arial" w:cs="Arial" w:eastAsia="Arial" w:hAnsi="Arial"/>
          <w:sz w:val="14"/>
          <w:szCs w:val="14"/>
          <w:color w:val="auto"/>
        </w:rPr>
      </w:pPr>
    </w:p>
    <w:p>
      <w:pPr>
        <w:ind w:left="660" w:hanging="569"/>
        <w:spacing w:after="0"/>
        <w:tabs>
          <w:tab w:leader="none" w:pos="6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Quarterly Report on Form 10-Q (File No. 814-00891), filed on May 3, 2012).</w:t>
      </w:r>
    </w:p>
    <w:p>
      <w:pPr>
        <w:spacing w:after="0" w:line="186"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(d)(1)</w:t>
      </w:r>
      <w:r>
        <w:rPr>
          <w:rFonts w:ascii="Arial" w:cs="Arial" w:eastAsia="Arial" w:hAnsi="Arial"/>
          <w:sz w:val="12"/>
          <w:szCs w:val="12"/>
          <w:color w:val="auto"/>
        </w:rPr>
        <w:t>Form of Share Certificate (Incorporated by reference to Exhibit 99(D) to the Registrant’s Registration Statement on Form N-2 (File No. 333-170243), filed on April 5, 2011).</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(d)(2)</w:t>
      </w:r>
      <w:r>
        <w:rPr>
          <w:rFonts w:ascii="Arial" w:cs="Arial" w:eastAsia="Arial" w:hAnsi="Arial"/>
          <w:sz w:val="12"/>
          <w:szCs w:val="12"/>
          <w:color w:val="auto"/>
        </w:rPr>
        <w:t>Form of Subscription Certificate (Incorporated by reference to Exhibit 99(D)(2) to the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(d)(3)</w:t>
      </w:r>
      <w:r>
        <w:rPr>
          <w:rFonts w:ascii="Arial" w:cs="Arial" w:eastAsia="Arial" w:hAnsi="Arial"/>
          <w:sz w:val="12"/>
          <w:szCs w:val="12"/>
          <w:color w:val="auto"/>
        </w:rPr>
        <w:t>Form of Indenture (Incorporated by reference to Exhibit 99(D)(3) to the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(d)(4)</w:t>
      </w:r>
      <w:r>
        <w:rPr>
          <w:rFonts w:ascii="Arial" w:cs="Arial" w:eastAsia="Arial" w:hAnsi="Arial"/>
          <w:sz w:val="12"/>
          <w:szCs w:val="12"/>
          <w:color w:val="auto"/>
        </w:rPr>
        <w:t>Form of Subscription Agent Agreement (Incorporated by reference to Exhibit 99(D)(4) to the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(d)(5)</w:t>
      </w:r>
      <w:r>
        <w:rPr>
          <w:rFonts w:ascii="Arial" w:cs="Arial" w:eastAsia="Arial" w:hAnsi="Arial"/>
          <w:sz w:val="12"/>
          <w:szCs w:val="12"/>
          <w:color w:val="auto"/>
        </w:rPr>
        <w:t>Form of Warrant Agreement (Incorporated by reference to Exhibit 99(D)(5) to the Registration Statement on Form N-2 (File No. 333-180084), filed on March 14, 2012).</w:t>
      </w:r>
    </w:p>
    <w:p>
      <w:pPr>
        <w:spacing w:after="0" w:line="163" w:lineRule="exact"/>
        <w:rPr>
          <w:sz w:val="20"/>
          <w:szCs w:val="20"/>
          <w:color w:val="auto"/>
        </w:rPr>
      </w:pPr>
    </w:p>
    <w:p>
      <w:pPr>
        <w:ind w:left="660" w:right="220" w:hanging="639"/>
        <w:spacing w:after="0" w:line="239" w:lineRule="auto"/>
        <w:tabs>
          <w:tab w:leader="none" w:pos="640" w:val="left"/>
        </w:tabs>
        <w:rPr>
          <w:sz w:val="20"/>
          <w:szCs w:val="20"/>
          <w:color w:val="auto"/>
        </w:rPr>
      </w:pPr>
      <w:r>
        <w:rPr>
          <w:rFonts w:ascii="Arial" w:cs="Arial" w:eastAsia="Arial" w:hAnsi="Arial"/>
          <w:sz w:val="14"/>
          <w:szCs w:val="14"/>
          <w:color w:val="auto"/>
        </w:rPr>
        <w:t>(d)(6)</w:t>
      </w:r>
      <w:r>
        <w:rPr>
          <w:sz w:val="20"/>
          <w:szCs w:val="20"/>
          <w:color w:val="auto"/>
        </w:rPr>
        <w:tab/>
      </w:r>
      <w:r>
        <w:rPr>
          <w:rFonts w:ascii="Arial" w:cs="Arial" w:eastAsia="Arial" w:hAnsi="Arial"/>
          <w:sz w:val="14"/>
          <w:szCs w:val="14"/>
          <w:color w:val="auto"/>
        </w:rPr>
        <w:t>Form T-1 Statement of Eligibility with respect to the Form of Indenture (Incorporated by reference to Exhibit 99(D)(6) to the Registration Statement on Form N-2 (File No. 333-180084), filed on March 14,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color w:val="auto"/>
        </w:rPr>
        <w:t>(d)(7)</w:t>
      </w:r>
      <w:r>
        <w:rPr>
          <w:sz w:val="20"/>
          <w:szCs w:val="20"/>
          <w:color w:val="auto"/>
        </w:rPr>
        <w:tab/>
      </w:r>
      <w:r>
        <w:rPr>
          <w:rFonts w:ascii="Arial" w:cs="Arial" w:eastAsia="Arial" w:hAnsi="Arial"/>
          <w:sz w:val="14"/>
          <w:szCs w:val="14"/>
          <w:color w:val="auto"/>
        </w:rPr>
        <w:t>Form of Articles Supplementary (Incorporated by reference to Exhibit 99(D)(7) to the Registration Statement on Form N-2 (File No. 333-180084), filed on March 14, 2012).</w:t>
      </w:r>
    </w:p>
    <w:p>
      <w:pPr>
        <w:spacing w:after="0" w:line="163" w:lineRule="exact"/>
        <w:rPr>
          <w:sz w:val="20"/>
          <w:szCs w:val="20"/>
          <w:color w:val="auto"/>
        </w:rPr>
      </w:pPr>
    </w:p>
    <w:p>
      <w:pPr>
        <w:ind w:left="660" w:hanging="565"/>
        <w:spacing w:after="0"/>
        <w:tabs>
          <w:tab w:leader="none" w:pos="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right="120" w:hanging="569"/>
        <w:spacing w:after="0" w:line="239"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Amended and Restated Investment Advisory Agreement,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(h)(1)</w:t>
      </w:r>
      <w:r>
        <w:rPr>
          <w:sz w:val="20"/>
          <w:szCs w:val="20"/>
          <w:color w:val="auto"/>
        </w:rPr>
        <w:tab/>
      </w:r>
      <w:r>
        <w:rPr>
          <w:rFonts w:ascii="Arial" w:cs="Arial" w:eastAsia="Arial" w:hAnsi="Arial"/>
          <w:sz w:val="12"/>
          <w:szCs w:val="12"/>
          <w:color w:val="auto"/>
        </w:rPr>
        <w:t>Form of Underwriting Agreement for equity (Incorporated by reference to Exhibit 99(H)(3) to the Registrant’s Registration Statement on Form N-2 (File No. 333-180084), filed on March 14, 2012).</w:t>
      </w:r>
    </w:p>
    <w:p>
      <w:pPr>
        <w:spacing w:after="0" w:line="18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(h)(2)</w:t>
      </w:r>
      <w:r>
        <w:rPr>
          <w:sz w:val="20"/>
          <w:szCs w:val="20"/>
          <w:color w:val="auto"/>
        </w:rPr>
        <w:tab/>
      </w:r>
      <w:r>
        <w:rPr>
          <w:rFonts w:ascii="Arial" w:cs="Arial" w:eastAsia="Arial" w:hAnsi="Arial"/>
          <w:sz w:val="12"/>
          <w:szCs w:val="12"/>
          <w:color w:val="auto"/>
        </w:rPr>
        <w:t>Form of Underwriting Agreement for debt (Incorporated by reference to Exhibit 99(H)(2) to the Registrant’s Registration Statement on Form N-2 (File No. 333-180084), filed on March 14, 2012).</w:t>
      </w:r>
    </w:p>
    <w:p>
      <w:pPr>
        <w:spacing w:after="0" w:line="18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(h)(3)</w:t>
      </w:r>
      <w:r>
        <w:rPr>
          <w:sz w:val="20"/>
          <w:szCs w:val="20"/>
          <w:color w:val="auto"/>
        </w:rPr>
        <w:tab/>
      </w:r>
      <w:r>
        <w:rPr>
          <w:rFonts w:ascii="Arial" w:cs="Arial" w:eastAsia="Arial" w:hAnsi="Arial"/>
          <w:sz w:val="12"/>
          <w:szCs w:val="12"/>
          <w:color w:val="auto"/>
        </w:rPr>
        <w:t>Underwriting Agreement dated March 21, 2013 (incorporated by reference to Exhibit (H)(3) to the Registrant’s Post-Effective Amendment No. 1 to the Registration Statement on Form N-2 (File No.</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333-180084), filed on March 21, 2013).</w:t>
      </w:r>
    </w:p>
    <w:p>
      <w:pPr>
        <w:spacing w:after="0" w:line="152" w:lineRule="exact"/>
        <w:rPr>
          <w:sz w:val="20"/>
          <w:szCs w:val="20"/>
          <w:color w:val="auto"/>
        </w:rPr>
      </w:pPr>
    </w:p>
    <w:p>
      <w:pPr>
        <w:ind w:left="660" w:right="140" w:hanging="554"/>
        <w:spacing w:after="0" w:line="239"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360" w:hanging="63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240" w:hanging="63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hanging="639"/>
        <w:spacing w:after="0" w:line="288" w:lineRule="auto"/>
        <w:tabs>
          <w:tab w:leader="none" w:pos="640" w:val="left"/>
        </w:tabs>
        <w:rPr>
          <w:sz w:val="20"/>
          <w:szCs w:val="20"/>
          <w:color w:val="auto"/>
        </w:rPr>
      </w:pPr>
      <w:r>
        <w:rPr>
          <w:rFonts w:ascii="Arial" w:cs="Arial" w:eastAsia="Arial" w:hAnsi="Arial"/>
          <w:sz w:val="12"/>
          <w:szCs w:val="12"/>
          <w:color w:val="auto"/>
        </w:rPr>
        <w:t>(k)(4)</w:t>
      </w:r>
      <w:r>
        <w:rPr>
          <w:sz w:val="20"/>
          <w:szCs w:val="20"/>
          <w:color w:val="auto"/>
        </w:rPr>
        <w:tab/>
      </w:r>
      <w:r>
        <w:rPr>
          <w:rFonts w:ascii="Arial" w:cs="Arial" w:eastAsia="Arial" w:hAnsi="Arial"/>
          <w:sz w:val="12"/>
          <w:szCs w:val="12"/>
          <w:color w:val="auto"/>
        </w:rPr>
        <w:t>Amended and Restated Revolving Credit and Security Agreement, dated as of May 14, 2012, among PennantPark Floating Rate Funding I, LLC, as borrower, PennantPark Investment Advisers, LLC, as collateral manager, the lenders from time to time party thereto, SunTrust Bank, as administrative agent, U.S. Bank National Association, as collateral agent, as backup collateral manager and as custodian (Incorporated by reference to Exhibit 10.1 to the Registrant’s Quarterly Report on Form 10-Q, (File No. 814-00891), filed on August 9, 2012).</w:t>
      </w:r>
    </w:p>
    <w:p>
      <w:pPr>
        <w:spacing w:after="0" w:line="124" w:lineRule="exact"/>
        <w:rPr>
          <w:sz w:val="20"/>
          <w:szCs w:val="20"/>
          <w:color w:val="auto"/>
        </w:rPr>
      </w:pPr>
    </w:p>
    <w:p>
      <w:pPr>
        <w:ind w:left="660" w:right="560" w:hanging="639"/>
        <w:spacing w:after="0" w:line="318" w:lineRule="auto"/>
        <w:tabs>
          <w:tab w:leader="none" w:pos="6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860" w:hanging="555"/>
        <w:spacing w:after="0"/>
        <w:tabs>
          <w:tab w:leader="none" w:pos="86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96" w:lineRule="exact"/>
        <w:rPr>
          <w:sz w:val="20"/>
          <w:szCs w:val="20"/>
          <w:color w:val="auto"/>
        </w:rPr>
      </w:pPr>
    </w:p>
    <w:p>
      <w:pPr>
        <w:ind w:left="860" w:right="120" w:hanging="719"/>
        <w:spacing w:after="0" w:line="239" w:lineRule="auto"/>
        <w:tabs>
          <w:tab w:leader="none" w:pos="840" w:val="left"/>
        </w:tabs>
        <w:rPr>
          <w:sz w:val="20"/>
          <w:szCs w:val="20"/>
          <w:color w:val="auto"/>
        </w:rPr>
      </w:pPr>
      <w:r>
        <w:rPr>
          <w:rFonts w:ascii="Arial" w:cs="Arial" w:eastAsia="Arial" w:hAnsi="Arial"/>
          <w:sz w:val="14"/>
          <w:szCs w:val="14"/>
          <w:color w:val="auto"/>
        </w:rPr>
        <w:t>(k)(6)</w:t>
      </w:r>
      <w:r>
        <w:rPr>
          <w:sz w:val="20"/>
          <w:szCs w:val="20"/>
          <w:color w:val="auto"/>
        </w:rPr>
        <w:tab/>
      </w:r>
      <w:r>
        <w:rPr>
          <w:rFonts w:ascii="Arial" w:cs="Arial" w:eastAsia="Arial" w:hAnsi="Arial"/>
          <w:sz w:val="14"/>
          <w:szCs w:val="14"/>
          <w:color w:val="auto"/>
        </w:rPr>
        <w:t>Third Amendment to Amended and Restated Revolving Credit and Security Agreement, dated March 29, 2013 (Incorporated by reference to Exhibit 10.1 to the Registrant’s Quarterly Report on Form 10-Q (File No. 814-00891), filed on May 9, 2013).</w:t>
      </w:r>
    </w:p>
    <w:p>
      <w:pPr>
        <w:spacing w:after="0" w:line="15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2"/>
          <w:szCs w:val="12"/>
          <w:color w:val="auto"/>
        </w:rPr>
        <w:t>(l)(1)</w:t>
      </w:r>
      <w:r>
        <w:rPr>
          <w:sz w:val="20"/>
          <w:szCs w:val="20"/>
          <w:color w:val="auto"/>
        </w:rPr>
        <w:tab/>
      </w:r>
      <w:r>
        <w:rPr>
          <w:rFonts w:ascii="Arial" w:cs="Arial" w:eastAsia="Arial" w:hAnsi="Arial"/>
          <w:sz w:val="12"/>
          <w:szCs w:val="12"/>
          <w:color w:val="auto"/>
        </w:rPr>
        <w:t>Opinion and Consent of Venable LLP (Incorporated by reference to Exhibit 99(L)(1) to the Registrant’s Registration Statement on Form N-2 (File No. 333-180084), filed on March 14, 2012).</w:t>
      </w:r>
    </w:p>
    <w:p>
      <w:pPr>
        <w:spacing w:after="0" w:line="18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2"/>
          <w:szCs w:val="12"/>
          <w:color w:val="auto"/>
        </w:rPr>
        <w:t>(l)(2)</w:t>
      </w:r>
      <w:r>
        <w:rPr>
          <w:sz w:val="20"/>
          <w:szCs w:val="20"/>
          <w:color w:val="auto"/>
        </w:rPr>
        <w:tab/>
      </w:r>
      <w:r>
        <w:rPr>
          <w:rFonts w:ascii="Arial" w:cs="Arial" w:eastAsia="Arial" w:hAnsi="Arial"/>
          <w:sz w:val="12"/>
          <w:szCs w:val="12"/>
          <w:color w:val="auto"/>
        </w:rPr>
        <w:t>Opinion and Consent of Dechert LLP (Incorporated by reference to Exhibit 99(L)(2) to the Registrant’s Registration Statement on Form N-2 (File No. 333-180084), filed on March 14, 2012).</w:t>
      </w:r>
    </w:p>
    <w:p>
      <w:pPr>
        <w:spacing w:after="0" w:line="186" w:lineRule="exact"/>
        <w:rPr>
          <w:sz w:val="20"/>
          <w:szCs w:val="20"/>
          <w:color w:val="auto"/>
        </w:rPr>
      </w:pPr>
    </w:p>
    <w:p>
      <w:pPr>
        <w:ind w:left="860" w:right="160" w:hanging="659"/>
        <w:spacing w:after="0" w:line="239" w:lineRule="auto"/>
        <w:tabs>
          <w:tab w:leader="none" w:pos="840" w:val="left"/>
        </w:tabs>
        <w:rPr>
          <w:sz w:val="20"/>
          <w:szCs w:val="20"/>
          <w:color w:val="auto"/>
        </w:rPr>
      </w:pPr>
      <w:r>
        <w:rPr>
          <w:rFonts w:ascii="Arial" w:cs="Arial" w:eastAsia="Arial" w:hAnsi="Arial"/>
          <w:sz w:val="14"/>
          <w:szCs w:val="14"/>
          <w:color w:val="auto"/>
        </w:rPr>
        <w:t>(l)(3)</w:t>
      </w:r>
      <w:r>
        <w:rPr>
          <w:sz w:val="20"/>
          <w:szCs w:val="20"/>
          <w:color w:val="auto"/>
        </w:rPr>
        <w:tab/>
      </w:r>
      <w:r>
        <w:rPr>
          <w:rFonts w:ascii="Arial" w:cs="Arial" w:eastAsia="Arial" w:hAnsi="Arial"/>
          <w:sz w:val="14"/>
          <w:szCs w:val="14"/>
          <w:color w:val="auto"/>
        </w:rPr>
        <w:t>Opinion and Consent of Venable LLP (Incorporated by reference to Exhibit 99(L)(3) to the Registrant’s Post-Effective Amendment Registration Statement on Form N-2 (File No. 333-180084), filed on March 21, 2013).</w:t>
      </w:r>
    </w:p>
    <w:p>
      <w:pPr>
        <w:spacing w:after="0" w:line="152" w:lineRule="exact"/>
        <w:rPr>
          <w:sz w:val="20"/>
          <w:szCs w:val="20"/>
          <w:color w:val="auto"/>
        </w:rPr>
      </w:pPr>
    </w:p>
    <w:p>
      <w:pPr>
        <w:ind w:left="860" w:right="100" w:hanging="679"/>
        <w:spacing w:after="0" w:line="239" w:lineRule="auto"/>
        <w:tabs>
          <w:tab w:leader="none" w:pos="840" w:val="left"/>
        </w:tabs>
        <w:rPr>
          <w:sz w:val="20"/>
          <w:szCs w:val="20"/>
          <w:color w:val="auto"/>
        </w:rPr>
      </w:pPr>
      <w:r>
        <w:rPr>
          <w:rFonts w:ascii="Arial" w:cs="Arial" w:eastAsia="Arial" w:hAnsi="Arial"/>
          <w:sz w:val="14"/>
          <w:szCs w:val="14"/>
          <w:color w:val="auto"/>
        </w:rPr>
        <w:t>(n)(1)</w:t>
      </w:r>
      <w:r>
        <w:rPr>
          <w:sz w:val="20"/>
          <w:szCs w:val="20"/>
          <w:color w:val="auto"/>
        </w:rPr>
        <w:tab/>
      </w:r>
      <w:r>
        <w:rPr>
          <w:rFonts w:ascii="Arial" w:cs="Arial" w:eastAsia="Arial" w:hAnsi="Arial"/>
          <w:sz w:val="14"/>
          <w:szCs w:val="14"/>
          <w:color w:val="auto"/>
        </w:rPr>
        <w:t>Consent of Independent Registered Public Accounting Firm (Incorporated by reference to Exhibit 99(N)(1) to the Registrant’s Post- Effective Amendment No. 1 to the Registration Statement on Form N-2 (File No. 333-180084), filed on March 21, 2013).</w:t>
      </w:r>
    </w:p>
    <w:p>
      <w:pPr>
        <w:spacing w:after="0" w:line="152"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4"/>
          <w:szCs w:val="14"/>
          <w:color w:val="auto"/>
        </w:rPr>
        <w:t>(n)(2)*</w:t>
      </w:r>
      <w:r>
        <w:rPr>
          <w:sz w:val="20"/>
          <w:szCs w:val="20"/>
          <w:color w:val="auto"/>
        </w:rPr>
        <w:tab/>
      </w:r>
      <w:r>
        <w:rPr>
          <w:rFonts w:ascii="Arial" w:cs="Arial" w:eastAsia="Arial" w:hAnsi="Arial"/>
          <w:sz w:val="14"/>
          <w:szCs w:val="14"/>
          <w:color w:val="auto"/>
        </w:rPr>
        <w:t>Awareness Letter of Independent Registered Public Accounting Firm.</w:t>
      </w:r>
    </w:p>
    <w:p>
      <w:pPr>
        <w:spacing w:after="0" w:line="163" w:lineRule="exact"/>
        <w:rPr>
          <w:sz w:val="20"/>
          <w:szCs w:val="20"/>
          <w:color w:val="auto"/>
        </w:rPr>
      </w:pPr>
    </w:p>
    <w:p>
      <w:pPr>
        <w:ind w:left="860" w:right="340" w:hanging="659"/>
        <w:spacing w:after="0" w:line="239" w:lineRule="auto"/>
        <w:tabs>
          <w:tab w:leader="none" w:pos="840" w:val="left"/>
        </w:tabs>
        <w:rPr>
          <w:sz w:val="20"/>
          <w:szCs w:val="20"/>
          <w:color w:val="auto"/>
        </w:rPr>
      </w:pPr>
      <w:r>
        <w:rPr>
          <w:rFonts w:ascii="Arial" w:cs="Arial" w:eastAsia="Arial" w:hAnsi="Arial"/>
          <w:sz w:val="14"/>
          <w:szCs w:val="14"/>
          <w:color w:val="auto"/>
        </w:rPr>
        <w:t>(r)(1)</w:t>
      </w:r>
      <w:r>
        <w:rPr>
          <w:sz w:val="20"/>
          <w:szCs w:val="20"/>
          <w:color w:val="auto"/>
        </w:rPr>
        <w:tab/>
      </w:r>
      <w:r>
        <w:rPr>
          <w:rFonts w:ascii="Arial" w:cs="Arial" w:eastAsia="Arial" w:hAnsi="Arial"/>
          <w:sz w:val="14"/>
          <w:szCs w:val="14"/>
          <w:color w:val="auto"/>
        </w:rPr>
        <w:t>Joint Code of Ethics of the Registrant and PennantPark Investment Advisers, LLC (Incorporated by reference to Exhibit 14.1 to the Registrant’s Annual Report on Form 10-K (File No. 814-00891), filed on November 14, 2012).</w:t>
      </w:r>
    </w:p>
    <w:p>
      <w:pPr>
        <w:spacing w:after="0" w:line="152" w:lineRule="exact"/>
        <w:rPr>
          <w:sz w:val="20"/>
          <w:szCs w:val="20"/>
          <w:color w:val="auto"/>
        </w:rPr>
      </w:pPr>
    </w:p>
    <w:p>
      <w:pPr>
        <w:ind w:left="860" w:right="180" w:hanging="679"/>
        <w:spacing w:after="0" w:line="239" w:lineRule="auto"/>
        <w:tabs>
          <w:tab w:leader="none" w:pos="8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Form of Prospectus Supplement For Common Stock Offerings (Incorporated by reference to Exhibit 99(S)(1) to the Registration Statement on Form N-2 (File No. 333-180084), filed on March 14, 2012).</w:t>
      </w:r>
    </w:p>
    <w:p>
      <w:pPr>
        <w:spacing w:after="0" w:line="152" w:lineRule="exact"/>
        <w:rPr>
          <w:sz w:val="20"/>
          <w:szCs w:val="20"/>
          <w:color w:val="auto"/>
        </w:rPr>
      </w:pPr>
    </w:p>
    <w:p>
      <w:pPr>
        <w:ind w:left="860" w:right="180" w:hanging="679"/>
        <w:spacing w:after="0" w:line="239" w:lineRule="auto"/>
        <w:tabs>
          <w:tab w:leader="none" w:pos="840" w:val="left"/>
        </w:tabs>
        <w:rPr>
          <w:sz w:val="20"/>
          <w:szCs w:val="20"/>
          <w:color w:val="auto"/>
        </w:rPr>
      </w:pPr>
      <w:r>
        <w:rPr>
          <w:rFonts w:ascii="Arial" w:cs="Arial" w:eastAsia="Arial" w:hAnsi="Arial"/>
          <w:sz w:val="14"/>
          <w:szCs w:val="14"/>
          <w:color w:val="auto"/>
        </w:rPr>
        <w:t>(s)(2)</w:t>
      </w:r>
      <w:r>
        <w:rPr>
          <w:sz w:val="20"/>
          <w:szCs w:val="20"/>
          <w:color w:val="auto"/>
        </w:rPr>
        <w:tab/>
      </w:r>
      <w:r>
        <w:rPr>
          <w:rFonts w:ascii="Arial" w:cs="Arial" w:eastAsia="Arial" w:hAnsi="Arial"/>
          <w:sz w:val="14"/>
          <w:szCs w:val="14"/>
          <w:color w:val="auto"/>
        </w:rPr>
        <w:t>Form of Prospectus Supplement For Preferred Stock Offerings (Incorporated by reference to Exhibit 99(S)(2) to the Registration Statement on Form N-2 (File No. 333-180084), filed on March 14, 2012).</w:t>
      </w:r>
    </w:p>
    <w:p>
      <w:pPr>
        <w:spacing w:after="0" w:line="152"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2"/>
          <w:szCs w:val="12"/>
          <w:color w:val="auto"/>
        </w:rPr>
        <w:t>(s)(3)</w:t>
      </w:r>
      <w:r>
        <w:rPr>
          <w:sz w:val="20"/>
          <w:szCs w:val="20"/>
          <w:color w:val="auto"/>
        </w:rPr>
        <w:tab/>
      </w:r>
      <w:r>
        <w:rPr>
          <w:rFonts w:ascii="Arial" w:cs="Arial" w:eastAsia="Arial" w:hAnsi="Arial"/>
          <w:sz w:val="12"/>
          <w:szCs w:val="12"/>
          <w:color w:val="auto"/>
        </w:rPr>
        <w:t>Form of Prospectus Supplement For Debt Offerings (Incorporated by reference to Exhibit 99(S)(3) to the Registration Statement on Form N-2 (File No. 333-180084), filed on March 14, 2012).</w:t>
      </w:r>
    </w:p>
    <w:p>
      <w:pPr>
        <w:spacing w:after="0" w:line="186"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2"/>
          <w:szCs w:val="12"/>
          <w:color w:val="auto"/>
        </w:rPr>
        <w:t>(s)(4)</w:t>
      </w:r>
      <w:r>
        <w:rPr>
          <w:sz w:val="20"/>
          <w:szCs w:val="20"/>
          <w:color w:val="auto"/>
        </w:rPr>
        <w:tab/>
      </w:r>
      <w:r>
        <w:rPr>
          <w:rFonts w:ascii="Arial" w:cs="Arial" w:eastAsia="Arial" w:hAnsi="Arial"/>
          <w:sz w:val="12"/>
          <w:szCs w:val="12"/>
          <w:color w:val="auto"/>
        </w:rPr>
        <w:t>Form of Prospectus Supplement For Rights Offerings (Incorporated by reference to Exhibit 99(S)(4) to the Registration Statement on Form N-2 (File No. 333-180084), filed on March 14, 2012).</w:t>
      </w:r>
    </w:p>
    <w:p>
      <w:pPr>
        <w:spacing w:after="0" w:line="186"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2"/>
          <w:szCs w:val="12"/>
          <w:color w:val="auto"/>
        </w:rPr>
        <w:t>(s)(5)</w:t>
      </w:r>
      <w:r>
        <w:rPr>
          <w:sz w:val="20"/>
          <w:szCs w:val="20"/>
          <w:color w:val="auto"/>
        </w:rPr>
        <w:tab/>
      </w:r>
      <w:r>
        <w:rPr>
          <w:rFonts w:ascii="Arial" w:cs="Arial" w:eastAsia="Arial" w:hAnsi="Arial"/>
          <w:sz w:val="12"/>
          <w:szCs w:val="12"/>
          <w:color w:val="auto"/>
        </w:rPr>
        <w:t>Form of Prospectus Supplement For Warrant Offerings (Incorporated by reference to Exhibit 99(S)(5) to the Registration Statement on Form N-2 (File No. 333-180084), filed on March 14, 2012).</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420"/>
          </w:cols>
          <w:pgMar w:left="240" w:top="459" w:right="23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94" w:hanging="894"/>
        <w:spacing w:after="0"/>
        <w:tabs>
          <w:tab w:leader="none" w:pos="894" w:val="left"/>
        </w:tabs>
        <w:numPr>
          <w:ilvl w:val="0"/>
          <w:numId w:val="88"/>
        </w:numPr>
        <w:rPr>
          <w:rFonts w:ascii="Arial" w:cs="Arial" w:eastAsia="Arial" w:hAnsi="Arial"/>
          <w:sz w:val="11"/>
          <w:szCs w:val="11"/>
          <w:color w:val="auto"/>
        </w:rPr>
      </w:pPr>
      <w:r>
        <w:rPr>
          <w:rFonts w:ascii="Arial" w:cs="Arial" w:eastAsia="Arial" w:hAnsi="Arial"/>
          <w:sz w:val="11"/>
          <w:szCs w:val="11"/>
          <w:color w:val="auto"/>
        </w:rPr>
        <w:t>17,190</w:t>
      </w:r>
    </w:p>
    <w:p>
      <w:pPr>
        <w:spacing w:after="0" w:line="34" w:lineRule="exact"/>
        <w:rPr>
          <w:sz w:val="20"/>
          <w:szCs w:val="20"/>
          <w:color w:val="auto"/>
        </w:rPr>
      </w:pPr>
    </w:p>
    <w:p>
      <w:pPr>
        <w:ind w:left="894" w:hanging="894"/>
        <w:spacing w:after="0"/>
        <w:tabs>
          <w:tab w:leader="none" w:pos="894" w:val="left"/>
        </w:tabs>
        <w:numPr>
          <w:ilvl w:val="0"/>
          <w:numId w:val="89"/>
        </w:numPr>
        <w:rPr>
          <w:rFonts w:ascii="Arial" w:cs="Arial" w:eastAsia="Arial" w:hAnsi="Arial"/>
          <w:sz w:val="11"/>
          <w:szCs w:val="11"/>
          <w:color w:val="auto"/>
        </w:rPr>
      </w:pPr>
      <w:r>
        <w:rPr>
          <w:rFonts w:ascii="Arial" w:cs="Arial" w:eastAsia="Arial" w:hAnsi="Arial"/>
          <w:sz w:val="11"/>
          <w:szCs w:val="11"/>
          <w:color w:val="auto"/>
        </w:rPr>
        <w:t>38,462</w:t>
      </w:r>
    </w:p>
    <w:p>
      <w:pPr>
        <w:spacing w:after="0" w:line="22" w:lineRule="exact"/>
        <w:rPr>
          <w:sz w:val="20"/>
          <w:szCs w:val="20"/>
          <w:color w:val="auto"/>
        </w:rPr>
      </w:pPr>
    </w:p>
    <w:p>
      <w:pPr>
        <w:ind w:left="894" w:hanging="894"/>
        <w:spacing w:after="0"/>
        <w:tabs>
          <w:tab w:leader="none" w:pos="894" w:val="left"/>
        </w:tabs>
        <w:numPr>
          <w:ilvl w:val="0"/>
          <w:numId w:val="90"/>
        </w:numPr>
        <w:rPr>
          <w:rFonts w:ascii="Arial" w:cs="Arial" w:eastAsia="Arial" w:hAnsi="Arial"/>
          <w:sz w:val="11"/>
          <w:szCs w:val="11"/>
          <w:color w:val="auto"/>
        </w:rPr>
      </w:pPr>
      <w:r>
        <w:rPr>
          <w:rFonts w:ascii="Arial" w:cs="Arial" w:eastAsia="Arial" w:hAnsi="Arial"/>
          <w:sz w:val="11"/>
          <w:szCs w:val="11"/>
          <w:color w:val="auto"/>
        </w:rPr>
        <w:t>15,500</w:t>
      </w:r>
    </w:p>
    <w:p>
      <w:pPr>
        <w:spacing w:after="0" w:line="22" w:lineRule="exact"/>
        <w:rPr>
          <w:sz w:val="20"/>
          <w:szCs w:val="20"/>
          <w:color w:val="auto"/>
        </w:rPr>
      </w:pPr>
    </w:p>
    <w:p>
      <w:pPr>
        <w:ind w:left="814" w:hanging="814"/>
        <w:spacing w:after="0"/>
        <w:tabs>
          <w:tab w:leader="none" w:pos="814" w:val="left"/>
        </w:tabs>
        <w:numPr>
          <w:ilvl w:val="0"/>
          <w:numId w:val="91"/>
        </w:numPr>
        <w:rPr>
          <w:rFonts w:ascii="Arial" w:cs="Arial" w:eastAsia="Arial" w:hAnsi="Arial"/>
          <w:sz w:val="12"/>
          <w:szCs w:val="12"/>
          <w:color w:val="auto"/>
        </w:rPr>
      </w:pPr>
      <w:r>
        <w:rPr>
          <w:rFonts w:ascii="Arial" w:cs="Arial" w:eastAsia="Arial" w:hAnsi="Arial"/>
          <w:sz w:val="12"/>
          <w:szCs w:val="12"/>
          <w:color w:val="auto"/>
        </w:rPr>
        <w:t>225,000</w:t>
      </w:r>
    </w:p>
    <w:p>
      <w:pPr>
        <w:spacing w:after="0" w:line="11" w:lineRule="exact"/>
        <w:rPr>
          <w:sz w:val="20"/>
          <w:szCs w:val="20"/>
          <w:color w:val="auto"/>
        </w:rPr>
      </w:pPr>
    </w:p>
    <w:p>
      <w:pPr>
        <w:ind w:left="814" w:hanging="814"/>
        <w:spacing w:after="0"/>
        <w:tabs>
          <w:tab w:leader="none" w:pos="814" w:val="left"/>
        </w:tabs>
        <w:numPr>
          <w:ilvl w:val="0"/>
          <w:numId w:val="92"/>
        </w:numPr>
        <w:rPr>
          <w:rFonts w:ascii="Arial" w:cs="Arial" w:eastAsia="Arial" w:hAnsi="Arial"/>
          <w:sz w:val="12"/>
          <w:szCs w:val="12"/>
          <w:color w:val="auto"/>
        </w:rPr>
      </w:pPr>
      <w:r>
        <w:rPr>
          <w:rFonts w:ascii="Arial" w:cs="Arial" w:eastAsia="Arial" w:hAnsi="Arial"/>
          <w:sz w:val="12"/>
          <w:szCs w:val="12"/>
          <w:color w:val="auto"/>
        </w:rPr>
        <w:t>550,000</w:t>
      </w:r>
    </w:p>
    <w:p>
      <w:pPr>
        <w:spacing w:after="0" w:line="11" w:lineRule="exact"/>
        <w:rPr>
          <w:sz w:val="20"/>
          <w:szCs w:val="20"/>
          <w:color w:val="auto"/>
        </w:rPr>
      </w:pPr>
    </w:p>
    <w:p>
      <w:pPr>
        <w:ind w:left="814" w:hanging="814"/>
        <w:spacing w:after="0"/>
        <w:tabs>
          <w:tab w:leader="none" w:pos="8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250,000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128,848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94"/>
        </w:numPr>
        <w:rPr>
          <w:rFonts w:ascii="Arial" w:cs="Arial" w:eastAsia="Arial" w:hAnsi="Arial"/>
          <w:sz w:val="12"/>
          <w:szCs w:val="12"/>
          <w:color w:val="auto"/>
        </w:rPr>
      </w:pPr>
      <w:r>
        <w:rPr>
          <w:rFonts w:ascii="Arial" w:cs="Arial" w:eastAsia="Arial" w:hAnsi="Arial"/>
          <w:sz w:val="12"/>
          <w:szCs w:val="12"/>
          <w:color w:val="auto"/>
        </w:rPr>
        <w:t>1,225,000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3214"/>
          </w:cols>
          <w:pgMar w:left="240" w:top="459" w:right="2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May 10, 2013</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4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Class</w:t>
            </w:r>
          </w:p>
        </w:tc>
        <w:tc>
          <w:tcPr>
            <w:tcW w:w="4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9"/>
        </w:trPr>
        <w:tc>
          <w:tcPr>
            <w:tcW w:w="402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59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4</w:t>
            </w:r>
          </w:p>
        </w:tc>
      </w:tr>
      <w:tr>
        <w:trPr>
          <w:trHeight w:val="286"/>
        </w:trPr>
        <w:tc>
          <w:tcPr>
            <w:tcW w:w="4020" w:type="dxa"/>
            <w:vAlign w:val="bottom"/>
          </w:tcPr>
          <w:p>
            <w:pPr>
              <w:spacing w:after="0"/>
              <w:rPr>
                <w:sz w:val="24"/>
                <w:szCs w:val="24"/>
                <w:color w:val="auto"/>
              </w:rPr>
            </w:pPr>
          </w:p>
        </w:tc>
        <w:tc>
          <w:tcPr>
            <w:tcW w:w="5960" w:type="dxa"/>
            <w:vAlign w:val="bottom"/>
            <w:gridSpan w:val="2"/>
          </w:tcPr>
          <w:p>
            <w:pPr>
              <w:jc w:val="right"/>
              <w:ind w:right="416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20"/>
          </w:cols>
          <w:pgMar w:left="240" w:top="460" w:right="11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31" w:lineRule="exact"/>
        <w:rPr>
          <w:rFonts w:ascii="Arial" w:cs="Arial" w:eastAsia="Arial" w:hAnsi="Arial"/>
          <w:sz w:val="14"/>
          <w:szCs w:val="14"/>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3rd floor, Brooklyn, NY 11219;</w:t>
      </w:r>
    </w:p>
    <w:p>
      <w:pPr>
        <w:spacing w:after="0" w:line="76" w:lineRule="exact"/>
        <w:rPr>
          <w:rFonts w:ascii="Arial" w:cs="Arial" w:eastAsia="Arial" w:hAnsi="Arial"/>
          <w:sz w:val="14"/>
          <w:szCs w:val="14"/>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Adviser, PennantPark Investment Advisers, LLC, 590 Madison Avenue, 15th Floor, New York, NY 10022.</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C-7</w:t>
      </w:r>
    </w:p>
    <w:p>
      <w:pPr>
        <w:sectPr>
          <w:pgSz w:w="11900" w:h="16838" w:orient="portrait"/>
          <w:cols w:equalWidth="0" w:num="1">
            <w:col w:w="1021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right="140" w:firstLine="4"/>
        <w:spacing w:after="0" w:line="318" w:lineRule="auto"/>
        <w:tabs>
          <w:tab w:leader="none" w:pos="651"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98"/>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99"/>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99"/>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00"/>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2"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State of New York, on the 13th day of May 2013.</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this Post-Effective Amendment No. 2 to the Registration Statement has been signed by the following persons in the capacities set forth below on the 13th day of May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center"/>
              <w:ind w:right="2140"/>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6060" w:type="dxa"/>
            <w:vAlign w:val="bottom"/>
            <w:gridSpan w:val="8"/>
          </w:tcPr>
          <w:p>
            <w:pPr>
              <w:ind w:left="1940"/>
              <w:spacing w:after="0"/>
              <w:rPr>
                <w:sz w:val="20"/>
                <w:szCs w:val="20"/>
                <w:color w:val="auto"/>
              </w:rPr>
            </w:pPr>
            <w:r>
              <w:rPr>
                <w:rFonts w:ascii="Arial" w:cs="Arial" w:eastAsia="Arial" w:hAnsi="Arial"/>
                <w:sz w:val="14"/>
                <w:szCs w:val="14"/>
                <w:color w:val="auto"/>
              </w:rPr>
              <w:t>/S/  Arthur H. Penn</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Chairman of the Board of Directors and Chief Executive Officer (Principal Executive Officer)</w:t>
            </w:r>
          </w:p>
        </w:tc>
      </w:tr>
      <w:tr>
        <w:trPr>
          <w:trHeight w:val="168"/>
        </w:trPr>
        <w:tc>
          <w:tcPr>
            <w:tcW w:w="1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Arthur H. Penn</w:t>
            </w:r>
          </w:p>
        </w:tc>
        <w:tc>
          <w:tcPr>
            <w:tcW w:w="2740" w:type="dxa"/>
            <w:vAlign w:val="bottom"/>
            <w:gridSpan w:val="2"/>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5"/>
          </w:tcPr>
          <w:p>
            <w:pPr>
              <w:spacing w:after="0"/>
              <w:rPr>
                <w:sz w:val="20"/>
                <w:szCs w:val="20"/>
                <w:color w:val="auto"/>
              </w:rPr>
            </w:pPr>
            <w:r>
              <w:rPr>
                <w:rFonts w:ascii="Arial" w:cs="Arial" w:eastAsia="Arial" w:hAnsi="Arial"/>
                <w:sz w:val="14"/>
                <w:szCs w:val="14"/>
                <w:color w:val="auto"/>
              </w:rPr>
              <w:t>/S/  Aviv Efrat</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100" w:type="dxa"/>
            <w:vAlign w:val="bottom"/>
          </w:tcPr>
          <w:p>
            <w:pPr>
              <w:spacing w:after="0"/>
              <w:rPr>
                <w:sz w:val="14"/>
                <w:szCs w:val="14"/>
                <w:color w:val="auto"/>
              </w:rPr>
            </w:pP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Jeffrey Flug</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Samuel L. Katz</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bl>
    <w:p>
      <w:pPr>
        <w:spacing w:after="0" w:line="180" w:lineRule="exact"/>
        <w:rPr>
          <w:sz w:val="20"/>
          <w:szCs w:val="20"/>
          <w:color w:val="auto"/>
        </w:rPr>
      </w:pPr>
    </w:p>
    <w:p>
      <w:pPr>
        <w:ind w:left="5580" w:right="4460" w:hanging="5572"/>
        <w:spacing w:after="0" w:line="459" w:lineRule="auto"/>
        <w:tabs>
          <w:tab w:leader="none" w:pos="11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on March 14, 2012. C-11</w:t>
      </w:r>
    </w:p>
    <w:p>
      <w:pPr>
        <w:sectPr>
          <w:pgSz w:w="11900" w:h="16838" w:orient="portrait"/>
          <w:cols w:equalWidth="0" w:num="1">
            <w:col w:w="11420"/>
          </w:cols>
          <w:pgMar w:left="240" w:top="46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(n)(2)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Awareness Letter of Independent Registered Public Accounting Firm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Re: Securities Act of 1933 Registration No. 333-180084 and Investment Company Act of 1940 File No. 814-00891</w:t>
      </w:r>
    </w:p>
    <w:p>
      <w:pPr>
        <w:spacing w:after="0" w:line="123"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With respect to the subject registration statement, we acknowledge our awareness of the use therein of our report dated May 9, 2013 related to our review of interim financial information. 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13, 2013</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1)"/>
      <w:numFmt w:val="decimal"/>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4"/>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1)"/>
      <w:numFmt w:val="decimal"/>
      <w:start w:val="3"/>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1)"/>
      <w:numFmt w:val="decimal"/>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lowerLetter"/>
      <w:start w:val="3"/>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lvl w:ilvl="1">
      <w:lvlJc w:val="left"/>
      <w:lvlText w:val="%2)"/>
      <w:numFmt w:val="decimal"/>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1"/>
    </w:lvl>
    <w:lvl w:ilvl="1">
      <w:lvlJc w:val="left"/>
      <w:lvlText w:val="(%2)"/>
      <w:numFmt w:val="lowerLetter"/>
      <w:start w:val="2"/>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1)"/>
      <w:numFmt w:val="decimal"/>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lowerLetter"/>
      <w:start w:val="1"/>
    </w:lvl>
    <w:lvl w:ilvl="1">
      <w:lvlJc w:val="left"/>
      <w:lvlText w:val="(%2)"/>
      <w:numFmt w:val="decimal"/>
      <w:start w:val="1"/>
    </w:lvl>
  </w:abstractNum>
  <w:abstractNum w:abstractNumId="77">
    <w:nsid w:val="68EBC550"/>
    <w:multiLevelType w:val="hybridMultilevel"/>
    <w:lvl w:ilvl="0">
      <w:lvlJc w:val="left"/>
      <w:lvlText w:val="(%1)"/>
      <w:numFmt w:val="lowerLetter"/>
      <w:start w:val="2"/>
    </w:lvl>
    <w:lvl w:ilvl="1">
      <w:lvlJc w:val="left"/>
      <w:lvlText w:val="%2"/>
      <w:numFmt w:val="decimal"/>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bullet"/>
      <w:start w:val="1"/>
    </w:lvl>
  </w:abstractNum>
  <w:abstractNum w:abstractNumId="81">
    <w:nsid w:val="39EE015C"/>
    <w:multiLevelType w:val="hybridMultilevel"/>
    <w:lvl w:ilvl="0">
      <w:lvlJc w:val="left"/>
      <w:lvlText w:val="2"/>
      <w:numFmt w:val="bullet"/>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5"/>
    </w:lvl>
  </w:abstractNum>
  <w:abstractNum w:abstractNumId="84">
    <w:nsid w:val="43F18422"/>
    <w:multiLevelType w:val="hybridMultilevel"/>
    <w:lvl w:ilvl="0">
      <w:lvlJc w:val="left"/>
      <w:lvlText w:val="(%1)"/>
      <w:numFmt w:val="lowerLetter"/>
      <w:start w:val="7"/>
    </w:lvl>
  </w:abstractNum>
  <w:abstractNum w:abstractNumId="85">
    <w:nsid w:val="60EF0119"/>
    <w:multiLevelType w:val="hybridMultilevel"/>
    <w:lvl w:ilvl="0">
      <w:lvlJc w:val="left"/>
      <w:lvlText w:val="(%1)"/>
      <w:numFmt w:val="lowerLetter"/>
      <w:start w:val="10"/>
    </w:lvl>
  </w:abstractNum>
  <w:abstractNum w:abstractNumId="86">
    <w:nsid w:val="26F324BA"/>
    <w:multiLevelType w:val="hybridMultilevel"/>
    <w:lvl w:ilvl="0">
      <w:lvlJc w:val="left"/>
      <w:lvlText w:val="2"/>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lowerLetter"/>
      <w:start w:val="1"/>
    </w:lvl>
    <w:lvl w:ilvl="1">
      <w:lvlJc w:val="left"/>
      <w:lvlText w:val="(%2)"/>
      <w:numFmt w:val="lowerRoman"/>
      <w:start w:val="1"/>
    </w:lvl>
  </w:abstractNum>
  <w:abstractNum w:abstractNumId="97">
    <w:nsid w:val="6A5F7029"/>
    <w:multiLevelType w:val="hybridMultilevel"/>
    <w:lvl w:ilvl="0">
      <w:lvlJc w:val="left"/>
      <w:lvlText w:val="(%1)"/>
      <w:numFmt w:val="lowerLetter"/>
      <w:start w:val="2"/>
    </w:lvl>
    <w:lvl w:ilvl="1">
      <w:lvlJc w:val="left"/>
      <w:lvlText w:val="%2"/>
      <w:numFmt w:val="lowerRoman"/>
      <w:start w:val="1"/>
    </w:lvl>
  </w:abstractNum>
  <w:abstractNum w:abstractNumId="98">
    <w:nsid w:val="7D5E18F8"/>
    <w:multiLevelType w:val="hybridMultilevel"/>
    <w:lvl w:ilvl="0">
      <w:lvlJc w:val="left"/>
      <w:lvlText w:val="(%1)"/>
      <w:numFmt w:val="lowerLetter"/>
      <w:start w:val="5"/>
    </w:lvl>
    <w:lvl w:ilvl="1">
      <w:lvlJc w:val="left"/>
      <w:lvlText w:val="(%2)"/>
      <w:numFmt w:val="lowerRoman"/>
      <w:start w:val="1"/>
    </w:lvl>
  </w:abstractNum>
  <w:abstractNum w:abstractNumId="99">
    <w:nsid w:val="5F3534A4"/>
    <w:multiLevelType w:val="hybridMultilevel"/>
    <w:lvl w:ilvl="0">
      <w:lvlJc w:val="left"/>
      <w:lvlText w:val="%1"/>
      <w:numFmt w:val="decimal"/>
      <w:start w:val="1"/>
    </w:lvl>
    <w:lvl w:ilvl="1">
      <w:lvlJc w:val="left"/>
      <w:lvlText w:val="(%2)"/>
      <w:numFmt w:val="lowerLetter"/>
      <w:start w:val="2"/>
    </w:lvl>
  </w:abstractNum>
  <w:abstractNum w:abstractNumId="100">
    <w:nsid w:val="73A1821B"/>
    <w:multiLevelType w:val="hybridMultilevel"/>
    <w:lvl w:ilvl="0">
      <w:lvlJc w:val="left"/>
      <w:lvlText w:val="(%1)"/>
      <w:numFmt w:val="decimal"/>
      <w:start w:val="6"/>
    </w:lvl>
    <w:lvl w:ilvl="1">
      <w:lvlJc w:val="left"/>
      <w:lvlText w:val="%2"/>
      <w:numFmt w:val="lowerLetter"/>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2019-12-07T23:32:43Z</dcterms:created>
  <dcterms:modified xsi:type="dcterms:W3CDTF">2019-12-07T23:32:43Z</dcterms:modified>
</cp:coreProperties>
</file>