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SEPTEMBER 30, 2016</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0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5840" w:type="dxa"/>
            <w:vAlign w:val="bottom"/>
          </w:tcPr>
          <w:p>
            <w:pPr>
              <w:ind w:left="3140"/>
              <w:spacing w:after="0"/>
              <w:rPr>
                <w:sz w:val="20"/>
                <w:szCs w:val="20"/>
                <w:color w:val="auto"/>
              </w:rPr>
            </w:pPr>
            <w:r>
              <w:rPr>
                <w:rFonts w:ascii="Arial" w:cs="Arial" w:eastAsia="Arial" w:hAnsi="Arial"/>
                <w:sz w:val="14"/>
                <w:szCs w:val="14"/>
                <w:b w:val="1"/>
                <w:bCs w:val="1"/>
                <w:color w:val="auto"/>
              </w:rPr>
              <w:t>FOR THE TRANSITION PERIOD FROM</w:t>
            </w:r>
          </w:p>
        </w:tc>
        <w:tc>
          <w:tcPr>
            <w:tcW w:w="440" w:type="dxa"/>
            <w:vAlign w:val="bottom"/>
            <w:tcBorders>
              <w:bottom w:val="single" w:sz="8" w:color="auto"/>
            </w:tcBorders>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6"/>
        </w:trPr>
        <w:tc>
          <w:tcPr>
            <w:tcW w:w="6880" w:type="dxa"/>
            <w:vAlign w:val="bottom"/>
            <w:gridSpan w:val="4"/>
          </w:tcPr>
          <w:p>
            <w:pPr>
              <w:jc w:val="center"/>
              <w:ind w:left="3166"/>
              <w:spacing w:after="0"/>
              <w:rPr>
                <w:sz w:val="20"/>
                <w:szCs w:val="20"/>
                <w:color w:val="auto"/>
              </w:rPr>
            </w:pPr>
            <w:r>
              <w:rPr>
                <w:rFonts w:ascii="Arial" w:cs="Arial" w:eastAsia="Arial" w:hAnsi="Arial"/>
                <w:sz w:val="14"/>
                <w:szCs w:val="14"/>
                <w:b w:val="1"/>
                <w:bCs w:val="1"/>
                <w:color w:val="auto"/>
              </w:rPr>
              <w:t>COMMISSION FILE NUMBER: 814-00891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89"/>
        </w:trPr>
        <w:tc>
          <w:tcPr>
            <w:tcW w:w="9100" w:type="dxa"/>
            <w:vAlign w:val="bottom"/>
            <w:gridSpan w:val="7"/>
          </w:tcPr>
          <w:p>
            <w:pPr>
              <w:jc w:val="center"/>
              <w:ind w:left="966"/>
              <w:spacing w:after="0"/>
              <w:rPr>
                <w:sz w:val="20"/>
                <w:szCs w:val="20"/>
                <w:color w:val="auto"/>
              </w:rPr>
            </w:pPr>
            <w:r>
              <w:rPr>
                <w:rFonts w:ascii="Arial" w:cs="Arial" w:eastAsia="Arial" w:hAnsi="Arial"/>
                <w:sz w:val="31"/>
                <w:szCs w:val="31"/>
                <w:b w:val="1"/>
                <w:bCs w:val="1"/>
                <w:color w:val="auto"/>
                <w:w w:val="98"/>
              </w:rPr>
              <w:t>PENNANTPARK FLOATING RATE CAPITAL LTD.</w:t>
            </w:r>
          </w:p>
        </w:tc>
      </w:tr>
      <w:tr>
        <w:trPr>
          <w:trHeight w:val="186"/>
        </w:trPr>
        <w:tc>
          <w:tcPr>
            <w:tcW w:w="6880" w:type="dxa"/>
            <w:vAlign w:val="bottom"/>
            <w:gridSpan w:val="4"/>
          </w:tcPr>
          <w:p>
            <w:pPr>
              <w:jc w:val="center"/>
              <w:ind w:left="318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41"/>
        </w:trPr>
        <w:tc>
          <w:tcPr>
            <w:tcW w:w="5840" w:type="dxa"/>
            <w:vAlign w:val="bottom"/>
          </w:tcPr>
          <w:p>
            <w:pPr>
              <w:jc w:val="center"/>
              <w:ind w:right="1206"/>
              <w:spacing w:after="0"/>
              <w:rPr>
                <w:sz w:val="20"/>
                <w:szCs w:val="20"/>
                <w:color w:val="auto"/>
              </w:rPr>
            </w:pPr>
            <w:r>
              <w:rPr>
                <w:rFonts w:ascii="Arial" w:cs="Arial" w:eastAsia="Arial" w:hAnsi="Arial"/>
                <w:sz w:val="14"/>
                <w:szCs w:val="14"/>
                <w:b w:val="1"/>
                <w:bCs w:val="1"/>
                <w:color w:val="auto"/>
              </w:rPr>
              <w:t>MARYLAND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jc w:val="right"/>
              <w:ind w:right="731"/>
              <w:spacing w:after="0"/>
              <w:rPr>
                <w:sz w:val="20"/>
                <w:szCs w:val="20"/>
                <w:color w:val="auto"/>
              </w:rPr>
            </w:pPr>
            <w:r>
              <w:rPr>
                <w:rFonts w:ascii="Arial" w:cs="Arial" w:eastAsia="Arial" w:hAnsi="Arial"/>
                <w:sz w:val="14"/>
                <w:szCs w:val="14"/>
                <w:b w:val="1"/>
                <w:bCs w:val="1"/>
                <w:color w:val="auto"/>
              </w:rPr>
              <w:t>27-3794690</w:t>
            </w:r>
          </w:p>
        </w:tc>
      </w:tr>
      <w:tr>
        <w:trPr>
          <w:trHeight w:val="150"/>
        </w:trPr>
        <w:tc>
          <w:tcPr>
            <w:tcW w:w="5840" w:type="dxa"/>
            <w:vAlign w:val="bottom"/>
          </w:tcPr>
          <w:p>
            <w:pPr>
              <w:jc w:val="center"/>
              <w:ind w:right="1186"/>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2"/>
          </w:tcPr>
          <w:p>
            <w:pPr>
              <w:jc w:val="center"/>
              <w:ind w:right="111"/>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443"/>
        </w:trPr>
        <w:tc>
          <w:tcPr>
            <w:tcW w:w="5840" w:type="dxa"/>
            <w:vAlign w:val="bottom"/>
          </w:tcPr>
          <w:p>
            <w:pPr>
              <w:jc w:val="center"/>
              <w:ind w:right="1206"/>
              <w:spacing w:after="0"/>
              <w:rPr>
                <w:sz w:val="20"/>
                <w:szCs w:val="20"/>
                <w:color w:val="auto"/>
              </w:rPr>
            </w:pPr>
            <w:r>
              <w:rPr>
                <w:rFonts w:ascii="Arial" w:cs="Arial" w:eastAsia="Arial" w:hAnsi="Arial"/>
                <w:sz w:val="14"/>
                <w:szCs w:val="14"/>
                <w:b w:val="1"/>
                <w:bCs w:val="1"/>
                <w:color w:val="auto"/>
                <w:w w:val="92"/>
              </w:rPr>
              <w:t>590 Madison Avenue,</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7"/>
        </w:trPr>
        <w:tc>
          <w:tcPr>
            <w:tcW w:w="5840" w:type="dxa"/>
            <w:vAlign w:val="bottom"/>
          </w:tcPr>
          <w:p>
            <w:pPr>
              <w:jc w:val="center"/>
              <w:ind w:right="1206"/>
              <w:spacing w:after="0"/>
              <w:rPr>
                <w:sz w:val="20"/>
                <w:szCs w:val="20"/>
                <w:color w:val="auto"/>
              </w:rPr>
            </w:pPr>
            <w:r>
              <w:rPr>
                <w:rFonts w:ascii="Arial" w:cs="Arial" w:eastAsia="Arial" w:hAnsi="Arial"/>
                <w:sz w:val="14"/>
                <w:szCs w:val="14"/>
                <w:b w:val="1"/>
                <w:bCs w:val="1"/>
                <w:color w:val="auto"/>
                <w:w w:val="94"/>
              </w:rPr>
              <w:t>15</w:t>
            </w:r>
            <w:r>
              <w:rPr>
                <w:rFonts w:ascii="Arial" w:cs="Arial" w:eastAsia="Arial" w:hAnsi="Arial"/>
                <w:sz w:val="12"/>
                <w:szCs w:val="12"/>
                <w:b w:val="1"/>
                <w:bCs w:val="1"/>
                <w:color w:val="auto"/>
                <w:w w:val="94"/>
              </w:rPr>
              <w:t>th</w:t>
            </w:r>
            <w:r>
              <w:rPr>
                <w:rFonts w:ascii="Arial" w:cs="Arial" w:eastAsia="Arial" w:hAnsi="Arial"/>
                <w:sz w:val="14"/>
                <w:szCs w:val="14"/>
                <w:b w:val="1"/>
                <w:bCs w:val="1"/>
                <w:color w:val="auto"/>
                <w:w w:val="94"/>
              </w:rPr>
              <w:t xml:space="preserve"> Floor New York, N.Y.</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jc w:val="right"/>
              <w:ind w:right="891"/>
              <w:spacing w:after="0"/>
              <w:rPr>
                <w:sz w:val="20"/>
                <w:szCs w:val="20"/>
                <w:color w:val="auto"/>
              </w:rPr>
            </w:pPr>
            <w:r>
              <w:rPr>
                <w:rFonts w:ascii="Arial" w:cs="Arial" w:eastAsia="Arial" w:hAnsi="Arial"/>
                <w:sz w:val="14"/>
                <w:szCs w:val="14"/>
                <w:b w:val="1"/>
                <w:bCs w:val="1"/>
                <w:color w:val="auto"/>
              </w:rPr>
              <w:t>10022</w:t>
            </w:r>
          </w:p>
        </w:tc>
      </w:tr>
      <w:tr>
        <w:trPr>
          <w:trHeight w:val="150"/>
        </w:trPr>
        <w:tc>
          <w:tcPr>
            <w:tcW w:w="5840" w:type="dxa"/>
            <w:vAlign w:val="bottom"/>
          </w:tcPr>
          <w:p>
            <w:pPr>
              <w:jc w:val="center"/>
              <w:ind w:right="1206"/>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jc w:val="center"/>
              <w:ind w:right="571"/>
              <w:spacing w:after="0"/>
              <w:rPr>
                <w:sz w:val="20"/>
                <w:szCs w:val="20"/>
                <w:color w:val="auto"/>
              </w:rPr>
            </w:pPr>
            <w:r>
              <w:rPr>
                <w:rFonts w:ascii="Arial" w:cs="Arial" w:eastAsia="Arial" w:hAnsi="Arial"/>
                <w:sz w:val="12"/>
                <w:szCs w:val="12"/>
                <w:b w:val="1"/>
                <w:bCs w:val="1"/>
                <w:color w:val="auto"/>
                <w:w w:val="90"/>
              </w:rPr>
              <w:t>(Zip Code)</w:t>
            </w:r>
          </w:p>
        </w:tc>
      </w:tr>
      <w:tr>
        <w:trPr>
          <w:trHeight w:val="264"/>
        </w:trPr>
        <w:tc>
          <w:tcPr>
            <w:tcW w:w="7440" w:type="dxa"/>
            <w:vAlign w:val="bottom"/>
            <w:gridSpan w:val="6"/>
          </w:tcPr>
          <w:p>
            <w:pPr>
              <w:jc w:val="center"/>
              <w:ind w:left="2626"/>
              <w:spacing w:after="0"/>
              <w:rPr>
                <w:sz w:val="20"/>
                <w:szCs w:val="20"/>
                <w:color w:val="auto"/>
              </w:rPr>
            </w:pPr>
            <w:r>
              <w:rPr>
                <w:rFonts w:ascii="Arial" w:cs="Arial" w:eastAsia="Arial" w:hAnsi="Arial"/>
                <w:sz w:val="14"/>
                <w:szCs w:val="14"/>
                <w:b w:val="1"/>
                <w:bCs w:val="1"/>
                <w:color w:val="auto"/>
                <w:w w:val="91"/>
              </w:rPr>
              <w:t>Registrant’s telephone number, including area code (212)-905-1000</w:t>
            </w:r>
          </w:p>
        </w:tc>
        <w:tc>
          <w:tcPr>
            <w:tcW w:w="1660" w:type="dxa"/>
            <w:vAlign w:val="bottom"/>
          </w:tcPr>
          <w:p>
            <w:pPr>
              <w:spacing w:after="0"/>
              <w:rPr>
                <w:sz w:val="23"/>
                <w:szCs w:val="23"/>
                <w:color w:val="auto"/>
              </w:rPr>
            </w:pPr>
          </w:p>
        </w:tc>
      </w:tr>
      <w:tr>
        <w:trPr>
          <w:trHeight w:val="256"/>
        </w:trPr>
        <w:tc>
          <w:tcPr>
            <w:tcW w:w="6880" w:type="dxa"/>
            <w:vAlign w:val="bottom"/>
            <w:gridSpan w:val="4"/>
          </w:tcPr>
          <w:p>
            <w:pPr>
              <w:jc w:val="center"/>
              <w:ind w:left="316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23"/>
        </w:trPr>
        <w:tc>
          <w:tcPr>
            <w:tcW w:w="5840" w:type="dxa"/>
            <w:vAlign w:val="bottom"/>
          </w:tcPr>
          <w:p>
            <w:pPr>
              <w:jc w:val="center"/>
              <w:ind w:right="1186"/>
              <w:spacing w:after="0"/>
              <w:rPr>
                <w:sz w:val="20"/>
                <w:szCs w:val="20"/>
                <w:color w:val="auto"/>
              </w:rPr>
            </w:pPr>
            <w:r>
              <w:rPr>
                <w:rFonts w:ascii="Arial" w:cs="Arial" w:eastAsia="Arial" w:hAnsi="Arial"/>
                <w:sz w:val="12"/>
                <w:szCs w:val="12"/>
                <w:b w:val="1"/>
                <w:bCs w:val="1"/>
                <w:color w:val="auto"/>
                <w:w w:val="88"/>
              </w:rPr>
              <w:t>Title of Each Class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4"/>
          </w:tcPr>
          <w:p>
            <w:pPr>
              <w:jc w:val="center"/>
              <w:ind w:left="182"/>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82"/>
        </w:trPr>
        <w:tc>
          <w:tcPr>
            <w:tcW w:w="5840" w:type="dxa"/>
            <w:vAlign w:val="bottom"/>
          </w:tcPr>
          <w:p>
            <w:pPr>
              <w:jc w:val="center"/>
              <w:ind w:right="1206"/>
              <w:spacing w:after="0"/>
              <w:rPr>
                <w:sz w:val="20"/>
                <w:szCs w:val="20"/>
                <w:color w:val="auto"/>
              </w:rPr>
            </w:pPr>
            <w:r>
              <w:rPr>
                <w:rFonts w:ascii="Arial" w:cs="Arial" w:eastAsia="Arial" w:hAnsi="Arial"/>
                <w:sz w:val="14"/>
                <w:szCs w:val="14"/>
                <w:color w:val="auto"/>
                <w:w w:val="91"/>
              </w:rPr>
              <w:t>Common Stock, par value $0.001 per share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gridSpan w:val="3"/>
          </w:tcPr>
          <w:p>
            <w:pPr>
              <w:jc w:val="center"/>
              <w:ind w:right="11"/>
              <w:spacing w:after="0"/>
              <w:rPr>
                <w:sz w:val="20"/>
                <w:szCs w:val="20"/>
                <w:color w:val="auto"/>
              </w:rPr>
            </w:pPr>
            <w:r>
              <w:rPr>
                <w:rFonts w:ascii="Arial" w:cs="Arial" w:eastAsia="Arial" w:hAnsi="Arial"/>
                <w:sz w:val="14"/>
                <w:szCs w:val="14"/>
                <w:color w:val="auto"/>
                <w:w w:val="97"/>
              </w:rPr>
              <w:t>The NASDAQ Stock Market LLC</w:t>
            </w:r>
          </w:p>
        </w:tc>
      </w:tr>
      <w:tr>
        <w:trPr>
          <w:trHeight w:val="324"/>
        </w:trPr>
        <w:tc>
          <w:tcPr>
            <w:tcW w:w="7440" w:type="dxa"/>
            <w:vAlign w:val="bottom"/>
            <w:gridSpan w:val="6"/>
          </w:tcPr>
          <w:p>
            <w:pPr>
              <w:jc w:val="center"/>
              <w:ind w:left="2626"/>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660" w:type="dxa"/>
            <w:vAlign w:val="bottom"/>
          </w:tcPr>
          <w:p>
            <w:pPr>
              <w:spacing w:after="0"/>
              <w:rPr>
                <w:sz w:val="24"/>
                <w:szCs w:val="24"/>
                <w:color w:val="auto"/>
              </w:rPr>
            </w:pPr>
          </w:p>
        </w:tc>
      </w:tr>
      <w:tr>
        <w:trPr>
          <w:trHeight w:val="367"/>
        </w:trPr>
        <w:tc>
          <w:tcPr>
            <w:tcW w:w="688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66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r>
      <w:tr>
        <w:trPr>
          <w:trHeight w:val="351"/>
        </w:trPr>
        <w:tc>
          <w:tcPr>
            <w:tcW w:w="688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100" w:type="dxa"/>
            <w:vAlign w:val="bottom"/>
          </w:tcPr>
          <w:p>
            <w:pPr>
              <w:spacing w:after="0"/>
              <w:rPr>
                <w:sz w:val="24"/>
                <w:szCs w:val="24"/>
                <w:color w:val="auto"/>
              </w:rPr>
            </w:pPr>
          </w:p>
        </w:tc>
        <w:tc>
          <w:tcPr>
            <w:tcW w:w="460" w:type="dxa"/>
            <w:vAlign w:val="bottom"/>
          </w:tcPr>
          <w:p>
            <w:pPr>
              <w:ind w:left="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166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tc>
      </w:tr>
    </w:tbl>
    <w:p>
      <w:pPr>
        <w:spacing w:after="0" w:line="139"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153"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70" w:lineRule="exact"/>
        <w:rPr>
          <w:sz w:val="24"/>
          <w:szCs w:val="24"/>
          <w:color w:val="auto"/>
        </w:rPr>
      </w:pPr>
    </w:p>
    <w:p>
      <w:pPr>
        <w:ind w:right="60" w:firstLine="56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40" w:lineRule="exact"/>
        <w:rPr>
          <w:sz w:val="24"/>
          <w:szCs w:val="24"/>
          <w:color w:val="auto"/>
        </w:rPr>
      </w:pPr>
    </w:p>
    <w:p>
      <w:pPr>
        <w:ind w:right="56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160" w:lineRule="exact"/>
        <w:rPr>
          <w:sz w:val="24"/>
          <w:szCs w:val="24"/>
          <w:color w:val="auto"/>
        </w:rPr>
      </w:pPr>
    </w:p>
    <w:p>
      <w:pPr>
        <w:spacing w:after="0" w:line="161" w:lineRule="exact"/>
        <w:tabs>
          <w:tab w:leader="none" w:pos="1780" w:val="left"/>
          <w:tab w:leader="none" w:pos="89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23" w:lineRule="exact"/>
        <w:rPr>
          <w:sz w:val="24"/>
          <w:szCs w:val="24"/>
          <w:color w:val="auto"/>
        </w:rPr>
      </w:pPr>
    </w:p>
    <w:p>
      <w:pPr>
        <w:spacing w:after="0" w:line="161" w:lineRule="exact"/>
        <w:tabs>
          <w:tab w:leader="none" w:pos="1780" w:val="left"/>
          <w:tab w:leader="none" w:pos="896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(Do not check if a smaller reporting company)</w:t>
      </w:r>
      <w:r>
        <w:rPr>
          <w:sz w:val="20"/>
          <w:szCs w:val="20"/>
          <w:color w:val="auto"/>
        </w:rPr>
        <w:tab/>
      </w:r>
      <w:r>
        <w:rPr>
          <w:rFonts w:ascii="Arial" w:cs="Arial" w:eastAsia="Arial" w:hAnsi="Arial"/>
          <w:sz w:val="13"/>
          <w:szCs w:val="13"/>
          <w:color w:val="auto"/>
        </w:rPr>
        <w:t>Smaller reporting company</w:t>
      </w:r>
    </w:p>
    <w:p>
      <w:pPr>
        <w:spacing w:after="0" w:line="204" w:lineRule="exact"/>
        <w:rPr>
          <w:sz w:val="24"/>
          <w:szCs w:val="24"/>
          <w:color w:val="auto"/>
        </w:rPr>
      </w:pPr>
    </w:p>
    <w:p>
      <w:pPr>
        <w:ind w:left="560"/>
        <w:spacing w:after="0" w:line="161" w:lineRule="exact"/>
        <w:tabs>
          <w:tab w:leader="none" w:pos="7220" w:val="left"/>
          <w:tab w:leader="none" w:pos="77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204" w:lineRule="exact"/>
        <w:rPr>
          <w:sz w:val="24"/>
          <w:szCs w:val="24"/>
          <w:color w:val="auto"/>
        </w:rPr>
      </w:pPr>
    </w:p>
    <w:p>
      <w:pPr>
        <w:jc w:val="both"/>
        <w:ind w:firstLine="562"/>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2016 based on the closing price on that date of $11.70 on the NASDAQ Global Select Market was approximately $309 million. For the purposes of calculating the aggregate market value of common stock held by non-affiliates, all directors and executive officers of the Registrant have been treated as affiliates. There were 26,730,074 shares of the Registrant’s common stock outstanding as of November 22, 2016.</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10" w:lineRule="exact"/>
        <w:rPr>
          <w:sz w:val="24"/>
          <w:szCs w:val="24"/>
          <w:color w:val="auto"/>
        </w:rPr>
      </w:pPr>
    </w:p>
    <w:p>
      <w:pPr>
        <w:sectPr>
          <w:pgSz w:w="11900" w:h="16838" w:orient="portrait"/>
          <w:cols w:equalWidth="0" w:num="2">
            <w:col w:w="10880" w:space="220"/>
            <w:col w:w="140"/>
          </w:cols>
          <w:pgMar w:left="320" w:top="230" w:right="339" w:bottom="1440" w:gutter="0" w:footer="0" w:header="0"/>
          <w:type w:val="continuous"/>
        </w:sectPr>
      </w:pPr>
    </w:p>
    <w:p>
      <w:pPr>
        <w:ind w:right="40" w:firstLine="562"/>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2017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8500" w:type="dxa"/>
            <w:vAlign w:val="bottom"/>
          </w:tcPr>
          <w:p>
            <w:pPr>
              <w:jc w:val="center"/>
              <w:ind w:left="1248"/>
              <w:spacing w:after="0"/>
              <w:rPr>
                <w:sz w:val="20"/>
                <w:szCs w:val="20"/>
                <w:color w:val="auto"/>
              </w:rPr>
            </w:pPr>
            <w:r>
              <w:rPr>
                <w:rFonts w:ascii="Arial" w:cs="Arial" w:eastAsia="Arial" w:hAnsi="Arial"/>
                <w:sz w:val="14"/>
                <w:szCs w:val="14"/>
                <w:b w:val="1"/>
                <w:bCs w:val="1"/>
                <w:color w:val="auto"/>
              </w:rPr>
              <w:t>PENNANTPARK FLOATING RATE CAPITAL LTD.</w:t>
            </w:r>
          </w:p>
        </w:tc>
        <w:tc>
          <w:tcPr>
            <w:tcW w:w="1940" w:type="dxa"/>
            <w:vAlign w:val="bottom"/>
          </w:tcPr>
          <w:p>
            <w:pPr>
              <w:spacing w:after="0"/>
              <w:rPr>
                <w:sz w:val="14"/>
                <w:szCs w:val="14"/>
                <w:color w:val="auto"/>
              </w:rPr>
            </w:pPr>
          </w:p>
        </w:tc>
      </w:tr>
      <w:tr>
        <w:trPr>
          <w:trHeight w:val="148"/>
        </w:trPr>
        <w:tc>
          <w:tcPr>
            <w:tcW w:w="720" w:type="dxa"/>
            <w:vAlign w:val="bottom"/>
          </w:tcPr>
          <w:p>
            <w:pPr>
              <w:spacing w:after="0"/>
              <w:rPr>
                <w:sz w:val="12"/>
                <w:szCs w:val="12"/>
                <w:color w:val="auto"/>
              </w:rPr>
            </w:pPr>
          </w:p>
        </w:tc>
        <w:tc>
          <w:tcPr>
            <w:tcW w:w="8500" w:type="dxa"/>
            <w:vAlign w:val="bottom"/>
          </w:tcPr>
          <w:p>
            <w:pPr>
              <w:jc w:val="center"/>
              <w:ind w:left="1248"/>
              <w:spacing w:after="0" w:line="149" w:lineRule="exact"/>
              <w:rPr>
                <w:sz w:val="20"/>
                <w:szCs w:val="20"/>
                <w:color w:val="auto"/>
              </w:rPr>
            </w:pPr>
            <w:r>
              <w:rPr>
                <w:rFonts w:ascii="Arial" w:cs="Arial" w:eastAsia="Arial" w:hAnsi="Arial"/>
                <w:sz w:val="14"/>
                <w:szCs w:val="14"/>
                <w:b w:val="1"/>
                <w:bCs w:val="1"/>
                <w:color w:val="auto"/>
              </w:rPr>
              <w:t>FORM 10-K</w:t>
            </w:r>
          </w:p>
        </w:tc>
        <w:tc>
          <w:tcPr>
            <w:tcW w:w="1940" w:type="dxa"/>
            <w:vAlign w:val="bottom"/>
          </w:tcPr>
          <w:p>
            <w:pPr>
              <w:spacing w:after="0"/>
              <w:rPr>
                <w:sz w:val="12"/>
                <w:szCs w:val="12"/>
                <w:color w:val="auto"/>
              </w:rPr>
            </w:pPr>
          </w:p>
        </w:tc>
      </w:tr>
      <w:tr>
        <w:trPr>
          <w:trHeight w:val="148"/>
        </w:trPr>
        <w:tc>
          <w:tcPr>
            <w:tcW w:w="720" w:type="dxa"/>
            <w:vAlign w:val="bottom"/>
          </w:tcPr>
          <w:p>
            <w:pPr>
              <w:spacing w:after="0"/>
              <w:rPr>
                <w:sz w:val="12"/>
                <w:szCs w:val="12"/>
                <w:color w:val="auto"/>
              </w:rPr>
            </w:pPr>
          </w:p>
        </w:tc>
        <w:tc>
          <w:tcPr>
            <w:tcW w:w="8500" w:type="dxa"/>
            <w:vAlign w:val="bottom"/>
          </w:tcPr>
          <w:p>
            <w:pPr>
              <w:jc w:val="center"/>
              <w:ind w:left="1228"/>
              <w:spacing w:after="0" w:line="149" w:lineRule="exact"/>
              <w:rPr>
                <w:sz w:val="20"/>
                <w:szCs w:val="20"/>
                <w:color w:val="auto"/>
              </w:rPr>
            </w:pPr>
            <w:r>
              <w:rPr>
                <w:rFonts w:ascii="Arial" w:cs="Arial" w:eastAsia="Arial" w:hAnsi="Arial"/>
                <w:sz w:val="14"/>
                <w:szCs w:val="14"/>
                <w:b w:val="1"/>
                <w:bCs w:val="1"/>
                <w:color w:val="auto"/>
              </w:rPr>
              <w:t>FOR THE FISCAL YEAR ENDED SEPTEMBER 30, 2016</w:t>
            </w:r>
          </w:p>
        </w:tc>
        <w:tc>
          <w:tcPr>
            <w:tcW w:w="1940" w:type="dxa"/>
            <w:vAlign w:val="bottom"/>
          </w:tcPr>
          <w:p>
            <w:pPr>
              <w:spacing w:after="0"/>
              <w:rPr>
                <w:sz w:val="12"/>
                <w:szCs w:val="12"/>
                <w:color w:val="auto"/>
              </w:rPr>
            </w:pPr>
          </w:p>
        </w:tc>
      </w:tr>
      <w:tr>
        <w:trPr>
          <w:trHeight w:val="186"/>
        </w:trPr>
        <w:tc>
          <w:tcPr>
            <w:tcW w:w="720" w:type="dxa"/>
            <w:vAlign w:val="bottom"/>
          </w:tcPr>
          <w:p>
            <w:pPr>
              <w:spacing w:after="0"/>
              <w:rPr>
                <w:sz w:val="16"/>
                <w:szCs w:val="16"/>
                <w:color w:val="auto"/>
              </w:rPr>
            </w:pPr>
          </w:p>
        </w:tc>
        <w:tc>
          <w:tcPr>
            <w:tcW w:w="8500" w:type="dxa"/>
            <w:vAlign w:val="bottom"/>
          </w:tcPr>
          <w:p>
            <w:pPr>
              <w:jc w:val="center"/>
              <w:ind w:left="1248"/>
              <w:spacing w:after="0"/>
              <w:rPr>
                <w:sz w:val="20"/>
                <w:szCs w:val="20"/>
                <w:color w:val="auto"/>
              </w:rPr>
            </w:pPr>
            <w:r>
              <w:rPr>
                <w:rFonts w:ascii="Arial" w:cs="Arial" w:eastAsia="Arial" w:hAnsi="Arial"/>
                <w:sz w:val="14"/>
                <w:szCs w:val="14"/>
                <w:b w:val="1"/>
                <w:bCs w:val="1"/>
                <w:color w:val="auto"/>
              </w:rPr>
              <w:t>TABLE OF CONTENTS</w:t>
            </w:r>
          </w:p>
        </w:tc>
        <w:tc>
          <w:tcPr>
            <w:tcW w:w="1940" w:type="dxa"/>
            <w:vAlign w:val="bottom"/>
          </w:tcPr>
          <w:p>
            <w:pPr>
              <w:spacing w:after="0"/>
              <w:rPr>
                <w:sz w:val="16"/>
                <w:szCs w:val="16"/>
                <w:color w:val="auto"/>
              </w:rPr>
            </w:pPr>
          </w:p>
        </w:tc>
      </w:tr>
      <w:tr>
        <w:trPr>
          <w:trHeight w:val="688"/>
        </w:trPr>
        <w:tc>
          <w:tcPr>
            <w:tcW w:w="720" w:type="dxa"/>
            <w:vAlign w:val="bottom"/>
          </w:tcPr>
          <w:p>
            <w:pPr>
              <w:spacing w:after="0"/>
              <w:rPr>
                <w:sz w:val="24"/>
                <w:szCs w:val="24"/>
                <w:color w:val="auto"/>
              </w:rPr>
            </w:pPr>
          </w:p>
        </w:tc>
        <w:tc>
          <w:tcPr>
            <w:tcW w:w="8500" w:type="dxa"/>
            <w:vAlign w:val="bottom"/>
          </w:tcPr>
          <w:p>
            <w:pPr>
              <w:jc w:val="center"/>
              <w:ind w:left="124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w:t>
              </w:r>
            </w:hyperlink>
          </w:p>
        </w:tc>
        <w:tc>
          <w:tcPr>
            <w:tcW w:w="1940" w:type="dxa"/>
            <w:vAlign w:val="bottom"/>
          </w:tcPr>
          <w:p>
            <w:pPr>
              <w:spacing w:after="0"/>
              <w:rPr>
                <w:sz w:val="24"/>
                <w:szCs w:val="24"/>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500" w:type="dxa"/>
            <w:vAlign w:val="bottom"/>
          </w:tcPr>
          <w:p>
            <w:pPr>
              <w:ind w:left="1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500" w:type="dxa"/>
            <w:vAlign w:val="bottom"/>
          </w:tcPr>
          <w:p>
            <w:pPr>
              <w:ind w:left="16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Risk Factors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500" w:type="dxa"/>
            <w:vAlign w:val="bottom"/>
          </w:tcPr>
          <w:p>
            <w:pPr>
              <w:ind w:left="160"/>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Unresolved Staff Comments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500" w:type="dxa"/>
            <w:vAlign w:val="bottom"/>
          </w:tcPr>
          <w:p>
            <w:pPr>
              <w:ind w:left="160"/>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Properties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56"/>
        </w:trPr>
        <w:tc>
          <w:tcPr>
            <w:tcW w:w="72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500" w:type="dxa"/>
            <w:vAlign w:val="bottom"/>
          </w:tcPr>
          <w:p>
            <w:pPr>
              <w:ind w:left="160"/>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Legal Proceedings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500" w:type="dxa"/>
            <w:vAlign w:val="bottom"/>
          </w:tcPr>
          <w:p>
            <w:pPr>
              <w:ind w:left="160"/>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Mine Safety Disclosures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57"/>
        </w:trPr>
        <w:tc>
          <w:tcPr>
            <w:tcW w:w="720" w:type="dxa"/>
            <w:vAlign w:val="bottom"/>
          </w:tcPr>
          <w:p>
            <w:pPr>
              <w:spacing w:after="0"/>
              <w:rPr>
                <w:sz w:val="22"/>
                <w:szCs w:val="22"/>
                <w:color w:val="auto"/>
              </w:rPr>
            </w:pPr>
          </w:p>
        </w:tc>
        <w:tc>
          <w:tcPr>
            <w:tcW w:w="8500" w:type="dxa"/>
            <w:vAlign w:val="bottom"/>
          </w:tcPr>
          <w:p>
            <w:pPr>
              <w:ind w:left="4600"/>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PART II</w:t>
              </w:r>
            </w:hyperlink>
          </w:p>
        </w:tc>
        <w:tc>
          <w:tcPr>
            <w:tcW w:w="1940" w:type="dxa"/>
            <w:vAlign w:val="bottom"/>
          </w:tcPr>
          <w:p>
            <w:pPr>
              <w:spacing w:after="0"/>
              <w:rPr>
                <w:sz w:val="22"/>
                <w:szCs w:val="22"/>
                <w:color w:val="auto"/>
              </w:rPr>
            </w:pP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500" w:type="dxa"/>
            <w:vAlign w:val="bottom"/>
          </w:tcPr>
          <w:p>
            <w:pPr>
              <w:ind w:left="16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500" w:type="dxa"/>
            <w:vAlign w:val="bottom"/>
          </w:tcPr>
          <w:p>
            <w:pPr>
              <w:ind w:left="16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Selected Financial Data</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256"/>
        </w:trPr>
        <w:tc>
          <w:tcPr>
            <w:tcW w:w="72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500" w:type="dxa"/>
            <w:vAlign w:val="bottom"/>
          </w:tcPr>
          <w:p>
            <w:pPr>
              <w:ind w:left="160"/>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Management’s Discussion and Analysis of Financial Condition and Results of Operations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500" w:type="dxa"/>
            <w:vAlign w:val="bottom"/>
          </w:tcPr>
          <w:p>
            <w:pPr>
              <w:ind w:left="160"/>
              <w:spacing w:after="0"/>
              <w:rPr>
                <w:rFonts w:ascii="Arial" w:cs="Arial" w:eastAsia="Arial" w:hAnsi="Arial"/>
                <w:sz w:val="14"/>
                <w:szCs w:val="14"/>
                <w:u w:val="single" w:color="auto"/>
                <w:color w:val="0000EE"/>
              </w:rPr>
            </w:pPr>
            <w:hyperlink w:anchor="page43">
              <w:r>
                <w:rPr>
                  <w:rFonts w:ascii="Arial" w:cs="Arial" w:eastAsia="Arial" w:hAnsi="Arial"/>
                  <w:sz w:val="14"/>
                  <w:szCs w:val="14"/>
                  <w:u w:val="single" w:color="auto"/>
                  <w:color w:val="0000EE"/>
                </w:rPr>
                <w:t>Quantitative and Qualitative Disclosures About Market Risk</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500" w:type="dxa"/>
            <w:vAlign w:val="bottom"/>
          </w:tcPr>
          <w:p>
            <w:pPr>
              <w:ind w:left="160"/>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Consolidated Financial Statements and Supplementary Data</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42</w:t>
            </w: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500" w:type="dxa"/>
            <w:vAlign w:val="bottom"/>
          </w:tcPr>
          <w:p>
            <w:pPr>
              <w:ind w:left="160"/>
              <w:spacing w:after="0"/>
              <w:rPr>
                <w:rFonts w:ascii="Arial" w:cs="Arial" w:eastAsia="Arial" w:hAnsi="Arial"/>
                <w:sz w:val="14"/>
                <w:szCs w:val="14"/>
                <w:u w:val="single" w:color="auto"/>
                <w:color w:val="0000EE"/>
              </w:rPr>
            </w:pPr>
            <w:hyperlink w:anchor="page70">
              <w:r>
                <w:rPr>
                  <w:rFonts w:ascii="Arial" w:cs="Arial" w:eastAsia="Arial" w:hAnsi="Arial"/>
                  <w:sz w:val="14"/>
                  <w:szCs w:val="14"/>
                  <w:u w:val="single" w:color="auto"/>
                  <w:color w:val="0000EE"/>
                </w:rPr>
                <w:t>Changes in and Disagreements with Accountants on Accounting and Financial Disclosure</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r>
        <w:trPr>
          <w:trHeight w:val="256"/>
        </w:trPr>
        <w:tc>
          <w:tcPr>
            <w:tcW w:w="72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500" w:type="dxa"/>
            <w:vAlign w:val="bottom"/>
          </w:tcPr>
          <w:p>
            <w:pPr>
              <w:ind w:left="160"/>
              <w:spacing w:after="0"/>
              <w:rPr>
                <w:rFonts w:ascii="Arial" w:cs="Arial" w:eastAsia="Arial" w:hAnsi="Arial"/>
                <w:sz w:val="14"/>
                <w:szCs w:val="14"/>
                <w:u w:val="single" w:color="auto"/>
                <w:color w:val="0000EE"/>
              </w:rPr>
            </w:pPr>
            <w:hyperlink w:anchor="page70">
              <w:r>
                <w:rPr>
                  <w:rFonts w:ascii="Arial" w:cs="Arial" w:eastAsia="Arial" w:hAnsi="Arial"/>
                  <w:sz w:val="14"/>
                  <w:szCs w:val="14"/>
                  <w:u w:val="single" w:color="auto"/>
                  <w:color w:val="0000EE"/>
                </w:rPr>
                <w:t>Controls and Procedures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500" w:type="dxa"/>
            <w:vAlign w:val="bottom"/>
          </w:tcPr>
          <w:p>
            <w:pPr>
              <w:ind w:left="160"/>
              <w:spacing w:after="0"/>
              <w:rPr>
                <w:rFonts w:ascii="Arial" w:cs="Arial" w:eastAsia="Arial" w:hAnsi="Arial"/>
                <w:sz w:val="14"/>
                <w:szCs w:val="14"/>
                <w:u w:val="single" w:color="auto"/>
                <w:color w:val="0000EE"/>
              </w:rPr>
            </w:pPr>
            <w:hyperlink w:anchor="page70">
              <w:r>
                <w:rPr>
                  <w:rFonts w:ascii="Arial" w:cs="Arial" w:eastAsia="Arial" w:hAnsi="Arial"/>
                  <w:sz w:val="14"/>
                  <w:szCs w:val="14"/>
                  <w:u w:val="single" w:color="auto"/>
                  <w:color w:val="0000EE"/>
                </w:rPr>
                <w:t>Other Information</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r>
        <w:trPr>
          <w:trHeight w:val="257"/>
        </w:trPr>
        <w:tc>
          <w:tcPr>
            <w:tcW w:w="720" w:type="dxa"/>
            <w:vAlign w:val="bottom"/>
          </w:tcPr>
          <w:p>
            <w:pPr>
              <w:spacing w:after="0"/>
              <w:rPr>
                <w:sz w:val="22"/>
                <w:szCs w:val="22"/>
                <w:color w:val="auto"/>
              </w:rPr>
            </w:pPr>
          </w:p>
        </w:tc>
        <w:tc>
          <w:tcPr>
            <w:tcW w:w="8500" w:type="dxa"/>
            <w:vAlign w:val="bottom"/>
          </w:tcPr>
          <w:p>
            <w:pPr>
              <w:ind w:left="4580"/>
              <w:spacing w:after="0"/>
              <w:rPr>
                <w:rFonts w:ascii="Arial" w:cs="Arial" w:eastAsia="Arial" w:hAnsi="Arial"/>
                <w:sz w:val="14"/>
                <w:szCs w:val="14"/>
                <w:b w:val="1"/>
                <w:bCs w:val="1"/>
                <w:u w:val="single" w:color="auto"/>
                <w:color w:val="0000EE"/>
              </w:rPr>
            </w:pPr>
            <w:hyperlink w:anchor="page71">
              <w:r>
                <w:rPr>
                  <w:rFonts w:ascii="Arial" w:cs="Arial" w:eastAsia="Arial" w:hAnsi="Arial"/>
                  <w:sz w:val="14"/>
                  <w:szCs w:val="14"/>
                  <w:b w:val="1"/>
                  <w:bCs w:val="1"/>
                  <w:u w:val="single" w:color="auto"/>
                  <w:color w:val="0000EE"/>
                </w:rPr>
                <w:t>PART III</w:t>
              </w:r>
            </w:hyperlink>
          </w:p>
        </w:tc>
        <w:tc>
          <w:tcPr>
            <w:tcW w:w="1940" w:type="dxa"/>
            <w:vAlign w:val="bottom"/>
          </w:tcPr>
          <w:p>
            <w:pPr>
              <w:spacing w:after="0"/>
              <w:rPr>
                <w:sz w:val="22"/>
                <w:szCs w:val="22"/>
                <w:color w:val="auto"/>
              </w:rPr>
            </w:pP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500" w:type="dxa"/>
            <w:vAlign w:val="bottom"/>
          </w:tcPr>
          <w:p>
            <w:pPr>
              <w:ind w:left="16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Directors, Executive Officers and Corporate Governance</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56"/>
        </w:trPr>
        <w:tc>
          <w:tcPr>
            <w:tcW w:w="72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500" w:type="dxa"/>
            <w:vAlign w:val="bottom"/>
          </w:tcPr>
          <w:p>
            <w:pPr>
              <w:ind w:left="16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Executive Compensation</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500" w:type="dxa"/>
            <w:vAlign w:val="bottom"/>
          </w:tcPr>
          <w:p>
            <w:pPr>
              <w:ind w:left="16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Security Ownership of Certain Beneficial Owners and Management and Related Stockholder Matters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56"/>
        </w:trPr>
        <w:tc>
          <w:tcPr>
            <w:tcW w:w="72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500" w:type="dxa"/>
            <w:vAlign w:val="bottom"/>
          </w:tcPr>
          <w:p>
            <w:pPr>
              <w:ind w:left="16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Certain Relationships and Related Transactions, and Director Independence</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500" w:type="dxa"/>
            <w:vAlign w:val="bottom"/>
          </w:tcPr>
          <w:p>
            <w:pPr>
              <w:ind w:left="16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Principal Accountant Fees and Services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56"/>
        </w:trPr>
        <w:tc>
          <w:tcPr>
            <w:tcW w:w="720" w:type="dxa"/>
            <w:vAlign w:val="bottom"/>
          </w:tcPr>
          <w:p>
            <w:pPr>
              <w:spacing w:after="0"/>
              <w:rPr>
                <w:sz w:val="22"/>
                <w:szCs w:val="22"/>
                <w:color w:val="auto"/>
              </w:rPr>
            </w:pPr>
          </w:p>
        </w:tc>
        <w:tc>
          <w:tcPr>
            <w:tcW w:w="8500" w:type="dxa"/>
            <w:vAlign w:val="bottom"/>
          </w:tcPr>
          <w:p>
            <w:pPr>
              <w:ind w:left="4580"/>
              <w:spacing w:after="0"/>
              <w:rPr>
                <w:rFonts w:ascii="Arial" w:cs="Arial" w:eastAsia="Arial" w:hAnsi="Arial"/>
                <w:sz w:val="14"/>
                <w:szCs w:val="14"/>
                <w:b w:val="1"/>
                <w:bCs w:val="1"/>
                <w:u w:val="single" w:color="auto"/>
                <w:color w:val="0000EE"/>
              </w:rPr>
            </w:pPr>
            <w:hyperlink w:anchor="page72">
              <w:r>
                <w:rPr>
                  <w:rFonts w:ascii="Arial" w:cs="Arial" w:eastAsia="Arial" w:hAnsi="Arial"/>
                  <w:sz w:val="14"/>
                  <w:szCs w:val="14"/>
                  <w:b w:val="1"/>
                  <w:bCs w:val="1"/>
                  <w:u w:val="single" w:color="auto"/>
                  <w:color w:val="0000EE"/>
                </w:rPr>
                <w:t>PART IV</w:t>
              </w:r>
            </w:hyperlink>
          </w:p>
        </w:tc>
        <w:tc>
          <w:tcPr>
            <w:tcW w:w="1940" w:type="dxa"/>
            <w:vAlign w:val="bottom"/>
          </w:tcPr>
          <w:p>
            <w:pPr>
              <w:spacing w:after="0"/>
              <w:rPr>
                <w:sz w:val="22"/>
                <w:szCs w:val="22"/>
                <w:color w:val="auto"/>
              </w:rPr>
            </w:pPr>
          </w:p>
        </w:tc>
      </w:tr>
      <w:tr>
        <w:trPr>
          <w:trHeight w:val="257"/>
        </w:trPr>
        <w:tc>
          <w:tcPr>
            <w:tcW w:w="72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500" w:type="dxa"/>
            <w:vAlign w:val="bottom"/>
          </w:tcPr>
          <w:p>
            <w:pPr>
              <w:ind w:left="160"/>
              <w:spacing w:after="0"/>
              <w:rPr>
                <w:rFonts w:ascii="Arial" w:cs="Arial" w:eastAsia="Arial" w:hAnsi="Arial"/>
                <w:sz w:val="14"/>
                <w:szCs w:val="14"/>
                <w:u w:val="single" w:color="auto"/>
                <w:color w:val="0000EE"/>
              </w:rPr>
            </w:pPr>
            <w:hyperlink w:anchor="page72">
              <w:r>
                <w:rPr>
                  <w:rFonts w:ascii="Arial" w:cs="Arial" w:eastAsia="Arial" w:hAnsi="Arial"/>
                  <w:sz w:val="14"/>
                  <w:szCs w:val="14"/>
                  <w:u w:val="single" w:color="auto"/>
                  <w:color w:val="0000EE"/>
                </w:rPr>
                <w:t>Exhibits and Financial Statement Schedules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r>
        <w:trPr>
          <w:trHeight w:val="256"/>
        </w:trPr>
        <w:tc>
          <w:tcPr>
            <w:tcW w:w="720" w:type="dxa"/>
            <w:vAlign w:val="bottom"/>
          </w:tcPr>
          <w:p>
            <w:pPr>
              <w:spacing w:after="0"/>
              <w:rPr>
                <w:sz w:val="22"/>
                <w:szCs w:val="22"/>
                <w:color w:val="auto"/>
              </w:rPr>
            </w:pPr>
          </w:p>
        </w:tc>
        <w:tc>
          <w:tcPr>
            <w:tcW w:w="8500" w:type="dxa"/>
            <w:vAlign w:val="bottom"/>
          </w:tcPr>
          <w:p>
            <w:pPr>
              <w:ind w:left="16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Signatures</w:t>
              </w:r>
            </w:hyperlink>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08" w:lineRule="exact"/>
        <w:rPr>
          <w:sz w:val="20"/>
          <w:szCs w:val="20"/>
          <w:color w:val="auto"/>
        </w:rPr>
      </w:pPr>
    </w:p>
    <w:p>
      <w:pPr>
        <w:ind w:right="80" w:firstLine="562"/>
        <w:spacing w:after="0" w:line="244" w:lineRule="auto"/>
        <w:rPr>
          <w:sz w:val="20"/>
          <w:szCs w:val="20"/>
          <w:color w:val="auto"/>
        </w:rPr>
      </w:pPr>
      <w:r>
        <w:rPr>
          <w:rFonts w:ascii="Arial" w:cs="Arial" w:eastAsia="Arial" w:hAnsi="Arial"/>
          <w:sz w:val="13"/>
          <w:szCs w:val="13"/>
          <w:b w:val="1"/>
          <w:bCs w:val="1"/>
          <w:i w:val="1"/>
          <w:iCs w:val="1"/>
          <w:color w:val="auto"/>
        </w:rPr>
        <w:t>In this annual report on Form 10-K, or the Report, except where the context suggests otherwise, the terms “Company,” “we,” “our” or “us” refer to PennantPark Floating Rate Capital Ltd. and its wholly-owned consolidated subsidiaries; “Funding I” refers to PennantPark Floating Rate Funding I, LLC;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and “MCG” refers to MCG Capital Corporation. References to our portfolio, our investments, our multi-currency, senior secured revolving credit facility, as amended and restated, or the Credit Facility, and our business include investments we make through our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Floating Rate Capital Ltd.</w:t>
      </w:r>
    </w:p>
    <w:p>
      <w:pPr>
        <w:spacing w:after="0" w:line="96"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while seeking to preserve capital by investing primarily in loans bearing a variable-rate of interest, or Floating Rate Loans, and other investments made to U.S. middle-market companies.</w:t>
      </w:r>
    </w:p>
    <w:p>
      <w:pPr>
        <w:spacing w:after="0" w:line="6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1"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(as described below)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7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96" w:lineRule="exact"/>
        <w:rPr>
          <w:sz w:val="20"/>
          <w:szCs w:val="20"/>
          <w:color w:val="auto"/>
        </w:rPr>
      </w:pPr>
    </w:p>
    <w:p>
      <w:pPr>
        <w:ind w:firstLine="562"/>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in May 2011. We formed Funding I in order to establish our Credit Facility.</w:t>
      </w:r>
    </w:p>
    <w:p>
      <w:pPr>
        <w:spacing w:after="0" w:line="6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71" w:lineRule="exact"/>
        <w:rPr>
          <w:sz w:val="20"/>
          <w:szCs w:val="20"/>
          <w:color w:val="auto"/>
        </w:rPr>
      </w:pPr>
    </w:p>
    <w:p>
      <w:pPr>
        <w:ind w:right="100" w:firstLine="562"/>
        <w:spacing w:after="0" w:line="229"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may provide,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9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75" w:lineRule="exact"/>
        <w:rPr>
          <w:sz w:val="20"/>
          <w:szCs w:val="20"/>
          <w:color w:val="auto"/>
        </w:rPr>
      </w:pPr>
    </w:p>
    <w:p>
      <w:pPr>
        <w:ind w:left="1000" w:right="60" w:hanging="331"/>
        <w:spacing w:after="0"/>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 look to raise funds by issuing</w:t>
      </w:r>
      <w:r>
        <w:rPr>
          <w:rFonts w:ascii="Arial" w:cs="Arial" w:eastAsia="Arial" w:hAnsi="Arial"/>
          <w:sz w:val="14"/>
          <w:szCs w:val="14"/>
          <w:b w:val="1"/>
          <w:bCs w:val="1"/>
          <w:color w:val="auto"/>
        </w:rPr>
        <w:t xml:space="preserve"> </w:t>
      </w:r>
      <w:r>
        <w:rPr>
          <w:rFonts w:ascii="Arial" w:cs="Arial" w:eastAsia="Arial" w:hAnsi="Arial"/>
          <w:sz w:val="14"/>
          <w:szCs w:val="14"/>
          <w:color w:val="auto"/>
        </w:rPr>
        <w:t>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4" w:lineRule="exact"/>
        <w:rPr>
          <w:rFonts w:ascii="Arial" w:cs="Arial" w:eastAsia="Arial" w:hAnsi="Arial"/>
          <w:sz w:val="14"/>
          <w:szCs w:val="14"/>
          <w:color w:val="auto"/>
        </w:rPr>
      </w:pPr>
    </w:p>
    <w:p>
      <w:pPr>
        <w:ind w:left="1000" w:right="220" w:hanging="331"/>
        <w:spacing w:after="0" w:line="342" w:lineRule="auto"/>
        <w:tabs>
          <w:tab w:leader="none" w:pos="1000"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We believe middle-market companies have faced difficulty raising debt in private markets. </w:t>
      </w:r>
      <w:r>
        <w:rPr>
          <w:rFonts w:ascii="Arial" w:cs="Arial" w:eastAsia="Arial" w:hAnsi="Arial"/>
          <w:sz w:val="12"/>
          <w:szCs w:val="12"/>
          <w:color w:val="auto"/>
        </w:rPr>
        <w:t>From time to time, banks, finance companies, hedge funds and collateralized</w:t>
      </w:r>
      <w:r>
        <w:rPr>
          <w:rFonts w:ascii="Arial" w:cs="Arial" w:eastAsia="Arial" w:hAnsi="Arial"/>
          <w:sz w:val="12"/>
          <w:szCs w:val="12"/>
          <w:b w:val="1"/>
          <w:bCs w:val="1"/>
          <w:color w:val="auto"/>
        </w:rPr>
        <w:t xml:space="preserve"> </w:t>
      </w:r>
      <w:r>
        <w:rPr>
          <w:rFonts w:ascii="Arial" w:cs="Arial" w:eastAsia="Arial" w:hAnsi="Arial"/>
          <w:sz w:val="12"/>
          <w:szCs w:val="12"/>
          <w:color w:val="auto"/>
        </w:rPr>
        <w:t>loan obligation, or CLO, funds have withdrawn, and may again withdraw, capital from the middle-market, resulting in opportunities for alternative funding sources.</w:t>
      </w:r>
    </w:p>
    <w:p>
      <w:pPr>
        <w:spacing w:after="0" w:line="25" w:lineRule="exact"/>
        <w:rPr>
          <w:rFonts w:ascii="Arial" w:cs="Arial" w:eastAsia="Arial" w:hAnsi="Arial"/>
          <w:sz w:val="12"/>
          <w:szCs w:val="12"/>
          <w:color w:val="auto"/>
        </w:rPr>
      </w:pPr>
    </w:p>
    <w:p>
      <w:pPr>
        <w:ind w:left="1000" w:right="320" w:hanging="331"/>
        <w:spacing w:after="0"/>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credit market dislocation for middle-market companies improves the risk-reward on our investments. </w:t>
      </w:r>
      <w:r>
        <w:rPr>
          <w:rFonts w:ascii="Arial" w:cs="Arial" w:eastAsia="Arial" w:hAnsi="Arial"/>
          <w:sz w:val="14"/>
          <w:szCs w:val="14"/>
          <w:color w:val="auto"/>
        </w:rPr>
        <w:t>From time to time, market participants have</w:t>
      </w:r>
      <w:r>
        <w:rPr>
          <w:rFonts w:ascii="Arial" w:cs="Arial" w:eastAsia="Arial" w:hAnsi="Arial"/>
          <w:sz w:val="14"/>
          <w:szCs w:val="14"/>
          <w:b w:val="1"/>
          <w:bCs w:val="1"/>
          <w:color w:val="auto"/>
        </w:rPr>
        <w:t xml:space="preserve"> </w:t>
      </w:r>
      <w:r>
        <w:rPr>
          <w:rFonts w:ascii="Arial" w:cs="Arial" w:eastAsia="Arial" w:hAnsi="Arial"/>
          <w:sz w:val="14"/>
          <w:szCs w:val="14"/>
          <w:color w:val="auto"/>
        </w:rPr>
        <w:t>reduced lending to middle-market and non-investment grade borrowers. As a result, we believe there is less competition in our market, more conservative capital structures, higher yields and stronger covenants.</w:t>
      </w:r>
    </w:p>
    <w:p>
      <w:pPr>
        <w:spacing w:after="0" w:line="84" w:lineRule="exact"/>
        <w:rPr>
          <w:rFonts w:ascii="Arial" w:cs="Arial" w:eastAsia="Arial" w:hAnsi="Arial"/>
          <w:sz w:val="14"/>
          <w:szCs w:val="14"/>
          <w:color w:val="auto"/>
        </w:rPr>
      </w:pPr>
    </w:p>
    <w:p>
      <w:pPr>
        <w:ind w:left="1000" w:right="80" w:hanging="331"/>
        <w:spacing w:after="0" w:line="235" w:lineRule="auto"/>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 equity firms will continue to be active investors in middle-market companies. These private 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84" w:lineRule="exact"/>
        <w:rPr>
          <w:rFonts w:ascii="Arial" w:cs="Arial" w:eastAsia="Arial" w:hAnsi="Arial"/>
          <w:sz w:val="14"/>
          <w:szCs w:val="14"/>
          <w:color w:val="auto"/>
        </w:rPr>
      </w:pPr>
    </w:p>
    <w:p>
      <w:pPr>
        <w:ind w:left="1000" w:right="220" w:hanging="331"/>
        <w:spacing w:after="0" w:line="232" w:lineRule="auto"/>
        <w:tabs>
          <w:tab w:leader="none" w:pos="100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96" w:lineRule="exact"/>
        <w:rPr>
          <w:sz w:val="20"/>
          <w:szCs w:val="20"/>
          <w:color w:val="auto"/>
        </w:rPr>
      </w:pPr>
    </w:p>
    <w:p>
      <w:pPr>
        <w:ind w:right="300" w:firstLine="562"/>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77" w:lineRule="exact"/>
        <w:rPr>
          <w:sz w:val="20"/>
          <w:szCs w:val="20"/>
          <w:color w:val="auto"/>
        </w:rPr>
      </w:pPr>
    </w:p>
    <w:p>
      <w:pPr>
        <w:ind w:right="160" w:firstLine="562"/>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09" w:lineRule="exact"/>
        <w:rPr>
          <w:sz w:val="20"/>
          <w:szCs w:val="20"/>
          <w:color w:val="auto"/>
        </w:rPr>
      </w:pPr>
    </w:p>
    <w:p>
      <w:pPr>
        <w:ind w:left="1000" w:hanging="331"/>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95" w:lineRule="exact"/>
        <w:rPr>
          <w:rFonts w:ascii="Arial" w:cs="Arial" w:eastAsia="Arial" w:hAnsi="Arial"/>
          <w:sz w:val="14"/>
          <w:szCs w:val="14"/>
          <w:color w:val="auto"/>
        </w:rPr>
      </w:pPr>
    </w:p>
    <w:p>
      <w:pPr>
        <w:ind w:left="820" w:hanging="138"/>
        <w:spacing w:after="0"/>
        <w:tabs>
          <w:tab w:leader="none" w:pos="820" w:val="left"/>
        </w:tabs>
        <w:numPr>
          <w:ilvl w:val="1"/>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Proactive Research Capability and Established Network</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20"/>
          </w:cols>
          <w:pgMar w:left="32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96" w:lineRule="exact"/>
        <w:rPr>
          <w:sz w:val="20"/>
          <w:szCs w:val="20"/>
          <w:color w:val="auto"/>
        </w:rPr>
      </w:pPr>
    </w:p>
    <w:p>
      <w:pPr>
        <w:ind w:right="300" w:firstLine="562"/>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44" w:lineRule="exact"/>
        <w:rPr>
          <w:sz w:val="20"/>
          <w:szCs w:val="20"/>
          <w:color w:val="auto"/>
        </w:rPr>
      </w:pPr>
    </w:p>
    <w:p>
      <w:pPr>
        <w:ind w:right="180" w:firstLine="562"/>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66"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77"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96" w:lineRule="exact"/>
        <w:rPr>
          <w:sz w:val="20"/>
          <w:szCs w:val="20"/>
          <w:color w:val="auto"/>
        </w:rPr>
      </w:pPr>
    </w:p>
    <w:p>
      <w:pPr>
        <w:ind w:right="80" w:firstLine="562"/>
        <w:spacing w:after="0" w:line="226" w:lineRule="auto"/>
        <w:rPr>
          <w:sz w:val="20"/>
          <w:szCs w:val="20"/>
          <w:color w:val="auto"/>
        </w:rPr>
      </w:pPr>
      <w:r>
        <w:rPr>
          <w:rFonts w:ascii="Arial" w:cs="Arial" w:eastAsia="Arial" w:hAnsi="Arial"/>
          <w:sz w:val="14"/>
          <w:szCs w:val="14"/>
          <w:color w:val="auto"/>
        </w:rPr>
        <w:t>As of September 30, 2016, we maintained a $350 million Credit Facility, which matures in August 2020, with SunTrust Bank and other lenders, or the Lenders. During the Credit Facility’s revolving period, which extends to August 2018, it bears interest at London Interbank Offered Rate, or LIBOR, plus 200 basis points, and after the revolving period, the rate sets to LIBOR plus 425 basis points for the remaining two years. The Credit Facility is secured by all of the assets held by Funding I, under which we had $232.9 million outstanding. The annualized weighted average cost of debt for the year ended September 30, 2016, inclusive of the fee on the undrawn commitment on the Credit Facility but excluding amendment costs, was 3.51%. As of September 30, 2016 and 2015, we had $117.1 million and $260.4 million of unused borrowing capacity under our Credit Facility, respectively, subject to the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seek to create a diversified portfolio primarily of Floating Rate Loans by generally targeting an investment size of $3 million to $15 million in securities, on average, of middle-market companies. We expect this investment size to vary proportionately with the size of our capital base.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77"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3"/>
          <w:szCs w:val="13"/>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67"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Secured Debt</w:t>
      </w:r>
    </w:p>
    <w:p>
      <w:pPr>
        <w:spacing w:after="0" w:line="96" w:lineRule="exact"/>
        <w:rPr>
          <w:sz w:val="20"/>
          <w:szCs w:val="20"/>
          <w:color w:val="auto"/>
        </w:rPr>
      </w:pPr>
    </w:p>
    <w:p>
      <w:pPr>
        <w:jc w:val="both"/>
        <w:ind w:right="160" w:firstLine="562"/>
        <w:spacing w:after="0" w:line="255" w:lineRule="auto"/>
        <w:rPr>
          <w:sz w:val="20"/>
          <w:szCs w:val="20"/>
          <w:color w:val="auto"/>
        </w:rPr>
      </w:pPr>
      <w:r>
        <w:rPr>
          <w:rFonts w:ascii="Arial" w:cs="Arial" w:eastAsia="Arial" w:hAnsi="Arial"/>
          <w:sz w:val="13"/>
          <w:szCs w:val="13"/>
          <w:color w:val="auto"/>
        </w:rPr>
        <w:t>Structurally, senior secured debt (which we define as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Mezzanine Debt</w:t>
      </w:r>
    </w:p>
    <w:p>
      <w:pPr>
        <w:spacing w:after="0" w:line="96"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Structurally, mezzanine debt (which we define to include second lien secured debt and subordinated debt) usually ranks subordinate in priority of payment to senior secured debt.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debt, mezzanine debt generally earns a higher return than senior secured debt.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96"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who manage our portfolio and seek to minimize the risk of capital loss without foregoing potential for capital appreciation.</w:t>
      </w:r>
    </w:p>
    <w:p>
      <w:pPr>
        <w:spacing w:after="0" w:line="6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 Leading and defensible competitive market positions</w:t>
      </w:r>
    </w:p>
    <w:p>
      <w:pPr>
        <w:spacing w:after="0" w:line="96" w:lineRule="exact"/>
        <w:rPr>
          <w:sz w:val="20"/>
          <w:szCs w:val="20"/>
          <w:color w:val="auto"/>
        </w:rPr>
      </w:pPr>
    </w:p>
    <w:p>
      <w:pPr>
        <w:ind w:right="240" w:firstLine="562"/>
        <w:spacing w:after="0" w:line="238"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b) Investing in stable borrowers with positive cash flow</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 Proven management teams</w:t>
      </w:r>
    </w:p>
    <w:p>
      <w:pPr>
        <w:spacing w:after="0" w:line="96" w:lineRule="exact"/>
        <w:rPr>
          <w:sz w:val="20"/>
          <w:szCs w:val="20"/>
          <w:color w:val="auto"/>
        </w:rPr>
      </w:pPr>
    </w:p>
    <w:p>
      <w:pPr>
        <w:ind w:right="360" w:firstLine="562"/>
        <w:spacing w:after="0" w:line="290" w:lineRule="auto"/>
        <w:rPr>
          <w:sz w:val="20"/>
          <w:szCs w:val="20"/>
          <w:color w:val="auto"/>
        </w:rPr>
      </w:pPr>
      <w:r>
        <w:rPr>
          <w:rFonts w:ascii="Arial" w:cs="Arial" w:eastAsia="Arial" w:hAnsi="Arial"/>
          <w:sz w:val="13"/>
          <w:szCs w:val="13"/>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 Financial sponsorship</w:t>
      </w:r>
    </w:p>
    <w:p>
      <w:pPr>
        <w:spacing w:after="0" w:line="96" w:lineRule="exact"/>
        <w:rPr>
          <w:sz w:val="20"/>
          <w:szCs w:val="20"/>
          <w:color w:val="auto"/>
        </w:rPr>
      </w:pPr>
    </w:p>
    <w:p>
      <w:pPr>
        <w:ind w:right="260" w:firstLine="562"/>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e) Investments in different borrowers, industries and geographies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f) Viable exit strategy</w:t>
      </w:r>
    </w:p>
    <w:p>
      <w:pPr>
        <w:spacing w:after="0" w:line="96" w:lineRule="exact"/>
        <w:rPr>
          <w:sz w:val="20"/>
          <w:szCs w:val="20"/>
          <w:color w:val="auto"/>
        </w:rPr>
      </w:pPr>
    </w:p>
    <w:p>
      <w:pPr>
        <w:ind w:right="180" w:firstLine="562"/>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96" w:lineRule="exact"/>
        <w:rPr>
          <w:sz w:val="20"/>
          <w:szCs w:val="20"/>
          <w:color w:val="auto"/>
        </w:rPr>
      </w:pPr>
    </w:p>
    <w:p>
      <w:pPr>
        <w:ind w:right="260" w:firstLine="562"/>
        <w:spacing w:after="0" w:line="233" w:lineRule="auto"/>
        <w:rPr>
          <w:sz w:val="20"/>
          <w:szCs w:val="20"/>
          <w:color w:val="auto"/>
        </w:rPr>
      </w:pPr>
      <w:r>
        <w:rPr>
          <w:rFonts w:ascii="Arial" w:cs="Arial" w:eastAsia="Arial" w:hAnsi="Arial"/>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due diligence may include:</w:t>
      </w:r>
    </w:p>
    <w:p>
      <w:pPr>
        <w:spacing w:after="0" w:line="109" w:lineRule="exact"/>
        <w:rPr>
          <w:sz w:val="20"/>
          <w:szCs w:val="20"/>
          <w:color w:val="auto"/>
        </w:rPr>
      </w:pPr>
    </w:p>
    <w:p>
      <w:pPr>
        <w:ind w:left="1000" w:hanging="331"/>
        <w:spacing w:after="0"/>
        <w:tabs>
          <w:tab w:leader="none" w:pos="1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9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6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32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9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75" w:lineRule="exact"/>
        <w:rPr>
          <w:sz w:val="20"/>
          <w:szCs w:val="20"/>
          <w:color w:val="auto"/>
        </w:rPr>
      </w:pPr>
    </w:p>
    <w:p>
      <w:pPr>
        <w:ind w:right="360" w:firstLine="562"/>
        <w:spacing w:after="0" w:line="253" w:lineRule="auto"/>
        <w:rPr>
          <w:sz w:val="20"/>
          <w:szCs w:val="20"/>
          <w:color w:val="auto"/>
        </w:rPr>
      </w:pPr>
      <w:r>
        <w:rPr>
          <w:rFonts w:ascii="Arial" w:cs="Arial" w:eastAsia="Arial" w:hAnsi="Arial"/>
          <w:sz w:val="14"/>
          <w:szCs w:val="14"/>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66" w:lineRule="exact"/>
        <w:rPr>
          <w:sz w:val="20"/>
          <w:szCs w:val="20"/>
          <w:color w:val="auto"/>
        </w:rPr>
      </w:pPr>
    </w:p>
    <w:p>
      <w:pPr>
        <w:ind w:right="200" w:firstLine="562"/>
        <w:spacing w:after="0" w:line="233" w:lineRule="auto"/>
        <w:rPr>
          <w:sz w:val="20"/>
          <w:szCs w:val="20"/>
          <w:color w:val="auto"/>
        </w:rPr>
      </w:pPr>
      <w:r>
        <w:rPr>
          <w:rFonts w:ascii="Arial" w:cs="Arial" w:eastAsia="Arial" w:hAnsi="Arial"/>
          <w:sz w:val="14"/>
          <w:szCs w:val="14"/>
          <w:color w:val="auto"/>
        </w:rPr>
        <w:t>Typically, our mezzanine debt investments have maturities of three to ten years. Mezzanine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77" w:lineRule="exact"/>
        <w:rPr>
          <w:sz w:val="20"/>
          <w:szCs w:val="20"/>
          <w:color w:val="auto"/>
        </w:rPr>
      </w:pPr>
    </w:p>
    <w:p>
      <w:pPr>
        <w:jc w:val="both"/>
        <w:ind w:right="100" w:firstLine="562"/>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88" w:lineRule="exact"/>
        <w:rPr>
          <w:sz w:val="20"/>
          <w:szCs w:val="20"/>
          <w:color w:val="auto"/>
        </w:rPr>
      </w:pPr>
    </w:p>
    <w:p>
      <w:pPr>
        <w:ind w:left="1000" w:hanging="331"/>
        <w:spacing w:after="0"/>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109" w:lineRule="exact"/>
        <w:rPr>
          <w:rFonts w:ascii="Arial" w:cs="Arial" w:eastAsia="Arial" w:hAnsi="Arial"/>
          <w:sz w:val="14"/>
          <w:szCs w:val="14"/>
          <w:color w:val="auto"/>
        </w:rPr>
      </w:pPr>
    </w:p>
    <w:p>
      <w:pPr>
        <w:jc w:val="both"/>
        <w:ind w:left="1000" w:right="220" w:hanging="331"/>
        <w:spacing w:after="0" w:line="238" w:lineRule="auto"/>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75" w:lineRule="exact"/>
        <w:rPr>
          <w:sz w:val="20"/>
          <w:szCs w:val="20"/>
          <w:color w:val="auto"/>
        </w:rPr>
      </w:pPr>
    </w:p>
    <w:p>
      <w:pPr>
        <w:ind w:right="100" w:firstLine="562"/>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76"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Monitoring</w:t>
      </w:r>
    </w:p>
    <w:p>
      <w:pPr>
        <w:spacing w:after="0" w:line="9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109" w:lineRule="exact"/>
        <w:rPr>
          <w:sz w:val="20"/>
          <w:szCs w:val="20"/>
          <w:color w:val="auto"/>
        </w:rPr>
      </w:pPr>
    </w:p>
    <w:p>
      <w:pPr>
        <w:ind w:left="1000" w:hanging="331"/>
        <w:spacing w:after="0"/>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assessment of success in adhering to a portfolio company’s business plan and compliance with covenants;</w:t>
      </w:r>
    </w:p>
    <w:p>
      <w:pPr>
        <w:spacing w:after="0" w:line="109" w:lineRule="exact"/>
        <w:rPr>
          <w:rFonts w:ascii="Arial" w:cs="Arial" w:eastAsia="Arial" w:hAnsi="Arial"/>
          <w:sz w:val="14"/>
          <w:szCs w:val="14"/>
          <w:color w:val="auto"/>
        </w:rPr>
      </w:pPr>
    </w:p>
    <w:p>
      <w:pPr>
        <w:ind w:left="1000" w:right="760" w:hanging="331"/>
        <w:spacing w:after="0" w:line="253" w:lineRule="auto"/>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periodic or regular contact with portfolio company management and, if appropriate, the financial or strategic sponsor, to discuss financial position, requirements and accomplishments;</w:t>
      </w:r>
    </w:p>
    <w:p>
      <w:pPr>
        <w:spacing w:after="0" w:line="79" w:lineRule="exact"/>
        <w:rPr>
          <w:rFonts w:ascii="Arial" w:cs="Arial" w:eastAsia="Arial" w:hAnsi="Arial"/>
          <w:sz w:val="14"/>
          <w:szCs w:val="14"/>
          <w:color w:val="auto"/>
        </w:rPr>
      </w:pPr>
    </w:p>
    <w:p>
      <w:pPr>
        <w:ind w:left="1000" w:hanging="331"/>
        <w:spacing w:after="0"/>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review of periodic financial statements and financial projections for portfolio companies.</w:t>
      </w:r>
    </w:p>
    <w:p>
      <w:pPr>
        <w:spacing w:after="0" w:line="96"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2" w:lineRule="exact"/>
        <w:rPr>
          <w:sz w:val="20"/>
          <w:szCs w:val="20"/>
          <w:color w:val="auto"/>
        </w:rPr>
      </w:pPr>
    </w:p>
    <w:p>
      <w:pPr>
        <w:ind w:right="140" w:firstLine="8"/>
        <w:spacing w:after="0" w:line="237" w:lineRule="auto"/>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offer managerial assistance to our portfolio companies. As a BDC, we are required to make available such managerial assistance within the meaning of Section 55 of the 1940 Act.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See “Regulation” for more information.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Staffing</w:t>
      </w:r>
    </w:p>
    <w:p>
      <w:pPr>
        <w:spacing w:after="0" w:line="96"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20"/>
          </w:cols>
          <w:pgMar w:left="320" w:top="45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96" w:lineRule="exact"/>
        <w:rPr>
          <w:sz w:val="20"/>
          <w:szCs w:val="20"/>
          <w:color w:val="auto"/>
        </w:rPr>
      </w:pPr>
    </w:p>
    <w:p>
      <w:pPr>
        <w:ind w:right="100" w:firstLine="562"/>
        <w:spacing w:after="0" w:line="248" w:lineRule="auto"/>
        <w:rPr>
          <w:sz w:val="20"/>
          <w:szCs w:val="20"/>
          <w:color w:val="auto"/>
        </w:rPr>
      </w:pPr>
      <w:r>
        <w:rPr>
          <w:rFonts w:ascii="Arial" w:cs="Arial" w:eastAsia="Arial" w:hAnsi="Arial"/>
          <w:sz w:val="13"/>
          <w:szCs w:val="13"/>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material that we file with the SEC on the EDGAR Database.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660" w:type="dxa"/>
            <w:vAlign w:val="bottom"/>
          </w:tcPr>
          <w:p>
            <w:pPr>
              <w:ind w:left="100"/>
              <w:spacing w:after="0"/>
              <w:rPr>
                <w:sz w:val="20"/>
                <w:szCs w:val="20"/>
                <w:color w:val="auto"/>
              </w:rPr>
            </w:pPr>
            <w:r>
              <w:rPr>
                <w:rFonts w:ascii="Arial" w:cs="Arial" w:eastAsia="Arial" w:hAnsi="Arial"/>
                <w:sz w:val="14"/>
                <w:szCs w:val="14"/>
                <w:color w:val="auto"/>
              </w:rPr>
              <w:t>Aerospace and Defense</w:t>
            </w:r>
          </w:p>
        </w:tc>
        <w:tc>
          <w:tcPr>
            <w:tcW w:w="1200" w:type="dxa"/>
            <w:vAlign w:val="bottom"/>
          </w:tcPr>
          <w:p>
            <w:pPr>
              <w:ind w:left="1040"/>
              <w:spacing w:after="0"/>
              <w:rPr>
                <w:sz w:val="20"/>
                <w:szCs w:val="20"/>
                <w:color w:val="auto"/>
              </w:rPr>
            </w:pPr>
            <w:r>
              <w:rPr>
                <w:rFonts w:ascii="Arial" w:cs="Arial" w:eastAsia="Arial" w:hAnsi="Arial"/>
                <w:sz w:val="14"/>
                <w:szCs w:val="14"/>
                <w:color w:val="auto"/>
              </w:rPr>
              <w:t>•</w:t>
            </w:r>
          </w:p>
        </w:tc>
        <w:tc>
          <w:tcPr>
            <w:tcW w:w="4300" w:type="dxa"/>
            <w:vAlign w:val="bottom"/>
          </w:tcPr>
          <w:p>
            <w:pPr>
              <w:ind w:left="100"/>
              <w:spacing w:after="0"/>
              <w:rPr>
                <w:sz w:val="20"/>
                <w:szCs w:val="20"/>
                <w:color w:val="auto"/>
              </w:rPr>
            </w:pPr>
            <w:r>
              <w:rPr>
                <w:rFonts w:ascii="Arial" w:cs="Arial" w:eastAsia="Arial" w:hAnsi="Arial"/>
                <w:sz w:val="14"/>
                <w:szCs w:val="14"/>
                <w:color w:val="auto"/>
              </w:rPr>
              <w:t>Energy/Utilities</w:t>
            </w: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00"/>
              <w:spacing w:after="0" w:line="149" w:lineRule="exact"/>
              <w:rPr>
                <w:sz w:val="20"/>
                <w:szCs w:val="20"/>
                <w:color w:val="auto"/>
              </w:rPr>
            </w:pPr>
            <w:r>
              <w:rPr>
                <w:rFonts w:ascii="Arial" w:cs="Arial" w:eastAsia="Arial" w:hAnsi="Arial"/>
                <w:sz w:val="14"/>
                <w:szCs w:val="14"/>
                <w:color w:val="auto"/>
              </w:rPr>
              <w:t>Auto Sector</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Environmental Services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Beverage, Food and Tobacco</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Financial Services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Broadcasting and Entertainment</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Grocery</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Buildings and Real Estate</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Healthcare, Education and Childcare</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Building Materials</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High Tech Industries</w:t>
            </w: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w w:val="93"/>
              </w:rPr>
              <w:t>Home &amp; Office Furnishings, Housewares &amp; Durable Consumer Products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Cable Television</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Hotels, Motels, Inns and Gaming</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Capital Equipment</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Insurance</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Cargo Transportation</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Leisure, Amusement, Motion Picture, Entertainment</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Chemicals, Plastics and Rubber</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Logistics</w:t>
            </w: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Communications</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Manufacturing/Basic Industries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Consumer Products</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Media</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Consumer Services</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Mining, Steel, Iron and Non-Precious Metals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Containers Packaging &amp; Glass</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Oil and Gas</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Distribution</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Other Media</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Diversified/Conglomerate Manufacturing</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Personal, Food and Miscellaneous Services</w:t>
            </w: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Diversified/Conglomerate Services</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Printing and Publishing</w:t>
            </w:r>
          </w:p>
        </w:tc>
      </w:tr>
      <w:tr>
        <w:trPr>
          <w:trHeight w:val="148"/>
        </w:trPr>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200" w:type="dxa"/>
            <w:vAlign w:val="bottom"/>
          </w:tcPr>
          <w:p>
            <w:pPr>
              <w:ind w:left="1040"/>
              <w:spacing w:after="0" w:line="149" w:lineRule="exact"/>
              <w:rPr>
                <w:sz w:val="20"/>
                <w:szCs w:val="20"/>
                <w:color w:val="auto"/>
              </w:rPr>
            </w:pPr>
            <w:r>
              <w:rPr>
                <w:rFonts w:ascii="Arial" w:cs="Arial" w:eastAsia="Arial" w:hAnsi="Arial"/>
                <w:sz w:val="14"/>
                <w:szCs w:val="14"/>
                <w:color w:val="auto"/>
              </w:rPr>
              <w:t>•</w:t>
            </w:r>
          </w:p>
        </w:tc>
        <w:tc>
          <w:tcPr>
            <w:tcW w:w="4300" w:type="dxa"/>
            <w:vAlign w:val="bottom"/>
          </w:tcPr>
          <w:p>
            <w:pPr>
              <w:ind w:left="100"/>
              <w:spacing w:after="0" w:line="149" w:lineRule="exact"/>
              <w:rPr>
                <w:sz w:val="20"/>
                <w:szCs w:val="20"/>
                <w:color w:val="auto"/>
              </w:rPr>
            </w:pPr>
            <w:r>
              <w:rPr>
                <w:rFonts w:ascii="Arial" w:cs="Arial" w:eastAsia="Arial" w:hAnsi="Arial"/>
                <w:sz w:val="14"/>
                <w:szCs w:val="14"/>
                <w:color w:val="auto"/>
              </w:rPr>
              <w:t>Retail</w:t>
            </w:r>
          </w:p>
        </w:tc>
      </w:tr>
      <w:tr>
        <w:trPr>
          <w:trHeight w:val="160"/>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4660" w:type="dxa"/>
            <w:vAlign w:val="bottom"/>
          </w:tcPr>
          <w:p>
            <w:pPr>
              <w:ind w:left="120"/>
              <w:spacing w:after="0"/>
              <w:rPr>
                <w:sz w:val="20"/>
                <w:szCs w:val="20"/>
                <w:color w:val="auto"/>
              </w:rPr>
            </w:pPr>
            <w:r>
              <w:rPr>
                <w:rFonts w:ascii="Arial" w:cs="Arial" w:eastAsia="Arial" w:hAnsi="Arial"/>
                <w:sz w:val="14"/>
                <w:szCs w:val="14"/>
                <w:color w:val="auto"/>
              </w:rPr>
              <w:t>Education</w:t>
            </w:r>
          </w:p>
        </w:tc>
        <w:tc>
          <w:tcPr>
            <w:tcW w:w="1200" w:type="dxa"/>
            <w:vAlign w:val="bottom"/>
          </w:tcPr>
          <w:p>
            <w:pPr>
              <w:ind w:left="1040"/>
              <w:spacing w:after="0"/>
              <w:rPr>
                <w:sz w:val="20"/>
                <w:szCs w:val="20"/>
                <w:color w:val="auto"/>
              </w:rPr>
            </w:pPr>
            <w:r>
              <w:rPr>
                <w:rFonts w:ascii="Arial" w:cs="Arial" w:eastAsia="Arial" w:hAnsi="Arial"/>
                <w:sz w:val="14"/>
                <w:szCs w:val="14"/>
                <w:color w:val="auto"/>
              </w:rPr>
              <w:t>•</w:t>
            </w:r>
          </w:p>
        </w:tc>
        <w:tc>
          <w:tcPr>
            <w:tcW w:w="4300" w:type="dxa"/>
            <w:vAlign w:val="bottom"/>
          </w:tcPr>
          <w:p>
            <w:pPr>
              <w:ind w:left="100"/>
              <w:spacing w:after="0"/>
              <w:rPr>
                <w:sz w:val="20"/>
                <w:szCs w:val="20"/>
                <w:color w:val="auto"/>
              </w:rPr>
            </w:pPr>
            <w:r>
              <w:rPr>
                <w:rFonts w:ascii="Arial" w:cs="Arial" w:eastAsia="Arial" w:hAnsi="Arial"/>
                <w:sz w:val="14"/>
                <w:szCs w:val="14"/>
                <w:color w:val="auto"/>
              </w:rPr>
              <w:t>Wholesale</w:t>
            </w:r>
          </w:p>
        </w:tc>
      </w:tr>
    </w:tbl>
    <w:p>
      <w:pPr>
        <w:ind w:left="280" w:hanging="272"/>
        <w:spacing w:after="0"/>
        <w:tabs>
          <w:tab w:leader="none" w:pos="2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Electronics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Listed below are our top ten portfolio companies and industries represented as a percentage of our consolidated portfolio assets (excluding cash equivalents) as of September 30: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20"/>
                <w:szCs w:val="20"/>
                <w:color w:val="auto"/>
              </w:rPr>
            </w:pPr>
            <w:r>
              <w:rPr>
                <w:rFonts w:ascii="Arial" w:cs="Arial" w:eastAsia="Arial" w:hAnsi="Arial"/>
                <w:sz w:val="14"/>
                <w:szCs w:val="14"/>
                <w:b w:val="1"/>
                <w:bCs w:val="1"/>
                <w:color w:val="auto"/>
              </w:rPr>
              <w:t>Portfolio Company</w:t>
            </w:r>
          </w:p>
        </w:tc>
        <w:tc>
          <w:tcPr>
            <w:tcW w:w="2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6"/>
                <w:szCs w:val="16"/>
                <w:color w:val="auto"/>
              </w:rPr>
            </w:pPr>
          </w:p>
        </w:tc>
        <w:tc>
          <w:tcPr>
            <w:tcW w:w="5100" w:type="dxa"/>
            <w:vAlign w:val="bottom"/>
            <w:gridSpan w:val="3"/>
          </w:tcPr>
          <w:p>
            <w:pPr>
              <w:ind w:left="140"/>
              <w:spacing w:after="0"/>
              <w:rPr>
                <w:sz w:val="20"/>
                <w:szCs w:val="20"/>
                <w:color w:val="auto"/>
              </w:rPr>
            </w:pPr>
            <w:r>
              <w:rPr>
                <w:rFonts w:ascii="Arial" w:cs="Arial" w:eastAsia="Arial" w:hAnsi="Arial"/>
                <w:sz w:val="14"/>
                <w:szCs w:val="14"/>
                <w:b w:val="1"/>
                <w:bCs w:val="1"/>
                <w:color w:val="auto"/>
              </w:rPr>
              <w:t>Portfolio Company</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Marketplace Events LLC</w:t>
            </w:r>
          </w:p>
        </w:tc>
        <w:tc>
          <w:tcPr>
            <w:tcW w:w="220" w:type="dxa"/>
            <w:vAlign w:val="bottom"/>
            <w:vMerge w:val="continue"/>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w:t>
            </w:r>
          </w:p>
        </w:tc>
        <w:tc>
          <w:tcPr>
            <w:tcW w:w="140" w:type="dxa"/>
            <w:vAlign w:val="bottom"/>
            <w:vMerge w:val="continue"/>
            <w:shd w:val="clear" w:color="auto" w:fill="CCEEFF"/>
          </w:tcPr>
          <w:p>
            <w:pPr>
              <w:spacing w:after="0"/>
              <w:rPr>
                <w:sz w:val="12"/>
                <w:szCs w:val="12"/>
                <w:color w:val="auto"/>
              </w:rPr>
            </w:pPr>
          </w:p>
        </w:tc>
        <w:tc>
          <w:tcPr>
            <w:tcW w:w="4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AKA Diversified Holdings, Inc.</w:t>
            </w:r>
          </w:p>
        </w:tc>
        <w:tc>
          <w:tcPr>
            <w:tcW w:w="220" w:type="dxa"/>
            <w:vAlign w:val="bottom"/>
            <w:vMerge w:val="continue"/>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Advanced Cable Communications, LLC</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5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Bowlmor AMF Corp.</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ALG USA Holdings, LLC</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5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CRGT Inc.</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AMF Bowling Centers, Inc.</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5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Howard Berger Co. LLC</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CD&amp;R TZ Purchaser, Inc.</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5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Instant Web, LLC</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CRGT Inc.</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5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Language Line, LLC</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Efficient Collaborative Retail Marketing Company, LLC</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5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Novitex Acquisition, LLC</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KHC Holdings, Inc.</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5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Polyconcept Finance B.V.</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Novitex Acquisition, LLC</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5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Surgical Specialties Corporation (US), Inc.</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2"/>
        </w:trPr>
        <w:tc>
          <w:tcPr>
            <w:tcW w:w="5180" w:type="dxa"/>
            <w:vAlign w:val="bottom"/>
            <w:gridSpan w:val="2"/>
          </w:tcPr>
          <w:p>
            <w:pPr>
              <w:spacing w:after="0"/>
              <w:rPr>
                <w:sz w:val="20"/>
                <w:szCs w:val="20"/>
                <w:color w:val="auto"/>
              </w:rPr>
            </w:pPr>
            <w:r>
              <w:rPr>
                <w:rFonts w:ascii="Arial" w:cs="Arial" w:eastAsia="Arial" w:hAnsi="Arial"/>
                <w:sz w:val="14"/>
                <w:szCs w:val="14"/>
                <w:color w:val="auto"/>
              </w:rPr>
              <w:t>Triad Manufacturing, Inc.</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2</w:t>
            </w:r>
          </w:p>
        </w:tc>
        <w:tc>
          <w:tcPr>
            <w:tcW w:w="5100" w:type="dxa"/>
            <w:vAlign w:val="bottom"/>
            <w:gridSpan w:val="3"/>
          </w:tcPr>
          <w:p>
            <w:pPr>
              <w:ind w:left="140"/>
              <w:spacing w:after="0"/>
              <w:rPr>
                <w:sz w:val="20"/>
                <w:szCs w:val="20"/>
                <w:color w:val="auto"/>
              </w:rPr>
            </w:pPr>
            <w:r>
              <w:rPr>
                <w:rFonts w:ascii="Arial" w:cs="Arial" w:eastAsia="Arial" w:hAnsi="Arial"/>
                <w:sz w:val="14"/>
                <w:szCs w:val="14"/>
                <w:color w:val="auto"/>
              </w:rPr>
              <w:t>iEnergizer Limited and Aptara, Inc.</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6"/>
                <w:szCs w:val="16"/>
                <w:color w:val="auto"/>
              </w:rPr>
            </w:pPr>
          </w:p>
        </w:tc>
        <w:tc>
          <w:tcPr>
            <w:tcW w:w="51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Industry</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Healthcare and Pharmaceuticals</w:t>
            </w:r>
          </w:p>
        </w:tc>
        <w:tc>
          <w:tcPr>
            <w:tcW w:w="220" w:type="dxa"/>
            <w:vAlign w:val="bottom"/>
            <w:vMerge w:val="continue"/>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10%</w:t>
            </w:r>
          </w:p>
        </w:tc>
        <w:tc>
          <w:tcPr>
            <w:tcW w:w="140" w:type="dxa"/>
            <w:vAlign w:val="bottom"/>
            <w:vMerge w:val="continue"/>
            <w:shd w:val="clear" w:color="auto" w:fill="CCEEFF"/>
          </w:tcPr>
          <w:p>
            <w:pPr>
              <w:spacing w:after="0"/>
              <w:rPr>
                <w:sz w:val="12"/>
                <w:szCs w:val="12"/>
                <w:color w:val="auto"/>
              </w:rPr>
            </w:pPr>
          </w:p>
        </w:tc>
        <w:tc>
          <w:tcPr>
            <w:tcW w:w="4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High Tech Industries</w:t>
            </w:r>
          </w:p>
        </w:tc>
        <w:tc>
          <w:tcPr>
            <w:tcW w:w="220" w:type="dxa"/>
            <w:vAlign w:val="bottom"/>
            <w:vMerge w:val="continue"/>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High Tech Industries</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5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Healthcare and Pharmaceuticals</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w:t>
            </w:r>
          </w:p>
        </w:tc>
        <w:tc>
          <w:tcPr>
            <w:tcW w:w="5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Business Services</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Consumer Goods: Durable</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5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Consumer Goods: Durable</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Hotel, Gaming and Leisure</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w:t>
            </w:r>
          </w:p>
        </w:tc>
        <w:tc>
          <w:tcPr>
            <w:tcW w:w="5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Retail</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w:t>
            </w:r>
          </w:p>
        </w:tc>
        <w:tc>
          <w:tcPr>
            <w:tcW w:w="5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Construction and Building</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5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Consumer Services</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51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Hotel, Gaming and Leisure</w:t>
            </w: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51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Consumer Goods: Non-Durable</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5180" w:type="dxa"/>
            <w:vAlign w:val="bottom"/>
            <w:gridSpan w:val="2"/>
          </w:tcPr>
          <w:p>
            <w:pPr>
              <w:spacing w:after="0"/>
              <w:rPr>
                <w:sz w:val="20"/>
                <w:szCs w:val="20"/>
                <w:color w:val="auto"/>
              </w:rPr>
            </w:pPr>
            <w:r>
              <w:rPr>
                <w:rFonts w:ascii="Arial" w:cs="Arial" w:eastAsia="Arial" w:hAnsi="Arial"/>
                <w:sz w:val="14"/>
                <w:szCs w:val="14"/>
                <w:color w:val="auto"/>
              </w:rPr>
              <w:t>Wholesale</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5</w:t>
            </w:r>
          </w:p>
        </w:tc>
        <w:tc>
          <w:tcPr>
            <w:tcW w:w="5100" w:type="dxa"/>
            <w:vAlign w:val="bottom"/>
            <w:gridSpan w:val="3"/>
          </w:tcPr>
          <w:p>
            <w:pPr>
              <w:ind w:left="140"/>
              <w:spacing w:after="0"/>
              <w:rPr>
                <w:sz w:val="20"/>
                <w:szCs w:val="20"/>
                <w:color w:val="auto"/>
              </w:rPr>
            </w:pPr>
            <w:r>
              <w:rPr>
                <w:rFonts w:ascii="Arial" w:cs="Arial" w:eastAsia="Arial" w:hAnsi="Arial"/>
                <w:sz w:val="14"/>
                <w:szCs w:val="14"/>
                <w:color w:val="auto"/>
              </w:rPr>
              <w:t>Media: Advertising, Printing and Publishing</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60" w:firstLine="562"/>
        <w:spacing w:after="0" w:line="226"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77" w:lineRule="exact"/>
        <w:rPr>
          <w:sz w:val="20"/>
          <w:szCs w:val="20"/>
          <w:color w:val="auto"/>
        </w:rPr>
      </w:pPr>
    </w:p>
    <w:p>
      <w:pPr>
        <w:ind w:right="180" w:firstLine="562"/>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96"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Floating Rate Capital Ltd.,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the Investment Adviser:</w:t>
      </w:r>
    </w:p>
    <w:p>
      <w:pPr>
        <w:spacing w:after="0" w:line="82" w:lineRule="exact"/>
        <w:rPr>
          <w:sz w:val="20"/>
          <w:szCs w:val="20"/>
          <w:color w:val="auto"/>
        </w:rPr>
      </w:pPr>
    </w:p>
    <w:p>
      <w:pPr>
        <w:ind w:left="1000" w:hanging="331"/>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9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96"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Gross assets as of December 31, 20XX = $160 million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U.S. Treasury bills and temporary draws on credit facilities as of December 31, 20XX = $10 million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Gross assets as of March 31, 20XX = $200 million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U.S. Treasury bills and temporary draws on credit facilities as of March 31, 20XX = $20 million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Adjusted gross assets as of March 31, 20XX = $180 million</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Average value of adjusted gross assets as of March 31, 20XX and December 31, 20XX, which are the two most recently completed calendar quarters, and appropriately adjusted for any share issuances or repurchases during the current calendar quarter equals ($150 million + $180 million) / 2 = $165 million.</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150495</wp:posOffset>
            </wp:positionV>
            <wp:extent cx="2751455"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14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2" w:lineRule="exact"/>
        <w:rPr>
          <w:sz w:val="20"/>
          <w:szCs w:val="20"/>
          <w:color w:val="auto"/>
        </w:rPr>
      </w:pPr>
    </w:p>
    <w:p>
      <w:pPr>
        <w:jc w:val="both"/>
        <w:ind w:right="60" w:firstLine="562"/>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7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Pre-Incentive Fee Net Investment Income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Pre-Incentive Fee Net Investment Income does not exceed hurdle; therefore, there is no incentive fee.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(including interest, dividends, fees, etc.) = 2.70%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Pre-Incentive Fee Net Investment Income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95"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50% × Pre-Incentive Fee Net Investment Income, subject to “catch-up”</w:t>
      </w:r>
    </w:p>
    <w:p>
      <w:pPr>
        <w:ind w:left="1960" w:hanging="123"/>
        <w:spacing w:after="0" w:line="221" w:lineRule="auto"/>
        <w:tabs>
          <w:tab w:leader="none" w:pos="19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50% × (2.25% - 1.75%)</w:t>
      </w:r>
    </w:p>
    <w:p>
      <w:pPr>
        <w:ind w:left="1960" w:hanging="123"/>
        <w:spacing w:after="0"/>
        <w:tabs>
          <w:tab w:leader="none" w:pos="19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0.25%</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(including interest, dividends, fees, etc.) = 4.00%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Hurdle</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Base management fee</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20"/>
          </w:cols>
          <w:pgMar w:left="32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Pre-Incentive Fee Net Investment Income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income—(base management fee + other expenses)) = 3.55%</w:t>
      </w:r>
    </w:p>
    <w:p>
      <w:pPr>
        <w:spacing w:after="0" w:line="96" w:lineRule="exact"/>
        <w:rPr>
          <w:sz w:val="20"/>
          <w:szCs w:val="20"/>
          <w:color w:val="auto"/>
        </w:rPr>
      </w:pPr>
    </w:p>
    <w:tbl>
      <w:tblPr>
        <w:tblLayout w:type="fixed"/>
        <w:tblInd w:w="800" w:type="dxa"/>
        <w:tblCellMar>
          <w:top w:w="0" w:type="dxa"/>
          <w:left w:w="0" w:type="dxa"/>
          <w:bottom w:w="0" w:type="dxa"/>
          <w:right w:w="0" w:type="dxa"/>
        </w:tblCellMar>
      </w:tblPr>
      <w:tr>
        <w:trPr>
          <w:trHeight w:val="182"/>
        </w:trPr>
        <w:tc>
          <w:tcPr>
            <w:tcW w:w="860" w:type="dxa"/>
            <w:vAlign w:val="bottom"/>
          </w:tcPr>
          <w:p>
            <w:pPr>
              <w:spacing w:after="0"/>
              <w:rPr>
                <w:sz w:val="20"/>
                <w:szCs w:val="20"/>
                <w:color w:val="auto"/>
              </w:rPr>
            </w:pPr>
            <w:r>
              <w:rPr>
                <w:rFonts w:ascii="Arial" w:cs="Arial" w:eastAsia="Arial" w:hAnsi="Arial"/>
                <w:sz w:val="14"/>
                <w:szCs w:val="14"/>
                <w:color w:val="auto"/>
              </w:rPr>
              <w:t>Incentive fee</w:t>
            </w:r>
          </w:p>
        </w:tc>
        <w:tc>
          <w:tcPr>
            <w:tcW w:w="540" w:type="dxa"/>
            <w:vAlign w:val="bottom"/>
          </w:tcPr>
          <w:p>
            <w:pPr>
              <w:ind w:left="140"/>
              <w:spacing w:after="0"/>
              <w:rPr>
                <w:sz w:val="20"/>
                <w:szCs w:val="20"/>
                <w:color w:val="auto"/>
              </w:rPr>
            </w:pPr>
            <w:r>
              <w:rPr>
                <w:rFonts w:ascii="Arial" w:cs="Arial" w:eastAsia="Arial" w:hAnsi="Arial"/>
                <w:sz w:val="14"/>
                <w:szCs w:val="14"/>
                <w:color w:val="auto"/>
                <w:w w:val="94"/>
              </w:rPr>
              <w:t>= 20%</w:t>
            </w:r>
          </w:p>
        </w:tc>
        <w:tc>
          <w:tcPr>
            <w:tcW w:w="4560" w:type="dxa"/>
            <w:vAlign w:val="bottom"/>
          </w:tcPr>
          <w:p>
            <w:pPr>
              <w:spacing w:after="0"/>
              <w:rPr>
                <w:sz w:val="20"/>
                <w:szCs w:val="20"/>
                <w:color w:val="auto"/>
              </w:rPr>
            </w:pPr>
            <w:r>
              <w:rPr>
                <w:rFonts w:ascii="Arial" w:cs="Arial" w:eastAsia="Arial" w:hAnsi="Arial"/>
                <w:sz w:val="14"/>
                <w:szCs w:val="14"/>
                <w:color w:val="auto"/>
              </w:rPr>
              <w:t>× Pre-Incentive Fee Net Investment Income, subject to “catch-up”</w:t>
            </w:r>
            <w:r>
              <w:rPr>
                <w:rFonts w:ascii="Arial" w:cs="Arial" w:eastAsia="Arial" w:hAnsi="Arial"/>
                <w:sz w:val="12"/>
                <w:szCs w:val="12"/>
                <w:color w:val="auto"/>
              </w:rPr>
              <w:t>(3)</w:t>
            </w:r>
          </w:p>
        </w:tc>
      </w:tr>
      <w:tr>
        <w:trPr>
          <w:trHeight w:val="257"/>
        </w:trPr>
        <w:tc>
          <w:tcPr>
            <w:tcW w:w="860" w:type="dxa"/>
            <w:vAlign w:val="bottom"/>
          </w:tcPr>
          <w:p>
            <w:pPr>
              <w:spacing w:after="0"/>
              <w:rPr>
                <w:sz w:val="20"/>
                <w:szCs w:val="20"/>
                <w:color w:val="auto"/>
              </w:rPr>
            </w:pPr>
            <w:r>
              <w:rPr>
                <w:rFonts w:ascii="Arial" w:cs="Arial" w:eastAsia="Arial" w:hAnsi="Arial"/>
                <w:sz w:val="14"/>
                <w:szCs w:val="14"/>
                <w:color w:val="auto"/>
              </w:rPr>
              <w:t>Incentive fee</w:t>
            </w:r>
          </w:p>
        </w:tc>
        <w:tc>
          <w:tcPr>
            <w:tcW w:w="540" w:type="dxa"/>
            <w:vAlign w:val="bottom"/>
          </w:tcPr>
          <w:p>
            <w:pPr>
              <w:ind w:left="140"/>
              <w:spacing w:after="0"/>
              <w:rPr>
                <w:sz w:val="20"/>
                <w:szCs w:val="20"/>
                <w:color w:val="auto"/>
              </w:rPr>
            </w:pPr>
            <w:r>
              <w:rPr>
                <w:rFonts w:ascii="Arial" w:cs="Arial" w:eastAsia="Arial" w:hAnsi="Arial"/>
                <w:sz w:val="14"/>
                <w:szCs w:val="14"/>
                <w:color w:val="auto"/>
                <w:w w:val="94"/>
              </w:rPr>
              <w:t>= 50%</w:t>
            </w:r>
          </w:p>
        </w:tc>
        <w:tc>
          <w:tcPr>
            <w:tcW w:w="4560" w:type="dxa"/>
            <w:vAlign w:val="bottom"/>
          </w:tcPr>
          <w:p>
            <w:pPr>
              <w:spacing w:after="0"/>
              <w:rPr>
                <w:sz w:val="20"/>
                <w:szCs w:val="20"/>
                <w:color w:val="auto"/>
              </w:rPr>
            </w:pPr>
            <w:r>
              <w:rPr>
                <w:rFonts w:ascii="Arial" w:cs="Arial" w:eastAsia="Arial" w:hAnsi="Arial"/>
                <w:sz w:val="14"/>
                <w:szCs w:val="14"/>
                <w:color w:val="auto"/>
                <w:w w:val="94"/>
              </w:rPr>
              <w:t>× “catch-up” + (20% × (Pre-Incentive Fee Net Investment Income - 2.9167%))</w:t>
            </w:r>
          </w:p>
        </w:tc>
      </w:tr>
      <w:tr>
        <w:trPr>
          <w:trHeight w:val="257"/>
        </w:trPr>
        <w:tc>
          <w:tcPr>
            <w:tcW w:w="860" w:type="dxa"/>
            <w:vAlign w:val="bottom"/>
          </w:tcPr>
          <w:p>
            <w:pPr>
              <w:spacing w:after="0"/>
              <w:rPr>
                <w:sz w:val="20"/>
                <w:szCs w:val="20"/>
                <w:color w:val="auto"/>
              </w:rPr>
            </w:pPr>
            <w:r>
              <w:rPr>
                <w:rFonts w:ascii="Arial" w:cs="Arial" w:eastAsia="Arial" w:hAnsi="Arial"/>
                <w:sz w:val="14"/>
                <w:szCs w:val="14"/>
                <w:color w:val="auto"/>
              </w:rPr>
              <w:t>Catch-up</w:t>
            </w:r>
          </w:p>
        </w:tc>
        <w:tc>
          <w:tcPr>
            <w:tcW w:w="5100" w:type="dxa"/>
            <w:vAlign w:val="bottom"/>
            <w:gridSpan w:val="2"/>
          </w:tcPr>
          <w:p>
            <w:pPr>
              <w:ind w:left="120"/>
              <w:spacing w:after="0"/>
              <w:rPr>
                <w:sz w:val="20"/>
                <w:szCs w:val="20"/>
                <w:color w:val="auto"/>
              </w:rPr>
            </w:pPr>
            <w:r>
              <w:rPr>
                <w:rFonts w:ascii="Arial" w:cs="Arial" w:eastAsia="Arial" w:hAnsi="Arial"/>
                <w:sz w:val="14"/>
                <w:szCs w:val="14"/>
                <w:color w:val="auto"/>
              </w:rPr>
              <w:t>= 2.9167% - 1.75%</w:t>
            </w:r>
          </w:p>
        </w:tc>
      </w:tr>
    </w:tbl>
    <w:p>
      <w:pPr>
        <w:spacing w:after="0" w:line="74" w:lineRule="exact"/>
        <w:rPr>
          <w:sz w:val="20"/>
          <w:szCs w:val="20"/>
          <w:color w:val="auto"/>
        </w:rPr>
      </w:pPr>
    </w:p>
    <w:p>
      <w:pPr>
        <w:ind w:left="1960" w:hanging="123"/>
        <w:spacing w:after="0"/>
        <w:tabs>
          <w:tab w:leader="none" w:pos="19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1.1667%</w:t>
      </w:r>
    </w:p>
    <w:p>
      <w:pPr>
        <w:spacing w:after="0" w:line="95" w:lineRule="exact"/>
        <w:rPr>
          <w:rFonts w:ascii="Arial" w:cs="Arial" w:eastAsia="Arial" w:hAnsi="Arial"/>
          <w:sz w:val="14"/>
          <w:szCs w:val="14"/>
          <w:color w:val="auto"/>
        </w:rPr>
      </w:pPr>
    </w:p>
    <w:p>
      <w:pPr>
        <w:ind w:left="1960" w:hanging="123"/>
        <w:spacing w:after="0"/>
        <w:tabs>
          <w:tab w:leader="none" w:pos="19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(50% × 1.1667%) + (20% × (3.55% - 2.9167%))</w:t>
      </w:r>
    </w:p>
    <w:p>
      <w:pPr>
        <w:spacing w:after="0" w:line="95" w:lineRule="exact"/>
        <w:rPr>
          <w:rFonts w:ascii="Arial" w:cs="Arial" w:eastAsia="Arial" w:hAnsi="Arial"/>
          <w:sz w:val="14"/>
          <w:szCs w:val="14"/>
          <w:color w:val="auto"/>
        </w:rPr>
      </w:pPr>
    </w:p>
    <w:p>
      <w:pPr>
        <w:ind w:left="1960" w:hanging="123"/>
        <w:spacing w:after="0"/>
        <w:tabs>
          <w:tab w:leader="none" w:pos="19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0.5833% + (20% × 0.6333%)</w:t>
      </w:r>
    </w:p>
    <w:p>
      <w:pPr>
        <w:spacing w:after="0" w:line="95" w:lineRule="exact"/>
        <w:rPr>
          <w:rFonts w:ascii="Arial" w:cs="Arial" w:eastAsia="Arial" w:hAnsi="Arial"/>
          <w:sz w:val="14"/>
          <w:szCs w:val="14"/>
          <w:color w:val="auto"/>
        </w:rPr>
      </w:pPr>
    </w:p>
    <w:p>
      <w:pPr>
        <w:ind w:left="1960" w:hanging="123"/>
        <w:spacing w:after="0"/>
        <w:tabs>
          <w:tab w:leader="none" w:pos="19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0.5833% + 0.1267%</w:t>
      </w:r>
    </w:p>
    <w:p>
      <w:pPr>
        <w:spacing w:after="0" w:line="95" w:lineRule="exact"/>
        <w:rPr>
          <w:rFonts w:ascii="Arial" w:cs="Arial" w:eastAsia="Arial" w:hAnsi="Arial"/>
          <w:sz w:val="14"/>
          <w:szCs w:val="14"/>
          <w:color w:val="auto"/>
        </w:rPr>
      </w:pPr>
    </w:p>
    <w:p>
      <w:pPr>
        <w:ind w:left="1960" w:hanging="123"/>
        <w:spacing w:after="0"/>
        <w:tabs>
          <w:tab w:leader="none" w:pos="19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0.71%</w:t>
      </w:r>
    </w:p>
    <w:p>
      <w:pPr>
        <w:spacing w:after="0" w:line="29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8516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560" w:hanging="552"/>
        <w:spacing w:after="0" w:line="221" w:lineRule="auto"/>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560" w:hanging="552"/>
        <w:spacing w:after="0" w:line="221" w:lineRule="auto"/>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560" w:hanging="552"/>
        <w:spacing w:after="0" w:line="237" w:lineRule="auto"/>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3: FMV of Investment B determined to be $25 million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4: Investment B sold for $31 million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1: None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2: $6 million capital gains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3: None</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66"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Year 4: $200,000 capital gains incentive fee $6.2 million cumulative fee ($31 million cumulative realized capital gains multiplied by 20%) less $6 million (previous capital gains fee paid in Year 2).</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Assumptions</w:t>
      </w:r>
    </w:p>
    <w:p>
      <w:pPr>
        <w:spacing w:after="0" w:line="96" w:lineRule="exact"/>
        <w:rPr>
          <w:sz w:val="20"/>
          <w:szCs w:val="20"/>
          <w:color w:val="auto"/>
        </w:rPr>
      </w:pPr>
    </w:p>
    <w:p>
      <w:pPr>
        <w:ind w:right="680"/>
        <w:spacing w:after="0" w:line="253" w:lineRule="auto"/>
        <w:rPr>
          <w:sz w:val="20"/>
          <w:szCs w:val="20"/>
          <w:color w:val="auto"/>
        </w:rPr>
      </w:pPr>
      <w:r>
        <w:rPr>
          <w:rFonts w:ascii="Arial" w:cs="Arial" w:eastAsia="Arial" w:hAnsi="Arial"/>
          <w:sz w:val="14"/>
          <w:szCs w:val="14"/>
          <w:color w:val="auto"/>
        </w:rPr>
        <w:t>Year 1: $20 million investment made in Company A (“Investment A”), $30 million investment made in Company B (“Investment B”) and $25 million investment made in Company C (“Investment C”)</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4: FMV of Investment B determined to be $35 million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5: Investment B sold for $20 million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1: None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Year 2: $5 million capital gains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Year 3: $1.4 million capital gains incentive fee </w:t>
      </w:r>
      <w:r>
        <w:rPr>
          <w:rFonts w:ascii="Arial" w:cs="Arial" w:eastAsia="Arial" w:hAnsi="Arial"/>
          <w:sz w:val="12"/>
          <w:szCs w:val="12"/>
          <w:color w:val="auto"/>
        </w:rPr>
        <w:t>(1)</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Year 4: $0.6 million capital gains incentive fee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20"/>
          </w:cols>
          <w:pgMar w:left="32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40"/>
        <w:spacing w:after="0" w:line="253" w:lineRule="auto"/>
        <w:rPr>
          <w:sz w:val="20"/>
          <w:szCs w:val="20"/>
          <w:color w:val="auto"/>
        </w:rPr>
      </w:pPr>
      <w:r>
        <w:rPr>
          <w:rFonts w:ascii="Arial" w:cs="Arial" w:eastAsia="Arial" w:hAnsi="Arial"/>
          <w:sz w:val="14"/>
          <w:szCs w:val="14"/>
          <w:color w:val="auto"/>
        </w:rPr>
        <w:t>$7 million cumulative fee (20% multiplied by $35 million ($35 million cumulative realized capital gains without regard to $5 million of unrealized appreciation)) less $6.4 million (previous cumulative capital gains fee paid in Year 2 of $5 million and Year 3 of $1.4 million)</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Year 5: None</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18516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7" w:lineRule="exact"/>
        <w:rPr>
          <w:sz w:val="20"/>
          <w:szCs w:val="20"/>
          <w:color w:val="auto"/>
        </w:rPr>
      </w:pPr>
    </w:p>
    <w:p>
      <w:pPr>
        <w:ind w:left="560" w:right="80" w:hanging="552"/>
        <w:spacing w:after="0" w:line="253" w:lineRule="auto"/>
        <w:tabs>
          <w:tab w:leader="none" w:pos="5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As illustrated in Year 3 of Alternative 2 above, if we were to be wound up on a date other than December 31 of any year after year 3, we may have paid aggregate capital gain incentive fees that are more than the amount of such fees that would be payable if we had been wound up on December 31 of such year.</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96"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9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2016. Unless terminated earlier as described below, the Investment Management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77"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96"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2016. Unless terminated earlier as described below, our Administration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96" w:lineRule="exact"/>
        <w:rPr>
          <w:sz w:val="20"/>
          <w:szCs w:val="20"/>
          <w:color w:val="auto"/>
        </w:rPr>
      </w:pPr>
    </w:p>
    <w:p>
      <w:pPr>
        <w:ind w:right="120" w:firstLine="562"/>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2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Company and Regulated Investment Company Regulations</w:t>
      </w:r>
    </w:p>
    <w:p>
      <w:pPr>
        <w:spacing w:after="0" w:line="96"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67"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96"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7" w:lineRule="exact"/>
        <w:rPr>
          <w:sz w:val="20"/>
          <w:szCs w:val="20"/>
          <w:color w:val="auto"/>
        </w:rPr>
      </w:pPr>
    </w:p>
    <w:p>
      <w:pPr>
        <w:ind w:left="1120" w:right="280" w:hanging="329"/>
        <w:spacing w:after="0" w:line="264" w:lineRule="auto"/>
        <w:tabs>
          <w:tab w:leader="none" w:pos="11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73" w:lineRule="exact"/>
        <w:rPr>
          <w:rFonts w:ascii="Arial" w:cs="Arial" w:eastAsia="Arial" w:hAnsi="Arial"/>
          <w:sz w:val="13"/>
          <w:szCs w:val="13"/>
          <w:color w:val="auto"/>
        </w:rPr>
      </w:pPr>
    </w:p>
    <w:p>
      <w:pPr>
        <w:ind w:left="1900" w:hanging="326"/>
        <w:spacing w:after="0"/>
        <w:tabs>
          <w:tab w:leader="none" w:pos="1900" w:val="left"/>
        </w:tabs>
        <w:numPr>
          <w:ilvl w:val="1"/>
          <w:numId w:val="15"/>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09" w:lineRule="exact"/>
        <w:rPr>
          <w:rFonts w:ascii="Arial" w:cs="Arial" w:eastAsia="Arial" w:hAnsi="Arial"/>
          <w:sz w:val="14"/>
          <w:szCs w:val="14"/>
          <w:color w:val="auto"/>
        </w:rPr>
      </w:pPr>
    </w:p>
    <w:p>
      <w:pPr>
        <w:ind w:left="1900" w:right="80" w:hanging="326"/>
        <w:spacing w:after="0" w:line="253" w:lineRule="auto"/>
        <w:tabs>
          <w:tab w:leader="none" w:pos="1900" w:val="left"/>
        </w:tabs>
        <w:numPr>
          <w:ilvl w:val="1"/>
          <w:numId w:val="15"/>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79" w:lineRule="exact"/>
        <w:rPr>
          <w:rFonts w:ascii="Arial" w:cs="Arial" w:eastAsia="Arial" w:hAnsi="Arial"/>
          <w:sz w:val="14"/>
          <w:szCs w:val="14"/>
          <w:color w:val="auto"/>
        </w:rPr>
      </w:pPr>
    </w:p>
    <w:p>
      <w:pPr>
        <w:ind w:left="1900" w:hanging="326"/>
        <w:spacing w:after="0"/>
        <w:tabs>
          <w:tab w:leader="none" w:pos="1900" w:val="left"/>
        </w:tabs>
        <w:numPr>
          <w:ilvl w:val="1"/>
          <w:numId w:val="15"/>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109" w:lineRule="exact"/>
        <w:rPr>
          <w:rFonts w:ascii="Arial" w:cs="Arial" w:eastAsia="Arial" w:hAnsi="Arial"/>
          <w:sz w:val="14"/>
          <w:szCs w:val="14"/>
          <w:color w:val="auto"/>
        </w:rPr>
      </w:pPr>
    </w:p>
    <w:p>
      <w:pPr>
        <w:ind w:left="2680" w:hanging="323"/>
        <w:spacing w:after="0"/>
        <w:tabs>
          <w:tab w:leader="none" w:pos="2680" w:val="left"/>
        </w:tabs>
        <w:numPr>
          <w:ilvl w:val="2"/>
          <w:numId w:val="15"/>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109" w:lineRule="exact"/>
        <w:rPr>
          <w:rFonts w:ascii="Arial" w:cs="Arial" w:eastAsia="Arial" w:hAnsi="Arial"/>
          <w:sz w:val="14"/>
          <w:szCs w:val="14"/>
          <w:color w:val="auto"/>
        </w:rPr>
      </w:pPr>
    </w:p>
    <w:p>
      <w:pPr>
        <w:ind w:left="2680" w:hanging="323"/>
        <w:spacing w:after="0"/>
        <w:tabs>
          <w:tab w:leader="none" w:pos="2680" w:val="left"/>
        </w:tabs>
        <w:numPr>
          <w:ilvl w:val="2"/>
          <w:numId w:val="15"/>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109" w:lineRule="exact"/>
        <w:rPr>
          <w:rFonts w:ascii="Arial" w:cs="Arial" w:eastAsia="Arial" w:hAnsi="Arial"/>
          <w:sz w:val="14"/>
          <w:szCs w:val="14"/>
          <w:color w:val="auto"/>
        </w:rPr>
      </w:pPr>
    </w:p>
    <w:p>
      <w:pPr>
        <w:ind w:left="2680" w:right="40" w:hanging="323"/>
        <w:spacing w:after="0" w:line="238" w:lineRule="auto"/>
        <w:tabs>
          <w:tab w:leader="none" w:pos="2680" w:val="left"/>
        </w:tabs>
        <w:numPr>
          <w:ilvl w:val="2"/>
          <w:numId w:val="15"/>
        </w:numPr>
        <w:rPr>
          <w:rFonts w:ascii="Arial" w:cs="Arial" w:eastAsia="Arial" w:hAnsi="Arial"/>
          <w:sz w:val="14"/>
          <w:szCs w:val="14"/>
          <w:color w:val="auto"/>
        </w:rPr>
      </w:pPr>
      <w:r>
        <w:rPr>
          <w:rFonts w:ascii="Arial" w:cs="Arial" w:eastAsia="Arial" w:hAnsi="Arial"/>
          <w:sz w:val="14"/>
          <w:szCs w:val="14"/>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8" w:lineRule="exact"/>
        <w:rPr>
          <w:rFonts w:ascii="Arial" w:cs="Arial" w:eastAsia="Arial" w:hAnsi="Arial"/>
          <w:sz w:val="14"/>
          <w:szCs w:val="14"/>
          <w:color w:val="auto"/>
        </w:rPr>
      </w:pPr>
    </w:p>
    <w:p>
      <w:pPr>
        <w:ind w:left="1120" w:hanging="329"/>
        <w:spacing w:after="0"/>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109" w:lineRule="exact"/>
        <w:rPr>
          <w:rFonts w:ascii="Arial" w:cs="Arial" w:eastAsia="Arial" w:hAnsi="Arial"/>
          <w:sz w:val="14"/>
          <w:szCs w:val="14"/>
          <w:color w:val="auto"/>
        </w:rPr>
      </w:pPr>
    </w:p>
    <w:p>
      <w:pPr>
        <w:ind w:left="1120" w:hanging="329"/>
        <w:spacing w:after="0" w:line="238" w:lineRule="auto"/>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8" w:lineRule="exact"/>
        <w:rPr>
          <w:rFonts w:ascii="Arial" w:cs="Arial" w:eastAsia="Arial" w:hAnsi="Arial"/>
          <w:sz w:val="14"/>
          <w:szCs w:val="14"/>
          <w:color w:val="auto"/>
        </w:rPr>
      </w:pPr>
    </w:p>
    <w:p>
      <w:pPr>
        <w:ind w:left="1120" w:right="220" w:hanging="329"/>
        <w:spacing w:after="0" w:line="253" w:lineRule="auto"/>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9" w:lineRule="exact"/>
        <w:rPr>
          <w:rFonts w:ascii="Arial" w:cs="Arial" w:eastAsia="Arial" w:hAnsi="Arial"/>
          <w:sz w:val="14"/>
          <w:szCs w:val="14"/>
          <w:color w:val="auto"/>
        </w:rPr>
      </w:pPr>
    </w:p>
    <w:p>
      <w:pPr>
        <w:ind w:left="1120" w:right="80" w:hanging="329"/>
        <w:spacing w:after="0" w:line="253" w:lineRule="auto"/>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96"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96" w:lineRule="exact"/>
        <w:rPr>
          <w:sz w:val="20"/>
          <w:szCs w:val="20"/>
          <w:color w:val="auto"/>
        </w:rPr>
      </w:pPr>
    </w:p>
    <w:p>
      <w:pPr>
        <w:ind w:right="360" w:firstLine="562"/>
        <w:spacing w:after="0" w:line="251" w:lineRule="auto"/>
        <w:rPr>
          <w:sz w:val="20"/>
          <w:szCs w:val="20"/>
          <w:color w:val="auto"/>
        </w:rPr>
      </w:pPr>
      <w:r>
        <w:rPr>
          <w:rFonts w:ascii="Arial" w:cs="Arial" w:eastAsia="Arial" w:hAnsi="Arial"/>
          <w:sz w:val="13"/>
          <w:szCs w:val="13"/>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96" w:lineRule="exact"/>
        <w:rPr>
          <w:sz w:val="20"/>
          <w:szCs w:val="20"/>
          <w:color w:val="auto"/>
        </w:rPr>
      </w:pPr>
    </w:p>
    <w:p>
      <w:pPr>
        <w:ind w:right="20" w:firstLine="337"/>
        <w:spacing w:after="0" w:line="238" w:lineRule="auto"/>
        <w:rPr>
          <w:sz w:val="20"/>
          <w:szCs w:val="20"/>
          <w:color w:val="auto"/>
        </w:rPr>
      </w:pPr>
      <w:r>
        <w:rPr>
          <w:rFonts w:ascii="Arial" w:cs="Arial" w:eastAsia="Arial" w:hAnsi="Arial"/>
          <w:sz w:val="14"/>
          <w:szCs w:val="14"/>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29" w:lineRule="auto"/>
        <w:rPr>
          <w:sz w:val="20"/>
          <w:szCs w:val="20"/>
          <w:color w:val="auto"/>
        </w:rPr>
      </w:pPr>
      <w:r>
        <w:rPr>
          <w:rFonts w:ascii="Arial" w:cs="Arial" w:eastAsia="Arial" w:hAnsi="Arial"/>
          <w:sz w:val="14"/>
          <w:szCs w:val="14"/>
          <w:color w:val="auto"/>
        </w:rPr>
        <w:t>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9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You may also obtain a copy of our joint code of ethics, after paying a duplicating fee, by electronic request at the following email address: </w:t>
      </w:r>
      <w:r>
        <w:rPr>
          <w:rFonts w:ascii="Arial" w:cs="Arial" w:eastAsia="Arial" w:hAnsi="Arial"/>
          <w:sz w:val="14"/>
          <w:szCs w:val="14"/>
          <w:i w:val="1"/>
          <w:iCs w:val="1"/>
          <w:u w:val="single" w:color="auto"/>
          <w:color w:val="auto"/>
        </w:rPr>
        <w:t>publicinfo@sec.gov</w:t>
      </w:r>
      <w:r>
        <w:rPr>
          <w:rFonts w:ascii="Arial" w:cs="Arial" w:eastAsia="Arial" w:hAnsi="Arial"/>
          <w:sz w:val="14"/>
          <w:szCs w:val="14"/>
          <w:color w:val="auto"/>
        </w:rPr>
        <w:t>, or by writing the SEC’s Public Reference Section, 100 F Street, N.E., Washington, D.C. 20549.</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9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Introduction</w:t>
      </w:r>
    </w:p>
    <w:p>
      <w:pPr>
        <w:spacing w:after="0" w:line="9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66" w:lineRule="exact"/>
        <w:rPr>
          <w:sz w:val="20"/>
          <w:szCs w:val="20"/>
          <w:color w:val="auto"/>
        </w:rPr>
      </w:pPr>
    </w:p>
    <w:p>
      <w:pPr>
        <w:ind w:left="560" w:right="720"/>
        <w:spacing w:after="0" w:line="382" w:lineRule="auto"/>
        <w:rPr>
          <w:sz w:val="20"/>
          <w:szCs w:val="20"/>
          <w:color w:val="auto"/>
        </w:rPr>
      </w:pPr>
      <w:r>
        <w:rPr>
          <w:rFonts w:ascii="Arial" w:cs="Arial" w:eastAsia="Arial" w:hAnsi="Arial"/>
          <w:sz w:val="14"/>
          <w:szCs w:val="14"/>
          <w:color w:val="auto"/>
        </w:rPr>
        <w:t xml:space="preserve">These policies and procedures for voting proxies for our investment advisory clients are intended to comply with Section 206 of, and Rule 206(4)-6 under, the Advisers Act. </w:t>
      </w:r>
      <w:r>
        <w:rPr>
          <w:rFonts w:ascii="Arial" w:cs="Arial" w:eastAsia="Arial" w:hAnsi="Arial"/>
          <w:sz w:val="14"/>
          <w:szCs w:val="14"/>
          <w:i w:val="1"/>
          <w:iCs w:val="1"/>
          <w:color w:val="auto"/>
        </w:rPr>
        <w:t>Proxy Policies</w:t>
      </w:r>
    </w:p>
    <w:p>
      <w:pPr>
        <w:spacing w:after="0" w:line="1"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Proxy Voting Records</w:t>
      </w:r>
    </w:p>
    <w:p>
      <w:pPr>
        <w:spacing w:after="0" w:line="9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15th Floor, New York, New York 10022.</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96" w:lineRule="exact"/>
        <w:rPr>
          <w:sz w:val="20"/>
          <w:szCs w:val="20"/>
          <w:color w:val="auto"/>
        </w:rPr>
      </w:pPr>
    </w:p>
    <w:p>
      <w:pPr>
        <w:ind w:right="560" w:firstLine="562"/>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6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75" w:lineRule="exact"/>
        <w:rPr>
          <w:sz w:val="20"/>
          <w:szCs w:val="20"/>
          <w:color w:val="auto"/>
        </w:rPr>
      </w:pPr>
    </w:p>
    <w:p>
      <w:pPr>
        <w:ind w:right="680" w:firstLine="562"/>
        <w:spacing w:after="0" w:line="253"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66" w:lineRule="exact"/>
        <w:rPr>
          <w:sz w:val="20"/>
          <w:szCs w:val="20"/>
          <w:color w:val="auto"/>
        </w:rPr>
      </w:pPr>
    </w:p>
    <w:p>
      <w:pPr>
        <w:ind w:firstLine="562"/>
        <w:spacing w:after="0" w:line="264" w:lineRule="auto"/>
        <w:rPr>
          <w:sz w:val="20"/>
          <w:szCs w:val="20"/>
          <w:color w:val="auto"/>
        </w:rPr>
      </w:pPr>
      <w:r>
        <w:rPr>
          <w:rFonts w:ascii="Arial" w:cs="Arial" w:eastAsia="Arial" w:hAnsi="Arial"/>
          <w:sz w:val="13"/>
          <w:szCs w:val="13"/>
          <w:color w:val="auto"/>
        </w:rPr>
        <w:t xml:space="preserve">Our privacy protection policies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privacy policy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 or by writing the SEC’s Public Reference Section, 100 F Street, N.E., Washington, D.C. 20549.</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2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96" w:lineRule="exact"/>
        <w:rPr>
          <w:sz w:val="20"/>
          <w:szCs w:val="20"/>
          <w:color w:val="auto"/>
        </w:rPr>
      </w:pPr>
    </w:p>
    <w:p>
      <w:pPr>
        <w:ind w:right="180" w:firstLine="562"/>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75" w:lineRule="exact"/>
        <w:rPr>
          <w:sz w:val="20"/>
          <w:szCs w:val="20"/>
          <w:color w:val="auto"/>
        </w:rPr>
      </w:pPr>
    </w:p>
    <w:p>
      <w:pPr>
        <w:ind w:right="180" w:firstLine="562"/>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9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Sarbanes-Oxley Act of 2002, as amended, or the Sarbanes-Oxley Act, imposes several regulatory requirements on publicly held companies and their insiders. Many of these requirements affect us.</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For example:</w:t>
      </w:r>
    </w:p>
    <w:p>
      <w:pPr>
        <w:spacing w:after="0" w:line="109" w:lineRule="exact"/>
        <w:rPr>
          <w:sz w:val="20"/>
          <w:szCs w:val="20"/>
          <w:color w:val="auto"/>
        </w:rPr>
      </w:pPr>
    </w:p>
    <w:p>
      <w:pPr>
        <w:ind w:left="1000" w:right="300" w:hanging="331"/>
        <w:spacing w:after="0" w:line="253" w:lineRule="auto"/>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79" w:lineRule="exact"/>
        <w:rPr>
          <w:rFonts w:ascii="Arial" w:cs="Arial" w:eastAsia="Arial" w:hAnsi="Arial"/>
          <w:sz w:val="14"/>
          <w:szCs w:val="14"/>
          <w:color w:val="auto"/>
        </w:rPr>
      </w:pPr>
    </w:p>
    <w:p>
      <w:pPr>
        <w:ind w:left="1000" w:hanging="331"/>
        <w:spacing w:after="0"/>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20" w:lineRule="exact"/>
        <w:rPr>
          <w:rFonts w:ascii="Arial" w:cs="Arial" w:eastAsia="Arial" w:hAnsi="Arial"/>
          <w:sz w:val="13"/>
          <w:szCs w:val="13"/>
          <w:color w:val="auto"/>
        </w:rPr>
      </w:pPr>
    </w:p>
    <w:p>
      <w:pPr>
        <w:jc w:val="both"/>
        <w:ind w:left="1000" w:right="80" w:hanging="331"/>
        <w:spacing w:after="0" w:line="238" w:lineRule="auto"/>
        <w:tabs>
          <w:tab w:leader="none" w:pos="1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75"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to be Treated as a RIC</w:t>
      </w:r>
    </w:p>
    <w:p>
      <w:pPr>
        <w:spacing w:after="0" w:line="96" w:lineRule="exact"/>
        <w:rPr>
          <w:sz w:val="20"/>
          <w:szCs w:val="20"/>
          <w:color w:val="auto"/>
        </w:rPr>
      </w:pPr>
    </w:p>
    <w:p>
      <w:pPr>
        <w:ind w:right="260" w:firstLine="562"/>
        <w:spacing w:after="0" w:line="231"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investment company taxable income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109" w:lineRule="exact"/>
        <w:rPr>
          <w:sz w:val="20"/>
          <w:szCs w:val="20"/>
          <w:color w:val="auto"/>
        </w:rPr>
      </w:pPr>
    </w:p>
    <w:p>
      <w:pPr>
        <w:ind w:left="1000" w:hanging="331"/>
        <w:spacing w:after="0"/>
        <w:tabs>
          <w:tab w:leader="none" w:pos="10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109" w:lineRule="exact"/>
        <w:rPr>
          <w:rFonts w:ascii="Arial" w:cs="Arial" w:eastAsia="Arial" w:hAnsi="Arial"/>
          <w:sz w:val="14"/>
          <w:szCs w:val="14"/>
          <w:color w:val="auto"/>
        </w:rPr>
      </w:pPr>
    </w:p>
    <w:p>
      <w:pPr>
        <w:ind w:left="1000" w:right="60" w:hanging="331"/>
        <w:spacing w:after="0" w:line="238" w:lineRule="auto"/>
        <w:tabs>
          <w:tab w:leader="none" w:pos="10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8" w:lineRule="exact"/>
        <w:rPr>
          <w:rFonts w:ascii="Arial" w:cs="Arial" w:eastAsia="Arial" w:hAnsi="Arial"/>
          <w:sz w:val="14"/>
          <w:szCs w:val="14"/>
          <w:color w:val="auto"/>
        </w:rPr>
      </w:pPr>
    </w:p>
    <w:p>
      <w:pPr>
        <w:ind w:left="1000" w:hanging="331"/>
        <w:spacing w:after="0"/>
        <w:tabs>
          <w:tab w:leader="none" w:pos="10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109" w:lineRule="exact"/>
        <w:rPr>
          <w:rFonts w:ascii="Arial" w:cs="Arial" w:eastAsia="Arial" w:hAnsi="Arial"/>
          <w:sz w:val="14"/>
          <w:szCs w:val="14"/>
          <w:color w:val="auto"/>
        </w:rPr>
      </w:pPr>
    </w:p>
    <w:p>
      <w:pPr>
        <w:ind w:left="1460" w:right="40" w:hanging="453"/>
        <w:spacing w:after="0" w:line="290" w:lineRule="auto"/>
        <w:tabs>
          <w:tab w:leader="none" w:pos="146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7" w:lineRule="exact"/>
        <w:rPr>
          <w:rFonts w:ascii="Arial" w:cs="Arial" w:eastAsia="Arial" w:hAnsi="Arial"/>
          <w:sz w:val="13"/>
          <w:szCs w:val="13"/>
          <w:color w:val="auto"/>
        </w:rPr>
      </w:pPr>
    </w:p>
    <w:p>
      <w:pPr>
        <w:ind w:left="1460" w:hanging="453"/>
        <w:spacing w:after="0" w:line="238" w:lineRule="auto"/>
        <w:tabs>
          <w:tab w:leader="none" w:pos="14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75" w:lineRule="exact"/>
        <w:rPr>
          <w:sz w:val="20"/>
          <w:szCs w:val="20"/>
          <w:color w:val="auto"/>
        </w:rPr>
      </w:pPr>
    </w:p>
    <w:p>
      <w:pPr>
        <w:ind w:right="40" w:firstLine="562"/>
        <w:spacing w:after="0" w:line="248"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w:t>
      </w:r>
    </w:p>
    <w:p>
      <w:pPr>
        <w:ind w:firstLine="8"/>
        <w:spacing w:after="0" w:line="227" w:lineRule="auto"/>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treated as a RIC for federal income tax purposes, in order to provide us with additional liquidity.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96" w:lineRule="exact"/>
        <w:rPr>
          <w:sz w:val="20"/>
          <w:szCs w:val="20"/>
          <w:color w:val="auto"/>
        </w:rPr>
      </w:pPr>
    </w:p>
    <w:p>
      <w:pPr>
        <w:jc w:val="both"/>
        <w:ind w:firstLine="562"/>
        <w:spacing w:after="0" w:line="233"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76"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treated as a RIC for federal income tax purposes.</w:t>
      </w:r>
    </w:p>
    <w:p>
      <w:pPr>
        <w:spacing w:after="0" w:line="67"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6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7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96" w:lineRule="exact"/>
        <w:rPr>
          <w:sz w:val="20"/>
          <w:szCs w:val="20"/>
          <w:color w:val="auto"/>
        </w:rPr>
      </w:pPr>
    </w:p>
    <w:p>
      <w:pPr>
        <w:ind w:right="60" w:firstLine="337"/>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77" w:lineRule="exact"/>
        <w:rPr>
          <w:sz w:val="20"/>
          <w:szCs w:val="20"/>
          <w:color w:val="auto"/>
        </w:rPr>
      </w:pPr>
    </w:p>
    <w:p>
      <w:pPr>
        <w:ind w:firstLine="337"/>
        <w:spacing w:after="0" w:line="244" w:lineRule="auto"/>
        <w:rPr>
          <w:sz w:val="20"/>
          <w:szCs w:val="20"/>
          <w:color w:val="auto"/>
        </w:rPr>
      </w:pPr>
      <w:r>
        <w:rPr>
          <w:rFonts w:ascii="Arial" w:cs="Arial" w:eastAsia="Arial" w:hAnsi="Arial"/>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you may lose all or part of your investment.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00" w:lineRule="exact"/>
        <w:rPr>
          <w:sz w:val="20"/>
          <w:szCs w:val="20"/>
          <w:color w:val="auto"/>
        </w:rPr>
      </w:pPr>
    </w:p>
    <w:p>
      <w:pPr>
        <w:spacing w:after="0" w:line="290"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44" w:lineRule="exact"/>
        <w:rPr>
          <w:sz w:val="20"/>
          <w:szCs w:val="20"/>
          <w:color w:val="auto"/>
        </w:rPr>
      </w:pPr>
    </w:p>
    <w:p>
      <w:pPr>
        <w:ind w:right="20" w:firstLine="562"/>
        <w:spacing w:after="0" w:line="226" w:lineRule="auto"/>
        <w:rPr>
          <w:sz w:val="20"/>
          <w:szCs w:val="20"/>
          <w:color w:val="auto"/>
        </w:rPr>
      </w:pPr>
      <w:r>
        <w:rPr>
          <w:rFonts w:ascii="Arial" w:cs="Arial" w:eastAsia="Arial" w:hAnsi="Arial"/>
          <w:sz w:val="14"/>
          <w:szCs w:val="14"/>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9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75" w:lineRule="exact"/>
        <w:rPr>
          <w:sz w:val="20"/>
          <w:szCs w:val="20"/>
          <w:color w:val="auto"/>
        </w:rPr>
      </w:pPr>
    </w:p>
    <w:p>
      <w:pPr>
        <w:ind w:right="100" w:firstLine="562"/>
        <w:spacing w:after="0" w:line="228" w:lineRule="auto"/>
        <w:rPr>
          <w:sz w:val="20"/>
          <w:szCs w:val="20"/>
          <w:color w:val="auto"/>
        </w:rPr>
      </w:pPr>
      <w:r>
        <w:rPr>
          <w:rFonts w:ascii="Arial" w:cs="Arial" w:eastAsia="Arial" w:hAnsi="Arial"/>
          <w:sz w:val="14"/>
          <w:szCs w:val="14"/>
          <w:color w:val="auto"/>
        </w:rPr>
        <w:t>The significant disruption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reduced availability and/or mandatory prepayments under Funding I’s Credit Facility.</w:t>
      </w:r>
    </w:p>
    <w:p>
      <w:pPr>
        <w:spacing w:after="0" w:line="96"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In addition to the asset coverage ratio requirements, our Credit Facility contains various covenants applicable to Funding I, which restricts our ability to borrow funds. For example, the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91" w:lineRule="exact"/>
        <w:rPr>
          <w:sz w:val="20"/>
          <w:szCs w:val="20"/>
          <w:color w:val="auto"/>
        </w:rPr>
      </w:pPr>
    </w:p>
    <w:p>
      <w:pPr>
        <w:ind w:left="1000" w:hanging="331"/>
        <w:spacing w:after="0"/>
        <w:tabs>
          <w:tab w:leader="none" w:pos="1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 of our portfolio.</w:t>
      </w:r>
    </w:p>
    <w:p>
      <w:pPr>
        <w:spacing w:after="0" w:line="9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This could have a material adverse effect on our operations, as it would reduce availability under the Credit Facility and could trigger mandatory prepayment obligations under the terms of the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96" w:lineRule="exact"/>
        <w:rPr>
          <w:sz w:val="20"/>
          <w:szCs w:val="20"/>
          <w:color w:val="auto"/>
        </w:rPr>
      </w:pPr>
    </w:p>
    <w:p>
      <w:pPr>
        <w:ind w:right="40" w:firstLine="562"/>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66" w:lineRule="exact"/>
        <w:rPr>
          <w:sz w:val="20"/>
          <w:szCs w:val="20"/>
          <w:color w:val="auto"/>
        </w:rPr>
      </w:pPr>
    </w:p>
    <w:p>
      <w:pPr>
        <w:ind w:right="220" w:firstLine="562"/>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60"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07"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77" w:lineRule="exact"/>
        <w:rPr>
          <w:sz w:val="20"/>
          <w:szCs w:val="20"/>
          <w:color w:val="auto"/>
        </w:rPr>
      </w:pPr>
    </w:p>
    <w:p>
      <w:pPr>
        <w:ind w:right="280" w:firstLine="562"/>
        <w:spacing w:after="0" w:line="253" w:lineRule="auto"/>
        <w:rPr>
          <w:sz w:val="20"/>
          <w:szCs w:val="20"/>
          <w:color w:val="auto"/>
        </w:rPr>
      </w:pPr>
      <w:r>
        <w:rPr>
          <w:rFonts w:ascii="Arial" w:cs="Arial" w:eastAsia="Arial" w:hAnsi="Arial"/>
          <w:sz w:val="14"/>
          <w:szCs w:val="14"/>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the target of litigation.</w:t>
      </w:r>
    </w:p>
    <w:p>
      <w:pPr>
        <w:spacing w:after="0" w:line="96" w:lineRule="exact"/>
        <w:rPr>
          <w:sz w:val="20"/>
          <w:szCs w:val="20"/>
          <w:color w:val="auto"/>
        </w:rPr>
      </w:pPr>
    </w:p>
    <w:p>
      <w:pPr>
        <w:jc w:val="both"/>
        <w:ind w:right="160" w:firstLine="562"/>
        <w:spacing w:after="0" w:line="238" w:lineRule="auto"/>
        <w:rPr>
          <w:sz w:val="20"/>
          <w:szCs w:val="20"/>
          <w:color w:val="auto"/>
        </w:rPr>
      </w:pPr>
      <w:r>
        <w:rPr>
          <w:rFonts w:ascii="Arial" w:cs="Arial" w:eastAsia="Arial" w:hAnsi="Arial"/>
          <w:sz w:val="14"/>
          <w:szCs w:val="14"/>
          <w:color w:val="auto"/>
        </w:rPr>
        <w:t>We may be the target of securities litigation in the future, particularly if the trading price of our common stock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75"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66" w:lineRule="exact"/>
        <w:rPr>
          <w:sz w:val="20"/>
          <w:szCs w:val="20"/>
          <w:color w:val="auto"/>
        </w:rPr>
      </w:pPr>
    </w:p>
    <w:p>
      <w:pPr>
        <w:ind w:right="160" w:firstLine="562"/>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72"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firstLine="562"/>
        <w:spacing w:after="0" w:line="226" w:lineRule="auto"/>
        <w:rPr>
          <w:sz w:val="20"/>
          <w:szCs w:val="20"/>
          <w:color w:val="auto"/>
        </w:rPr>
      </w:pPr>
      <w:r>
        <w:rPr>
          <w:rFonts w:ascii="Arial" w:cs="Arial" w:eastAsia="Arial" w:hAnsi="Arial"/>
          <w:sz w:val="14"/>
          <w:szCs w:val="14"/>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 Quantitative and Qualitative Disclosures about Market Risk” for more information.</w:t>
      </w:r>
    </w:p>
    <w:p>
      <w:pPr>
        <w:spacing w:after="0" w:line="80"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96"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07" w:lineRule="exact"/>
        <w:rPr>
          <w:sz w:val="20"/>
          <w:szCs w:val="20"/>
          <w:color w:val="auto"/>
        </w:rPr>
      </w:pPr>
    </w:p>
    <w:p>
      <w:pPr>
        <w:ind w:right="360" w:firstLine="562"/>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and funds with which our senior and other investment professionals have been affiliated.</w:t>
      </w:r>
    </w:p>
    <w:p>
      <w:pPr>
        <w:spacing w:after="0" w:line="107"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96" w:lineRule="exact"/>
        <w:rPr>
          <w:sz w:val="20"/>
          <w:szCs w:val="20"/>
          <w:color w:val="auto"/>
        </w:rPr>
      </w:pPr>
    </w:p>
    <w:p>
      <w:pPr>
        <w:ind w:right="80" w:firstLine="562"/>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our net assets and income available for debt service and distributions.</w:t>
      </w:r>
    </w:p>
    <w:p>
      <w:pPr>
        <w:spacing w:after="0" w:line="96"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We have operated and continue to operate so as to maintain our election to be treated as a RIC under Subchapter M of the Code. If we meet the annual source of income, Diversification Tests, and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Annual Distribution Requirement if we recognize income before or without receiving cash representing such income.</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77"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75"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In some cases, we may recognize income before or without receiving cash representing such income. As a result, we may have difficulty meeting the Annual Distribution Requirement.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RIC tax status and thus be subject to corporate-level income tax.</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00"/>
          </w:cols>
          <w:pgMar w:left="32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tax status as a RIC, we will need to raise additional capital to finance our growth. If funds are not available to us, we may need to curtail new investments, and our common stock value could decline.</w:t>
      </w:r>
    </w:p>
    <w:p>
      <w:pPr>
        <w:spacing w:after="0" w:line="6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As a BDC, we generally are required to meet a 200%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77"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treated as a RIC for federal income tax purposes. We may have to request a waiver of these covenants’ restrictions for Funding I to make certain distributions to enable us to be treated as a RIC for federal income tax purposes. We cannot assure you that Funding I will be granted such a waiver, and if Funding I is unable to obtain a waiver, compliance with the covenants may cause us to incur a corporate-level income tax.</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84" w:lineRule="exact"/>
        <w:rPr>
          <w:sz w:val="20"/>
          <w:szCs w:val="20"/>
          <w:color w:val="auto"/>
        </w:rPr>
      </w:pPr>
    </w:p>
    <w:p>
      <w:pPr>
        <w:ind w:left="1000" w:right="120" w:hanging="331"/>
        <w:spacing w:after="0" w:line="251"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we are exposed to typical risks associated with leverage, including an increased risk of loss. If we issue preferred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82" w:lineRule="exact"/>
        <w:rPr>
          <w:rFonts w:ascii="Arial" w:cs="Arial" w:eastAsia="Arial" w:hAnsi="Arial"/>
          <w:sz w:val="13"/>
          <w:szCs w:val="13"/>
          <w:color w:val="auto"/>
        </w:rPr>
      </w:pPr>
    </w:p>
    <w:p>
      <w:pPr>
        <w:ind w:left="1000" w:right="20" w:hanging="331"/>
        <w:spacing w:after="0" w:line="242"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Such procedures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87" w:lineRule="exact"/>
        <w:rPr>
          <w:rFonts w:ascii="Arial" w:cs="Arial" w:eastAsia="Arial" w:hAnsi="Arial"/>
          <w:sz w:val="13"/>
          <w:szCs w:val="13"/>
          <w:color w:val="auto"/>
        </w:rPr>
      </w:pPr>
    </w:p>
    <w:p>
      <w:pPr>
        <w:ind w:left="1000" w:right="40" w:hanging="331"/>
        <w:spacing w:after="0" w:line="242"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permit, we may securitize our loans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20" w:firstLine="562"/>
        <w:spacing w:after="0" w:line="238" w:lineRule="auto"/>
        <w:rPr>
          <w:sz w:val="20"/>
          <w:szCs w:val="20"/>
          <w:color w:val="auto"/>
        </w:rPr>
      </w:pPr>
      <w:r>
        <w:rPr>
          <w:rFonts w:ascii="Arial" w:cs="Arial" w:eastAsia="Arial" w:hAnsi="Arial"/>
          <w:sz w:val="14"/>
          <w:szCs w:val="14"/>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75"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Our current debt is governed by the terms of the Credit Facility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96" w:lineRule="exact"/>
        <w:rPr>
          <w:sz w:val="20"/>
          <w:szCs w:val="20"/>
          <w:color w:val="auto"/>
        </w:rPr>
      </w:pPr>
    </w:p>
    <w:p>
      <w:pPr>
        <w:ind w:right="100" w:firstLine="562"/>
        <w:spacing w:after="0" w:line="226" w:lineRule="auto"/>
        <w:rPr>
          <w:sz w:val="20"/>
          <w:szCs w:val="20"/>
          <w:color w:val="auto"/>
        </w:rPr>
      </w:pPr>
      <w:r>
        <w:rPr>
          <w:rFonts w:ascii="Arial" w:cs="Arial" w:eastAsia="Arial" w:hAnsi="Arial"/>
          <w:sz w:val="14"/>
          <w:szCs w:val="14"/>
          <w:color w:val="auto"/>
        </w:rPr>
        <w:t>We have indebtedness outstanding pursuant to our Credit Facility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77"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As of September 30, 2016, we had outstanding borrowings of $232.9 million under our Credit Facility with a current interest rate of 2.57% exclusive of the fees on the undrawn commitment. To cover the annual interest on our borrowings of $232.9 million outstanding at September 30, 2016, at the weighted average annual rate of 2.57%, we would have to receive an annual yield of at least 0.98%.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67"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at September 30, 2016 of 37% of total assets (including such borrowed funds), at the current interest rate at the time of 2.57%,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3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6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8"/>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2"/>
        </w:trPr>
        <w:tc>
          <w:tcPr>
            <w:tcW w:w="548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3240" w:type="dxa"/>
            <w:vAlign w:val="bottom"/>
          </w:tcPr>
          <w:p>
            <w:pPr>
              <w:jc w:val="right"/>
              <w:ind w:right="68"/>
              <w:spacing w:after="0"/>
              <w:rPr>
                <w:sz w:val="20"/>
                <w:szCs w:val="20"/>
                <w:color w:val="auto"/>
              </w:rPr>
            </w:pPr>
            <w:r>
              <w:rPr>
                <w:rFonts w:ascii="Arial" w:cs="Arial" w:eastAsia="Arial" w:hAnsi="Arial"/>
                <w:sz w:val="14"/>
                <w:szCs w:val="14"/>
                <w:color w:val="auto"/>
              </w:rPr>
              <w:t>(18.4)%</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560" w:type="dxa"/>
            <w:vAlign w:val="bottom"/>
          </w:tcPr>
          <w:p>
            <w:pPr>
              <w:jc w:val="right"/>
              <w:spacing w:after="0"/>
              <w:rPr>
                <w:sz w:val="20"/>
                <w:szCs w:val="20"/>
                <w:color w:val="auto"/>
              </w:rPr>
            </w:pPr>
            <w:r>
              <w:rPr>
                <w:rFonts w:ascii="Arial" w:cs="Arial" w:eastAsia="Arial" w:hAnsi="Arial"/>
                <w:sz w:val="14"/>
                <w:szCs w:val="14"/>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16"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12"/>
          <w:szCs w:val="12"/>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560" w:right="20" w:hanging="552"/>
        <w:spacing w:after="0" w:line="255" w:lineRule="auto"/>
        <w:tabs>
          <w:tab w:leader="none" w:pos="560" w:val="left"/>
        </w:tabs>
        <w:numPr>
          <w:ilvl w:val="0"/>
          <w:numId w:val="21"/>
        </w:numPr>
        <w:rPr>
          <w:rFonts w:ascii="Arial" w:cs="Arial" w:eastAsia="Arial" w:hAnsi="Arial"/>
          <w:sz w:val="11"/>
          <w:szCs w:val="11"/>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96"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96" w:lineRule="exact"/>
        <w:rPr>
          <w:sz w:val="20"/>
          <w:szCs w:val="20"/>
          <w:color w:val="auto"/>
        </w:rPr>
      </w:pPr>
    </w:p>
    <w:p>
      <w:pPr>
        <w:jc w:val="both"/>
        <w:ind w:right="120" w:firstLine="562"/>
        <w:spacing w:after="0" w:line="238"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119"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Our Credit Facility expires in August 2020.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500"/>
        <w:spacing w:after="0" w:line="25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6"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interests in Funding I are subordinated.</w:t>
      </w:r>
    </w:p>
    <w:p>
      <w:pPr>
        <w:spacing w:after="0" w:line="96"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w:t>
      </w:r>
    </w:p>
    <w:p>
      <w:pPr>
        <w:spacing w:after="0" w:line="2" w:lineRule="exact"/>
        <w:rPr>
          <w:sz w:val="20"/>
          <w:szCs w:val="20"/>
          <w:color w:val="auto"/>
        </w:rPr>
      </w:pPr>
    </w:p>
    <w:p>
      <w:pPr>
        <w:ind w:right="220" w:firstLine="8"/>
        <w:spacing w:after="0" w:line="237" w:lineRule="auto"/>
        <w:tabs>
          <w:tab w:leader="none" w:pos="204"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75" w:lineRule="exact"/>
        <w:rPr>
          <w:sz w:val="20"/>
          <w:szCs w:val="20"/>
          <w:color w:val="auto"/>
        </w:rPr>
      </w:pPr>
    </w:p>
    <w:p>
      <w:pPr>
        <w:ind w:right="80" w:firstLine="562"/>
        <w:spacing w:after="0" w:line="264" w:lineRule="auto"/>
        <w:rPr>
          <w:sz w:val="20"/>
          <w:szCs w:val="20"/>
          <w:color w:val="auto"/>
        </w:rPr>
      </w:pPr>
      <w:r>
        <w:rPr>
          <w:rFonts w:ascii="Arial" w:cs="Arial" w:eastAsia="Arial" w:hAnsi="Arial"/>
          <w:sz w:val="13"/>
          <w:szCs w:val="13"/>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receive cash on our equity interests from Funding I.</w:t>
      </w:r>
    </w:p>
    <w:p>
      <w:pPr>
        <w:spacing w:after="0" w:line="96"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qualification as a RIC. We also could be forced to sell investments in portfolio companies at less than their fair value in order to continue making such distributions.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96" w:lineRule="exact"/>
        <w:rPr>
          <w:sz w:val="20"/>
          <w:szCs w:val="20"/>
          <w:color w:val="auto"/>
        </w:rPr>
      </w:pPr>
    </w:p>
    <w:p>
      <w:pPr>
        <w:ind w:right="60" w:firstLine="562"/>
        <w:spacing w:after="0" w:line="243"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w:t>
      </w:r>
    </w:p>
    <w:p>
      <w:pPr>
        <w:spacing w:after="0" w:line="77"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77"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76" w:lineRule="exact"/>
        <w:rPr>
          <w:sz w:val="20"/>
          <w:szCs w:val="20"/>
          <w:color w:val="auto"/>
        </w:rPr>
      </w:pPr>
    </w:p>
    <w:p>
      <w:pPr>
        <w:ind w:right="400" w:firstLine="562"/>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NAV and market value of our common stock may become more volatile.</w:t>
      </w:r>
    </w:p>
    <w:p>
      <w:pPr>
        <w:spacing w:after="0" w:line="96"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71"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ability to sell investments held by Funding I is limited.</w:t>
      </w:r>
    </w:p>
    <w:p>
      <w:pPr>
        <w:spacing w:after="0" w:line="96" w:lineRule="exact"/>
        <w:rPr>
          <w:sz w:val="20"/>
          <w:szCs w:val="20"/>
          <w:color w:val="auto"/>
        </w:rPr>
      </w:pPr>
    </w:p>
    <w:p>
      <w:pPr>
        <w:ind w:right="280" w:firstLine="562"/>
        <w:spacing w:after="0" w:line="253" w:lineRule="auto"/>
        <w:rPr>
          <w:sz w:val="20"/>
          <w:szCs w:val="20"/>
          <w:color w:val="auto"/>
        </w:rPr>
      </w:pPr>
      <w:r>
        <w:rPr>
          <w:rFonts w:ascii="Arial" w:cs="Arial" w:eastAsia="Arial" w:hAnsi="Arial"/>
          <w:sz w:val="14"/>
          <w:szCs w:val="14"/>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These factors include the following:</w:t>
      </w:r>
    </w:p>
    <w:p>
      <w:pPr>
        <w:spacing w:after="0" w:line="109" w:lineRule="exact"/>
        <w:rPr>
          <w:sz w:val="20"/>
          <w:szCs w:val="20"/>
          <w:color w:val="auto"/>
        </w:rPr>
      </w:pPr>
    </w:p>
    <w:p>
      <w:pPr>
        <w:ind w:left="1000" w:hanging="331"/>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or similar to these debt securities;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9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relating to debt redemption may have a material adverse effect on the return on any debt securities.</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96" w:lineRule="exact"/>
        <w:rPr>
          <w:sz w:val="20"/>
          <w:szCs w:val="20"/>
          <w:color w:val="auto"/>
        </w:rPr>
      </w:pPr>
    </w:p>
    <w:p>
      <w:pPr>
        <w:jc w:val="both"/>
        <w:ind w:right="120" w:firstLine="562"/>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96" w:lineRule="exact"/>
        <w:rPr>
          <w:sz w:val="20"/>
          <w:szCs w:val="20"/>
          <w:color w:val="auto"/>
        </w:rPr>
      </w:pPr>
    </w:p>
    <w:p>
      <w:pPr>
        <w:ind w:right="180" w:firstLine="562"/>
        <w:spacing w:after="0" w:line="251" w:lineRule="auto"/>
        <w:rPr>
          <w:sz w:val="20"/>
          <w:szCs w:val="20"/>
          <w:color w:val="auto"/>
        </w:rPr>
      </w:pPr>
      <w:r>
        <w:rPr>
          <w:rFonts w:ascii="Arial" w:cs="Arial" w:eastAsia="Arial" w:hAnsi="Arial"/>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or those of our portfolio companies may adversely affect our business.</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“Business—Regulation” for more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cybersecurity and cyber incidents.</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00"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71" w:lineRule="exact"/>
        <w:rPr>
          <w:sz w:val="20"/>
          <w:szCs w:val="20"/>
          <w:color w:val="auto"/>
        </w:rPr>
      </w:pPr>
    </w:p>
    <w:p>
      <w:pPr>
        <w:ind w:right="140" w:firstLine="562"/>
        <w:spacing w:after="0" w:line="248"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72" w:lineRule="exact"/>
        <w:rPr>
          <w:sz w:val="20"/>
          <w:szCs w:val="20"/>
          <w:color w:val="auto"/>
        </w:rPr>
      </w:pPr>
    </w:p>
    <w:p>
      <w:pPr>
        <w:ind w:right="80" w:firstLine="562"/>
        <w:spacing w:after="0" w:line="248" w:lineRule="auto"/>
        <w:rPr>
          <w:sz w:val="20"/>
          <w:szCs w:val="20"/>
          <w:color w:val="auto"/>
        </w:rPr>
      </w:pPr>
      <w:r>
        <w:rPr>
          <w:rFonts w:ascii="Arial" w:cs="Arial" w:eastAsia="Arial" w:hAnsi="Arial"/>
          <w:sz w:val="13"/>
          <w:szCs w:val="13"/>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96"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180" w:firstLine="562"/>
        <w:spacing w:after="0" w:line="264"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77"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over-the-counter securities, which have and may continue to face liquidity constraints, to provide us with liquidity.</w:t>
      </w:r>
    </w:p>
    <w:p>
      <w:pPr>
        <w:spacing w:after="0" w:line="96"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96" w:lineRule="exact"/>
        <w:rPr>
          <w:sz w:val="20"/>
          <w:szCs w:val="20"/>
          <w:color w:val="auto"/>
        </w:rPr>
      </w:pPr>
    </w:p>
    <w:p>
      <w:pPr>
        <w:ind w:right="620" w:firstLine="562"/>
        <w:spacing w:after="0" w:line="253" w:lineRule="auto"/>
        <w:rPr>
          <w:sz w:val="20"/>
          <w:szCs w:val="20"/>
          <w:color w:val="auto"/>
        </w:rPr>
      </w:pPr>
      <w:r>
        <w:rPr>
          <w:rFonts w:ascii="Arial" w:cs="Arial" w:eastAsia="Arial" w:hAnsi="Arial"/>
          <w:sz w:val="14"/>
          <w:szCs w:val="14"/>
          <w:color w:val="auto"/>
        </w:rPr>
        <w:t>We intend to invest primarily in Floating Rate Loans, which may consist of senior secured debt, mezzanine debt and selected equity investments issued by U.S. middle-market companies.</w:t>
      </w:r>
    </w:p>
    <w:p>
      <w:pPr>
        <w:spacing w:after="0" w:line="79" w:lineRule="exact"/>
        <w:rPr>
          <w:sz w:val="20"/>
          <w:szCs w:val="20"/>
          <w:color w:val="auto"/>
        </w:rPr>
      </w:pPr>
    </w:p>
    <w:p>
      <w:pPr>
        <w:ind w:left="1000" w:right="40" w:hanging="331"/>
        <w:spacing w:after="0" w:line="248"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Floating Rate Loans: </w:t>
      </w:r>
      <w:r>
        <w:rPr>
          <w:rFonts w:ascii="Arial" w:cs="Arial" w:eastAsia="Arial" w:hAnsi="Arial"/>
          <w:sz w:val="13"/>
          <w:szCs w:val="13"/>
          <w:color w:val="auto"/>
        </w:rPr>
        <w:t>The Floating Rate Loans we invest in are usually rated below investment grade or may also be unrated. Investments in Floating Rate Loans rated below</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investment-grade, variable-rate securities.</w:t>
      </w:r>
    </w:p>
    <w:p>
      <w:pPr>
        <w:spacing w:after="0" w:line="72" w:lineRule="exact"/>
        <w:rPr>
          <w:sz w:val="20"/>
          <w:szCs w:val="20"/>
          <w:color w:val="auto"/>
        </w:rPr>
      </w:pPr>
    </w:p>
    <w:p>
      <w:pPr>
        <w:ind w:left="1020" w:right="20"/>
        <w:spacing w:after="0" w:line="245" w:lineRule="auto"/>
        <w:rPr>
          <w:sz w:val="20"/>
          <w:szCs w:val="20"/>
          <w:color w:val="auto"/>
        </w:rPr>
      </w:pPr>
      <w:r>
        <w:rPr>
          <w:rFonts w:ascii="Arial" w:cs="Arial" w:eastAsia="Arial" w:hAnsi="Arial"/>
          <w:sz w:val="13"/>
          <w:szCs w:val="13"/>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75" w:lineRule="exact"/>
        <w:rPr>
          <w:sz w:val="20"/>
          <w:szCs w:val="20"/>
          <w:color w:val="auto"/>
        </w:rPr>
      </w:pPr>
    </w:p>
    <w:p>
      <w:pPr>
        <w:ind w:left="1020"/>
        <w:spacing w:after="0" w:line="244" w:lineRule="auto"/>
        <w:rPr>
          <w:sz w:val="20"/>
          <w:szCs w:val="20"/>
          <w:color w:val="auto"/>
        </w:rPr>
      </w:pPr>
      <w:r>
        <w:rPr>
          <w:rFonts w:ascii="Arial" w:cs="Arial" w:eastAsia="Arial" w:hAnsi="Arial"/>
          <w:sz w:val="13"/>
          <w:szCs w:val="13"/>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87" w:lineRule="exact"/>
        <w:rPr>
          <w:sz w:val="20"/>
          <w:szCs w:val="20"/>
          <w:color w:val="auto"/>
        </w:rPr>
      </w:pPr>
    </w:p>
    <w:p>
      <w:pPr>
        <w:ind w:left="1000" w:right="60" w:hanging="331"/>
        <w:spacing w:after="0" w:line="245" w:lineRule="auto"/>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Secured Debt: </w:t>
      </w:r>
      <w:r>
        <w:rPr>
          <w:rFonts w:ascii="Arial" w:cs="Arial" w:eastAsia="Arial" w:hAnsi="Arial"/>
          <w:sz w:val="13"/>
          <w:szCs w:val="13"/>
          <w:color w:val="auto"/>
        </w:rPr>
        <w:t>When we extend senior secured debt, which we define to include first lien debt, we will generally take a security interest in the available assets of these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senior secured debt investment is secured does not guarantee that we will receive principal and interest payments according to the loan’s terms, or at all, or that we will be able to collect on the loan should we be forced to enforce our remedies.</w:t>
      </w:r>
    </w:p>
    <w:p>
      <w:pPr>
        <w:spacing w:after="0" w:line="88" w:lineRule="exact"/>
        <w:rPr>
          <w:rFonts w:ascii="Arial" w:cs="Arial" w:eastAsia="Arial" w:hAnsi="Arial"/>
          <w:sz w:val="13"/>
          <w:szCs w:val="13"/>
          <w:color w:val="auto"/>
        </w:rPr>
      </w:pPr>
    </w:p>
    <w:p>
      <w:pPr>
        <w:ind w:left="1000" w:right="40" w:hanging="331"/>
        <w:spacing w:after="0" w:line="229" w:lineRule="auto"/>
        <w:tabs>
          <w:tab w:leader="none" w:pos="1000" w:val="left"/>
        </w:tabs>
        <w:numPr>
          <w:ilvl w:val="0"/>
          <w:numId w:val="2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Mezzanine Debt: </w:t>
      </w:r>
      <w:r>
        <w:rPr>
          <w:rFonts w:ascii="Arial" w:cs="Arial" w:eastAsia="Arial" w:hAnsi="Arial"/>
          <w:sz w:val="14"/>
          <w:szCs w:val="14"/>
          <w:color w:val="auto"/>
        </w:rPr>
        <w:t>Our mezzanine debt investments, which we define to include second lien secured and subordinated debt, will generally be subordinated to senior secured debt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40" w:hanging="331"/>
        <w:spacing w:after="0" w:line="247"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senior secured debt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on gains or dividends available for distributions to our stockholders.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09" w:lineRule="exact"/>
        <w:rPr>
          <w:sz w:val="20"/>
          <w:szCs w:val="20"/>
          <w:color w:val="auto"/>
        </w:rPr>
      </w:pPr>
    </w:p>
    <w:p>
      <w:pPr>
        <w:ind w:left="1000" w:right="420" w:hanging="331"/>
        <w:spacing w:after="0" w:line="238" w:lineRule="auto"/>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8" w:lineRule="exact"/>
        <w:rPr>
          <w:rFonts w:ascii="Arial" w:cs="Arial" w:eastAsia="Arial" w:hAnsi="Arial"/>
          <w:sz w:val="14"/>
          <w:szCs w:val="14"/>
          <w:color w:val="auto"/>
        </w:rPr>
      </w:pPr>
    </w:p>
    <w:p>
      <w:pPr>
        <w:ind w:left="1000" w:right="100" w:hanging="331"/>
        <w:spacing w:after="0" w:line="238" w:lineRule="auto"/>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88" w:lineRule="exact"/>
        <w:rPr>
          <w:rFonts w:ascii="Arial" w:cs="Arial" w:eastAsia="Arial" w:hAnsi="Arial"/>
          <w:sz w:val="14"/>
          <w:szCs w:val="14"/>
          <w:color w:val="auto"/>
        </w:rPr>
      </w:pPr>
    </w:p>
    <w:p>
      <w:pPr>
        <w:ind w:left="1000" w:right="240" w:hanging="331"/>
        <w:spacing w:after="0" w:line="253" w:lineRule="auto"/>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9" w:lineRule="exact"/>
        <w:rPr>
          <w:rFonts w:ascii="Arial" w:cs="Arial" w:eastAsia="Arial" w:hAnsi="Arial"/>
          <w:sz w:val="14"/>
          <w:szCs w:val="14"/>
          <w:color w:val="auto"/>
        </w:rPr>
      </w:pPr>
    </w:p>
    <w:p>
      <w:pPr>
        <w:ind w:left="1000" w:right="120" w:hanging="331"/>
        <w:spacing w:after="0" w:line="233" w:lineRule="auto"/>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0" w:lineRule="exact"/>
        <w:rPr>
          <w:rFonts w:ascii="Arial" w:cs="Arial" w:eastAsia="Arial" w:hAnsi="Arial"/>
          <w:sz w:val="14"/>
          <w:szCs w:val="14"/>
          <w:color w:val="auto"/>
        </w:rPr>
      </w:pPr>
    </w:p>
    <w:p>
      <w:pPr>
        <w:ind w:left="1000" w:right="300" w:hanging="331"/>
        <w:spacing w:after="0" w:line="253" w:lineRule="auto"/>
        <w:tabs>
          <w:tab w:leader="none" w:pos="1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refinance their outstanding indebtedness upon maturity.</w:t>
      </w:r>
    </w:p>
    <w:p>
      <w:pPr>
        <w:spacing w:after="0" w:line="66"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spacing w:after="0" w:line="6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77"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6"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96"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76" w:lineRule="exact"/>
        <w:rPr>
          <w:sz w:val="20"/>
          <w:szCs w:val="20"/>
          <w:color w:val="auto"/>
        </w:rPr>
      </w:pPr>
    </w:p>
    <w:p>
      <w:pPr>
        <w:ind w:right="40" w:firstLine="562"/>
        <w:spacing w:after="0" w:line="248"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109" w:lineRule="exact"/>
        <w:rPr>
          <w:sz w:val="20"/>
          <w:szCs w:val="20"/>
          <w:color w:val="auto"/>
        </w:rPr>
      </w:pPr>
    </w:p>
    <w:p>
      <w:pPr>
        <w:ind w:left="1000" w:hanging="331"/>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hanging="331"/>
        <w:spacing w:after="0"/>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76"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6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77" w:lineRule="exact"/>
        <w:rPr>
          <w:sz w:val="20"/>
          <w:szCs w:val="20"/>
          <w:color w:val="auto"/>
        </w:rPr>
      </w:pPr>
    </w:p>
    <w:p>
      <w:pPr>
        <w:ind w:right="380"/>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20"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 and our portfolio companies may be highly leveraged.</w:t>
      </w:r>
    </w:p>
    <w:p>
      <w:pPr>
        <w:spacing w:after="0" w:line="9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9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71" w:lineRule="exact"/>
        <w:rPr>
          <w:sz w:val="20"/>
          <w:szCs w:val="20"/>
          <w:color w:val="auto"/>
        </w:rPr>
      </w:pPr>
    </w:p>
    <w:p>
      <w:pPr>
        <w:jc w:val="both"/>
        <w:ind w:right="20" w:firstLine="562"/>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96" w:lineRule="exact"/>
        <w:rPr>
          <w:sz w:val="20"/>
          <w:szCs w:val="20"/>
          <w:color w:val="auto"/>
        </w:rPr>
      </w:pPr>
    </w:p>
    <w:p>
      <w:pPr>
        <w:ind w:firstLine="562"/>
        <w:spacing w:after="0" w:line="227"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96"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07"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9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77" w:lineRule="exact"/>
        <w:rPr>
          <w:sz w:val="20"/>
          <w:szCs w:val="20"/>
          <w:color w:val="auto"/>
        </w:rPr>
      </w:pPr>
    </w:p>
    <w:p>
      <w:pPr>
        <w:ind w:right="40" w:firstLine="562"/>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96" w:lineRule="exact"/>
        <w:rPr>
          <w:sz w:val="20"/>
          <w:szCs w:val="20"/>
          <w:color w:val="auto"/>
        </w:rPr>
      </w:pPr>
    </w:p>
    <w:p>
      <w:pPr>
        <w:ind w:right="20" w:firstLine="562"/>
        <w:spacing w:after="0" w:line="277"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75"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75"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77" w:lineRule="exact"/>
        <w:rPr>
          <w:sz w:val="20"/>
          <w:szCs w:val="20"/>
          <w:color w:val="auto"/>
        </w:rPr>
      </w:pPr>
    </w:p>
    <w:p>
      <w:pPr>
        <w:jc w:val="both"/>
        <w:ind w:right="300" w:firstLine="562"/>
        <w:spacing w:after="0" w:line="244" w:lineRule="auto"/>
        <w:rPr>
          <w:sz w:val="20"/>
          <w:szCs w:val="20"/>
          <w:color w:val="auto"/>
        </w:rPr>
      </w:pPr>
      <w:r>
        <w:rPr>
          <w:rFonts w:ascii="Arial" w:cs="Arial" w:eastAsia="Arial" w:hAnsi="Arial"/>
          <w:sz w:val="13"/>
          <w:szCs w:val="13"/>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w:t>
      </w:r>
    </w:p>
    <w:p>
      <w:pPr>
        <w:spacing w:after="0" w:line="2" w:lineRule="exact"/>
        <w:rPr>
          <w:sz w:val="20"/>
          <w:szCs w:val="20"/>
          <w:color w:val="auto"/>
        </w:rPr>
      </w:pPr>
    </w:p>
    <w:p>
      <w:pPr>
        <w:ind w:right="100"/>
        <w:spacing w:after="0" w:line="232" w:lineRule="auto"/>
        <w:rPr>
          <w:sz w:val="20"/>
          <w:szCs w:val="20"/>
          <w:color w:val="auto"/>
        </w:rPr>
      </w:pPr>
      <w:r>
        <w:rPr>
          <w:rFonts w:ascii="Arial" w:cs="Arial" w:eastAsia="Arial" w:hAnsi="Arial"/>
          <w:sz w:val="14"/>
          <w:szCs w:val="14"/>
          <w:color w:val="auto"/>
        </w:rPr>
        <w:t>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40" w:firstLine="562"/>
        <w:spacing w:after="0" w:line="248" w:lineRule="auto"/>
        <w:rPr>
          <w:sz w:val="20"/>
          <w:szCs w:val="20"/>
          <w:color w:val="auto"/>
        </w:rPr>
      </w:pPr>
      <w:r>
        <w:rPr>
          <w:rFonts w:ascii="Arial" w:cs="Arial" w:eastAsia="Arial" w:hAnsi="Arial"/>
          <w:sz w:val="13"/>
          <w:szCs w:val="13"/>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96" w:lineRule="exact"/>
        <w:rPr>
          <w:sz w:val="20"/>
          <w:szCs w:val="20"/>
          <w:color w:val="auto"/>
        </w:rPr>
      </w:pPr>
    </w:p>
    <w:p>
      <w:pPr>
        <w:ind w:right="100" w:firstLine="562"/>
        <w:spacing w:after="0" w:line="290"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96" w:lineRule="exact"/>
        <w:rPr>
          <w:sz w:val="20"/>
          <w:szCs w:val="20"/>
          <w:color w:val="auto"/>
        </w:rPr>
      </w:pPr>
    </w:p>
    <w:p>
      <w:pPr>
        <w:ind w:right="420" w:firstLine="562"/>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9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96" w:lineRule="exact"/>
        <w:rPr>
          <w:sz w:val="20"/>
          <w:szCs w:val="20"/>
          <w:color w:val="auto"/>
        </w:rPr>
      </w:pPr>
    </w:p>
    <w:p>
      <w:pPr>
        <w:ind w:right="260" w:firstLine="562"/>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$13.23 and $11.94 on September 30, 2016 and 2015, respectively. Our NAV per share was $14.06 and $13.95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96" w:lineRule="exact"/>
        <w:rPr>
          <w:sz w:val="20"/>
          <w:szCs w:val="20"/>
          <w:color w:val="auto"/>
        </w:rPr>
      </w:pPr>
    </w:p>
    <w:p>
      <w:pPr>
        <w:ind w:right="160" w:firstLine="562"/>
        <w:spacing w:after="0" w:line="25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9" w:lineRule="exact"/>
        <w:rPr>
          <w:sz w:val="20"/>
          <w:szCs w:val="20"/>
          <w:color w:val="auto"/>
        </w:rPr>
      </w:pPr>
    </w:p>
    <w:p>
      <w:pPr>
        <w:ind w:left="1000" w:right="740" w:hanging="331"/>
        <w:spacing w:after="0" w:line="253" w:lineRule="auto"/>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7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loss of our BDC or RIC status;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prevailing interest rates;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general national and international economic trends and other external factors;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general price and volume fluctuations in the stock markets, including as a result of short sales;</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109" w:lineRule="exact"/>
        <w:rPr>
          <w:rFonts w:ascii="Arial" w:cs="Arial" w:eastAsia="Arial" w:hAnsi="Arial"/>
          <w:sz w:val="14"/>
          <w:szCs w:val="14"/>
          <w:color w:val="auto"/>
        </w:rPr>
      </w:pPr>
    </w:p>
    <w:p>
      <w:pPr>
        <w:ind w:left="1000" w:hanging="331"/>
        <w:spacing w:after="0"/>
        <w:tabs>
          <w:tab w:leader="none" w:pos="1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9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96"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07"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69"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7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00" w:lineRule="exact"/>
        <w:rPr>
          <w:sz w:val="20"/>
          <w:szCs w:val="20"/>
          <w:color w:val="auto"/>
        </w:rPr>
      </w:pPr>
    </w:p>
    <w:p>
      <w:pPr>
        <w:jc w:val="center"/>
        <w:ind w:right="974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00" w:lineRule="exact"/>
        <w:rPr>
          <w:sz w:val="20"/>
          <w:szCs w:val="20"/>
          <w:color w:val="auto"/>
        </w:rPr>
      </w:pPr>
    </w:p>
    <w:p>
      <w:pPr>
        <w:ind w:right="420" w:firstLine="562"/>
        <w:spacing w:after="0" w:line="253" w:lineRule="auto"/>
        <w:rPr>
          <w:sz w:val="20"/>
          <w:szCs w:val="20"/>
          <w:color w:val="auto"/>
        </w:rPr>
      </w:pPr>
      <w:r>
        <w:rPr>
          <w:rFonts w:ascii="Arial" w:cs="Arial" w:eastAsia="Arial" w:hAnsi="Arial"/>
          <w:sz w:val="14"/>
          <w:szCs w:val="14"/>
          <w:color w:val="auto"/>
        </w:rPr>
        <w:t>As of September 30, 2016,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MCG was a party to certain legal proceedings incidental to the normal course of its business, including the enforcement of its rights under contracts with its portfolio companies. We inherited this litigation upon the closing of our acquisition of MCG. While the outcome of these and any future legal proceedings cannot be predicted with certainty, we do not expect that these proceedings will have a material effect upon our financial condition or results of operations, although we cannot assure you that amounts received in settlement may not be requested to be returned or that we may not be found liable in any such litigation.</w:t>
      </w:r>
    </w:p>
    <w:p>
      <w:pPr>
        <w:spacing w:after="0" w:line="82"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208"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prices for our common stock, the closing sale prices as a premium or (discount) to our NAV per share and distributions declared per share since October 1,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Premium /</w:t>
            </w: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Premium /</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(Discount)</w:t>
            </w: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(Discount)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gridSpan w:val="5"/>
          </w:tcPr>
          <w:p>
            <w:pPr>
              <w:ind w:left="100"/>
              <w:spacing w:after="0"/>
              <w:rPr>
                <w:sz w:val="20"/>
                <w:szCs w:val="20"/>
                <w:color w:val="auto"/>
              </w:rPr>
            </w:pPr>
            <w:r>
              <w:rPr>
                <w:rFonts w:ascii="Arial" w:cs="Arial" w:eastAsia="Arial" w:hAnsi="Arial"/>
                <w:sz w:val="14"/>
                <w:szCs w:val="14"/>
                <w:b w:val="1"/>
                <w:bCs w:val="1"/>
                <w:color w:val="auto"/>
              </w:rPr>
              <w:t>Closing Sale Prices</w:t>
            </w: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of High Sale</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of Low Sale</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6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High</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2"/>
                <w:szCs w:val="12"/>
                <w:color w:val="auto"/>
              </w:rPr>
            </w:pPr>
          </w:p>
        </w:tc>
        <w:tc>
          <w:tcPr>
            <w:tcW w:w="15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44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42"/>
        </w:trPr>
        <w:tc>
          <w:tcPr>
            <w:tcW w:w="45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Ended September 30, 2016</w:t>
            </w:r>
          </w:p>
        </w:tc>
        <w:tc>
          <w:tcPr>
            <w:tcW w:w="2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Arial" w:cs="Arial" w:eastAsia="Arial" w:hAnsi="Arial"/>
                <w:sz w:val="14"/>
                <w:szCs w:val="14"/>
                <w:color w:val="auto"/>
              </w:rPr>
              <w:t>Fourth quarter</w:t>
            </w:r>
          </w:p>
        </w:tc>
        <w:tc>
          <w:tcPr>
            <w:tcW w:w="11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$ 14.06</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8"/>
              </w:rPr>
              <w:t>$ 13.26</w:t>
            </w: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  12.54</w:t>
            </w:r>
          </w:p>
        </w:tc>
        <w:tc>
          <w:tcPr>
            <w:tcW w:w="1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14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0.2850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11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13.75</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12.51</w:t>
            </w: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11.58</w:t>
            </w:r>
          </w:p>
        </w:tc>
        <w:tc>
          <w:tcPr>
            <w:tcW w:w="15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0.2850</w:t>
            </w: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Arial" w:cs="Arial" w:eastAsia="Arial" w:hAnsi="Arial"/>
                <w:sz w:val="14"/>
                <w:szCs w:val="14"/>
                <w:color w:val="auto"/>
              </w:rPr>
              <w:t>Second quarter</w:t>
            </w:r>
          </w:p>
        </w:tc>
        <w:tc>
          <w:tcPr>
            <w:tcW w:w="11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13.54</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11.70</w:t>
            </w: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10.09</w:t>
            </w:r>
          </w:p>
        </w:tc>
        <w:tc>
          <w:tcPr>
            <w:tcW w:w="15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(14)</w:t>
            </w: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0.2850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11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13.73</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12.42</w:t>
            </w: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10.79</w:t>
            </w:r>
          </w:p>
        </w:tc>
        <w:tc>
          <w:tcPr>
            <w:tcW w:w="15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0.2850</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b w:val="1"/>
                <w:bCs w:val="1"/>
                <w:color w:val="auto"/>
              </w:rPr>
              <w:t>Fiscal Year Ended September 30, 2015</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Fourth quarter</w:t>
            </w:r>
          </w:p>
        </w:tc>
        <w:tc>
          <w:tcPr>
            <w:tcW w:w="11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13.95</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14.30</w:t>
            </w: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11.35</w:t>
            </w:r>
          </w:p>
        </w:tc>
        <w:tc>
          <w:tcPr>
            <w:tcW w:w="15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0.2850</w:t>
            </w: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Arial" w:cs="Arial" w:eastAsia="Arial" w:hAnsi="Arial"/>
                <w:sz w:val="14"/>
                <w:szCs w:val="14"/>
                <w:color w:val="auto"/>
              </w:rPr>
              <w:t>Third quarter</w:t>
            </w:r>
          </w:p>
        </w:tc>
        <w:tc>
          <w:tcPr>
            <w:tcW w:w="11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14.33</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14.48</w:t>
            </w: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13.88</w:t>
            </w:r>
          </w:p>
        </w:tc>
        <w:tc>
          <w:tcPr>
            <w:tcW w:w="15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w:t>
            </w: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0.2850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11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14.30</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14.16</w:t>
            </w: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13.25</w:t>
            </w:r>
          </w:p>
        </w:tc>
        <w:tc>
          <w:tcPr>
            <w:tcW w:w="15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0.2750</w:t>
            </w:r>
          </w:p>
        </w:tc>
        <w:tc>
          <w:tcPr>
            <w:tcW w:w="0" w:type="dxa"/>
            <w:vAlign w:val="bottom"/>
          </w:tcPr>
          <w:p>
            <w:pPr>
              <w:spacing w:after="0"/>
              <w:rPr>
                <w:sz w:val="1"/>
                <w:szCs w:val="1"/>
                <w:color w:val="auto"/>
              </w:rPr>
            </w:pPr>
          </w:p>
        </w:tc>
      </w:tr>
      <w:tr>
        <w:trPr>
          <w:trHeight w:val="182"/>
        </w:trPr>
        <w:tc>
          <w:tcPr>
            <w:tcW w:w="4540" w:type="dxa"/>
            <w:vAlign w:val="bottom"/>
          </w:tcPr>
          <w:p>
            <w:pPr>
              <w:spacing w:after="0"/>
              <w:rPr>
                <w:sz w:val="20"/>
                <w:szCs w:val="20"/>
                <w:color w:val="auto"/>
              </w:rPr>
            </w:pPr>
            <w:r>
              <w:rPr>
                <w:rFonts w:ascii="Arial" w:cs="Arial" w:eastAsia="Arial" w:hAnsi="Arial"/>
                <w:sz w:val="14"/>
                <w:szCs w:val="14"/>
                <w:color w:val="auto"/>
              </w:rPr>
              <w:t>First quarter</w:t>
            </w:r>
          </w:p>
        </w:tc>
        <w:tc>
          <w:tcPr>
            <w:tcW w:w="1120" w:type="dxa"/>
            <w:vAlign w:val="bottom"/>
            <w:gridSpan w:val="3"/>
          </w:tcPr>
          <w:p>
            <w:pPr>
              <w:jc w:val="right"/>
              <w:ind w:right="380"/>
              <w:spacing w:after="0"/>
              <w:rPr>
                <w:sz w:val="20"/>
                <w:szCs w:val="20"/>
                <w:color w:val="auto"/>
              </w:rPr>
            </w:pPr>
            <w:r>
              <w:rPr>
                <w:rFonts w:ascii="Arial" w:cs="Arial" w:eastAsia="Arial" w:hAnsi="Arial"/>
                <w:sz w:val="14"/>
                <w:szCs w:val="14"/>
                <w:color w:val="auto"/>
              </w:rPr>
              <w:t>14.16</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14.23</w:t>
            </w:r>
          </w:p>
        </w:tc>
        <w:tc>
          <w:tcPr>
            <w:tcW w:w="1060" w:type="dxa"/>
            <w:vAlign w:val="bottom"/>
            <w:gridSpan w:val="3"/>
          </w:tcPr>
          <w:p>
            <w:pPr>
              <w:jc w:val="right"/>
              <w:ind w:right="380"/>
              <w:spacing w:after="0"/>
              <w:rPr>
                <w:sz w:val="20"/>
                <w:szCs w:val="20"/>
                <w:color w:val="auto"/>
              </w:rPr>
            </w:pPr>
            <w:r>
              <w:rPr>
                <w:rFonts w:ascii="Arial" w:cs="Arial" w:eastAsia="Arial" w:hAnsi="Arial"/>
                <w:sz w:val="14"/>
                <w:szCs w:val="14"/>
                <w:color w:val="auto"/>
              </w:rPr>
              <w:t>12.98</w:t>
            </w:r>
          </w:p>
        </w:tc>
        <w:tc>
          <w:tcPr>
            <w:tcW w:w="15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0.2700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17" w:lineRule="exact"/>
        <w:rPr>
          <w:sz w:val="20"/>
          <w:szCs w:val="20"/>
          <w:color w:val="auto"/>
        </w:rPr>
      </w:pPr>
    </w:p>
    <w:p>
      <w:pPr>
        <w:ind w:left="560" w:right="80" w:hanging="552"/>
        <w:spacing w:after="0" w:line="230" w:lineRule="auto"/>
        <w:tabs>
          <w:tab w:leader="none" w:pos="5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560" w:hanging="552"/>
        <w:spacing w:after="0"/>
        <w:tabs>
          <w:tab w:leader="none" w:pos="5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Calculated as the respective high or low closing sale prices less NAV per share, divided by the quarter-end NAV per share.</w:t>
      </w:r>
    </w:p>
    <w:p>
      <w:pPr>
        <w:spacing w:after="0" w:line="84"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$13.23 and $11.94 on September 30, 2016 and 2015, respectively. Our NAV per share was $14.06 and $13.95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22, 2016, we had 40 stockholders of record.</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did not engage in any sales of unregistered securities during the fiscal year ended September 30, 2016.</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DISTRIBUTIONS</w:t>
      </w:r>
    </w:p>
    <w:p>
      <w:pPr>
        <w:spacing w:after="0" w:line="208"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that we have declared on our common stock in the last two fiscal years.</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1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Payment Dates</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42"/>
        </w:trPr>
        <w:tc>
          <w:tcPr>
            <w:tcW w:w="6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Ended September 30, 2016</w:t>
            </w:r>
          </w:p>
        </w:tc>
        <w:tc>
          <w:tcPr>
            <w:tcW w:w="5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September 21, 2016</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October 3, 2016</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August 19, 2016</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September 1, 2016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July 20, 2016</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August 1, 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June 20, 2016</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July 1, 2016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May 20, 2016</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June 1, 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April 20, 2016</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May 2, 2016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March 18, 2016</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April 1, 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February 18, 2016</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March 1, 2016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January 20, 2016</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February 1, 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December 24, 2015</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January 4, 2016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November 19, 2015</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December 1, 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October 21, 2015</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November 2, 2015</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Fiscal Year Ended September 30, 2015</w:t>
            </w:r>
          </w:p>
        </w:tc>
        <w:tc>
          <w:tcPr>
            <w:tcW w:w="1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September 21, 2015</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October 1, 2015</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August 24, 2015</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September 1, 2015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July 22, 2015</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August 3, 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June 15, 2015</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July 1, 2015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May 20, 2015</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June 1, 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April 20, 2015</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May 1, 2015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March 20, 2015</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April 1, 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February 18, 2015</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March 2, 2015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January 21, 2015</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February 2, 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December 19, 2014</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January 2, 2015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November 19, 2014</w:t>
            </w:r>
          </w:p>
        </w:tc>
        <w:tc>
          <w:tcPr>
            <w:tcW w:w="1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December 1, 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October 22, 2014</w:t>
            </w:r>
          </w:p>
        </w:tc>
        <w:tc>
          <w:tcPr>
            <w:tcW w:w="1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November 3, 2014</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In January 2017, a Form 1099-DIV will be sent to stockholders subject to information reporting that will state the amount and composition of distributions and provide information with respect to appropriate tax treatment of our distributions.</w:t>
      </w:r>
    </w:p>
    <w:p>
      <w:pPr>
        <w:spacing w:after="0" w:line="66" w:lineRule="exact"/>
        <w:rPr>
          <w:sz w:val="20"/>
          <w:szCs w:val="20"/>
          <w:color w:val="auto"/>
        </w:rPr>
      </w:pPr>
    </w:p>
    <w:p>
      <w:pPr>
        <w:ind w:right="220" w:firstLine="562"/>
        <w:spacing w:after="0" w:line="264" w:lineRule="auto"/>
        <w:rPr>
          <w:sz w:val="20"/>
          <w:szCs w:val="20"/>
          <w:color w:val="auto"/>
        </w:rPr>
      </w:pPr>
      <w:r>
        <w:rPr>
          <w:rFonts w:ascii="Arial" w:cs="Arial" w:eastAsia="Arial" w:hAnsi="Arial"/>
          <w:sz w:val="13"/>
          <w:szCs w:val="13"/>
          <w:color w:val="auto"/>
        </w:rPr>
        <w:t>The tax characteristics of distributions declared, in accordance with Section 19(a) of the 1940 Act, during the fiscal years ended September 30, 2016 and 2015 from ordinary income (including short-term gains) totaled $30.5 million and $17.2 million, or $1.14 and $1.06 per share, respectively, based on the weighted average shares outstanding for the respective periods. Additionally, for the fiscal year ended September 30, 2015, we had long-term capital gain distributions of $1.7 million, or $0.10 per share, based on the weighted average shares outstanding.</w:t>
      </w:r>
    </w:p>
    <w:p>
      <w:pPr>
        <w:spacing w:after="0" w:line="60" w:lineRule="exact"/>
        <w:rPr>
          <w:sz w:val="20"/>
          <w:szCs w:val="20"/>
          <w:color w:val="auto"/>
        </w:rPr>
      </w:pPr>
    </w:p>
    <w:p>
      <w:pPr>
        <w:ind w:right="60" w:firstLine="562"/>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44"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tax status. We cannot assure stockholders that they will receive any distributions or distributions at a particular level.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00"/>
          </w:cols>
          <w:pgMar w:left="32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96" w:lineRule="exact"/>
        <w:rPr>
          <w:sz w:val="20"/>
          <w:szCs w:val="20"/>
          <w:color w:val="auto"/>
        </w:rPr>
      </w:pPr>
    </w:p>
    <w:p>
      <w:pPr>
        <w:jc w:val="both"/>
        <w:ind w:right="80" w:firstLine="562"/>
        <w:spacing w:after="0" w:line="264" w:lineRule="auto"/>
        <w:rPr>
          <w:sz w:val="20"/>
          <w:szCs w:val="20"/>
          <w:color w:val="auto"/>
        </w:rPr>
      </w:pPr>
      <w:r>
        <w:rPr>
          <w:rFonts w:ascii="Arial" w:cs="Arial" w:eastAsia="Arial" w:hAnsi="Arial"/>
          <w:sz w:val="13"/>
          <w:szCs w:val="13"/>
          <w:color w:val="auto"/>
        </w:rPr>
        <w:t>This graph compares the return on our common stock with that of the Standard &amp; Poor’s 500 Stock Index and the Russell 2000 Financial Services Index, for the last five fiscal years. The graph assumes that, on September 30, 2011,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135890</wp:posOffset>
            </wp:positionV>
            <wp:extent cx="5400675" cy="31203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0067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562"/>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00"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We have derived the data below from our audited and unaudited financial data. The Consolidated Statement of Operations data, per share data and Consolidated Statement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w w:val="94"/>
              </w:rPr>
              <w:t>For the years ended September 30,</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54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68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6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6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128"/>
        </w:trPr>
        <w:tc>
          <w:tcPr>
            <w:tcW w:w="69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r>
      <w:tr>
        <w:trPr>
          <w:trHeight w:val="149"/>
        </w:trPr>
        <w:tc>
          <w:tcPr>
            <w:tcW w:w="698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income</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$ 46,301</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$ 30,355</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$ 30,357</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$ 18,867</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$ 12,099</w:t>
            </w: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18,965</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12,695</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13,721</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8,344</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5,789</w:t>
            </w: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27,336</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17,660</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16,636</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10,523</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6,310</w:t>
            </w: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6,153</w:t>
            </w:r>
          </w:p>
        </w:tc>
        <w:tc>
          <w:tcPr>
            <w:tcW w:w="9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(5,156)</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3,878</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1,461</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5,651</w:t>
            </w: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33,489</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12,504</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20,514</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11,985</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11,961</w:t>
            </w:r>
          </w:p>
        </w:tc>
      </w:tr>
      <w:tr>
        <w:trPr>
          <w:trHeight w:val="149"/>
        </w:trPr>
        <w:tc>
          <w:tcPr>
            <w:tcW w:w="6980" w:type="dxa"/>
            <w:vAlign w:val="bottom"/>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14.06</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13.95</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14.40</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14.10</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13.98</w:t>
            </w: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1.08</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1.12</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0.92</w:t>
            </w: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0.23</w:t>
            </w:r>
          </w:p>
        </w:tc>
        <w:tc>
          <w:tcPr>
            <w:tcW w:w="9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(0.31)</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0.26</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0.15</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0.83</w:t>
            </w: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0.77</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1.38</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1.25</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1.75</w:t>
            </w:r>
          </w:p>
        </w:tc>
      </w:tr>
      <w:tr>
        <w:trPr>
          <w:trHeight w:val="149"/>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Distributions declared </w:t>
            </w:r>
            <w:r>
              <w:rPr>
                <w:rFonts w:ascii="Arial" w:cs="Arial" w:eastAsia="Arial" w:hAnsi="Arial"/>
                <w:sz w:val="12"/>
                <w:szCs w:val="12"/>
                <w:color w:val="auto"/>
              </w:rPr>
              <w:t>(1), (2)</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1.08</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0.91</w:t>
            </w: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Assets and Liabilities data:</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631,420</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416,120</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372,874</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328,802</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178,367</w:t>
            </w: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Total investment portfolio</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598,888</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391,312</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348,428</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317,804</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171,834</w:t>
            </w: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Credit Facility payable </w:t>
            </w:r>
            <w:r>
              <w:rPr>
                <w:rFonts w:ascii="Arial" w:cs="Arial" w:eastAsia="Arial" w:hAnsi="Arial"/>
                <w:sz w:val="12"/>
                <w:szCs w:val="12"/>
                <w:color w:val="auto"/>
              </w:rPr>
              <w:t>(3)</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232,389</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29,600</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146,949</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99,600</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75,123</w:t>
            </w:r>
          </w:p>
        </w:tc>
      </w:tr>
      <w:tr>
        <w:trPr>
          <w:trHeight w:val="149"/>
        </w:trPr>
        <w:tc>
          <w:tcPr>
            <w:tcW w:w="698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375,907</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372,890</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214,528</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210,066</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95,744</w:t>
            </w: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980" w:type="dxa"/>
            <w:vAlign w:val="bottom"/>
          </w:tcPr>
          <w:p>
            <w:pPr>
              <w:spacing w:after="0" w:line="149"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(4)</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21.77%</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(6.01)%</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8.05%</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17.17%</w:t>
            </w: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29.43%</w:t>
            </w:r>
          </w:p>
        </w:tc>
      </w:tr>
      <w:tr>
        <w:trPr>
          <w:trHeight w:val="148"/>
        </w:trPr>
        <w:tc>
          <w:tcPr>
            <w:tcW w:w="6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Number of portfolio companies </w:t>
            </w:r>
            <w:r>
              <w:rPr>
                <w:rFonts w:ascii="Arial" w:cs="Arial" w:eastAsia="Arial" w:hAnsi="Arial"/>
                <w:sz w:val="12"/>
                <w:szCs w:val="12"/>
                <w:color w:val="auto"/>
              </w:rPr>
              <w:t>(5)</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w:t>
            </w:r>
          </w:p>
        </w:tc>
      </w:tr>
      <w:tr>
        <w:trPr>
          <w:trHeight w:val="182"/>
        </w:trPr>
        <w:tc>
          <w:tcPr>
            <w:tcW w:w="698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12"/>
                <w:szCs w:val="12"/>
                <w:color w:val="auto"/>
              </w:rPr>
              <w:t>(5)</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7.8%</w:t>
            </w: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7.9%</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8.2%</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8.1%</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16" w:lineRule="exact"/>
        <w:rPr>
          <w:sz w:val="20"/>
          <w:szCs w:val="20"/>
          <w:color w:val="auto"/>
        </w:rPr>
      </w:pPr>
    </w:p>
    <w:p>
      <w:pPr>
        <w:ind w:left="560" w:hanging="552"/>
        <w:spacing w:after="0"/>
        <w:tabs>
          <w:tab w:leader="none" w:pos="5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560" w:right="100" w:hanging="552"/>
        <w:spacing w:after="0" w:line="221" w:lineRule="auto"/>
        <w:tabs>
          <w:tab w:leader="none" w:pos="5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tax status of our distributions is calculated in accordance with income tax regulations, which may differ from amounts determined under GAAP and is reported on Form 1099-DIV each calendar year.</w:t>
      </w:r>
    </w:p>
    <w:p>
      <w:pPr>
        <w:ind w:left="560" w:hanging="552"/>
        <w:spacing w:after="0" w:line="221" w:lineRule="auto"/>
        <w:tabs>
          <w:tab w:leader="none" w:pos="5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At fair value.</w:t>
      </w:r>
    </w:p>
    <w:p>
      <w:pPr>
        <w:ind w:left="560" w:hanging="552"/>
        <w:spacing w:after="0" w:line="221" w:lineRule="auto"/>
        <w:tabs>
          <w:tab w:leader="none" w:pos="5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560" w:hanging="552"/>
        <w:spacing w:after="0"/>
        <w:tabs>
          <w:tab w:leader="none" w:pos="560" w:val="left"/>
        </w:tabs>
        <w:numPr>
          <w:ilvl w:val="0"/>
          <w:numId w:val="32"/>
        </w:numPr>
        <w:rPr>
          <w:rFonts w:ascii="Arial" w:cs="Arial" w:eastAsia="Arial" w:hAnsi="Arial"/>
          <w:sz w:val="12"/>
          <w:szCs w:val="12"/>
          <w:color w:val="auto"/>
        </w:rPr>
      </w:pPr>
      <w:r>
        <w:rPr>
          <w:rFonts w:ascii="Arial" w:cs="Arial" w:eastAsia="Arial" w:hAnsi="Arial"/>
          <w:sz w:val="14"/>
          <w:szCs w:val="14"/>
          <w:color w:val="auto"/>
        </w:rPr>
        <w:t>Unaudited, at year end.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00" w:lineRule="exact"/>
        <w:rPr>
          <w:sz w:val="20"/>
          <w:szCs w:val="20"/>
          <w:color w:val="auto"/>
        </w:rPr>
      </w:pPr>
    </w:p>
    <w:p>
      <w:pPr>
        <w:jc w:val="both"/>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90" w:lineRule="exact"/>
        <w:rPr>
          <w:sz w:val="20"/>
          <w:szCs w:val="20"/>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ability of the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75"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42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6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1" w:lineRule="exact"/>
        <w:rPr>
          <w:sz w:val="20"/>
          <w:szCs w:val="20"/>
          <w:color w:val="auto"/>
        </w:rPr>
      </w:pPr>
    </w:p>
    <w:p>
      <w:pPr>
        <w:ind w:right="200" w:firstLine="562"/>
        <w:spacing w:after="0" w:line="23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second-lien, high yield, mezzanine and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00"/>
        <w:spacing w:after="0" w:line="253" w:lineRule="auto"/>
        <w:rPr>
          <w:sz w:val="20"/>
          <w:szCs w:val="20"/>
          <w:color w:val="auto"/>
        </w:rPr>
      </w:pPr>
      <w:r>
        <w:rPr>
          <w:rFonts w:ascii="Arial" w:cs="Arial" w:eastAsia="Arial" w:hAnsi="Arial"/>
          <w:sz w:val="14"/>
          <w:szCs w:val="14"/>
          <w:color w:val="auto"/>
        </w:rPr>
        <w:t>distressed debt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6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96" w:lineRule="exact"/>
        <w:rPr>
          <w:sz w:val="20"/>
          <w:szCs w:val="20"/>
          <w:color w:val="auto"/>
        </w:rPr>
      </w:pPr>
    </w:p>
    <w:p>
      <w:pPr>
        <w:ind w:right="20" w:firstLine="562"/>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44"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77"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In August 2015, we completed the acquisition of MCG pursuant to the Merger Agreement. As a result of the transactions contemplated by the Merger Agreement, MCG was merged with and into PFLT Panama, LLC with MCG as the surviving corporation, following which MCG was merged with and into PFLT Funding II, LLC with PFLT Funding II, LLC as the surviving company.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60" w:firstLine="562"/>
        <w:spacing w:after="0" w:line="227"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as interest income. We record prepayment penalties on loans and debt securities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90" w:lineRule="exact"/>
        <w:rPr>
          <w:sz w:val="20"/>
          <w:szCs w:val="20"/>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09"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LIBOR or prime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69"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69"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For the fiscal year ended September 30, 2016, we invested $364.4 million of investments in 37 new and 25 existing portfolio companies with a weighted average yield on debt investments of 7.8%. Sales and repayments of investments for the year ended September 30, 2016 totaled $164.2 million.</w:t>
      </w:r>
    </w:p>
    <w:p>
      <w:pPr>
        <w:spacing w:after="0" w:line="66"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For the fiscal year ended September 30, 2015, we invested $224.2 million of investments in 32 new and 34 existing portfolio companies with a weighted average yield on debt investments of 7.7%. Sales and repayments of investments for the year ended September 30, 2015 totaled $195.0 million.</w:t>
      </w:r>
    </w:p>
    <w:p>
      <w:pPr>
        <w:spacing w:after="0" w:line="66"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For the fiscal year ended September 30, 2014, we invested $248.1 million of investments in 36 new and 33 existing portfolio companies with a weighted average yield on debt investments of 8.2%. Sales and repayments of investments for the year ended September 30, 2014 totaled $225.6 million.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880" w:right="60" w:hanging="319"/>
        <w:spacing w:after="0" w:line="253" w:lineRule="auto"/>
        <w:tabs>
          <w:tab w:leader="none" w:pos="8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880" w:right="100" w:hanging="319"/>
        <w:spacing w:after="0" w:line="264" w:lineRule="auto"/>
        <w:tabs>
          <w:tab w:leader="none" w:pos="8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40" w:hanging="319"/>
        <w:spacing w:after="0" w:line="238" w:lineRule="auto"/>
        <w:tabs>
          <w:tab w:leader="none" w:pos="8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260" w:firstLine="562"/>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740"/>
        <w:spacing w:after="0"/>
        <w:tabs>
          <w:tab w:leader="none" w:pos="16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640" w:right="800" w:hanging="890"/>
        <w:spacing w:after="0" w:line="238" w:lineRule="auto"/>
        <w:tabs>
          <w:tab w:leader="none" w:pos="16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640" w:right="840" w:hanging="890"/>
        <w:spacing w:after="0" w:line="253" w:lineRule="auto"/>
        <w:tabs>
          <w:tab w:leader="none" w:pos="16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jc w:val="both"/>
        <w:ind w:right="28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40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right="20" w:firstLine="562"/>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2016, 2015 and 2014, our Credit Facility had a net change in unrealized depreciation (appreciation) of $0.5 million,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8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 of our portfolio investments and Credit Facility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940" w:hanging="146"/>
        <w:spacing w:after="0"/>
        <w:tabs>
          <w:tab w:leader="none" w:pos="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940" w:hanging="146"/>
        <w:spacing w:after="0"/>
        <w:tabs>
          <w:tab w:leader="none" w:pos="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67" w:lineRule="exact"/>
        <w:rPr>
          <w:sz w:val="20"/>
          <w:szCs w:val="20"/>
          <w:color w:val="auto"/>
        </w:rPr>
      </w:pPr>
    </w:p>
    <w:p>
      <w:pPr>
        <w:ind w:right="80" w:firstLine="562"/>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to our stockholders in respect of each calendar year of an amount generally at least equal to the sum of (1) 98% of our net ordinary income for the calendar year, (2) 98.2% of the sum of our net capital gain income (i.e., the excess, if any, of capital gains over capital losses) for the one-year period ending on October 31 of the calendar year plus (3) the sum of any net ordinary income plus net capital gain income for preceding years that was not distributed during such years and on which we paid no federal income tax.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for federal income tax purposes, to provide us with additional liquidity.</w:t>
      </w:r>
    </w:p>
    <w:p>
      <w:pPr>
        <w:spacing w:after="0" w:line="77" w:lineRule="exact"/>
        <w:rPr>
          <w:sz w:val="20"/>
          <w:szCs w:val="20"/>
          <w:color w:val="auto"/>
        </w:rPr>
      </w:pPr>
    </w:p>
    <w:p>
      <w:pPr>
        <w:jc w:val="both"/>
        <w:ind w:right="60" w:firstLine="56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60"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or the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fiscal years ended September 30, 2016, 2015 and 2014.</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Investment income for the fiscal year ended September 30, 2016 was $46.3 million and was attributable to $36.4 million from senior secured debt, $6.1 million from second lien secured debt and $3.8 million from subordinated debt (including $3.3 million from settlement proceeds). The increase in investment income over the prior year was primarily due to the growth of our portfolio.</w:t>
      </w:r>
    </w:p>
    <w:p>
      <w:pPr>
        <w:spacing w:after="0" w:line="75"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Investment income for the fiscal year ended September 30, 2015 was $30.4 million and was attributable to $23.5 million from senior secured debt, $5.7 million from second lien secured debt and $1.2 million from subordinated debt. Investment income was relatively the same compared to the prior year due to investing in debt with lower yields.</w:t>
      </w:r>
    </w:p>
    <w:p>
      <w:pPr>
        <w:spacing w:after="0" w:line="6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Investment income for the fiscal year ended September 30, 2014 was $30.4 million and was attributable to $24.5 million from senior secured debt, $4.2 million from second lien secured debt and $1.7 million from subordinated debt.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Expenses for the fiscal year ended September 30, 2016 totaled $19.0 million. Base management fee for the same period totaled $5.0 million, incentive fee totaled $4.8 million (including $1.1 million on net unrealized gains accrued but not payable), Credit Facility expenses totaled $5.8 million (including $0.9 million of Credit Facility amendment expenses) and general and administrative expenses totaled $3.4 million. The increase in expenses over the prior year was primarily due to increases in base management and incentive fees as a result from the growth of our portfolio.</w:t>
      </w:r>
    </w:p>
    <w:p>
      <w:pPr>
        <w:spacing w:after="0" w:line="77"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Expenses for the fiscal year ended September 30, 2015 totaled $12.7 million. Base management fee for the same period totaled $3.6 million, incentive fee totaled $1.1 million (including $(0.4) million on net realized gains and $(0.7) million on net unrealized gains accrued but not payable), Credit Facility expenses totaled $5.6 million (including $2.3 million of Credit Facility amendment expenses), general and administrative expenses totaled $2.0 million and excise taxes were $0.4 million. The decrease in expenses over the prior year was primarily due to a reduction in the accrual of incentive fees offset by increased Credit Facility amendment costs.</w:t>
      </w:r>
    </w:p>
    <w:p>
      <w:pPr>
        <w:spacing w:after="0" w:line="77"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Expenses for the fiscal year ended September 30, 2014 totaled $13.7 million. Base management fee for the same period totaled $3.7 million, incentive fee totaled $3.5 million (including $0.1 million on net unrealized gains accrued but not payable), Credit Facility expenses totaled $4.2 million (including $0.7 million of Credit Facility amendment expenses), general and administrative expenses totaled $1.8 million and excise taxes were $0.5 million.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jc w:val="both"/>
        <w:ind w:right="140" w:firstLine="562"/>
        <w:spacing w:after="0" w:line="238" w:lineRule="auto"/>
        <w:rPr>
          <w:sz w:val="20"/>
          <w:szCs w:val="20"/>
          <w:color w:val="auto"/>
        </w:rPr>
      </w:pPr>
      <w:r>
        <w:rPr>
          <w:rFonts w:ascii="Arial" w:cs="Arial" w:eastAsia="Arial" w:hAnsi="Arial"/>
          <w:sz w:val="14"/>
          <w:szCs w:val="14"/>
          <w:color w:val="auto"/>
        </w:rPr>
        <w:t>Net investment income totaled $27.3 million or $1.02 per share, $17.7 million or $1.08 per share and $16.6 million or $1.12 per share, for the fiscal years ended September 30, 2016, 2015 and 2014, respectively. Although the net investment income increased, the net investment income per share for fiscal year ended September 30, 2016 decreased compared to the prior year primarily due to the issuance of new shares in connection with our acquisition of MCG in August 2015.</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Sales and repayments of investments for the fiscal years ended September 30, 2016, 2015 and 2014 totaled $164.2 million, $195.0 million and $225.6 million, respectively. Net realized (losses) gains totaled $(1.4) million, $0.4 million and $2.9 million for the same periods, respectively. Although the net investment income increased, the decrease in realized gains for fiscal year ended September 30, 2016 compared to the prior year was driven by changes in market conditions for our investments.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96"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For the fiscal years ended September 30, 2016, 2015 and 2014, we reported unrealized appreciation (depreciation) on investments of $7.0 million, $(6.1) million and $1.6 million, respectively. As of September 30, 2016 and 2015, net unrealized appreciation (depreciation) on investments totaled $1.0 million and $(6.0) million, respectively. The net change in unrealized appreciation (depreciation) on our investments for fiscal year ended September 30, 2016 compared to the prior year was driven primarily by changes in the capital market conditions, financial performance of certain portfolio companies, and the reversal of unrealized depreciation (appreciation) of investments sold.</w:t>
      </w:r>
    </w:p>
    <w:p>
      <w:pPr>
        <w:spacing w:after="0" w:line="77" w:lineRule="exact"/>
        <w:rPr>
          <w:sz w:val="20"/>
          <w:szCs w:val="20"/>
          <w:color w:val="auto"/>
        </w:rPr>
      </w:pPr>
    </w:p>
    <w:p>
      <w:pPr>
        <w:ind w:right="460" w:firstLine="562"/>
        <w:spacing w:after="0" w:line="238" w:lineRule="auto"/>
        <w:rPr>
          <w:sz w:val="20"/>
          <w:szCs w:val="20"/>
          <w:color w:val="auto"/>
        </w:rPr>
      </w:pPr>
      <w:r>
        <w:rPr>
          <w:rFonts w:ascii="Arial" w:cs="Arial" w:eastAsia="Arial" w:hAnsi="Arial"/>
          <w:sz w:val="14"/>
          <w:szCs w:val="14"/>
          <w:color w:val="auto"/>
        </w:rPr>
        <w:t>For the fiscal years ended September 30, 2016, 2015 and 2014, our Credit Facility had a change in unrealized depreciation (appreciation) of $0.5 million, $0.5 million and $(0.5) million, respectively. As of September 30, 2016 and 2015, net unrealized depreciation on our Credit Facility totaled $0.5 million and zero, respectively. The change for fiscal year ended September 30, 2016 compared to the prior year was due to changes in the capital markets.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Net change in net assets resulting from operations totaled $33.5 million or $1.25 per share, $12.5 million or $0.77 per share and $20.5 million or $1.38 per share, for the fiscal years ended September 30, 2016, 2015 and 2014, respectively. The increase in the net change in net assets from operations for fiscal year ended September 30, 2016 compared to the prior year reflects the change in portfolio investment valuation during the reporting period.</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75" w:lineRule="exact"/>
        <w:rPr>
          <w:sz w:val="20"/>
          <w:szCs w:val="20"/>
          <w:color w:val="auto"/>
        </w:rPr>
      </w:pPr>
    </w:p>
    <w:p>
      <w:pPr>
        <w:ind w:right="80" w:firstLine="562"/>
        <w:spacing w:after="0" w:line="262" w:lineRule="auto"/>
        <w:rPr>
          <w:sz w:val="20"/>
          <w:szCs w:val="20"/>
          <w:color w:val="auto"/>
        </w:rPr>
      </w:pPr>
      <w:r>
        <w:rPr>
          <w:rFonts w:ascii="Arial" w:cs="Arial" w:eastAsia="Arial" w:hAnsi="Arial"/>
          <w:sz w:val="12"/>
          <w:szCs w:val="12"/>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 0.375% and 0.75% as of September 30, 2016 and 2015, respectively. The annualized weighted average cost of debt for the fiscal years ended September 30, 2016, 2015 and 2014, inclusive of the fee on the undrawn commitment on the Credit Facility but excluding amendment costs, was 3.51%, 2.62% and</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2.35%, respectively. As of September 30, 2016 and 2015, we had $117.1 million and $260.4 million of unused borrowing capacity under our Credit Facility, respectively, subject to the regulatory restrictions.</w:t>
      </w:r>
    </w:p>
    <w:p>
      <w:pPr>
        <w:spacing w:after="0" w:line="75" w:lineRule="exact"/>
        <w:rPr>
          <w:sz w:val="20"/>
          <w:szCs w:val="20"/>
          <w:color w:val="auto"/>
        </w:rPr>
      </w:pPr>
    </w:p>
    <w:p>
      <w:pPr>
        <w:ind w:right="100" w:firstLine="562"/>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60"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7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75"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76"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2016, 2015 and 2014, we issued zero, 11.8 million and zero shares, respectively. As a result, we raised approximately zero, $164.7 million and zero dollars in gross proceeds from issuances of our equity capital.</w:t>
      </w:r>
    </w:p>
    <w:p>
      <w:pPr>
        <w:spacing w:after="0" w:line="7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On September 30, 2016 and 2015, we had cash equivalents of $28.9 million and $21.4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420" w:firstLine="562"/>
        <w:spacing w:after="0" w:line="290" w:lineRule="auto"/>
        <w:rPr>
          <w:sz w:val="20"/>
          <w:szCs w:val="20"/>
          <w:color w:val="auto"/>
        </w:rPr>
      </w:pPr>
      <w:r>
        <w:rPr>
          <w:rFonts w:ascii="Arial" w:cs="Arial" w:eastAsia="Arial" w:hAnsi="Arial"/>
          <w:sz w:val="13"/>
          <w:szCs w:val="13"/>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44"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the MCG merger.</w:t>
      </w:r>
    </w:p>
    <w:p>
      <w:pPr>
        <w:spacing w:after="0" w:line="6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Our operating activities used cash of $22.3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as of September 30, 2016, including borrowings under our Credit Facility and other contractual obligations,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89"/>
              <w:spacing w:after="0"/>
              <w:rPr>
                <w:sz w:val="20"/>
                <w:szCs w:val="20"/>
                <w:color w:val="auto"/>
              </w:rPr>
            </w:pPr>
            <w:r>
              <w:rPr>
                <w:rFonts w:ascii="Arial" w:cs="Arial" w:eastAsia="Arial" w:hAnsi="Arial"/>
                <w:sz w:val="14"/>
                <w:szCs w:val="14"/>
                <w:b w:val="1"/>
                <w:bCs w:val="1"/>
                <w:color w:val="auto"/>
                <w:w w:val="95"/>
              </w:rPr>
              <w:t>Payments due by period (millions)</w:t>
            </w: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11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Less than 1 year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8"/>
              </w:rPr>
              <w:t>1-3 years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More than 5 years</w:t>
            </w:r>
          </w:p>
        </w:tc>
        <w:tc>
          <w:tcPr>
            <w:tcW w:w="80" w:type="dxa"/>
            <w:vAlign w:val="bottom"/>
          </w:tcPr>
          <w:p>
            <w:pPr>
              <w:spacing w:after="0"/>
              <w:rPr>
                <w:sz w:val="12"/>
                <w:szCs w:val="12"/>
                <w:color w:val="auto"/>
              </w:rPr>
            </w:pPr>
          </w:p>
        </w:tc>
      </w:tr>
      <w:tr>
        <w:trPr>
          <w:trHeight w:val="142"/>
        </w:trPr>
        <w:tc>
          <w:tcPr>
            <w:tcW w:w="3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232.9</w:t>
            </w:r>
          </w:p>
        </w:tc>
        <w:tc>
          <w:tcPr>
            <w:tcW w:w="6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232.9</w:t>
            </w:r>
          </w:p>
        </w:tc>
        <w:tc>
          <w:tcPr>
            <w:tcW w:w="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13.5</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w:t>
            </w:r>
          </w:p>
        </w:tc>
      </w:tr>
      <w:tr>
        <w:trPr>
          <w:trHeight w:val="27"/>
        </w:trPr>
        <w:tc>
          <w:tcPr>
            <w:tcW w:w="3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w:t>
            </w: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0.1</w:t>
            </w:r>
          </w:p>
        </w:tc>
        <w:tc>
          <w:tcPr>
            <w:tcW w:w="4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246.4</w:t>
            </w:r>
          </w:p>
        </w:tc>
        <w:tc>
          <w:tcPr>
            <w:tcW w:w="8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w:t>
            </w:r>
          </w:p>
        </w:tc>
      </w:tr>
      <w:tr>
        <w:trPr>
          <w:trHeight w:val="20"/>
        </w:trPr>
        <w:tc>
          <w:tcPr>
            <w:tcW w:w="3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4" w:lineRule="exact"/>
        <w:rPr>
          <w:sz w:val="20"/>
          <w:szCs w:val="20"/>
          <w:color w:val="auto"/>
        </w:rPr>
      </w:pPr>
    </w:p>
    <w:p>
      <w:pPr>
        <w:ind w:left="560" w:hanging="552"/>
        <w:spacing w:after="0"/>
        <w:tabs>
          <w:tab w:leader="none" w:pos="560" w:val="left"/>
        </w:tabs>
        <w:numPr>
          <w:ilvl w:val="0"/>
          <w:numId w:val="37"/>
        </w:numPr>
        <w:rPr>
          <w:rFonts w:ascii="Arial" w:cs="Arial" w:eastAsia="Arial" w:hAnsi="Arial"/>
          <w:sz w:val="12"/>
          <w:szCs w:val="12"/>
          <w:color w:val="auto"/>
        </w:rPr>
      </w:pPr>
      <w:r>
        <w:rPr>
          <w:rFonts w:ascii="Arial" w:cs="Arial" w:eastAsia="Arial" w:hAnsi="Arial"/>
          <w:sz w:val="14"/>
          <w:szCs w:val="14"/>
          <w:color w:val="auto"/>
        </w:rPr>
        <w:t>Unfunded investments are disclosed in the Consolidated Schedule of Investments and Note 12 of our Consolidated Financial Statements.</w:t>
      </w:r>
    </w:p>
    <w:p>
      <w:pPr>
        <w:spacing w:after="0" w:line="96" w:lineRule="exact"/>
        <w:rPr>
          <w:sz w:val="20"/>
          <w:szCs w:val="20"/>
          <w:color w:val="auto"/>
        </w:rPr>
      </w:pPr>
    </w:p>
    <w:p>
      <w:pPr>
        <w:jc w:val="both"/>
        <w:ind w:right="340" w:firstLine="562"/>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2016,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77" w:lineRule="exact"/>
        <w:rPr>
          <w:sz w:val="20"/>
          <w:szCs w:val="20"/>
          <w:color w:val="auto"/>
        </w:rPr>
      </w:pPr>
    </w:p>
    <w:p>
      <w:pPr>
        <w:ind w:right="100" w:firstLine="562"/>
        <w:spacing w:after="0" w:line="231" w:lineRule="auto"/>
        <w:rPr>
          <w:sz w:val="20"/>
          <w:szCs w:val="20"/>
          <w:color w:val="auto"/>
        </w:rPr>
      </w:pPr>
      <w:r>
        <w:rPr>
          <w:rFonts w:ascii="Arial" w:cs="Arial" w:eastAsia="Arial" w:hAnsi="Arial"/>
          <w:sz w:val="14"/>
          <w:szCs w:val="14"/>
          <w:color w:val="auto"/>
        </w:rPr>
        <w:t>Under our Administration Agreement, which was reapproved by our board of directors, including a majority of our directors who are not interested persons of us, in February 2016,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76" w:lineRule="exact"/>
        <w:rPr>
          <w:sz w:val="20"/>
          <w:szCs w:val="20"/>
          <w:color w:val="auto"/>
        </w:rPr>
      </w:pPr>
    </w:p>
    <w:p>
      <w:pPr>
        <w:jc w:val="both"/>
        <w:ind w:right="200" w:firstLine="562"/>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80" w:firstLine="562"/>
        <w:spacing w:after="0" w:line="264" w:lineRule="auto"/>
        <w:rPr>
          <w:sz w:val="20"/>
          <w:szCs w:val="20"/>
          <w:color w:val="auto"/>
        </w:rPr>
      </w:pPr>
      <w:r>
        <w:rPr>
          <w:rFonts w:ascii="Arial" w:cs="Arial" w:eastAsia="Arial" w:hAnsi="Arial"/>
          <w:sz w:val="13"/>
          <w:szCs w:val="13"/>
          <w:color w:val="auto"/>
        </w:rPr>
        <w:t>In order to be treated as a RIC for federal income tax purposes and to not be subject to corporate-level tax on undistributed income or gains, we are required, under Subchapter M of the Code, to annually distribute to stockholders out of the assets legally available for distribution of an amount generally at least equal to 90% of the sum of our ordinary income and realized net short-term capital gains in excess of realized net long-term capital losses, or investment company taxable income, determined without regard to any deduction for dividends paid.</w:t>
      </w:r>
    </w:p>
    <w:p>
      <w:pPr>
        <w:spacing w:after="0" w:line="60"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to our stockholders in respect of each calendar year of an amount generally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treated as a RIC for federal income tax purposes, to provide us with additional liquidity.</w:t>
      </w:r>
    </w:p>
    <w:p>
      <w:pPr>
        <w:spacing w:after="0" w:line="77" w:lineRule="exact"/>
        <w:rPr>
          <w:sz w:val="20"/>
          <w:szCs w:val="20"/>
          <w:color w:val="auto"/>
        </w:rPr>
      </w:pPr>
    </w:p>
    <w:p>
      <w:pPr>
        <w:ind w:right="140" w:firstLine="562"/>
        <w:spacing w:after="0" w:line="231" w:lineRule="auto"/>
        <w:rPr>
          <w:sz w:val="20"/>
          <w:szCs w:val="20"/>
          <w:color w:val="auto"/>
        </w:rPr>
      </w:pPr>
      <w:r>
        <w:rPr>
          <w:rFonts w:ascii="Arial" w:cs="Arial" w:eastAsia="Arial" w:hAnsi="Arial"/>
          <w:sz w:val="14"/>
          <w:szCs w:val="14"/>
          <w:color w:val="auto"/>
        </w:rPr>
        <w:t>During the years ended September 30, 2016, 2015 and 2014, we declared distributions of $1.14, $1.12 and $1.08 per share, respectively, for total distributions of $30.5 million, $18.9 million and $16.1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tax status. We cannot assure stockholders that they will receive any distributions at a particular level.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2016, our debt portfolio consisted of 99% variable-rate investments (including 94% with a LIBOR or prime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84" w:lineRule="exact"/>
        <w:rPr>
          <w:sz w:val="20"/>
          <w:szCs w:val="20"/>
          <w:color w:val="auto"/>
        </w:rPr>
      </w:pPr>
    </w:p>
    <w:p>
      <w:pPr>
        <w:ind w:right="440" w:firstLine="562"/>
        <w:spacing w:after="0" w:line="253" w:lineRule="auto"/>
        <w:rPr>
          <w:sz w:val="20"/>
          <w:szCs w:val="20"/>
          <w:color w:val="auto"/>
        </w:rPr>
      </w:pPr>
      <w:r>
        <w:rPr>
          <w:rFonts w:ascii="Arial" w:cs="Arial" w:eastAsia="Arial" w:hAnsi="Arial"/>
          <w:sz w:val="14"/>
          <w:szCs w:val="14"/>
          <w:color w:val="auto"/>
        </w:rPr>
        <w:t>Assuming that the most recent Consolidated Statement of Assets and Liabilities was to remain constant, and no actions were taken to alter the existing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40" w:type="dxa"/>
            <w:vAlign w:val="bottom"/>
            <w:gridSpan w:val="3"/>
          </w:tcPr>
          <w:p>
            <w:pPr>
              <w:ind w:left="20"/>
              <w:spacing w:after="0"/>
              <w:rPr>
                <w:sz w:val="20"/>
                <w:szCs w:val="20"/>
                <w:color w:val="auto"/>
              </w:rPr>
            </w:pPr>
            <w:r>
              <w:rPr>
                <w:rFonts w:ascii="Arial" w:cs="Arial" w:eastAsia="Arial" w:hAnsi="Arial"/>
                <w:sz w:val="14"/>
                <w:szCs w:val="14"/>
                <w:color w:val="auto"/>
              </w:rPr>
              <w:t>Change In Interest Income,</w:t>
            </w:r>
          </w:p>
        </w:tc>
        <w:tc>
          <w:tcPr>
            <w:tcW w:w="2700" w:type="dxa"/>
            <w:vAlign w:val="bottom"/>
            <w:gridSpan w:val="4"/>
          </w:tcPr>
          <w:p>
            <w:pPr>
              <w:ind w:left="560"/>
              <w:spacing w:after="0"/>
              <w:rPr>
                <w:sz w:val="20"/>
                <w:szCs w:val="20"/>
                <w:color w:val="auto"/>
              </w:rPr>
            </w:pPr>
            <w:r>
              <w:rPr>
                <w:rFonts w:ascii="Arial" w:cs="Arial" w:eastAsia="Arial" w:hAnsi="Arial"/>
                <w:sz w:val="14"/>
                <w:szCs w:val="14"/>
                <w:color w:val="auto"/>
              </w:rPr>
              <w:t>Change In Interest Income,</w:t>
            </w:r>
          </w:p>
        </w:tc>
        <w:tc>
          <w:tcPr>
            <w:tcW w:w="0" w:type="dxa"/>
            <w:vAlign w:val="bottom"/>
          </w:tcPr>
          <w:p>
            <w:pPr>
              <w:spacing w:after="0"/>
              <w:rPr>
                <w:sz w:val="1"/>
                <w:szCs w:val="1"/>
                <w:color w:val="auto"/>
              </w:rPr>
            </w:pPr>
          </w:p>
        </w:tc>
      </w:tr>
      <w:tr>
        <w:trPr>
          <w:trHeight w:val="148"/>
        </w:trPr>
        <w:tc>
          <w:tcPr>
            <w:tcW w:w="3340" w:type="dxa"/>
            <w:vAlign w:val="bottom"/>
            <w:gridSpan w:val="3"/>
            <w:vMerge w:val="restart"/>
          </w:tcPr>
          <w:p>
            <w:pPr>
              <w:jc w:val="center"/>
              <w:ind w:right="1040"/>
              <w:spacing w:after="0"/>
              <w:rPr>
                <w:sz w:val="20"/>
                <w:szCs w:val="20"/>
                <w:color w:val="auto"/>
              </w:rPr>
            </w:pPr>
            <w:r>
              <w:rPr>
                <w:rFonts w:ascii="Arial" w:cs="Arial" w:eastAsia="Arial" w:hAnsi="Arial"/>
                <w:sz w:val="14"/>
                <w:szCs w:val="14"/>
                <w:color w:val="auto"/>
                <w:w w:val="91"/>
              </w:rPr>
              <w:t>Change In Interest Rates</w:t>
            </w:r>
          </w:p>
        </w:tc>
        <w:tc>
          <w:tcPr>
            <w:tcW w:w="100" w:type="dxa"/>
            <w:vAlign w:val="bottom"/>
          </w:tcPr>
          <w:p>
            <w:pPr>
              <w:spacing w:after="0"/>
              <w:rPr>
                <w:sz w:val="12"/>
                <w:szCs w:val="12"/>
                <w:color w:val="auto"/>
              </w:rPr>
            </w:pPr>
          </w:p>
        </w:tc>
        <w:tc>
          <w:tcPr>
            <w:tcW w:w="20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Net Of Interest Expense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2"/>
              </w:rPr>
              <w:t>Net Of Interest Expense</w:t>
            </w:r>
          </w:p>
        </w:tc>
        <w:tc>
          <w:tcPr>
            <w:tcW w:w="0" w:type="dxa"/>
            <w:vAlign w:val="bottom"/>
          </w:tcPr>
          <w:p>
            <w:pPr>
              <w:spacing w:after="0"/>
              <w:rPr>
                <w:sz w:val="1"/>
                <w:szCs w:val="1"/>
                <w:color w:val="auto"/>
              </w:rPr>
            </w:pPr>
          </w:p>
        </w:tc>
      </w:tr>
      <w:tr>
        <w:trPr>
          <w:trHeight w:val="167"/>
        </w:trPr>
        <w:tc>
          <w:tcPr>
            <w:tcW w:w="3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660"/>
              <w:spacing w:after="0"/>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jc w:val="right"/>
              <w:ind w:right="108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42"/>
        </w:trPr>
        <w:tc>
          <w:tcPr>
            <w:tcW w:w="4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Up 1%</w:t>
            </w:r>
          </w:p>
        </w:tc>
        <w:tc>
          <w:tcPr>
            <w:tcW w:w="1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w:t>
            </w:r>
          </w:p>
        </w:tc>
        <w:tc>
          <w:tcPr>
            <w:tcW w:w="5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0.01</w:t>
            </w:r>
          </w:p>
        </w:tc>
        <w:tc>
          <w:tcPr>
            <w:tcW w:w="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900" w:type="dxa"/>
            <w:vAlign w:val="bottom"/>
            <w:gridSpan w:val="2"/>
          </w:tcPr>
          <w:p>
            <w:pPr>
              <w:jc w:val="center"/>
              <w:ind w:right="1460"/>
              <w:spacing w:after="0" w:line="149" w:lineRule="exact"/>
              <w:rPr>
                <w:sz w:val="20"/>
                <w:szCs w:val="20"/>
                <w:color w:val="auto"/>
              </w:rPr>
            </w:pPr>
            <w:r>
              <w:rPr>
                <w:rFonts w:ascii="Arial" w:cs="Arial" w:eastAsia="Arial" w:hAnsi="Arial"/>
                <w:sz w:val="14"/>
                <w:szCs w:val="14"/>
                <w:color w:val="auto"/>
                <w:w w:val="95"/>
              </w:rPr>
              <w:t>Up 2%</w:t>
            </w:r>
          </w:p>
        </w:tc>
        <w:tc>
          <w:tcPr>
            <w:tcW w:w="100" w:type="dxa"/>
            <w:vAlign w:val="bottom"/>
          </w:tcPr>
          <w:p>
            <w:pPr>
              <w:ind w:left="20"/>
              <w:spacing w:after="0" w:line="149" w:lineRule="exact"/>
              <w:rPr>
                <w:sz w:val="20"/>
                <w:szCs w:val="20"/>
                <w:color w:val="auto"/>
              </w:rPr>
            </w:pPr>
            <w:r>
              <w:rPr>
                <w:rFonts w:ascii="Arial" w:cs="Arial" w:eastAsia="Arial" w:hAnsi="Arial"/>
                <w:sz w:val="14"/>
                <w:szCs w:val="14"/>
                <w:color w:val="auto"/>
                <w:w w:val="76"/>
              </w:rPr>
              <w:t>$</w:t>
            </w:r>
          </w:p>
        </w:tc>
        <w:tc>
          <w:tcPr>
            <w:tcW w:w="2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3,858</w:t>
            </w:r>
          </w:p>
        </w:tc>
        <w:tc>
          <w:tcPr>
            <w:tcW w:w="64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76"/>
              </w:rPr>
              <w:t>$</w:t>
            </w:r>
          </w:p>
        </w:tc>
        <w:tc>
          <w:tcPr>
            <w:tcW w:w="20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48"/>
        </w:trPr>
        <w:tc>
          <w:tcPr>
            <w:tcW w:w="440" w:type="dxa"/>
            <w:vAlign w:val="bottom"/>
            <w:shd w:val="clear" w:color="auto" w:fill="CCEEFF"/>
          </w:tcPr>
          <w:p>
            <w:pPr>
              <w:spacing w:after="0"/>
              <w:rPr>
                <w:sz w:val="12"/>
                <w:szCs w:val="12"/>
                <w:color w:val="auto"/>
              </w:rPr>
            </w:pPr>
          </w:p>
        </w:tc>
        <w:tc>
          <w:tcPr>
            <w:tcW w:w="2900" w:type="dxa"/>
            <w:vAlign w:val="bottom"/>
            <w:gridSpan w:val="2"/>
            <w:shd w:val="clear" w:color="auto" w:fill="CCEEFF"/>
          </w:tcPr>
          <w:p>
            <w:pPr>
              <w:jc w:val="center"/>
              <w:ind w:right="1460"/>
              <w:spacing w:after="0" w:line="149" w:lineRule="exact"/>
              <w:rPr>
                <w:sz w:val="20"/>
                <w:szCs w:val="20"/>
                <w:color w:val="auto"/>
              </w:rPr>
            </w:pPr>
            <w:r>
              <w:rPr>
                <w:rFonts w:ascii="Arial" w:cs="Arial" w:eastAsia="Arial" w:hAnsi="Arial"/>
                <w:sz w:val="14"/>
                <w:szCs w:val="14"/>
                <w:color w:val="auto"/>
                <w:w w:val="95"/>
              </w:rPr>
              <w:t>Up 3%</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2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7,507</w:t>
            </w:r>
          </w:p>
        </w:tc>
        <w:tc>
          <w:tcPr>
            <w:tcW w:w="6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76"/>
              </w:rPr>
              <w:t>$</w:t>
            </w:r>
          </w:p>
        </w:tc>
        <w:tc>
          <w:tcPr>
            <w:tcW w:w="20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2900" w:type="dxa"/>
            <w:vAlign w:val="bottom"/>
            <w:gridSpan w:val="2"/>
          </w:tcPr>
          <w:p>
            <w:pPr>
              <w:jc w:val="center"/>
              <w:ind w:right="1460"/>
              <w:spacing w:after="0"/>
              <w:rPr>
                <w:sz w:val="20"/>
                <w:szCs w:val="20"/>
                <w:color w:val="auto"/>
              </w:rPr>
            </w:pPr>
            <w:r>
              <w:rPr>
                <w:rFonts w:ascii="Arial" w:cs="Arial" w:eastAsia="Arial" w:hAnsi="Arial"/>
                <w:sz w:val="14"/>
                <w:szCs w:val="14"/>
                <w:color w:val="auto"/>
                <w:w w:val="95"/>
              </w:rPr>
              <w:t>Up 4%</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2040" w:type="dxa"/>
            <w:vAlign w:val="bottom"/>
            <w:gridSpan w:val="2"/>
          </w:tcPr>
          <w:p>
            <w:pPr>
              <w:jc w:val="right"/>
              <w:ind w:right="560"/>
              <w:spacing w:after="0"/>
              <w:rPr>
                <w:sz w:val="20"/>
                <w:szCs w:val="20"/>
                <w:color w:val="auto"/>
              </w:rPr>
            </w:pPr>
            <w:r>
              <w:rPr>
                <w:rFonts w:ascii="Arial" w:cs="Arial" w:eastAsia="Arial" w:hAnsi="Arial"/>
                <w:sz w:val="14"/>
                <w:szCs w:val="14"/>
                <w:color w:val="auto"/>
              </w:rPr>
              <w:t>11,156</w:t>
            </w:r>
          </w:p>
        </w:tc>
        <w:tc>
          <w:tcPr>
            <w:tcW w:w="640" w:type="dxa"/>
            <w:vAlign w:val="bottom"/>
            <w:gridSpan w:val="2"/>
          </w:tcPr>
          <w:p>
            <w:pPr>
              <w:ind w:left="560"/>
              <w:spacing w:after="0"/>
              <w:rPr>
                <w:sz w:val="20"/>
                <w:szCs w:val="20"/>
                <w:color w:val="auto"/>
              </w:rPr>
            </w:pPr>
            <w:r>
              <w:rPr>
                <w:rFonts w:ascii="Arial" w:cs="Arial" w:eastAsia="Arial" w:hAnsi="Arial"/>
                <w:sz w:val="14"/>
                <w:szCs w:val="14"/>
                <w:color w:val="auto"/>
                <w:w w:val="76"/>
              </w:rPr>
              <w:t>$</w:t>
            </w:r>
          </w:p>
        </w:tc>
        <w:tc>
          <w:tcPr>
            <w:tcW w:w="2060" w:type="dxa"/>
            <w:vAlign w:val="bottom"/>
            <w:gridSpan w:val="2"/>
          </w:tcPr>
          <w:p>
            <w:pPr>
              <w:jc w:val="right"/>
              <w:ind w:right="580"/>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3"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3"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 or foreign currency derivatives hedging activities.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7900" w:type="dxa"/>
            <w:vAlign w:val="bottom"/>
          </w:tcPr>
          <w:p>
            <w:pPr>
              <w:jc w:val="right"/>
              <w:ind w:right="3868"/>
              <w:spacing w:after="0"/>
              <w:rPr>
                <w:sz w:val="20"/>
                <w:szCs w:val="20"/>
                <w:color w:val="auto"/>
              </w:rPr>
            </w:pPr>
            <w:r>
              <w:rPr>
                <w:rFonts w:ascii="Arial" w:cs="Arial" w:eastAsia="Arial" w:hAnsi="Arial"/>
                <w:sz w:val="14"/>
                <w:szCs w:val="14"/>
                <w:b w:val="1"/>
                <w:bCs w:val="1"/>
                <w:color w:val="auto"/>
                <w:w w:val="98"/>
              </w:rPr>
              <w:t>Consolidated Financial Statements and Supplementary Data</w:t>
            </w:r>
          </w:p>
        </w:tc>
        <w:tc>
          <w:tcPr>
            <w:tcW w:w="2640" w:type="dxa"/>
            <w:vAlign w:val="bottom"/>
          </w:tcPr>
          <w:p>
            <w:pPr>
              <w:spacing w:after="0"/>
              <w:rPr>
                <w:sz w:val="16"/>
                <w:szCs w:val="16"/>
                <w:color w:val="auto"/>
              </w:rPr>
            </w:pPr>
          </w:p>
        </w:tc>
      </w:tr>
      <w:tr>
        <w:trPr>
          <w:trHeight w:val="340"/>
        </w:trPr>
        <w:tc>
          <w:tcPr>
            <w:tcW w:w="6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186"/>
        </w:trPr>
        <w:tc>
          <w:tcPr>
            <w:tcW w:w="8560" w:type="dxa"/>
            <w:vAlign w:val="bottom"/>
            <w:gridSpan w:val="2"/>
          </w:tcPr>
          <w:p>
            <w:pPr>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Management’s Report on Internal Control Over Financial Reporting</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56"/>
        </w:trPr>
        <w:tc>
          <w:tcPr>
            <w:tcW w:w="8560" w:type="dxa"/>
            <w:vAlign w:val="bottom"/>
            <w:gridSpan w:val="2"/>
          </w:tcPr>
          <w:p>
            <w:pPr>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Report of Independent Registered Public Accounting Firm</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r>
        <w:trPr>
          <w:trHeight w:val="257"/>
        </w:trPr>
        <w:tc>
          <w:tcPr>
            <w:tcW w:w="8560" w:type="dxa"/>
            <w:vAlign w:val="bottom"/>
            <w:gridSpan w:val="2"/>
          </w:tcPr>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Report of Independent Registered Public Accounting Firm On Internal Control Over Financial Reporting</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257"/>
        </w:trPr>
        <w:tc>
          <w:tcPr>
            <w:tcW w:w="8560" w:type="dxa"/>
            <w:vAlign w:val="bottom"/>
            <w:gridSpan w:val="2"/>
          </w:tcPr>
          <w:p>
            <w:pPr>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Consolidated Statements of Assets and Liabilities as of September 30, 2016 and 2015</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r>
        <w:trPr>
          <w:trHeight w:val="257"/>
        </w:trPr>
        <w:tc>
          <w:tcPr>
            <w:tcW w:w="8560" w:type="dxa"/>
            <w:vAlign w:val="bottom"/>
            <w:gridSpan w:val="2"/>
          </w:tcPr>
          <w:p>
            <w:pPr>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Consolidated Statements of Operations for the years ended September 30, 2016, 2015 and 2014</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56"/>
        </w:trPr>
        <w:tc>
          <w:tcPr>
            <w:tcW w:w="8560" w:type="dxa"/>
            <w:vAlign w:val="bottom"/>
            <w:gridSpan w:val="2"/>
          </w:tcPr>
          <w:p>
            <w:pPr>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Consolidated Statements of Changes in Net Assets for the years ended September 30, 2016, 2015 and 2014</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r>
        <w:trPr>
          <w:trHeight w:val="257"/>
        </w:trPr>
        <w:tc>
          <w:tcPr>
            <w:tcW w:w="8560" w:type="dxa"/>
            <w:vAlign w:val="bottom"/>
            <w:gridSpan w:val="2"/>
          </w:tcPr>
          <w:p>
            <w:pPr>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Consolidated Statements of Cash Flows for the years ended September 30, 2016, 2015 and 2014</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257"/>
        </w:trPr>
        <w:tc>
          <w:tcPr>
            <w:tcW w:w="8560" w:type="dxa"/>
            <w:vAlign w:val="bottom"/>
            <w:gridSpan w:val="2"/>
          </w:tcPr>
          <w:p>
            <w:pPr>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Consolidated Schedules of Investments as of September 30, 2016 and 2015</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257"/>
        </w:trPr>
        <w:tc>
          <w:tcPr>
            <w:tcW w:w="8560" w:type="dxa"/>
            <w:vAlign w:val="bottom"/>
            <w:gridSpan w:val="2"/>
          </w:tcPr>
          <w:p>
            <w:pPr>
              <w:spacing w:after="0"/>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Notes to the Consolidated Financial Statements</w:t>
              </w:r>
            </w:hyperlink>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r>
        <w:trPr>
          <w:trHeight w:val="297"/>
        </w:trPr>
        <w:tc>
          <w:tcPr>
            <w:tcW w:w="660" w:type="dxa"/>
            <w:vAlign w:val="bottom"/>
          </w:tcPr>
          <w:p>
            <w:pPr>
              <w:spacing w:after="0"/>
              <w:rPr>
                <w:sz w:val="24"/>
                <w:szCs w:val="24"/>
                <w:color w:val="auto"/>
              </w:rPr>
            </w:pPr>
          </w:p>
        </w:tc>
        <w:tc>
          <w:tcPr>
            <w:tcW w:w="7900" w:type="dxa"/>
            <w:vAlign w:val="bottom"/>
          </w:tcPr>
          <w:p>
            <w:pPr>
              <w:jc w:val="right"/>
              <w:ind w:right="2788"/>
              <w:spacing w:after="0"/>
              <w:rPr>
                <w:sz w:val="20"/>
                <w:szCs w:val="20"/>
                <w:color w:val="auto"/>
              </w:rPr>
            </w:pPr>
            <w:r>
              <w:rPr>
                <w:rFonts w:ascii="Arial" w:cs="Arial" w:eastAsia="Arial" w:hAnsi="Arial"/>
                <w:sz w:val="14"/>
                <w:szCs w:val="14"/>
                <w:color w:val="auto"/>
              </w:rPr>
              <w:t>42</w:t>
            </w:r>
          </w:p>
        </w:tc>
        <w:tc>
          <w:tcPr>
            <w:tcW w:w="264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8"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2016. Our internal control system is a process designed to provide reasonable assurance to our management and board of directors regarding the preparation and fair presentation of published financial statements.</w:t>
      </w:r>
    </w:p>
    <w:p>
      <w:pPr>
        <w:spacing w:after="0" w:line="77"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76"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2016.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2016, our internal control over financial reporting is effective based on those criteria.</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Company’s independent registered public accounting firm has issued an audit report on the effectiveness of our internal control over financial reporting as of September 30, 2016.</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This report appears on page 45.</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84"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have audited the accompanying consolidated statements of assets and liabilities of PennantPark Floating Rate Capital Ltd. and its Subsidiaries (collectively referred to as the “Company”), including the consolidated schedules of investments as of September 30, 2016 and 2015, and the related consolidated statements of operations, changes in net assets, and cash flows for each of the three years in the period ended September 30, 2016. These consolidated financial statements are the responsibility of the Company’s management. Our responsibility is to express an opinion on these consolidated financial statements based on our audits.</w:t>
      </w:r>
    </w:p>
    <w:p>
      <w:pPr>
        <w:spacing w:after="0" w:line="77"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2016, by correspondence with the custodians and/or portfolio companies.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Subsidiaries as of September 30, 2016 and 2015, and the results of their operations, changes in net assets and their cash flows for the three years in the period then ended September 30, 2016, in conformity with U.S. generally accepted accounting principles.</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PennantPark Floating Rate Capital Ltd. and its Subsidiaries’ internal control over financial reporting as of September 30, 2016,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2013, and our report dated November 22, 2016 expressed an unqualified opinion on the effectiveness of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22, 2016</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00"/>
          </w:cols>
          <w:pgMar w:left="32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84"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 xml:space="preserve">We have audited PennantPark Floating Rate Capital Ltd. and its Subsidiaries’ (collectively referred to as the “Company”) internal control over financial reporting as of September 30, 2016,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76" w:lineRule="exact"/>
        <w:rPr>
          <w:sz w:val="20"/>
          <w:szCs w:val="20"/>
          <w:color w:val="auto"/>
        </w:rPr>
      </w:pPr>
    </w:p>
    <w:p>
      <w:pPr>
        <w:ind w:right="40" w:firstLine="562"/>
        <w:spacing w:after="0" w:line="283"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1"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3"/>
          <w:szCs w:val="13"/>
          <w:i w:val="1"/>
          <w:iCs w:val="1"/>
          <w:color w:val="auto"/>
        </w:rPr>
        <w:t>a</w:t>
      </w:r>
      <w:r>
        <w:rPr>
          <w:rFonts w:ascii="Arial" w:cs="Arial" w:eastAsia="Arial" w:hAnsi="Arial"/>
          <w:sz w:val="13"/>
          <w:szCs w:val="13"/>
          <w:color w:val="auto"/>
        </w:rPr>
        <w:t>) pertain to the maintenance of records that, in reasonable detail, accurately and fairly reflect the transactions and dispositions of the assets of the company; (</w:t>
      </w:r>
      <w:r>
        <w:rPr>
          <w:rFonts w:ascii="Arial" w:cs="Arial" w:eastAsia="Arial" w:hAnsi="Arial"/>
          <w:sz w:val="13"/>
          <w:szCs w:val="13"/>
          <w:i w:val="1"/>
          <w:iCs w:val="1"/>
          <w:color w:val="auto"/>
        </w:rPr>
        <w:t>b</w:t>
      </w:r>
      <w:r>
        <w:rPr>
          <w:rFonts w:ascii="Arial" w:cs="Arial" w:eastAsia="Arial" w:hAnsi="Arial"/>
          <w:sz w:val="13"/>
          <w:szCs w:val="13"/>
          <w:color w:val="auto"/>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3"/>
          <w:szCs w:val="13"/>
          <w:i w:val="1"/>
          <w:iCs w:val="1"/>
          <w:color w:val="auto"/>
        </w:rPr>
        <w:t>c</w:t>
      </w:r>
      <w:r>
        <w:rPr>
          <w:rFonts w:ascii="Arial" w:cs="Arial" w:eastAsia="Arial" w:hAnsi="Arial"/>
          <w:sz w:val="13"/>
          <w:szCs w:val="13"/>
          <w:color w:val="auto"/>
        </w:rPr>
        <w:t>)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280" w:firstLine="562"/>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4"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 xml:space="preserve">In our opinion, PennantPark Floating Rate Capital Ltd. and its Subsidiaries maintained, in all material respects, effective internal control over financial reporting as of September 30, 2016,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 in 2013.</w:t>
      </w:r>
    </w:p>
    <w:p>
      <w:pPr>
        <w:spacing w:after="0" w:line="6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statements of assets and liabilities of PennantPark Floating Rate Capital Ltd. and its Subsidiaries, including the schedules of investments as of September 30, 2016 and 2015, and the related consolidated statements of operations, changes in net assets, and cash flows for each of the three years in the period ended September 30, 2016 and our report dated November 22, 2016 expressed an unqualified opinion on those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22, 2016</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2015</w:t>
            </w:r>
          </w:p>
        </w:tc>
      </w:tr>
      <w:tr>
        <w:trPr>
          <w:trHeight w:val="128"/>
        </w:trPr>
        <w:tc>
          <w:tcPr>
            <w:tcW w:w="8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814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(cost—$597,910,267 and $394,561,175, respectively)</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598,887,525</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388,535,383</w:t>
            </w:r>
          </w:p>
        </w:tc>
      </w:tr>
      <w:tr>
        <w:trPr>
          <w:trHeight w:val="148"/>
        </w:trPr>
        <w:tc>
          <w:tcPr>
            <w:tcW w:w="8140" w:type="dxa"/>
            <w:vAlign w:val="bottom"/>
          </w:tcPr>
          <w:p>
            <w:pPr>
              <w:ind w:left="160"/>
              <w:spacing w:after="0" w:line="149" w:lineRule="exact"/>
              <w:rPr>
                <w:sz w:val="20"/>
                <w:szCs w:val="20"/>
                <w:color w:val="auto"/>
              </w:rPr>
            </w:pPr>
            <w:r>
              <w:rPr>
                <w:rFonts w:ascii="Arial" w:cs="Arial" w:eastAsia="Arial" w:hAnsi="Arial"/>
                <w:sz w:val="14"/>
                <w:szCs w:val="14"/>
                <w:color w:val="auto"/>
              </w:rPr>
              <w:t>Controlled, affiliated investments (cost—$0 and $2,777,132, respectively)</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2,776,507</w:t>
            </w:r>
          </w:p>
        </w:tc>
      </w:tr>
      <w:tr>
        <w:trPr>
          <w:trHeight w:val="27"/>
        </w:trPr>
        <w:tc>
          <w:tcPr>
            <w:tcW w:w="8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8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of investments (cost—$597,910,267 and $397,338,307, respectively)</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598,887,525</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391,311,890</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Cash and cash equivalents (cost—$28,903,359 and $21,428,514, respectively)</w:t>
            </w:r>
          </w:p>
        </w:tc>
        <w:tc>
          <w:tcPr>
            <w:tcW w:w="28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28,910,973</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21,428,514</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2,480,406</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1,959,404</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1,141,191</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1,420,529</w:t>
            </w:r>
          </w:p>
        </w:tc>
      </w:tr>
      <w:tr>
        <w:trPr>
          <w:trHeight w:val="27"/>
        </w:trPr>
        <w:tc>
          <w:tcPr>
            <w:tcW w:w="8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8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Total assets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631,420,095</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416,120,337</w:t>
            </w:r>
          </w:p>
        </w:tc>
      </w:tr>
      <w:tr>
        <w:trPr>
          <w:trHeight w:val="155"/>
        </w:trPr>
        <w:tc>
          <w:tcPr>
            <w:tcW w:w="814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payable</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2,539,357</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2,539,357</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28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14,935,970</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9,367,500</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(cost—$232,907,500 and $29,600,000, respectively) (See Notes 5 and 11)</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232,389,498</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29,600,000</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28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531,926</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224,633</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1,458,625</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956,115</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28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3,454,914</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2,936</w:t>
            </w:r>
          </w:p>
        </w:tc>
      </w:tr>
      <w:tr>
        <w:trPr>
          <w:trHeight w:val="149"/>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202,977</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539,347</w:t>
            </w:r>
          </w:p>
        </w:tc>
      </w:tr>
      <w:tr>
        <w:trPr>
          <w:trHeight w:val="163"/>
        </w:trPr>
        <w:tc>
          <w:tcPr>
            <w:tcW w:w="814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Total liabilities</w:t>
            </w: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255,513,267</w:t>
            </w:r>
          </w:p>
        </w:tc>
        <w:tc>
          <w:tcPr>
            <w:tcW w:w="6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43,229,888</w:t>
            </w:r>
          </w:p>
        </w:tc>
        <w:tc>
          <w:tcPr>
            <w:tcW w:w="100" w:type="dxa"/>
            <w:vAlign w:val="bottom"/>
          </w:tcPr>
          <w:p>
            <w:pPr>
              <w:spacing w:after="0"/>
              <w:rPr>
                <w:sz w:val="14"/>
                <w:szCs w:val="14"/>
                <w:color w:val="auto"/>
              </w:rPr>
            </w:pP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12)</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8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26,730,074 shares issued and outstanding.</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8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Par value $0.001 per share and 100,000,000 shares authorized.</w:t>
            </w:r>
          </w:p>
        </w:tc>
        <w:tc>
          <w:tcPr>
            <w:tcW w:w="2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26,730</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26,730</w:t>
            </w:r>
          </w:p>
        </w:tc>
      </w:tr>
      <w:tr>
        <w:trPr>
          <w:trHeight w:val="149"/>
        </w:trPr>
        <w:tc>
          <w:tcPr>
            <w:tcW w:w="814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28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371,194,366</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371,502,801</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Undistributed net investment income</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4,559,646</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6,991,473</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Accumulated net realized (loss) gain on investments</w:t>
            </w:r>
          </w:p>
        </w:tc>
        <w:tc>
          <w:tcPr>
            <w:tcW w:w="280" w:type="dxa"/>
            <w:vAlign w:val="bottom"/>
          </w:tcPr>
          <w:p>
            <w:pPr>
              <w:spacing w:after="0"/>
              <w:rPr>
                <w:sz w:val="12"/>
                <w:szCs w:val="12"/>
                <w:color w:val="auto"/>
              </w:rPr>
            </w:pPr>
          </w:p>
        </w:tc>
        <w:tc>
          <w:tcPr>
            <w:tcW w:w="15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(1,376,788)</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395,862</w:t>
            </w:r>
          </w:p>
        </w:tc>
      </w:tr>
      <w:tr>
        <w:trPr>
          <w:trHeight w:val="148"/>
        </w:trPr>
        <w:tc>
          <w:tcPr>
            <w:tcW w:w="8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investments</w:t>
            </w:r>
          </w:p>
        </w:tc>
        <w:tc>
          <w:tcPr>
            <w:tcW w:w="2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984,872</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(6,026,417)</w:t>
            </w:r>
          </w:p>
        </w:tc>
      </w:tr>
      <w:tr>
        <w:trPr>
          <w:trHeight w:val="148"/>
        </w:trPr>
        <w:tc>
          <w:tcPr>
            <w:tcW w:w="814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Credit Facility</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518,002</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7"/>
        </w:trPr>
        <w:tc>
          <w:tcPr>
            <w:tcW w:w="8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81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Total net assets</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375,906,828</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372,890,449</w:t>
            </w:r>
          </w:p>
        </w:tc>
      </w:tr>
      <w:tr>
        <w:trPr>
          <w:trHeight w:val="155"/>
        </w:trPr>
        <w:tc>
          <w:tcPr>
            <w:tcW w:w="814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631,420,095</w:t>
            </w:r>
          </w:p>
        </w:tc>
        <w:tc>
          <w:tcPr>
            <w:tcW w:w="6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416,120,337</w:t>
            </w:r>
          </w:p>
        </w:tc>
        <w:tc>
          <w:tcPr>
            <w:tcW w:w="100" w:type="dxa"/>
            <w:vAlign w:val="bottom"/>
          </w:tcPr>
          <w:p>
            <w:pPr>
              <w:spacing w:after="0"/>
              <w:rPr>
                <w:sz w:val="13"/>
                <w:szCs w:val="13"/>
                <w:color w:val="auto"/>
              </w:rPr>
            </w:pP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1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600"/>
              <w:spacing w:after="0" w:line="143" w:lineRule="exact"/>
              <w:rPr>
                <w:sz w:val="20"/>
                <w:szCs w:val="20"/>
                <w:color w:val="auto"/>
              </w:rPr>
            </w:pPr>
            <w:r>
              <w:rPr>
                <w:rFonts w:ascii="Arial" w:cs="Arial" w:eastAsia="Arial" w:hAnsi="Arial"/>
                <w:sz w:val="14"/>
                <w:szCs w:val="14"/>
                <w:color w:val="auto"/>
              </w:rPr>
              <w:t>14.06</w:t>
            </w:r>
          </w:p>
        </w:tc>
        <w:tc>
          <w:tcPr>
            <w:tcW w:w="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13.95</w:t>
            </w:r>
          </w:p>
        </w:tc>
      </w:tr>
      <w:tr>
        <w:trPr>
          <w:trHeight w:val="20"/>
        </w:trPr>
        <w:tc>
          <w:tcPr>
            <w:tcW w:w="8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ind w:right="69"/>
              <w:spacing w:after="0"/>
              <w:rPr>
                <w:sz w:val="20"/>
                <w:szCs w:val="20"/>
                <w:color w:val="auto"/>
              </w:rPr>
            </w:pPr>
            <w:r>
              <w:rPr>
                <w:rFonts w:ascii="Arial" w:cs="Arial" w:eastAsia="Arial" w:hAnsi="Arial"/>
                <w:sz w:val="14"/>
                <w:szCs w:val="14"/>
                <w:b w:val="1"/>
                <w:bCs w:val="1"/>
                <w:color w:val="auto"/>
              </w:rPr>
              <w:t>Years Ended 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6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12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40,561,694</w:t>
            </w:r>
          </w:p>
        </w:tc>
        <w:tc>
          <w:tcPr>
            <w:tcW w:w="3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29,203,963</w:t>
            </w:r>
          </w:p>
        </w:tc>
        <w:tc>
          <w:tcPr>
            <w:tcW w:w="32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29,256,441</w:t>
            </w:r>
          </w:p>
        </w:tc>
        <w:tc>
          <w:tcPr>
            <w:tcW w:w="0" w:type="dxa"/>
            <w:vAlign w:val="bottom"/>
          </w:tcPr>
          <w:p>
            <w:pPr>
              <w:spacing w:after="0"/>
              <w:rPr>
                <w:sz w:val="1"/>
                <w:szCs w:val="1"/>
                <w:color w:val="auto"/>
              </w:rPr>
            </w:pPr>
          </w:p>
        </w:tc>
      </w:tr>
      <w:tr>
        <w:trPr>
          <w:trHeight w:val="148"/>
        </w:trPr>
        <w:tc>
          <w:tcPr>
            <w:tcW w:w="666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2,334,330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1,151,336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1,100,391</w:t>
            </w:r>
          </w:p>
        </w:tc>
        <w:tc>
          <w:tcPr>
            <w:tcW w:w="0" w:type="dxa"/>
            <w:vAlign w:val="bottom"/>
          </w:tcPr>
          <w:p>
            <w:pPr>
              <w:spacing w:after="0"/>
              <w:rPr>
                <w:sz w:val="1"/>
                <w:szCs w:val="1"/>
                <w:color w:val="auto"/>
              </w:rPr>
            </w:pPr>
          </w:p>
        </w:tc>
      </w:tr>
      <w:tr>
        <w:trPr>
          <w:trHeight w:val="149"/>
        </w:trPr>
        <w:tc>
          <w:tcPr>
            <w:tcW w:w="6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Settlement proceeds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3,299,764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66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105,502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66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9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46,301,290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30,355,299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30,356,832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5,015,077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3,572,614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3,702,826</w:t>
            </w:r>
          </w:p>
        </w:tc>
        <w:tc>
          <w:tcPr>
            <w:tcW w:w="0" w:type="dxa"/>
            <w:vAlign w:val="bottom"/>
          </w:tcPr>
          <w:p>
            <w:pPr>
              <w:spacing w:after="0"/>
              <w:rPr>
                <w:sz w:val="1"/>
                <w:szCs w:val="1"/>
                <w:color w:val="auto"/>
              </w:rPr>
            </w:pPr>
          </w:p>
        </w:tc>
      </w:tr>
      <w:tr>
        <w:trPr>
          <w:trHeight w:val="149"/>
        </w:trPr>
        <w:tc>
          <w:tcPr>
            <w:tcW w:w="6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4,791,574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1,114,972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3,464,344</w:t>
            </w:r>
          </w:p>
        </w:tc>
        <w:tc>
          <w:tcPr>
            <w:tcW w:w="0" w:type="dxa"/>
            <w:vAlign w:val="bottom"/>
          </w:tcPr>
          <w:p>
            <w:pPr>
              <w:spacing w:after="0"/>
              <w:rPr>
                <w:sz w:val="1"/>
                <w:szCs w:val="1"/>
                <w:color w:val="auto"/>
              </w:rPr>
            </w:pPr>
          </w:p>
        </w:tc>
      </w:tr>
      <w:tr>
        <w:trPr>
          <w:trHeight w:val="148"/>
        </w:trPr>
        <w:tc>
          <w:tcPr>
            <w:tcW w:w="6660" w:type="dxa"/>
            <w:vAlign w:val="bottom"/>
          </w:tcPr>
          <w:p>
            <w:pPr>
              <w:ind w:left="300"/>
              <w:spacing w:after="0" w:line="149" w:lineRule="exact"/>
              <w:rPr>
                <w:sz w:val="20"/>
                <w:szCs w:val="20"/>
                <w:color w:val="auto"/>
              </w:rPr>
            </w:pPr>
            <w:r>
              <w:rPr>
                <w:rFonts w:ascii="Arial" w:cs="Arial" w:eastAsia="Arial" w:hAnsi="Arial"/>
                <w:sz w:val="14"/>
                <w:szCs w:val="14"/>
                <w:color w:val="auto"/>
              </w:rPr>
              <w:t>Interest and expenses on the Credit Facility (See Note 11)</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4,923,219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3,251,761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3,471,347</w:t>
            </w: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1,148,281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837,708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879,000</w:t>
            </w:r>
          </w:p>
        </w:tc>
        <w:tc>
          <w:tcPr>
            <w:tcW w:w="0" w:type="dxa"/>
            <w:vAlign w:val="bottom"/>
          </w:tcPr>
          <w:p>
            <w:pPr>
              <w:spacing w:after="0"/>
              <w:rPr>
                <w:sz w:val="1"/>
                <w:szCs w:val="1"/>
                <w:color w:val="auto"/>
              </w:rPr>
            </w:pPr>
          </w:p>
        </w:tc>
      </w:tr>
      <w:tr>
        <w:trPr>
          <w:trHeight w:val="148"/>
        </w:trPr>
        <w:tc>
          <w:tcPr>
            <w:tcW w:w="6660" w:type="dxa"/>
            <w:vAlign w:val="bottom"/>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2,179,257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1,176,769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1,011,285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Expenses before provision for taxes and amendment costs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18,057,408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9,953,824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12,528,802</w:t>
            </w:r>
          </w:p>
        </w:tc>
        <w:tc>
          <w:tcPr>
            <w:tcW w:w="0" w:type="dxa"/>
            <w:vAlign w:val="bottom"/>
          </w:tcPr>
          <w:p>
            <w:pPr>
              <w:spacing w:after="0"/>
              <w:rPr>
                <w:sz w:val="1"/>
                <w:szCs w:val="1"/>
                <w:color w:val="auto"/>
              </w:rPr>
            </w:pPr>
          </w:p>
        </w:tc>
      </w:tr>
      <w:tr>
        <w:trPr>
          <w:trHeight w:val="148"/>
        </w:trPr>
        <w:tc>
          <w:tcPr>
            <w:tcW w:w="6660" w:type="dxa"/>
            <w:vAlign w:val="bottom"/>
          </w:tcPr>
          <w:p>
            <w:pPr>
              <w:ind w:left="300"/>
              <w:spacing w:after="0" w:line="149" w:lineRule="exact"/>
              <w:rPr>
                <w:sz w:val="20"/>
                <w:szCs w:val="20"/>
                <w:color w:val="auto"/>
              </w:rPr>
            </w:pPr>
            <w:r>
              <w:rPr>
                <w:rFonts w:ascii="Arial" w:cs="Arial" w:eastAsia="Arial" w:hAnsi="Arial"/>
                <w:sz w:val="14"/>
                <w:szCs w:val="14"/>
                <w:color w:val="auto"/>
              </w:rPr>
              <w:t>Provision for taxes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440,000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479,425</w:t>
            </w: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Credit Facility amendment costs (See Notes 5 and 11)</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907,722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2,301,478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712,930</w:t>
            </w:r>
          </w:p>
        </w:tc>
        <w:tc>
          <w:tcPr>
            <w:tcW w:w="0" w:type="dxa"/>
            <w:vAlign w:val="bottom"/>
          </w:tcPr>
          <w:p>
            <w:pPr>
              <w:spacing w:after="0"/>
              <w:rPr>
                <w:sz w:val="1"/>
                <w:szCs w:val="1"/>
                <w:color w:val="auto"/>
              </w:rPr>
            </w:pPr>
          </w:p>
        </w:tc>
      </w:tr>
      <w:tr>
        <w:trPr>
          <w:trHeight w:val="163"/>
        </w:trPr>
        <w:tc>
          <w:tcPr>
            <w:tcW w:w="66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Total expenses</w:t>
            </w:r>
          </w:p>
        </w:tc>
        <w:tc>
          <w:tcPr>
            <w:tcW w:w="9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18,965,130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12,695,302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13,721,157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investment income</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27,336,160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17,659,997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16,635,675</w:t>
            </w:r>
          </w:p>
        </w:tc>
        <w:tc>
          <w:tcPr>
            <w:tcW w:w="0" w:type="dxa"/>
            <w:vAlign w:val="bottom"/>
          </w:tcPr>
          <w:p>
            <w:pPr>
              <w:spacing w:after="0"/>
              <w:rPr>
                <w:sz w:val="1"/>
                <w:szCs w:val="1"/>
                <w:color w:val="auto"/>
              </w:rPr>
            </w:pPr>
          </w:p>
        </w:tc>
      </w:tr>
      <w:tr>
        <w:trPr>
          <w:trHeight w:val="156"/>
        </w:trPr>
        <w:tc>
          <w:tcPr>
            <w:tcW w:w="666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Credit Facility:</w:t>
            </w:r>
          </w:p>
        </w:tc>
        <w:tc>
          <w:tcPr>
            <w:tcW w:w="9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(loss) gain on non-controlled, non-affiliated investments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(1,376,788)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395,862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2,873,525</w:t>
            </w:r>
          </w:p>
        </w:tc>
        <w:tc>
          <w:tcPr>
            <w:tcW w:w="0" w:type="dxa"/>
            <w:vAlign w:val="bottom"/>
          </w:tcPr>
          <w:p>
            <w:pPr>
              <w:spacing w:after="0"/>
              <w:rPr>
                <w:sz w:val="1"/>
                <w:szCs w:val="1"/>
                <w:color w:val="auto"/>
              </w:rPr>
            </w:pPr>
          </w:p>
        </w:tc>
      </w:tr>
      <w:tr>
        <w:trPr>
          <w:trHeight w:val="148"/>
        </w:trPr>
        <w:tc>
          <w:tcPr>
            <w:tcW w:w="6660" w:type="dxa"/>
            <w:vAlign w:val="bottom"/>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7,011,289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(6,100,614)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1,553,771</w:t>
            </w:r>
          </w:p>
        </w:tc>
        <w:tc>
          <w:tcPr>
            <w:tcW w:w="0" w:type="dxa"/>
            <w:vAlign w:val="bottom"/>
          </w:tcPr>
          <w:p>
            <w:pPr>
              <w:spacing w:after="0"/>
              <w:rPr>
                <w:sz w:val="1"/>
                <w:szCs w:val="1"/>
                <w:color w:val="auto"/>
              </w:rPr>
            </w:pPr>
          </w:p>
        </w:tc>
      </w:tr>
      <w:tr>
        <w:trPr>
          <w:trHeight w:val="149"/>
        </w:trPr>
        <w:tc>
          <w:tcPr>
            <w:tcW w:w="6660" w:type="dxa"/>
            <w:vAlign w:val="bottom"/>
          </w:tcPr>
          <w:p>
            <w:pPr>
              <w:ind w:left="300"/>
              <w:spacing w:after="0" w:line="149" w:lineRule="exact"/>
              <w:rPr>
                <w:sz w:val="20"/>
                <w:szCs w:val="20"/>
                <w:color w:val="auto"/>
              </w:rPr>
            </w:pPr>
            <w:r>
              <w:rPr>
                <w:rFonts w:ascii="Arial" w:cs="Arial" w:eastAsia="Arial" w:hAnsi="Arial"/>
                <w:sz w:val="14"/>
                <w:szCs w:val="14"/>
                <w:color w:val="auto"/>
              </w:rPr>
              <w:t>Credit Facility depreciation (appreciation) (See Note 5)</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518,002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549,000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(549,000)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change in unrealized appreciation (depreciation) on investments and Credit Facility</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7,529,291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(5,551,614)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1,004,771</w:t>
            </w:r>
          </w:p>
        </w:tc>
        <w:tc>
          <w:tcPr>
            <w:tcW w:w="0" w:type="dxa"/>
            <w:vAlign w:val="bottom"/>
          </w:tcPr>
          <w:p>
            <w:pPr>
              <w:spacing w:after="0"/>
              <w:rPr>
                <w:sz w:val="1"/>
                <w:szCs w:val="1"/>
                <w:color w:val="auto"/>
              </w:rPr>
            </w:pPr>
          </w:p>
        </w:tc>
      </w:tr>
      <w:tr>
        <w:trPr>
          <w:trHeight w:val="163"/>
        </w:trPr>
        <w:tc>
          <w:tcPr>
            <w:tcW w:w="6660" w:type="dxa"/>
            <w:vAlign w:val="bottom"/>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9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6,152,503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(5,155,752)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3,878,296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2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33,488,663</w:t>
            </w:r>
          </w:p>
        </w:tc>
        <w:tc>
          <w:tcPr>
            <w:tcW w:w="3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12,504,245</w:t>
            </w:r>
          </w:p>
        </w:tc>
        <w:tc>
          <w:tcPr>
            <w:tcW w:w="32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20,513,971</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w:t>
            </w:r>
          </w:p>
        </w:tc>
        <w:tc>
          <w:tcPr>
            <w:tcW w:w="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1200" w:type="dxa"/>
            <w:vAlign w:val="bottom"/>
            <w:gridSpan w:val="2"/>
            <w:shd w:val="clear" w:color="auto" w:fill="CCEEFF"/>
          </w:tcPr>
          <w:p>
            <w:pPr>
              <w:jc w:val="right"/>
              <w:ind w:right="109"/>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1.02</w:t>
            </w:r>
          </w:p>
        </w:tc>
        <w:tc>
          <w:tcPr>
            <w:tcW w:w="300" w:type="dxa"/>
            <w:vAlign w:val="bottom"/>
            <w:gridSpan w:val="2"/>
            <w:shd w:val="clear" w:color="auto" w:fill="CCEEFF"/>
          </w:tcPr>
          <w:p>
            <w:pPr>
              <w:jc w:val="right"/>
              <w:ind w:right="109"/>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1.08</w:t>
            </w:r>
          </w:p>
        </w:tc>
        <w:tc>
          <w:tcPr>
            <w:tcW w:w="320" w:type="dxa"/>
            <w:vAlign w:val="bottom"/>
            <w:gridSpan w:val="2"/>
            <w:shd w:val="clear" w:color="auto" w:fill="CCEEFF"/>
          </w:tcPr>
          <w:p>
            <w:pPr>
              <w:jc w:val="right"/>
              <w:ind w:right="129"/>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40"/>
          </w:cols>
          <w:pgMar w:left="32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129"/>
              <w:spacing w:after="0"/>
              <w:rPr>
                <w:sz w:val="20"/>
                <w:szCs w:val="20"/>
                <w:color w:val="auto"/>
              </w:rPr>
            </w:pPr>
            <w:r>
              <w:rPr>
                <w:rFonts w:ascii="Arial" w:cs="Arial" w:eastAsia="Arial" w:hAnsi="Arial"/>
                <w:sz w:val="14"/>
                <w:szCs w:val="14"/>
                <w:b w:val="1"/>
                <w:bCs w:val="1"/>
                <w:color w:val="auto"/>
              </w:rPr>
              <w:t>Years Ended September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3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27,336,160</w:t>
            </w:r>
          </w:p>
        </w:tc>
        <w:tc>
          <w:tcPr>
            <w:tcW w:w="100" w:type="dxa"/>
            <w:vAlign w:val="bottom"/>
          </w:tcPr>
          <w:p>
            <w:pPr>
              <w:spacing w:after="0"/>
              <w:rPr>
                <w:sz w:val="12"/>
                <w:szCs w:val="12"/>
                <w:color w:val="auto"/>
              </w:rPr>
            </w:pPr>
          </w:p>
        </w:tc>
        <w:tc>
          <w:tcPr>
            <w:tcW w:w="32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17,659,997</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16,635,675</w:t>
            </w: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(loss) gain on investments</w:t>
            </w:r>
          </w:p>
        </w:tc>
        <w:tc>
          <w:tcPr>
            <w:tcW w:w="2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(1,376,788)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395,862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2,873,525</w:t>
            </w:r>
          </w:p>
        </w:tc>
        <w:tc>
          <w:tcPr>
            <w:tcW w:w="0" w:type="dxa"/>
            <w:vAlign w:val="bottom"/>
          </w:tcPr>
          <w:p>
            <w:pPr>
              <w:spacing w:after="0"/>
              <w:rPr>
                <w:sz w:val="1"/>
                <w:szCs w:val="1"/>
                <w:color w:val="auto"/>
              </w:rPr>
            </w:pPr>
          </w:p>
        </w:tc>
      </w:tr>
      <w:tr>
        <w:trPr>
          <w:trHeight w:val="148"/>
        </w:trPr>
        <w:tc>
          <w:tcPr>
            <w:tcW w:w="730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240" w:type="dxa"/>
            <w:vAlign w:val="bottom"/>
          </w:tcPr>
          <w:p>
            <w:pPr>
              <w:spacing w:after="0"/>
              <w:rPr>
                <w:sz w:val="12"/>
                <w:szCs w:val="12"/>
                <w:color w:val="auto"/>
              </w:rPr>
            </w:pP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7,011,289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(6,100,614)</w:t>
            </w: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1,553,771</w:t>
            </w: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unrealized depreciation (appreciation) on Credit Facility</w:t>
            </w:r>
          </w:p>
        </w:tc>
        <w:tc>
          <w:tcPr>
            <w:tcW w:w="2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518,002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549,000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(549,000)</w:t>
            </w:r>
          </w:p>
        </w:tc>
        <w:tc>
          <w:tcPr>
            <w:tcW w:w="0" w:type="dxa"/>
            <w:vAlign w:val="bottom"/>
          </w:tcPr>
          <w:p>
            <w:pPr>
              <w:spacing w:after="0"/>
              <w:rPr>
                <w:sz w:val="1"/>
                <w:szCs w:val="1"/>
                <w:color w:val="auto"/>
              </w:rPr>
            </w:pPr>
          </w:p>
        </w:tc>
      </w:tr>
      <w:tr>
        <w:trPr>
          <w:trHeight w:val="163"/>
        </w:trPr>
        <w:tc>
          <w:tcPr>
            <w:tcW w:w="73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33,488,663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12,504,245</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20,513,971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300"/>
              <w:spacing w:after="0" w:line="149" w:lineRule="exact"/>
              <w:rPr>
                <w:sz w:val="20"/>
                <w:szCs w:val="20"/>
                <w:color w:val="auto"/>
              </w:rPr>
            </w:pPr>
            <w:r>
              <w:rPr>
                <w:rFonts w:ascii="Arial" w:cs="Arial" w:eastAsia="Arial" w:hAnsi="Arial"/>
                <w:sz w:val="14"/>
                <w:szCs w:val="14"/>
                <w:color w:val="auto"/>
              </w:rPr>
              <w:t>Distribution of net investment income</w:t>
            </w:r>
          </w:p>
        </w:tc>
        <w:tc>
          <w:tcPr>
            <w:tcW w:w="24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(30,076,422)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(15,976,507)</w:t>
            </w:r>
          </w:p>
        </w:tc>
        <w:tc>
          <w:tcPr>
            <w:tcW w:w="2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(12,477,719)</w:t>
            </w: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Distribution of realized gains</w:t>
            </w:r>
          </w:p>
        </w:tc>
        <w:tc>
          <w:tcPr>
            <w:tcW w:w="2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(395,862)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(2,882,909)</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(3,574,936)</w:t>
            </w:r>
          </w:p>
        </w:tc>
        <w:tc>
          <w:tcPr>
            <w:tcW w:w="0" w:type="dxa"/>
            <w:vAlign w:val="bottom"/>
          </w:tcPr>
          <w:p>
            <w:pPr>
              <w:spacing w:after="0"/>
              <w:rPr>
                <w:sz w:val="1"/>
                <w:szCs w:val="1"/>
                <w:color w:val="auto"/>
              </w:rPr>
            </w:pPr>
          </w:p>
        </w:tc>
      </w:tr>
      <w:tr>
        <w:trPr>
          <w:trHeight w:val="163"/>
        </w:trPr>
        <w:tc>
          <w:tcPr>
            <w:tcW w:w="73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(30,472,284)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(18,859,416)</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(16,052,655)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300"/>
              <w:spacing w:after="0" w:line="149" w:lineRule="exact"/>
              <w:rPr>
                <w:sz w:val="20"/>
                <w:szCs w:val="20"/>
                <w:color w:val="auto"/>
              </w:rPr>
            </w:pPr>
            <w:r>
              <w:rPr>
                <w:rFonts w:ascii="Arial" w:cs="Arial" w:eastAsia="Arial" w:hAnsi="Arial"/>
                <w:sz w:val="14"/>
                <w:szCs w:val="14"/>
                <w:color w:val="auto"/>
              </w:rPr>
              <w:t>Acquisition of MCG assets (See Note 13)</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164,717,910</w:t>
            </w: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164,717,910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30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3,016,379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158,362,739</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4,461,316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300"/>
              <w:spacing w:after="0" w:line="149" w:lineRule="exact"/>
              <w:rPr>
                <w:sz w:val="20"/>
                <w:szCs w:val="20"/>
                <w:color w:val="auto"/>
              </w:rPr>
            </w:pPr>
            <w:r>
              <w:rPr>
                <w:rFonts w:ascii="Arial" w:cs="Arial" w:eastAsia="Arial" w:hAnsi="Arial"/>
                <w:sz w:val="14"/>
                <w:szCs w:val="14"/>
                <w:color w:val="auto"/>
              </w:rPr>
              <w:t>Beginning of year</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372,890,449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214,527,710</w:t>
            </w: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210,066,394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year</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375,906,828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372,890,449</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214,527,710</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300"/>
              <w:spacing w:after="0"/>
              <w:rPr>
                <w:sz w:val="20"/>
                <w:szCs w:val="20"/>
                <w:color w:val="auto"/>
              </w:rPr>
            </w:pPr>
            <w:r>
              <w:rPr>
                <w:rFonts w:ascii="Arial" w:cs="Arial" w:eastAsia="Arial" w:hAnsi="Arial"/>
                <w:sz w:val="14"/>
                <w:szCs w:val="14"/>
                <w:color w:val="auto"/>
              </w:rPr>
              <w:t>Undistributed net investment income, end of year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00" w:type="dxa"/>
            <w:vAlign w:val="bottom"/>
            <w:vMerge w:val="continue"/>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4,559,646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6,991,473</w:t>
            </w:r>
          </w:p>
        </w:tc>
        <w:tc>
          <w:tcPr>
            <w:tcW w:w="220" w:type="dxa"/>
            <w:vAlign w:val="bottom"/>
          </w:tcPr>
          <w:p>
            <w:pPr>
              <w:spacing w:after="0"/>
              <w:rPr>
                <w:sz w:val="12"/>
                <w:szCs w:val="12"/>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4,878,091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Pr>
          <w:p>
            <w:pPr>
              <w:ind w:left="300"/>
              <w:spacing w:after="0" w:line="149" w:lineRule="exact"/>
              <w:rPr>
                <w:sz w:val="20"/>
                <w:szCs w:val="20"/>
                <w:color w:val="auto"/>
              </w:rPr>
            </w:pPr>
            <w:r>
              <w:rPr>
                <w:rFonts w:ascii="Arial" w:cs="Arial" w:eastAsia="Arial" w:hAnsi="Arial"/>
                <w:sz w:val="14"/>
                <w:szCs w:val="14"/>
                <w:color w:val="auto"/>
              </w:rPr>
              <w:t>Shares issued</w:t>
            </w:r>
          </w:p>
        </w:tc>
        <w:tc>
          <w:tcPr>
            <w:tcW w:w="240" w:type="dxa"/>
            <w:vAlign w:val="bottom"/>
          </w:tcPr>
          <w:p>
            <w:pPr>
              <w:spacing w:after="0"/>
              <w:rPr>
                <w:sz w:val="12"/>
                <w:szCs w:val="12"/>
                <w:color w:val="auto"/>
              </w:rPr>
            </w:pP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11,832,018</w:t>
            </w: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Years Ended September 30,</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1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80" w:type="dxa"/>
            <w:vAlign w:val="bottom"/>
          </w:tcPr>
          <w:p>
            <w:pPr>
              <w:ind w:left="44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33,488,663</w:t>
            </w:r>
          </w:p>
        </w:tc>
        <w:tc>
          <w:tcPr>
            <w:tcW w:w="80" w:type="dxa"/>
            <w:vAlign w:val="bottom"/>
          </w:tcPr>
          <w:p>
            <w:pPr>
              <w:spacing w:after="0"/>
              <w:rPr>
                <w:sz w:val="12"/>
                <w:szCs w:val="12"/>
                <w:color w:val="auto"/>
              </w:rPr>
            </w:pPr>
          </w:p>
        </w:tc>
        <w:tc>
          <w:tcPr>
            <w:tcW w:w="5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12,504,245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20,513,971</w:t>
            </w:r>
          </w:p>
        </w:tc>
        <w:tc>
          <w:tcPr>
            <w:tcW w:w="0" w:type="dxa"/>
            <w:vAlign w:val="bottom"/>
          </w:tcPr>
          <w:p>
            <w:pPr>
              <w:spacing w:after="0"/>
              <w:rPr>
                <w:sz w:val="1"/>
                <w:szCs w:val="1"/>
                <w:color w:val="auto"/>
              </w:rPr>
            </w:pPr>
          </w:p>
        </w:tc>
      </w:tr>
      <w:tr>
        <w:trPr>
          <w:trHeight w:val="130"/>
        </w:trPr>
        <w:tc>
          <w:tcPr>
            <w:tcW w:w="7180" w:type="dxa"/>
            <w:vAlign w:val="bottom"/>
            <w:shd w:val="clear" w:color="auto" w:fill="CCEEFF"/>
          </w:tcPr>
          <w:p>
            <w:pPr>
              <w:ind w:left="440"/>
              <w:spacing w:after="0" w:line="130" w:lineRule="exact"/>
              <w:rPr>
                <w:sz w:val="20"/>
                <w:szCs w:val="20"/>
                <w:color w:val="auto"/>
              </w:rPr>
            </w:pPr>
            <w:r>
              <w:rPr>
                <w:rFonts w:ascii="Arial" w:cs="Arial" w:eastAsia="Arial" w:hAnsi="Arial"/>
                <w:sz w:val="14"/>
                <w:szCs w:val="14"/>
                <w:color w:val="auto"/>
              </w:rPr>
              <w:t>Adjustments to reconcile net increase in net assets resulting from operations to net cash used in operating</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1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activities:</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180" w:type="dxa"/>
            <w:vAlign w:val="bottom"/>
          </w:tcPr>
          <w:p>
            <w:pPr>
              <w:ind w:left="88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6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(7,011,289)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6,100,614</w:t>
            </w:r>
          </w:p>
        </w:tc>
        <w:tc>
          <w:tcPr>
            <w:tcW w:w="1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(1,553,771)</w:t>
            </w:r>
          </w:p>
        </w:tc>
        <w:tc>
          <w:tcPr>
            <w:tcW w:w="0" w:type="dxa"/>
            <w:vAlign w:val="bottom"/>
          </w:tcPr>
          <w:p>
            <w:pPr>
              <w:spacing w:after="0"/>
              <w:rPr>
                <w:sz w:val="1"/>
                <w:szCs w:val="1"/>
                <w:color w:val="auto"/>
              </w:rPr>
            </w:pPr>
          </w:p>
        </w:tc>
      </w:tr>
      <w:tr>
        <w:trPr>
          <w:trHeight w:val="149"/>
        </w:trPr>
        <w:tc>
          <w:tcPr>
            <w:tcW w:w="7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(depreciation) appreciation on Credit Facility</w:t>
            </w: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(518,002)</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(549,000)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549,000</w:t>
            </w:r>
          </w:p>
        </w:tc>
        <w:tc>
          <w:tcPr>
            <w:tcW w:w="0" w:type="dxa"/>
            <w:vAlign w:val="bottom"/>
          </w:tcPr>
          <w:p>
            <w:pPr>
              <w:spacing w:after="0"/>
              <w:rPr>
                <w:sz w:val="1"/>
                <w:szCs w:val="1"/>
                <w:color w:val="auto"/>
              </w:rPr>
            </w:pPr>
          </w:p>
        </w:tc>
      </w:tr>
      <w:tr>
        <w:trPr>
          <w:trHeight w:val="148"/>
        </w:trPr>
        <w:tc>
          <w:tcPr>
            <w:tcW w:w="7180" w:type="dxa"/>
            <w:vAlign w:val="bottom"/>
          </w:tcPr>
          <w:p>
            <w:pPr>
              <w:ind w:left="880"/>
              <w:spacing w:after="0" w:line="149" w:lineRule="exact"/>
              <w:rPr>
                <w:sz w:val="20"/>
                <w:szCs w:val="20"/>
                <w:color w:val="auto"/>
              </w:rPr>
            </w:pPr>
            <w:r>
              <w:rPr>
                <w:rFonts w:ascii="Arial" w:cs="Arial" w:eastAsia="Arial" w:hAnsi="Arial"/>
                <w:sz w:val="14"/>
                <w:szCs w:val="14"/>
                <w:color w:val="auto"/>
              </w:rPr>
              <w:t>Net realized loss (gain) on investments</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1,376,788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(395,862)</w:t>
            </w:r>
          </w:p>
        </w:tc>
        <w:tc>
          <w:tcPr>
            <w:tcW w:w="1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(2,873,525)</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(1,679,006)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(1,240,781)</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(1,253,776)</w:t>
            </w:r>
          </w:p>
        </w:tc>
        <w:tc>
          <w:tcPr>
            <w:tcW w:w="0" w:type="dxa"/>
            <w:vAlign w:val="bottom"/>
          </w:tcPr>
          <w:p>
            <w:pPr>
              <w:spacing w:after="0"/>
              <w:rPr>
                <w:sz w:val="1"/>
                <w:szCs w:val="1"/>
                <w:color w:val="auto"/>
              </w:rPr>
            </w:pPr>
          </w:p>
        </w:tc>
      </w:tr>
      <w:tr>
        <w:trPr>
          <w:trHeight w:val="148"/>
        </w:trPr>
        <w:tc>
          <w:tcPr>
            <w:tcW w:w="7180" w:type="dxa"/>
            <w:vAlign w:val="bottom"/>
          </w:tcPr>
          <w:p>
            <w:pPr>
              <w:ind w:left="880"/>
              <w:spacing w:after="0" w:line="149" w:lineRule="exact"/>
              <w:rPr>
                <w:sz w:val="20"/>
                <w:szCs w:val="20"/>
                <w:color w:val="auto"/>
              </w:rPr>
            </w:pPr>
            <w:r>
              <w:rPr>
                <w:rFonts w:ascii="Arial" w:cs="Arial" w:eastAsia="Arial" w:hAnsi="Arial"/>
                <w:sz w:val="14"/>
                <w:szCs w:val="14"/>
                <w:color w:val="auto"/>
              </w:rPr>
              <w:t>Purchases of investments</w:t>
            </w:r>
          </w:p>
        </w:tc>
        <w:tc>
          <w:tcPr>
            <w:tcW w:w="16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8"/>
              </w:rPr>
              <w:t>(364,442,810)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8"/>
              </w:rPr>
              <w:t>(224,170,119)</w:t>
            </w:r>
          </w:p>
        </w:tc>
        <w:tc>
          <w:tcPr>
            <w:tcW w:w="1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(248,124,673)</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Payment-in-kind interest</w:t>
            </w: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(108,066)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(655,580)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(662,226)</w:t>
            </w:r>
          </w:p>
        </w:tc>
        <w:tc>
          <w:tcPr>
            <w:tcW w:w="0" w:type="dxa"/>
            <w:vAlign w:val="bottom"/>
          </w:tcPr>
          <w:p>
            <w:pPr>
              <w:spacing w:after="0"/>
              <w:rPr>
                <w:sz w:val="1"/>
                <w:szCs w:val="1"/>
                <w:color w:val="auto"/>
              </w:rPr>
            </w:pPr>
          </w:p>
        </w:tc>
      </w:tr>
      <w:tr>
        <w:trPr>
          <w:trHeight w:val="149"/>
        </w:trPr>
        <w:tc>
          <w:tcPr>
            <w:tcW w:w="718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164,178,802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195,049,580</w:t>
            </w:r>
          </w:p>
        </w:tc>
        <w:tc>
          <w:tcPr>
            <w:tcW w:w="1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225,614,700</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decrease in interest receivable</w:t>
            </w: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(521,002)</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(185,534)</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366,932</w:t>
            </w:r>
          </w:p>
        </w:tc>
        <w:tc>
          <w:tcPr>
            <w:tcW w:w="0" w:type="dxa"/>
            <w:vAlign w:val="bottom"/>
          </w:tcPr>
          <w:p>
            <w:pPr>
              <w:spacing w:after="0"/>
              <w:rPr>
                <w:sz w:val="1"/>
                <w:szCs w:val="1"/>
                <w:color w:val="auto"/>
              </w:rPr>
            </w:pPr>
          </w:p>
        </w:tc>
      </w:tr>
      <w:tr>
        <w:trPr>
          <w:trHeight w:val="148"/>
        </w:trPr>
        <w:tc>
          <w:tcPr>
            <w:tcW w:w="7180" w:type="dxa"/>
            <w:vAlign w:val="bottom"/>
          </w:tcPr>
          <w:p>
            <w:pPr>
              <w:ind w:left="880"/>
              <w:spacing w:after="0" w:line="149" w:lineRule="exact"/>
              <w:rPr>
                <w:sz w:val="20"/>
                <w:szCs w:val="20"/>
                <w:color w:val="auto"/>
              </w:rPr>
            </w:pPr>
            <w:r>
              <w:rPr>
                <w:rFonts w:ascii="Arial" w:cs="Arial" w:eastAsia="Arial" w:hAnsi="Arial"/>
                <w:sz w:val="14"/>
                <w:szCs w:val="14"/>
                <w:color w:val="auto"/>
              </w:rPr>
              <w:t>Decrease (increase) in receivable for investments sold</w:t>
            </w:r>
          </w:p>
        </w:tc>
        <w:tc>
          <w:tcPr>
            <w:tcW w:w="16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9,001,938</w:t>
            </w:r>
          </w:p>
        </w:tc>
        <w:tc>
          <w:tcPr>
            <w:tcW w:w="1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(5,342,753)</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(increase) in prepaid expenses and other assets</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279,338</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(315,139)</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63,378</w:t>
            </w:r>
          </w:p>
        </w:tc>
        <w:tc>
          <w:tcPr>
            <w:tcW w:w="0" w:type="dxa"/>
            <w:vAlign w:val="bottom"/>
          </w:tcPr>
          <w:p>
            <w:pPr>
              <w:spacing w:after="0"/>
              <w:rPr>
                <w:sz w:val="1"/>
                <w:szCs w:val="1"/>
                <w:color w:val="auto"/>
              </w:rPr>
            </w:pPr>
          </w:p>
        </w:tc>
      </w:tr>
      <w:tr>
        <w:trPr>
          <w:trHeight w:val="148"/>
        </w:trPr>
        <w:tc>
          <w:tcPr>
            <w:tcW w:w="718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payable for investments purchased</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5,568,470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6,205,500</w:t>
            </w:r>
          </w:p>
        </w:tc>
        <w:tc>
          <w:tcPr>
            <w:tcW w:w="1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(10,859,588)</w:t>
            </w:r>
          </w:p>
        </w:tc>
        <w:tc>
          <w:tcPr>
            <w:tcW w:w="0" w:type="dxa"/>
            <w:vAlign w:val="bottom"/>
          </w:tcPr>
          <w:p>
            <w:pPr>
              <w:spacing w:after="0"/>
              <w:rPr>
                <w:sz w:val="1"/>
                <w:szCs w:val="1"/>
                <w:color w:val="auto"/>
              </w:rPr>
            </w:pPr>
          </w:p>
        </w:tc>
      </w:tr>
      <w:tr>
        <w:trPr>
          <w:trHeight w:val="149"/>
        </w:trPr>
        <w:tc>
          <w:tcPr>
            <w:tcW w:w="7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(decrease) in interest payable on Credit Facility</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307,293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(60,273)</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94,972</w:t>
            </w:r>
          </w:p>
        </w:tc>
        <w:tc>
          <w:tcPr>
            <w:tcW w:w="0" w:type="dxa"/>
            <w:vAlign w:val="bottom"/>
          </w:tcPr>
          <w:p>
            <w:pPr>
              <w:spacing w:after="0"/>
              <w:rPr>
                <w:sz w:val="1"/>
                <w:szCs w:val="1"/>
                <w:color w:val="auto"/>
              </w:rPr>
            </w:pPr>
          </w:p>
        </w:tc>
      </w:tr>
      <w:tr>
        <w:trPr>
          <w:trHeight w:val="148"/>
        </w:trPr>
        <w:tc>
          <w:tcPr>
            <w:tcW w:w="7180" w:type="dxa"/>
            <w:vAlign w:val="bottom"/>
          </w:tcPr>
          <w:p>
            <w:pPr>
              <w:ind w:left="880"/>
              <w:spacing w:after="0" w:line="149" w:lineRule="exact"/>
              <w:rPr>
                <w:sz w:val="20"/>
                <w:szCs w:val="20"/>
                <w:color w:val="auto"/>
              </w:rPr>
            </w:pPr>
            <w:r>
              <w:rPr>
                <w:rFonts w:ascii="Arial" w:cs="Arial" w:eastAsia="Arial" w:hAnsi="Arial"/>
                <w:sz w:val="14"/>
                <w:szCs w:val="14"/>
                <w:color w:val="auto"/>
              </w:rPr>
              <w:t>Increase in management fee payable</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502,510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41,137</w:t>
            </w:r>
          </w:p>
        </w:tc>
        <w:tc>
          <w:tcPr>
            <w:tcW w:w="1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183,343</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(decrease) in performance-based incentive fee payable</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3,451,978</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(2,177,668)</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1,016,514</w:t>
            </w:r>
          </w:p>
        </w:tc>
        <w:tc>
          <w:tcPr>
            <w:tcW w:w="0" w:type="dxa"/>
            <w:vAlign w:val="bottom"/>
          </w:tcPr>
          <w:p>
            <w:pPr>
              <w:spacing w:after="0"/>
              <w:rPr>
                <w:sz w:val="1"/>
                <w:szCs w:val="1"/>
                <w:color w:val="auto"/>
              </w:rPr>
            </w:pPr>
          </w:p>
        </w:tc>
      </w:tr>
      <w:tr>
        <w:trPr>
          <w:trHeight w:val="148"/>
        </w:trPr>
        <w:tc>
          <w:tcPr>
            <w:tcW w:w="7180" w:type="dxa"/>
            <w:vAlign w:val="bottom"/>
          </w:tcPr>
          <w:p>
            <w:pPr>
              <w:ind w:left="880"/>
              <w:spacing w:after="0" w:line="149" w:lineRule="exact"/>
              <w:rPr>
                <w:sz w:val="20"/>
                <w:szCs w:val="20"/>
                <w:color w:val="auto"/>
              </w:rPr>
            </w:pPr>
            <w:r>
              <w:rPr>
                <w:rFonts w:ascii="Arial" w:cs="Arial" w:eastAsia="Arial" w:hAnsi="Arial"/>
                <w:sz w:val="14"/>
                <w:szCs w:val="14"/>
                <w:color w:val="auto"/>
              </w:rPr>
              <w:t>(Decrease) increase in accrued other expenses</w:t>
            </w:r>
          </w:p>
        </w:tc>
        <w:tc>
          <w:tcPr>
            <w:tcW w:w="16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(336,370)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(1,358,635)</w:t>
            </w:r>
          </w:p>
        </w:tc>
        <w:tc>
          <w:tcPr>
            <w:tcW w:w="1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18,480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1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(165,462,703)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(2,205,577)</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(22,249,022)</w:t>
            </w:r>
          </w:p>
        </w:tc>
        <w:tc>
          <w:tcPr>
            <w:tcW w:w="0" w:type="dxa"/>
            <w:vAlign w:val="bottom"/>
          </w:tcPr>
          <w:p>
            <w:pPr>
              <w:spacing w:after="0"/>
              <w:rPr>
                <w:sz w:val="1"/>
                <w:szCs w:val="1"/>
                <w:color w:val="auto"/>
              </w:rPr>
            </w:pPr>
          </w:p>
        </w:tc>
      </w:tr>
      <w:tr>
        <w:trPr>
          <w:trHeight w:val="155"/>
        </w:trPr>
        <w:tc>
          <w:tcPr>
            <w:tcW w:w="71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Acquisition of MCG assets (See Note 13)</w:t>
            </w: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144,981,158</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180" w:type="dxa"/>
            <w:vAlign w:val="bottom"/>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16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(30,472,284)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(17,660,884)</w:t>
            </w:r>
          </w:p>
        </w:tc>
        <w:tc>
          <w:tcPr>
            <w:tcW w:w="1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(16,015,410)</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Borrowings under Credit Facility (See Notes 5 and 11)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260,707,500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130,700,000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148,200,000</w:t>
            </w:r>
          </w:p>
        </w:tc>
        <w:tc>
          <w:tcPr>
            <w:tcW w:w="0" w:type="dxa"/>
            <w:vAlign w:val="bottom"/>
          </w:tcPr>
          <w:p>
            <w:pPr>
              <w:spacing w:after="0"/>
              <w:rPr>
                <w:sz w:val="1"/>
                <w:szCs w:val="1"/>
                <w:color w:val="auto"/>
              </w:rPr>
            </w:pPr>
          </w:p>
        </w:tc>
      </w:tr>
      <w:tr>
        <w:trPr>
          <w:trHeight w:val="148"/>
        </w:trPr>
        <w:tc>
          <w:tcPr>
            <w:tcW w:w="7180" w:type="dxa"/>
            <w:vAlign w:val="bottom"/>
          </w:tcPr>
          <w:p>
            <w:pPr>
              <w:ind w:left="880"/>
              <w:spacing w:after="0" w:line="149" w:lineRule="exact"/>
              <w:rPr>
                <w:sz w:val="20"/>
                <w:szCs w:val="20"/>
                <w:color w:val="auto"/>
              </w:rPr>
            </w:pPr>
            <w:r>
              <w:rPr>
                <w:rFonts w:ascii="Arial" w:cs="Arial" w:eastAsia="Arial" w:hAnsi="Arial"/>
                <w:sz w:val="14"/>
                <w:szCs w:val="14"/>
                <w:color w:val="auto"/>
              </w:rPr>
              <w:t>Repayments under Credit Facility (See Notes 5 and 11)</w:t>
            </w:r>
          </w:p>
        </w:tc>
        <w:tc>
          <w:tcPr>
            <w:tcW w:w="16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(57,400,000)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8"/>
              </w:rPr>
              <w:t>(247,500,000)</w:t>
            </w:r>
          </w:p>
        </w:tc>
        <w:tc>
          <w:tcPr>
            <w:tcW w:w="1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(101,400,000)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1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172,835,216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10,520,274</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30,784,590</w:t>
            </w:r>
          </w:p>
        </w:tc>
        <w:tc>
          <w:tcPr>
            <w:tcW w:w="0" w:type="dxa"/>
            <w:vAlign w:val="bottom"/>
          </w:tcPr>
          <w:p>
            <w:pPr>
              <w:spacing w:after="0"/>
              <w:rPr>
                <w:sz w:val="1"/>
                <w:szCs w:val="1"/>
                <w:color w:val="auto"/>
              </w:rPr>
            </w:pPr>
          </w:p>
        </w:tc>
      </w:tr>
      <w:tr>
        <w:trPr>
          <w:trHeight w:val="155"/>
        </w:trPr>
        <w:tc>
          <w:tcPr>
            <w:tcW w:w="718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cash equivalents</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7,372,513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8,314,697</w:t>
            </w:r>
          </w:p>
        </w:tc>
        <w:tc>
          <w:tcPr>
            <w:tcW w:w="5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8,535,568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109,946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1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year</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21,428,514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13,113,817</w:t>
            </w:r>
          </w:p>
        </w:tc>
        <w:tc>
          <w:tcPr>
            <w:tcW w:w="1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4,578,249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year</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28,910,973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21,428,514</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13,113,817</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paid</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4,615,926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3,313,701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3,341,375</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300"/>
              <w:spacing w:after="0"/>
              <w:rPr>
                <w:sz w:val="20"/>
                <w:szCs w:val="20"/>
                <w:color w:val="auto"/>
              </w:rPr>
            </w:pPr>
            <w:r>
              <w:rPr>
                <w:rFonts w:ascii="Arial" w:cs="Arial" w:eastAsia="Arial" w:hAnsi="Arial"/>
                <w:sz w:val="14"/>
                <w:szCs w:val="14"/>
                <w:color w:val="auto"/>
              </w:rPr>
              <w:t>Taxes paid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80" w:type="dxa"/>
            <w:vAlign w:val="bottom"/>
            <w:vMerge w:val="continue"/>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308,795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430,242</w:t>
            </w:r>
          </w:p>
        </w:tc>
        <w:tc>
          <w:tcPr>
            <w:tcW w:w="5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254,753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8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Non-cash exchanges and conversions</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4,843,385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00"/>
              <w:spacing w:after="0" w:line="143" w:lineRule="exact"/>
              <w:rPr>
                <w:sz w:val="20"/>
                <w:szCs w:val="20"/>
                <w:color w:val="auto"/>
              </w:rPr>
            </w:pPr>
            <w:r>
              <w:rPr>
                <w:rFonts w:ascii="Arial" w:cs="Arial" w:eastAsia="Arial" w:hAnsi="Arial"/>
                <w:sz w:val="14"/>
                <w:szCs w:val="14"/>
                <w:color w:val="auto"/>
              </w:rPr>
              <w:t>670,283</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6,902,784</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300"/>
              <w:spacing w:after="0"/>
              <w:rPr>
                <w:sz w:val="20"/>
                <w:szCs w:val="20"/>
                <w:color w:val="auto"/>
              </w:rPr>
            </w:pPr>
            <w:r>
              <w:rPr>
                <w:rFonts w:ascii="Arial" w:cs="Arial" w:eastAsia="Arial" w:hAnsi="Arial"/>
                <w:sz w:val="14"/>
                <w:szCs w:val="14"/>
                <w:color w:val="auto"/>
              </w:rPr>
              <w:t>Investments acquired from MCG in exchange for shares issued (See Note 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180" w:type="dxa"/>
            <w:vAlign w:val="bottom"/>
            <w:vMerge w:val="continue"/>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20,277,132</w:t>
            </w:r>
          </w:p>
        </w:tc>
        <w:tc>
          <w:tcPr>
            <w:tcW w:w="5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8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Acquisition of other assets from MCG (See Note 13)</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2"/>
                <w:szCs w:val="12"/>
                <w:color w:val="auto"/>
              </w:rPr>
            </w:pPr>
          </w:p>
        </w:tc>
        <w:tc>
          <w:tcPr>
            <w:tcW w:w="540" w:type="dxa"/>
            <w:vAlign w:val="bottom"/>
            <w:gridSpan w:val="2"/>
            <w:shd w:val="clear" w:color="auto" w:fill="CCEEFF"/>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500"/>
              <w:spacing w:after="0" w:line="143" w:lineRule="exact"/>
              <w:rPr>
                <w:sz w:val="20"/>
                <w:szCs w:val="20"/>
                <w:color w:val="auto"/>
              </w:rPr>
            </w:pPr>
            <w:r>
              <w:rPr>
                <w:rFonts w:ascii="Arial" w:cs="Arial" w:eastAsia="Arial" w:hAnsi="Arial"/>
                <w:sz w:val="14"/>
                <w:szCs w:val="14"/>
                <w:color w:val="auto"/>
              </w:rPr>
              <w:t>549,031</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300"/>
              <w:spacing w:after="0"/>
              <w:rPr>
                <w:sz w:val="20"/>
                <w:szCs w:val="20"/>
                <w:color w:val="auto"/>
              </w:rPr>
            </w:pPr>
            <w:r>
              <w:rPr>
                <w:rFonts w:ascii="Arial" w:cs="Arial" w:eastAsia="Arial" w:hAnsi="Arial"/>
                <w:sz w:val="14"/>
                <w:szCs w:val="14"/>
                <w:color w:val="auto"/>
              </w:rPr>
              <w:t>Acquisition of other liabilities from MCG (See Note 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80" w:type="dxa"/>
            <w:vAlign w:val="bottom"/>
            <w:vMerge w:val="continue"/>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1,089,411</w:t>
            </w:r>
          </w:p>
        </w:tc>
        <w:tc>
          <w:tcPr>
            <w:tcW w:w="5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Spread</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Current</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Above</w:t>
            </w:r>
          </w:p>
        </w:tc>
        <w:tc>
          <w:tcPr>
            <w:tcW w:w="76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Par /</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60" w:type="dxa"/>
            <w:vAlign w:val="bottom"/>
            <w:vMerge w:val="continue"/>
          </w:tcPr>
          <w:p>
            <w:pPr>
              <w:spacing w:after="0"/>
              <w:rPr>
                <w:sz w:val="13"/>
                <w:szCs w:val="13"/>
                <w:color w:val="auto"/>
              </w:rPr>
            </w:pPr>
          </w:p>
        </w:tc>
        <w:tc>
          <w:tcPr>
            <w:tcW w:w="860" w:type="dxa"/>
            <w:vAlign w:val="bottom"/>
          </w:tcPr>
          <w:p>
            <w:pPr>
              <w:jc w:val="center"/>
              <w:ind w:left="97"/>
              <w:spacing w:after="0"/>
              <w:rPr>
                <w:sz w:val="20"/>
                <w:szCs w:val="20"/>
                <w:color w:val="auto"/>
              </w:rPr>
            </w:pPr>
            <w:r>
              <w:rPr>
                <w:rFonts w:ascii="Arial" w:cs="Arial" w:eastAsia="Arial" w:hAnsi="Arial"/>
                <w:sz w:val="13"/>
                <w:szCs w:val="13"/>
                <w:b w:val="1"/>
                <w:bCs w:val="1"/>
                <w:color w:val="auto"/>
                <w:w w:val="98"/>
              </w:rPr>
              <w:t>Maturity</w:t>
            </w: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700" w:type="dxa"/>
            <w:vAlign w:val="bottom"/>
          </w:tcPr>
          <w:p>
            <w:pPr>
              <w:jc w:val="right"/>
              <w:ind w:right="137"/>
              <w:spacing w:after="0"/>
              <w:rPr>
                <w:sz w:val="20"/>
                <w:szCs w:val="20"/>
                <w:color w:val="auto"/>
              </w:rPr>
            </w:pPr>
            <w:r>
              <w:rPr>
                <w:rFonts w:ascii="Arial" w:cs="Arial" w:eastAsia="Arial" w:hAnsi="Arial"/>
                <w:sz w:val="13"/>
                <w:szCs w:val="13"/>
                <w:b w:val="1"/>
                <w:bCs w:val="1"/>
                <w:color w:val="auto"/>
                <w:w w:val="97"/>
              </w:rPr>
              <w:t>Coupon</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940" w:type="dxa"/>
            <w:vAlign w:val="bottom"/>
          </w:tcPr>
          <w:p>
            <w:pPr>
              <w:jc w:val="right"/>
              <w:ind w:right="277"/>
              <w:spacing w:after="0"/>
              <w:rPr>
                <w:sz w:val="20"/>
                <w:szCs w:val="20"/>
                <w:color w:val="auto"/>
              </w:rPr>
            </w:pPr>
            <w:r>
              <w:rPr>
                <w:rFonts w:ascii="Arial" w:cs="Arial" w:eastAsia="Arial" w:hAnsi="Arial"/>
                <w:sz w:val="13"/>
                <w:szCs w:val="13"/>
                <w:b w:val="1"/>
                <w:bCs w:val="1"/>
                <w:color w:val="auto"/>
              </w:rPr>
              <w:t>Cost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50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9"/>
              </w:rPr>
              <w:t xml:space="preserve">Investments in Non-Controlled, Non-Affiliated Portfolio Companies—159.3% </w:t>
            </w:r>
            <w:r>
              <w:rPr>
                <w:rFonts w:ascii="Arial" w:cs="Arial" w:eastAsia="Arial" w:hAnsi="Arial"/>
                <w:sz w:val="10"/>
                <w:szCs w:val="10"/>
                <w:b w:val="1"/>
                <w:bCs w:val="1"/>
                <w:color w:val="auto"/>
                <w:w w:val="99"/>
              </w:rPr>
              <w:t>(3), (4)</w:t>
            </w:r>
          </w:p>
        </w:tc>
        <w:tc>
          <w:tcPr>
            <w:tcW w:w="20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Debt—145.9%</w:t>
            </w:r>
          </w:p>
        </w:tc>
        <w:tc>
          <w:tcPr>
            <w:tcW w:w="8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Advanced Cable Communications, LLC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08/09/2021</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12,500,000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  12,255,990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12,250,000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08/09/2021</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(80,000)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02/28/2019</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12,064,454</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12,037,105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12,064,454</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04/04/2022</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3,943,925</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3,925,777</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3,946,410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Bath Group, LLC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10/02/2023</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3,000,000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2,970,000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2,992,500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American Scaffold</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03/31/2022</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4,937,500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4,866,801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4,888,125</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AMF Bowling Centers, Inc.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09/19/2023</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15,000,000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14,850,608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14,931,300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12/21/2020</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9.25%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6,534,878</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6,462,308</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6,220,419</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API Technologies Corp.</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04/22/2022</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9,975,000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9,787,810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9,825,375</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11/15/2018</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8"/>
              </w:rPr>
              <w:t>Energy: Oil and Gas</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5,125,684</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5,042,414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4,228,689</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06/29/2020</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3,498,670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3,462,806</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3,498,670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06/03/2021</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2,440,000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2,397,229</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2,422,820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06/03/2021</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13.50%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L+1,225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2,460,000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2,415,653</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2,442,679</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06/30/2021</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8"/>
              </w:rPr>
              <w:t>Transportation: Cargo</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2,468,750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2,448,157</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2,370,000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CareCentrix, Inc.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07/08/2021</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4,950,000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4,847,215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4,863,375</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07/02/2020</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8.25%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4,962,500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4,930,912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4,850,844</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CD&amp;R TZ Purchaser, Inc.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07/21/2023</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12,500,000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12,179,928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12,343,750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12/24/2019</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4,098,750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4,061,551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3,750,357</w:t>
            </w:r>
          </w:p>
        </w:tc>
        <w:tc>
          <w:tcPr>
            <w:tcW w:w="0" w:type="dxa"/>
            <w:vAlign w:val="bottom"/>
          </w:tcPr>
          <w:p>
            <w:pPr>
              <w:spacing w:after="0"/>
              <w:rPr>
                <w:sz w:val="1"/>
                <w:szCs w:val="1"/>
                <w:color w:val="auto"/>
              </w:rPr>
            </w:pPr>
          </w:p>
        </w:tc>
      </w:tr>
      <w:tr>
        <w:trPr>
          <w:trHeight w:val="121"/>
        </w:trPr>
        <w:tc>
          <w:tcPr>
            <w:tcW w:w="4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860" w:type="dxa"/>
            <w:vAlign w:val="bottom"/>
            <w:shd w:val="clear" w:color="auto" w:fill="CCEEFF"/>
          </w:tcPr>
          <w:p>
            <w:pPr>
              <w:jc w:val="center"/>
              <w:ind w:left="97"/>
              <w:spacing w:after="0" w:line="121" w:lineRule="exact"/>
              <w:rPr>
                <w:sz w:val="20"/>
                <w:szCs w:val="20"/>
                <w:color w:val="auto"/>
              </w:rPr>
            </w:pPr>
            <w:r>
              <w:rPr>
                <w:rFonts w:ascii="Arial" w:cs="Arial" w:eastAsia="Arial" w:hAnsi="Arial"/>
                <w:sz w:val="13"/>
                <w:szCs w:val="13"/>
                <w:color w:val="auto"/>
                <w:w w:val="89"/>
              </w:rPr>
              <w:t>01/08/2019</w:t>
            </w:r>
          </w:p>
        </w:tc>
        <w:tc>
          <w:tcPr>
            <w:tcW w:w="20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7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7.50%</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L+625</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4,828,571</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4,801,254</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4,732,000</w:t>
            </w: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11/25/2020</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10.75%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L+975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6,272,600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6,163,749</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6,272,600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(10)</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11/25/2020</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518,033</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12/21/2020</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10,531,671</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10,451,145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10,505,342</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02/07/2022</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1,970,000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1,953,997</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1,970,000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DBI Holding LLC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08/02/2021</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10,000,000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9,900,163</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9,900,000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03/19/2018</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8.75%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2,237,139</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2,225,615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2,237,139</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12/09/2020</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4,925,000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4,889,096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4,875,750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06/30/2020</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4,687,500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4,659,016</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4,687,500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09/10/2020</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8,550,000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8,513,835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8,507,250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(10)</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09/10/2020</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Education Networks of America, Inc.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05/06/2021</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8,641,304</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8,599,431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8,598,098</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 Networks of America, Inc. (Revolver)</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05/06/2021</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434,783</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434,783</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434,783</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 xml:space="preserve">Education Networks of America, Inc. (Revolver) </w:t>
            </w:r>
            <w:r>
              <w:rPr>
                <w:rFonts w:ascii="Arial" w:cs="Arial" w:eastAsia="Arial" w:hAnsi="Arial"/>
                <w:sz w:val="10"/>
                <w:szCs w:val="10"/>
                <w:color w:val="auto"/>
              </w:rPr>
              <w:t>(10)</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05/06/2021</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869,565</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Efficient Collaborative Retail Marketing Company, LLC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06/15/2022</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7.75%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10,972,500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10,864,398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10,972,500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07/01/2021</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6.75%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4,937,500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4,875,844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4,702,969</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12/23/2021</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4,925,000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4,884,041</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4,798,821</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05/31/2019</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3,890,000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3,867,640</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3,880,275</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11/04/2020</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6,807,500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6,765,938</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6,620,294</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GTCR Valor Companies, Inc.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06/16/2023</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Media: Broadcasting and Subscription</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7,481,250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7,191,975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7,116,539</w:t>
            </w:r>
          </w:p>
        </w:tc>
        <w:tc>
          <w:tcPr>
            <w:tcW w:w="0" w:type="dxa"/>
            <w:vAlign w:val="bottom"/>
          </w:tcPr>
          <w:p>
            <w:pPr>
              <w:spacing w:after="0"/>
              <w:rPr>
                <w:sz w:val="1"/>
                <w:szCs w:val="1"/>
                <w:color w:val="auto"/>
              </w:rPr>
            </w:pPr>
          </w:p>
        </w:tc>
      </w:tr>
      <w:tr>
        <w:trPr>
          <w:trHeight w:val="121"/>
        </w:trPr>
        <w:tc>
          <w:tcPr>
            <w:tcW w:w="4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Harbortouch Payments, LLC</w:t>
            </w:r>
          </w:p>
        </w:tc>
        <w:tc>
          <w:tcPr>
            <w:tcW w:w="860" w:type="dxa"/>
            <w:vAlign w:val="bottom"/>
            <w:shd w:val="clear" w:color="auto" w:fill="CCEEFF"/>
          </w:tcPr>
          <w:p>
            <w:pPr>
              <w:jc w:val="center"/>
              <w:ind w:left="97"/>
              <w:spacing w:after="0" w:line="121" w:lineRule="exact"/>
              <w:rPr>
                <w:sz w:val="20"/>
                <w:szCs w:val="20"/>
                <w:color w:val="auto"/>
              </w:rPr>
            </w:pPr>
            <w:r>
              <w:rPr>
                <w:rFonts w:ascii="Arial" w:cs="Arial" w:eastAsia="Arial" w:hAnsi="Arial"/>
                <w:sz w:val="13"/>
                <w:szCs w:val="13"/>
                <w:color w:val="auto"/>
                <w:w w:val="89"/>
              </w:rPr>
              <w:t>05/31/2022</w:t>
            </w:r>
          </w:p>
        </w:tc>
        <w:tc>
          <w:tcPr>
            <w:tcW w:w="20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7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7.00%</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6,956,250</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6,889,369</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7,025,812</w:t>
            </w: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Estate</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w w:val="99"/>
              </w:rPr>
              <w:t>Highline Aftermarket Acquisition, LLC (f/k/a DYK Prime Acquisition, LLC)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04/01/2022</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5"/>
              </w:rPr>
              <w:t>Wholesale</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7,312,500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7,244,146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7,275,937</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10/21/2020</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1,165,886</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1,153,016</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1,142,569</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12/13/2019</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2,624,730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2,610,592</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2,183,890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08/05/2019</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6,256,250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6,218,559</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5,505,500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11/04/2020</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L+625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6,225,820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6,133,990</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6,225,820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Idera, Inc.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04/09/2021</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7,942,494</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7,293,179</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7,684,363</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05/01/2019</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8,676,097</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8,614,521</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8,242,292</w:t>
            </w:r>
          </w:p>
        </w:tc>
        <w:tc>
          <w:tcPr>
            <w:tcW w:w="0" w:type="dxa"/>
            <w:vAlign w:val="bottom"/>
          </w:tcPr>
          <w:p>
            <w:pPr>
              <w:spacing w:after="0"/>
              <w:rPr>
                <w:sz w:val="1"/>
                <w:szCs w:val="1"/>
                <w:color w:val="auto"/>
              </w:rPr>
            </w:pPr>
          </w:p>
        </w:tc>
      </w:tr>
      <w:tr>
        <w:trPr>
          <w:trHeight w:val="121"/>
        </w:trPr>
        <w:tc>
          <w:tcPr>
            <w:tcW w:w="4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Imagine! Print Solutions, LLC</w:t>
            </w:r>
          </w:p>
        </w:tc>
        <w:tc>
          <w:tcPr>
            <w:tcW w:w="860" w:type="dxa"/>
            <w:vAlign w:val="bottom"/>
            <w:shd w:val="clear" w:color="auto" w:fill="CCEEFF"/>
          </w:tcPr>
          <w:p>
            <w:pPr>
              <w:jc w:val="center"/>
              <w:ind w:left="97"/>
              <w:spacing w:after="0" w:line="121" w:lineRule="exact"/>
              <w:rPr>
                <w:sz w:val="20"/>
                <w:szCs w:val="20"/>
                <w:color w:val="auto"/>
              </w:rPr>
            </w:pPr>
            <w:r>
              <w:rPr>
                <w:rFonts w:ascii="Arial" w:cs="Arial" w:eastAsia="Arial" w:hAnsi="Arial"/>
                <w:sz w:val="13"/>
                <w:szCs w:val="13"/>
                <w:color w:val="auto"/>
                <w:w w:val="89"/>
              </w:rPr>
              <w:t>03/30/2022</w:t>
            </w:r>
          </w:p>
        </w:tc>
        <w:tc>
          <w:tcPr>
            <w:tcW w:w="20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7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7.00%</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5,974,987</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5,914,562</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6,027,269</w:t>
            </w: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6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860" w:type="dxa"/>
            <w:vAlign w:val="bottom"/>
          </w:tcPr>
          <w:p>
            <w:pPr>
              <w:jc w:val="center"/>
              <w:ind w:left="97"/>
              <w:spacing w:after="0" w:line="121" w:lineRule="exact"/>
              <w:rPr>
                <w:sz w:val="20"/>
                <w:szCs w:val="20"/>
                <w:color w:val="auto"/>
              </w:rPr>
            </w:pPr>
            <w:r>
              <w:rPr>
                <w:rFonts w:ascii="Arial" w:cs="Arial" w:eastAsia="Arial" w:hAnsi="Arial"/>
                <w:sz w:val="13"/>
                <w:szCs w:val="13"/>
                <w:color w:val="auto"/>
                <w:w w:val="89"/>
              </w:rPr>
              <w:t>03/28/2019</w:t>
            </w:r>
          </w:p>
        </w:tc>
        <w:tc>
          <w:tcPr>
            <w:tcW w:w="204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70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5.50%</w:t>
            </w:r>
          </w:p>
        </w:tc>
        <w:tc>
          <w:tcPr>
            <w:tcW w:w="78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5,277,938</w:t>
            </w:r>
          </w:p>
        </w:tc>
        <w:tc>
          <w:tcPr>
            <w:tcW w:w="9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5,235,239</w:t>
            </w:r>
          </w:p>
        </w:tc>
        <w:tc>
          <w:tcPr>
            <w:tcW w:w="10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5,277,938</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860" w:type="dxa"/>
            <w:vAlign w:val="bottom"/>
            <w:shd w:val="clear" w:color="auto" w:fill="CCEEFF"/>
          </w:tcPr>
          <w:p>
            <w:pPr>
              <w:jc w:val="center"/>
              <w:ind w:left="97"/>
              <w:spacing w:after="0" w:line="121" w:lineRule="exact"/>
              <w:rPr>
                <w:sz w:val="20"/>
                <w:szCs w:val="20"/>
                <w:color w:val="auto"/>
              </w:rPr>
            </w:pPr>
            <w:r>
              <w:rPr>
                <w:rFonts w:ascii="Arial" w:cs="Arial" w:eastAsia="Arial" w:hAnsi="Arial"/>
                <w:sz w:val="13"/>
                <w:szCs w:val="13"/>
                <w:color w:val="auto"/>
                <w:w w:val="89"/>
              </w:rPr>
              <w:t>03/28/2019</w:t>
            </w:r>
          </w:p>
        </w:tc>
        <w:tc>
          <w:tcPr>
            <w:tcW w:w="20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70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12.00%</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L+1,100</w:t>
            </w:r>
          </w:p>
        </w:tc>
        <w:tc>
          <w:tcPr>
            <w:tcW w:w="7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4,500,000</w:t>
            </w:r>
          </w:p>
        </w:tc>
        <w:tc>
          <w:tcPr>
            <w:tcW w:w="9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4,460,571</w:t>
            </w:r>
          </w:p>
        </w:tc>
        <w:tc>
          <w:tcPr>
            <w:tcW w:w="10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06/30/2020</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6,662,719</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6,609,864</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6,662,719</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Inventus Power, Inc. (f/k/a ICC-Nexergy, Inc.)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04/30/2020</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4,882,266</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4,846,935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4,686,976</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Jackson Hewitt Inc.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07/30/2020</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L+700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4,900,000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4,820,995</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4,753,000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02/19/2021</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L+900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4,002,471</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3,932,760</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3,925,841</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Kendra Scott, LLC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07/17/2020</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2,850,000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2,827,307</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2,821,500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KHC Holdings, Inc.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10/31/2022</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Wholesale</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L+600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12,406,250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12,210,683</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12,344,219</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(10)</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10/30/2020</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5"/>
              </w:rPr>
              <w:t>Wholesale</w:t>
            </w: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1,209,677</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Lago Resort &amp; Casino, LLC</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03/07/2022</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L+950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10,174,500</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9,984,965</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9,971,010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11/13/2020</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High Tech Industries</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1,945,020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1,940,066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1,930,432</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11/30/2018</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L+525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5,407,864</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5,371,524</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5,272,668</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(6), (11)</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05/10/2021</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2,186,607</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2,177,539</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2,186,607</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05/10/2021</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L+450</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282,143</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280,973</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282,143</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3"/>
                <w:szCs w:val="13"/>
                <w:color w:val="auto"/>
              </w:rPr>
              <w:t>Lombart Brothers, Inc.</w:t>
            </w:r>
          </w:p>
        </w:tc>
        <w:tc>
          <w:tcPr>
            <w:tcW w:w="86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9"/>
              </w:rPr>
              <w:t>04/13/2022</w:t>
            </w:r>
          </w:p>
        </w:tc>
        <w:tc>
          <w:tcPr>
            <w:tcW w:w="2040" w:type="dxa"/>
            <w:vAlign w:val="bottom"/>
          </w:tcPr>
          <w:p>
            <w:pPr>
              <w:jc w:val="center"/>
              <w:spacing w:after="0" w:line="135" w:lineRule="exact"/>
              <w:rPr>
                <w:sz w:val="20"/>
                <w:szCs w:val="20"/>
                <w:color w:val="auto"/>
              </w:rPr>
            </w:pPr>
            <w:r>
              <w:rPr>
                <w:rFonts w:ascii="Arial" w:cs="Arial" w:eastAsia="Arial" w:hAnsi="Arial"/>
                <w:sz w:val="13"/>
                <w:szCs w:val="13"/>
                <w:color w:val="auto"/>
                <w:w w:val="90"/>
              </w:rPr>
              <w:t>Capital Equipment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7.75%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5,985,000</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5,901,046</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6,014,925</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w:t>
            </w:r>
          </w:p>
        </w:tc>
        <w:tc>
          <w:tcPr>
            <w:tcW w:w="860" w:type="dxa"/>
            <w:vAlign w:val="bottom"/>
            <w:shd w:val="clear" w:color="auto" w:fill="CCEEFF"/>
          </w:tcPr>
          <w:p>
            <w:pPr>
              <w:jc w:val="center"/>
              <w:ind w:left="97"/>
              <w:spacing w:after="0" w:line="135" w:lineRule="exact"/>
              <w:rPr>
                <w:sz w:val="20"/>
                <w:szCs w:val="20"/>
                <w:color w:val="auto"/>
              </w:rPr>
            </w:pPr>
            <w:r>
              <w:rPr>
                <w:rFonts w:ascii="Arial" w:cs="Arial" w:eastAsia="Arial" w:hAnsi="Arial"/>
                <w:sz w:val="13"/>
                <w:szCs w:val="13"/>
                <w:color w:val="auto"/>
                <w:w w:val="89"/>
              </w:rPr>
              <w:t>04/13/2022</w:t>
            </w:r>
          </w:p>
        </w:tc>
        <w:tc>
          <w:tcPr>
            <w:tcW w:w="20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Capital Equipment</w:t>
            </w:r>
          </w:p>
        </w:tc>
        <w:tc>
          <w:tcPr>
            <w:tcW w:w="7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7.75%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L+675</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176,991</w:t>
            </w:r>
          </w:p>
        </w:tc>
        <w:tc>
          <w:tcPr>
            <w:tcW w:w="9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176,991</w:t>
            </w: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176,991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Spread</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Maturity</w:t>
            </w: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Current</w:t>
            </w:r>
          </w:p>
        </w:tc>
        <w:tc>
          <w:tcPr>
            <w:tcW w:w="9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Above</w:t>
            </w:r>
          </w:p>
        </w:tc>
        <w:tc>
          <w:tcPr>
            <w:tcW w:w="86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Industry</w:t>
            </w:r>
          </w:p>
        </w:tc>
        <w:tc>
          <w:tcPr>
            <w:tcW w:w="9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Coupon</w:t>
            </w:r>
          </w:p>
        </w:tc>
        <w:tc>
          <w:tcPr>
            <w:tcW w:w="9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(1)</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8"/>
        </w:trPr>
        <w:tc>
          <w:tcPr>
            <w:tcW w:w="35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 (10)</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04/13/2022</w:t>
            </w:r>
          </w:p>
        </w:tc>
        <w:tc>
          <w:tcPr>
            <w:tcW w:w="20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Capital Equipment</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1,061,947</w:t>
            </w: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Long’s Drugs Incorporated</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08/19/2021</w:t>
            </w:r>
          </w:p>
        </w:tc>
        <w:tc>
          <w:tcPr>
            <w:tcW w:w="20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L+525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5,000,000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4,951,874</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01/15/2021</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Retail</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L+900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9,542,392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9,417,467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9,542,392</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LTI Holdings, Inc.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04/18/2022</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Chemicals, Plastics and Rubber</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5.25%</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L+425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5,431,250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4,973,326</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5,254,734</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Marketplace Events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01/27/2021</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L+525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1,362,530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1,342,162</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1,342,092</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(12)</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01/27/2021</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P+275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89"/>
              </w:rPr>
              <w:t>17,244,188</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8"/>
              </w:rPr>
              <w:t>12,065,652</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13,078,215</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01/27/2021</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6.25%</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P+275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1,090,024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1,090,024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1,090,024</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(10)</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01/27/2021</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613,139</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Mission Critical Electronics, Inc. </w:t>
            </w:r>
            <w:r>
              <w:rPr>
                <w:rFonts w:ascii="Arial" w:cs="Arial" w:eastAsia="Arial" w:hAnsi="Arial"/>
                <w:sz w:val="10"/>
                <w:szCs w:val="10"/>
                <w:color w:val="auto"/>
              </w:rPr>
              <w:t>(8)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09/28/2022</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0"/>
              </w:rPr>
              <w:t>Capital Equipment</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4,116,608</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4,075,499</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4,075,442</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Mission Critical Electronics, Inc. (Revolver) </w:t>
            </w:r>
            <w:r>
              <w:rPr>
                <w:rFonts w:ascii="Arial" w:cs="Arial" w:eastAsia="Arial" w:hAnsi="Arial"/>
                <w:sz w:val="10"/>
                <w:szCs w:val="10"/>
                <w:color w:val="auto"/>
              </w:rPr>
              <w:t>(8), (10)</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09/28/2021</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0"/>
              </w:rPr>
              <w:t>Capital Equipment</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883,392</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07/31/2019</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L+525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8,817,647</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8,767,669</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8,288,588</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08/19/2022</w:t>
            </w:r>
          </w:p>
        </w:tc>
        <w:tc>
          <w:tcPr>
            <w:tcW w:w="20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6,268,657</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6,205,970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6,205,970</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 (10)</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08/19/2022</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3,731,343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Polycom, Inc.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09/27/2023</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Telecommunications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6,000,000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5,760,000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5,775,000</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Precyse Acquisition Corp.</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10/20/2022</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3,990,000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3,932,956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4,014,938</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Premier Dental Services, Inc.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11/01/2018</w:t>
            </w:r>
          </w:p>
        </w:tc>
        <w:tc>
          <w:tcPr>
            <w:tcW w:w="20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Services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7,528,230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7,473,587</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7,490,588</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Profile Products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05/20/2021</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9"/>
              </w:rPr>
              <w:t>Environmental Industries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5.75%</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L+475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7,281,762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7,222,561</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7,281,762</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(10)</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05/20/2020</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9"/>
              </w:rPr>
              <w:t>Environmental Industries</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2,459,016</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Quick Weight Loss Centers,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08/23/2021</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Beverage, Food and Tobacco</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5.75%</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L+475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9"/>
              </w:rPr>
              <w:t>10,000,000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9,852,456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9,900,000</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Research Now Group, Inc.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03/18/2021</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High Tech Industries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5.50%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L+450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6,895,000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6,867,800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6,688,150</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06/18/2019</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Consumer Goods: Durable</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L+700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4,252,830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4,233,671</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4,258,699</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Ryan,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08/07/2020</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Business Services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6.75%</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L+575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4,218,750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4,166,413</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4,163,400</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Sensus USA, Inc.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04/05/2023</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0"/>
              </w:rPr>
              <w:t>Utilities: Water</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9,975,000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9,692,511</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9,999,938</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Snak Club,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07/19/2021</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Beverage, Food and Tobacco</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4,968,748</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4,896,623</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4,919,060</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(10)</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07/19/2021</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Beverage, Food and Tobacco</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Software Paradigms International Group,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05/21/2021</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High Tech Industries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9,875,000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9,781,596</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9,825,625</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04/21/2017</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Aerospace and Defense</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L+750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5,668,843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5,614,696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5,640,499</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Sundial Group Holdings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10/19/2021</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Consumer Goods: Non-Durable</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7.25%</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L+625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7,312,500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7,200,786</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7,312,500</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12/16/2020</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Business Services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7,446,562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7,395,200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7,409,329</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10/18/2019</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High Tech Industries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5.00%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L+400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5,850,000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5,834,217</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5,733,000</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07/09/2021</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Construction and Building</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5.75%</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L+475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4,822,723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4,786,985</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4,071,198</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Co. </w:t>
            </w:r>
            <w:r>
              <w:rPr>
                <w:rFonts w:ascii="Arial" w:cs="Arial" w:eastAsia="Arial" w:hAnsi="Arial"/>
                <w:sz w:val="10"/>
                <w:szCs w:val="10"/>
                <w:color w:val="auto"/>
              </w:rPr>
              <w:t>(6), (11)</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07/20/2021</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Consumer Goods: Non-Durable</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3,092,295</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3,062,366</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3,061,372</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Ltd. </w:t>
            </w:r>
            <w:r>
              <w:rPr>
                <w:rFonts w:ascii="Arial" w:cs="Arial" w:eastAsia="Arial" w:hAnsi="Arial"/>
                <w:sz w:val="10"/>
                <w:szCs w:val="10"/>
                <w:color w:val="auto"/>
              </w:rPr>
              <w:t>(6), (11)</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07/20/2021</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Consumer Goods: Non-Durable</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5,986,002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5,928,120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5,926,142</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The Original Cakerie Ltd. (Revolver) </w:t>
            </w:r>
            <w:r>
              <w:rPr>
                <w:rFonts w:ascii="Arial" w:cs="Arial" w:eastAsia="Arial" w:hAnsi="Arial"/>
                <w:sz w:val="10"/>
                <w:szCs w:val="10"/>
                <w:color w:val="auto"/>
              </w:rPr>
              <w:t>(6), (8), (10), (11)</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07/20/2021</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Consumer Goods: Non-Durable</w:t>
            </w:r>
          </w:p>
        </w:tc>
        <w:tc>
          <w:tcPr>
            <w:tcW w:w="9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1,418,484</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(7,092)</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11/02/2020</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Consumer Goods: Non-Durable</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1,970,000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1,825,559</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1,576,000</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Triad Manufacturing, Inc.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12/28/2020</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0"/>
              </w:rPr>
              <w:t>Capital Equipment</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11.27%</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L+1,075</w:t>
            </w:r>
            <w:r>
              <w:rPr>
                <w:rFonts w:ascii="Arial" w:cs="Arial" w:eastAsia="Arial" w:hAnsi="Arial"/>
                <w:sz w:val="10"/>
                <w:szCs w:val="10"/>
                <w:color w:val="auto"/>
              </w:rPr>
              <w:t>(9)</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89"/>
              </w:rPr>
              <w:t>10,306,936</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8"/>
              </w:rPr>
              <w:t>10,124,477</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10,306,936</w:t>
            </w:r>
          </w:p>
        </w:tc>
        <w:tc>
          <w:tcPr>
            <w:tcW w:w="0" w:type="dxa"/>
            <w:vAlign w:val="bottom"/>
          </w:tcPr>
          <w:p>
            <w:pPr>
              <w:spacing w:after="0"/>
              <w:rPr>
                <w:sz w:val="1"/>
                <w:szCs w:val="1"/>
                <w:color w:val="auto"/>
              </w:rPr>
            </w:pPr>
          </w:p>
        </w:tc>
      </w:tr>
      <w:tr>
        <w:trPr>
          <w:trHeight w:val="121"/>
        </w:trPr>
        <w:tc>
          <w:tcPr>
            <w:tcW w:w="37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01/14/2019</w:t>
            </w:r>
          </w:p>
        </w:tc>
        <w:tc>
          <w:tcPr>
            <w:tcW w:w="200" w:type="dxa"/>
            <w:vAlign w:val="bottom"/>
            <w:shd w:val="clear" w:color="auto" w:fill="CCEEFF"/>
          </w:tcPr>
          <w:p>
            <w:pPr>
              <w:spacing w:after="0"/>
              <w:rPr>
                <w:sz w:val="10"/>
                <w:szCs w:val="10"/>
                <w:color w:val="auto"/>
              </w:rPr>
            </w:pPr>
          </w:p>
        </w:tc>
        <w:tc>
          <w:tcPr>
            <w:tcW w:w="212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87"/>
              </w:rPr>
              <w:t>Telecommunications</w:t>
            </w:r>
          </w:p>
        </w:tc>
        <w:tc>
          <w:tcPr>
            <w:tcW w:w="98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9.50%</w:t>
            </w:r>
          </w:p>
        </w:tc>
        <w:tc>
          <w:tcPr>
            <w:tcW w:w="94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L+850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256,971</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256,971</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256,971</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(PIK 1.00%)</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01/14/2019</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Telecommunications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L+750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599,702</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562,432</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590,706</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01/14/2019</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Telecommunications</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151,090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Universal Fiber Systems,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10/04/2021</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Chemicals, Plastics and Rubber</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4,962,500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4,919,423</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4,937,688</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Anesthesia Partners, Inc.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12/31/2019</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9,900,000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9,818,407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9,850,500</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08/13/2021</w:t>
            </w:r>
          </w:p>
        </w:tc>
        <w:tc>
          <w:tcPr>
            <w:tcW w:w="200" w:type="dxa"/>
            <w:vAlign w:val="bottom"/>
          </w:tcPr>
          <w:p>
            <w:pPr>
              <w:spacing w:after="0"/>
              <w:rPr>
                <w:sz w:val="11"/>
                <w:szCs w:val="11"/>
                <w:color w:val="auto"/>
              </w:rPr>
            </w:pPr>
          </w:p>
        </w:tc>
        <w:tc>
          <w:tcPr>
            <w:tcW w:w="21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L+900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3,089,844</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3,089,844</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3,089,844</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Vistage Worldwide, Inc.</w:t>
            </w:r>
          </w:p>
        </w:tc>
        <w:tc>
          <w:tcPr>
            <w:tcW w:w="290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w w:val="97"/>
              </w:rPr>
              <w:t>08/19/2021   Media: Broadcasting and Subscription</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6.50%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L+550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4,792,831</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4,752,002</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4,792,831</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Winchester Electronics Corporation</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06/30/2022</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0"/>
              </w:rPr>
              <w:t>Capital Equipment</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7.50%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L+650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7,773,579</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7,703,094</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7,668,171</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Winchester Electronics Corporation </w:t>
            </w:r>
            <w:r>
              <w:rPr>
                <w:rFonts w:ascii="Arial" w:cs="Arial" w:eastAsia="Arial" w:hAnsi="Arial"/>
                <w:sz w:val="10"/>
                <w:szCs w:val="10"/>
                <w:color w:val="auto"/>
              </w:rPr>
              <w:t>(10)</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06/30/2022</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0"/>
              </w:rPr>
              <w:t>Capital Equipment</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708,333</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(9,605)</w:t>
            </w:r>
          </w:p>
        </w:tc>
        <w:tc>
          <w:tcPr>
            <w:tcW w:w="0" w:type="dxa"/>
            <w:vAlign w:val="bottom"/>
          </w:tcPr>
          <w:p>
            <w:pPr>
              <w:spacing w:after="0"/>
              <w:rPr>
                <w:sz w:val="1"/>
                <w:szCs w:val="1"/>
                <w:color w:val="auto"/>
              </w:rPr>
            </w:pPr>
          </w:p>
        </w:tc>
      </w:tr>
      <w:tr>
        <w:trPr>
          <w:trHeight w:val="121"/>
        </w:trPr>
        <w:tc>
          <w:tcPr>
            <w:tcW w:w="3760" w:type="dxa"/>
            <w:vAlign w:val="bottom"/>
            <w:gridSpan w:val="2"/>
          </w:tcPr>
          <w:p>
            <w:pPr>
              <w:spacing w:after="0" w:line="121" w:lineRule="exact"/>
              <w:rPr>
                <w:sz w:val="20"/>
                <w:szCs w:val="20"/>
                <w:color w:val="auto"/>
              </w:rPr>
            </w:pPr>
            <w:r>
              <w:rPr>
                <w:rFonts w:ascii="Arial" w:cs="Arial" w:eastAsia="Arial" w:hAnsi="Arial"/>
                <w:sz w:val="13"/>
                <w:szCs w:val="13"/>
                <w:color w:val="auto"/>
              </w:rPr>
              <w:t>Worley Claims Services, LLC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10/30/2020</w:t>
            </w:r>
          </w:p>
        </w:tc>
        <w:tc>
          <w:tcPr>
            <w:tcW w:w="200" w:type="dxa"/>
            <w:vAlign w:val="bottom"/>
          </w:tcPr>
          <w:p>
            <w:pPr>
              <w:spacing w:after="0"/>
              <w:rPr>
                <w:sz w:val="10"/>
                <w:szCs w:val="10"/>
                <w:color w:val="auto"/>
              </w:rPr>
            </w:pPr>
          </w:p>
        </w:tc>
        <w:tc>
          <w:tcPr>
            <w:tcW w:w="212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9.00%</w:t>
            </w:r>
          </w:p>
        </w:tc>
        <w:tc>
          <w:tcPr>
            <w:tcW w:w="94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L+800</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7,316,440</w:t>
            </w:r>
          </w:p>
        </w:tc>
        <w:tc>
          <w:tcPr>
            <w:tcW w:w="80" w:type="dxa"/>
            <w:vAlign w:val="bottom"/>
          </w:tcPr>
          <w:p>
            <w:pPr>
              <w:spacing w:after="0"/>
              <w:rPr>
                <w:sz w:val="10"/>
                <w:szCs w:val="10"/>
                <w:color w:val="auto"/>
              </w:rPr>
            </w:pPr>
          </w:p>
        </w:tc>
        <w:tc>
          <w:tcPr>
            <w:tcW w:w="90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7,259,010</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7,316,440</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Estate</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8"/>
              </w:rPr>
              <w:t>549,736,982</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548,410,095</w:t>
            </w:r>
          </w:p>
        </w:tc>
        <w:tc>
          <w:tcPr>
            <w:tcW w:w="0" w:type="dxa"/>
            <w:vAlign w:val="bottom"/>
          </w:tcPr>
          <w:p>
            <w:pPr>
              <w:spacing w:after="0"/>
              <w:rPr>
                <w:sz w:val="1"/>
                <w:szCs w:val="1"/>
                <w:color w:val="auto"/>
              </w:rPr>
            </w:pPr>
          </w:p>
        </w:tc>
      </w:tr>
      <w:tr>
        <w:trPr>
          <w:trHeight w:val="142"/>
        </w:trPr>
        <w:tc>
          <w:tcPr>
            <w:tcW w:w="37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Second Lien Secured Debt—9.7%</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10/31/2018</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Consumer Goods: Durable</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L+700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942,276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879,170</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09/01/2017</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0"/>
              </w:rPr>
              <w:t>Metals and Mining</w:t>
            </w: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700,000</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12/31/2020</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Chemicals, Plastics and Rubber</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11.34%</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(9)</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2,000,000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1,971,030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2,020,000</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Howard Berger Co.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09/30/2020</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5"/>
              </w:rPr>
              <w:t>Wholesale</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L+1,000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89"/>
              </w:rPr>
              <w:t>11,000,000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8"/>
              </w:rPr>
              <w:t>10,511,818</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9,900,000</w:t>
            </w:r>
          </w:p>
        </w:tc>
        <w:tc>
          <w:tcPr>
            <w:tcW w:w="0" w:type="dxa"/>
            <w:vAlign w:val="bottom"/>
          </w:tcPr>
          <w:p>
            <w:pPr>
              <w:spacing w:after="0"/>
              <w:rPr>
                <w:sz w:val="1"/>
                <w:szCs w:val="1"/>
                <w:color w:val="auto"/>
              </w:rPr>
            </w:pPr>
          </w:p>
        </w:tc>
      </w:tr>
      <w:tr>
        <w:trPr>
          <w:trHeight w:val="121"/>
        </w:trPr>
        <w:tc>
          <w:tcPr>
            <w:tcW w:w="37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MailSouth, Inc.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10/22/2021</w:t>
            </w:r>
          </w:p>
        </w:tc>
        <w:tc>
          <w:tcPr>
            <w:tcW w:w="200" w:type="dxa"/>
            <w:vAlign w:val="bottom"/>
            <w:shd w:val="clear" w:color="auto" w:fill="CCEEFF"/>
          </w:tcPr>
          <w:p>
            <w:pPr>
              <w:spacing w:after="0"/>
              <w:rPr>
                <w:sz w:val="10"/>
                <w:szCs w:val="10"/>
                <w:color w:val="auto"/>
              </w:rPr>
            </w:pPr>
          </w:p>
        </w:tc>
        <w:tc>
          <w:tcPr>
            <w:tcW w:w="212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0"/>
              </w:rPr>
              <w:t>Media: Advertising, Printing and</w:t>
            </w:r>
          </w:p>
        </w:tc>
        <w:tc>
          <w:tcPr>
            <w:tcW w:w="98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11.50%</w:t>
            </w:r>
          </w:p>
        </w:tc>
        <w:tc>
          <w:tcPr>
            <w:tcW w:w="94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L+1,050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3,775,000</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3,703,724</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3,775,000</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9"/>
              </w:rPr>
              <w:t>Publishing</w:t>
            </w: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07/07/2021</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6"/>
              </w:rPr>
              <w:t>Business Services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12.25%</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L+1,100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89"/>
              </w:rPr>
              <w:t>11,000,000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8"/>
              </w:rPr>
              <w:t>10,914,618</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11,000,000</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10/02/2020</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9.00%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L+775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4,872,042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4,826,926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4,853,772</w:t>
            </w:r>
          </w:p>
        </w:tc>
        <w:tc>
          <w:tcPr>
            <w:tcW w:w="0" w:type="dxa"/>
            <w:vAlign w:val="bottom"/>
          </w:tcPr>
          <w:p>
            <w:pPr>
              <w:spacing w:after="0"/>
              <w:rPr>
                <w:sz w:val="1"/>
                <w:szCs w:val="1"/>
                <w:color w:val="auto"/>
              </w:rPr>
            </w:pPr>
          </w:p>
        </w:tc>
      </w:tr>
      <w:tr>
        <w:trPr>
          <w:trHeight w:val="135"/>
        </w:trPr>
        <w:tc>
          <w:tcPr>
            <w:tcW w:w="37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08/01/2017</w:t>
            </w:r>
          </w:p>
        </w:tc>
        <w:tc>
          <w:tcPr>
            <w:tcW w:w="200" w:type="dxa"/>
            <w:vAlign w:val="bottom"/>
          </w:tcPr>
          <w:p>
            <w:pPr>
              <w:spacing w:after="0"/>
              <w:rPr>
                <w:sz w:val="11"/>
                <w:szCs w:val="11"/>
                <w:color w:val="auto"/>
              </w:rPr>
            </w:pPr>
          </w:p>
        </w:tc>
        <w:tc>
          <w:tcPr>
            <w:tcW w:w="21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8"/>
              </w:rPr>
              <w:t>Energy: Oil and Gas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12.50%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2,812,500</w:t>
            </w:r>
          </w:p>
        </w:tc>
        <w:tc>
          <w:tcPr>
            <w:tcW w:w="8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2,756,732</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1,631,250</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01/30/2023</w:t>
            </w:r>
          </w:p>
        </w:tc>
        <w:tc>
          <w:tcPr>
            <w:tcW w:w="20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Business Services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10.75%</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L+975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1,837,500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1,777,304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1,837,500</w:t>
            </w:r>
          </w:p>
        </w:tc>
        <w:tc>
          <w:tcPr>
            <w:tcW w:w="0" w:type="dxa"/>
            <w:vAlign w:val="bottom"/>
          </w:tcPr>
          <w:p>
            <w:pPr>
              <w:spacing w:after="0"/>
              <w:rPr>
                <w:sz w:val="1"/>
                <w:szCs w:val="1"/>
                <w:color w:val="auto"/>
              </w:rPr>
            </w:pPr>
          </w:p>
        </w:tc>
      </w:tr>
      <w:tr>
        <w:trPr>
          <w:trHeight w:val="149"/>
        </w:trPr>
        <w:tc>
          <w:tcPr>
            <w:tcW w:w="37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38,404,428</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36,596,692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Subordinated Debt/Corporate Notes—0.8% </w:t>
            </w:r>
            <w:r>
              <w:rPr>
                <w:rFonts w:ascii="Arial" w:cs="Arial" w:eastAsia="Arial" w:hAnsi="Arial"/>
                <w:sz w:val="10"/>
                <w:szCs w:val="10"/>
                <w:b w:val="1"/>
                <w:bCs w:val="1"/>
                <w:color w:val="auto"/>
              </w:rPr>
              <w:t>(8)</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76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(6), (11)</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07/30/2018</w:t>
            </w:r>
          </w:p>
        </w:tc>
        <w:tc>
          <w:tcPr>
            <w:tcW w:w="200" w:type="dxa"/>
            <w:vAlign w:val="bottom"/>
          </w:tcPr>
          <w:p>
            <w:pPr>
              <w:spacing w:after="0"/>
              <w:rPr>
                <w:sz w:val="10"/>
                <w:szCs w:val="10"/>
                <w:color w:val="auto"/>
              </w:rPr>
            </w:pPr>
          </w:p>
        </w:tc>
        <w:tc>
          <w:tcPr>
            <w:tcW w:w="212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7"/>
              </w:rPr>
              <w:t>Consumer Goods: Durable</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7.50%</w:t>
            </w:r>
          </w:p>
        </w:tc>
        <w:tc>
          <w:tcPr>
            <w:tcW w:w="94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1,135,273</w:t>
            </w:r>
          </w:p>
        </w:tc>
        <w:tc>
          <w:tcPr>
            <w:tcW w:w="80" w:type="dxa"/>
            <w:vAlign w:val="bottom"/>
          </w:tcPr>
          <w:p>
            <w:pPr>
              <w:spacing w:after="0"/>
              <w:rPr>
                <w:sz w:val="10"/>
                <w:szCs w:val="10"/>
                <w:color w:val="auto"/>
              </w:rPr>
            </w:pPr>
          </w:p>
        </w:tc>
        <w:tc>
          <w:tcPr>
            <w:tcW w:w="90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1,030,320</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1,035,937</w:t>
            </w: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(PIK 4.00%)</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76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Credit Infonet, Inc.</w:t>
            </w:r>
          </w:p>
        </w:tc>
        <w:tc>
          <w:tcPr>
            <w:tcW w:w="58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9"/>
              </w:rPr>
              <w:t>10/26/2018</w:t>
            </w:r>
          </w:p>
        </w:tc>
        <w:tc>
          <w:tcPr>
            <w:tcW w:w="200" w:type="dxa"/>
            <w:vAlign w:val="bottom"/>
            <w:shd w:val="clear" w:color="auto" w:fill="CCEEFF"/>
          </w:tcPr>
          <w:p>
            <w:pPr>
              <w:spacing w:after="0"/>
              <w:rPr>
                <w:sz w:val="10"/>
                <w:szCs w:val="10"/>
                <w:color w:val="auto"/>
              </w:rPr>
            </w:pPr>
          </w:p>
        </w:tc>
        <w:tc>
          <w:tcPr>
            <w:tcW w:w="2120" w:type="dxa"/>
            <w:vAlign w:val="bottom"/>
            <w:gridSpan w:val="2"/>
            <w:shd w:val="clear" w:color="auto" w:fill="CCEEFF"/>
          </w:tcPr>
          <w:p>
            <w:pPr>
              <w:jc w:val="center"/>
              <w:ind w:right="200"/>
              <w:spacing w:after="0" w:line="122" w:lineRule="exact"/>
              <w:rPr>
                <w:sz w:val="20"/>
                <w:szCs w:val="20"/>
                <w:color w:val="auto"/>
              </w:rPr>
            </w:pPr>
            <w:r>
              <w:rPr>
                <w:rFonts w:ascii="Arial" w:cs="Arial" w:eastAsia="Arial" w:hAnsi="Arial"/>
                <w:sz w:val="13"/>
                <w:szCs w:val="13"/>
                <w:color w:val="auto"/>
                <w:w w:val="87"/>
              </w:rPr>
              <w:t>High Tech Industries</w:t>
            </w:r>
          </w:p>
        </w:tc>
        <w:tc>
          <w:tcPr>
            <w:tcW w:w="98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13.00%</w:t>
            </w:r>
          </w:p>
        </w:tc>
        <w:tc>
          <w:tcPr>
            <w:tcW w:w="940" w:type="dxa"/>
            <w:vAlign w:val="bottom"/>
            <w:gridSpan w:val="2"/>
            <w:shd w:val="clear" w:color="auto" w:fill="CCEEFF"/>
          </w:tcPr>
          <w:p>
            <w:pPr>
              <w:jc w:val="right"/>
              <w:ind w:right="340"/>
              <w:spacing w:after="0" w:line="122"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2,069,078</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3"/>
                <w:szCs w:val="13"/>
                <w:color w:val="auto"/>
              </w:rPr>
              <w:t>2,050,767</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1,975,969</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(PIK 1.75%)</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760" w:type="dxa"/>
            <w:vAlign w:val="bottom"/>
            <w:gridSpan w:val="2"/>
          </w:tcPr>
          <w:p>
            <w:pPr>
              <w:spacing w:after="0" w:line="121" w:lineRule="exact"/>
              <w:rPr>
                <w:sz w:val="20"/>
                <w:szCs w:val="20"/>
                <w:color w:val="auto"/>
              </w:rPr>
            </w:pPr>
            <w:r>
              <w:rPr>
                <w:rFonts w:ascii="Arial" w:cs="Arial" w:eastAsia="Arial" w:hAnsi="Arial"/>
                <w:sz w:val="13"/>
                <w:szCs w:val="13"/>
                <w:color w:val="auto"/>
              </w:rPr>
              <w:t>UniTek Global Services, Inc.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07/15/2019</w:t>
            </w:r>
          </w:p>
        </w:tc>
        <w:tc>
          <w:tcPr>
            <w:tcW w:w="200" w:type="dxa"/>
            <w:vAlign w:val="bottom"/>
          </w:tcPr>
          <w:p>
            <w:pPr>
              <w:spacing w:after="0"/>
              <w:rPr>
                <w:sz w:val="10"/>
                <w:szCs w:val="10"/>
                <w:color w:val="auto"/>
              </w:rPr>
            </w:pPr>
          </w:p>
        </w:tc>
        <w:tc>
          <w:tcPr>
            <w:tcW w:w="212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7"/>
              </w:rPr>
              <w:t>Telecommunications</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15.00%</w:t>
            </w:r>
          </w:p>
        </w:tc>
        <w:tc>
          <w:tcPr>
            <w:tcW w:w="94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146,996</w:t>
            </w:r>
          </w:p>
        </w:tc>
        <w:tc>
          <w:tcPr>
            <w:tcW w:w="80" w:type="dxa"/>
            <w:vAlign w:val="bottom"/>
          </w:tcPr>
          <w:p>
            <w:pPr>
              <w:spacing w:after="0"/>
              <w:rPr>
                <w:sz w:val="10"/>
                <w:szCs w:val="10"/>
                <w:color w:val="auto"/>
              </w:rPr>
            </w:pPr>
          </w:p>
        </w:tc>
        <w:tc>
          <w:tcPr>
            <w:tcW w:w="90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146,996</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148,466</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w w:val="95"/>
              </w:rPr>
              <w:t>(PIK 15.00%)</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3,228,083</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3,160,372</w:t>
            </w:r>
          </w:p>
        </w:tc>
        <w:tc>
          <w:tcPr>
            <w:tcW w:w="0" w:type="dxa"/>
            <w:vAlign w:val="bottom"/>
          </w:tcPr>
          <w:p>
            <w:pPr>
              <w:spacing w:after="0"/>
              <w:rPr>
                <w:sz w:val="1"/>
                <w:szCs w:val="1"/>
                <w:color w:val="auto"/>
              </w:rPr>
            </w:pPr>
          </w:p>
        </w:tc>
      </w:tr>
      <w:tr>
        <w:trPr>
          <w:trHeight w:val="142"/>
        </w:trPr>
        <w:tc>
          <w:tcPr>
            <w:tcW w:w="37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7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rPr>
              <w:t>—</w:t>
            </w: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Telecommunications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13.50%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1,047,317</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670,283</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1,319,308</w:t>
            </w:r>
          </w:p>
        </w:tc>
        <w:tc>
          <w:tcPr>
            <w:tcW w:w="0" w:type="dxa"/>
            <w:vAlign w:val="bottom"/>
          </w:tcPr>
          <w:p>
            <w:pPr>
              <w:spacing w:after="0"/>
              <w:rPr>
                <w:sz w:val="1"/>
                <w:szCs w:val="1"/>
                <w:color w:val="auto"/>
              </w:rPr>
            </w:pPr>
          </w:p>
        </w:tc>
      </w:tr>
      <w:tr>
        <w:trPr>
          <w:trHeight w:val="142"/>
        </w:trPr>
        <w:tc>
          <w:tcPr>
            <w:tcW w:w="37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Common Equity/Warrants—2.5% </w:t>
            </w:r>
            <w:r>
              <w:rPr>
                <w:rFonts w:ascii="Arial" w:cs="Arial" w:eastAsia="Arial" w:hAnsi="Arial"/>
                <w:sz w:val="10"/>
                <w:szCs w:val="10"/>
                <w:b w:val="1"/>
                <w:bCs w:val="1"/>
                <w:color w:val="auto"/>
              </w:rPr>
              <w:t>(7), (8)</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7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rPr>
              <w:t>—</w:t>
            </w:r>
          </w:p>
        </w:tc>
        <w:tc>
          <w:tcPr>
            <w:tcW w:w="212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Consumer Goods: Durable</w:t>
            </w:r>
          </w:p>
        </w:tc>
        <w:tc>
          <w:tcPr>
            <w:tcW w:w="9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99,029</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3,514,572</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3,700,216</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4"/>
              </w:rPr>
              <w:t>Basis Point</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Spread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Current</w:t>
            </w: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Above</w:t>
            </w:r>
          </w:p>
        </w:tc>
        <w:tc>
          <w:tcPr>
            <w:tcW w:w="70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Par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60" w:type="dxa"/>
            <w:vAlign w:val="bottom"/>
            <w:gridSpan w:val="2"/>
            <w:vMerge w:val="continue"/>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2200" w:type="dxa"/>
            <w:vAlign w:val="bottom"/>
            <w:gridSpan w:val="2"/>
          </w:tcPr>
          <w:p>
            <w:pPr>
              <w:ind w:left="740"/>
              <w:spacing w:after="0"/>
              <w:rPr>
                <w:sz w:val="20"/>
                <w:szCs w:val="20"/>
                <w:color w:val="auto"/>
              </w:rPr>
            </w:pPr>
            <w:r>
              <w:rPr>
                <w:rFonts w:ascii="Arial" w:cs="Arial" w:eastAsia="Arial" w:hAnsi="Arial"/>
                <w:sz w:val="13"/>
                <w:szCs w:val="13"/>
                <w:b w:val="1"/>
                <w:bCs w:val="1"/>
                <w:color w:val="auto"/>
              </w:rPr>
              <w:t>Industry</w:t>
            </w: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Coupon</w:t>
            </w: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38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Affinion Group Holdings, Inc., Series C and Series D</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280"/>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Consumer Goods: Durable</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440"/>
              <w:spacing w:after="0" w:line="129" w:lineRule="exact"/>
              <w:rPr>
                <w:sz w:val="20"/>
                <w:szCs w:val="20"/>
                <w:color w:val="auto"/>
              </w:rPr>
            </w:pPr>
            <w:r>
              <w:rPr>
                <w:rFonts w:ascii="Arial" w:cs="Arial" w:eastAsia="Arial" w:hAnsi="Arial"/>
                <w:sz w:val="13"/>
                <w:szCs w:val="13"/>
                <w:color w:val="auto"/>
                <w:w w:val="76"/>
              </w:rPr>
              <w:t>—</w:t>
            </w:r>
          </w:p>
        </w:tc>
        <w:tc>
          <w:tcPr>
            <w:tcW w:w="2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4,298</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1,186,649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20,096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gridSpan w:val="2"/>
          </w:tcPr>
          <w:p>
            <w:pPr>
              <w:spacing w:after="0" w:line="135" w:lineRule="exact"/>
              <w:rPr>
                <w:sz w:val="20"/>
                <w:szCs w:val="20"/>
                <w:color w:val="auto"/>
              </w:rPr>
            </w:pPr>
            <w:r>
              <w:rPr>
                <w:rFonts w:ascii="Arial" w:cs="Arial" w:eastAsia="Arial" w:hAnsi="Arial"/>
                <w:sz w:val="13"/>
                <w:szCs w:val="13"/>
                <w:color w:val="auto"/>
              </w:rPr>
              <w:t>Corfin InvestCo, L.P.</w:t>
            </w:r>
          </w:p>
        </w:tc>
        <w:tc>
          <w:tcPr>
            <w:tcW w:w="7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4"/>
              </w:rPr>
              <w:t>Aerospace and Defense</w:t>
            </w:r>
          </w:p>
        </w:tc>
        <w:tc>
          <w:tcPr>
            <w:tcW w:w="78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621,550</w:t>
            </w: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(10)</w:t>
            </w:r>
          </w:p>
        </w:tc>
        <w:tc>
          <w:tcPr>
            <w:tcW w:w="7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Aerospace and Defense</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960" w:type="dxa"/>
            <w:vAlign w:val="bottom"/>
            <w:gridSpan w:val="2"/>
          </w:tcPr>
          <w:p>
            <w:pPr>
              <w:spacing w:after="0" w:line="135" w:lineRule="exact"/>
              <w:rPr>
                <w:sz w:val="20"/>
                <w:szCs w:val="20"/>
                <w:color w:val="auto"/>
              </w:rPr>
            </w:pPr>
            <w:r>
              <w:rPr>
                <w:rFonts w:ascii="Arial" w:cs="Arial" w:eastAsia="Arial" w:hAnsi="Arial"/>
                <w:sz w:val="13"/>
                <w:szCs w:val="13"/>
                <w:color w:val="auto"/>
              </w:rPr>
              <w:t>e.l.f. Beauty, Inc. (f/k/a J.A. Cosmetics US, Inc.)</w:t>
            </w:r>
          </w:p>
        </w:tc>
        <w:tc>
          <w:tcPr>
            <w:tcW w:w="78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78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110,399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295,670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2,957,767</w:t>
            </w: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7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Construction and Building</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58,044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94,560</w:t>
            </w:r>
          </w:p>
        </w:tc>
        <w:tc>
          <w:tcPr>
            <w:tcW w:w="0" w:type="dxa"/>
            <w:vAlign w:val="bottom"/>
          </w:tcPr>
          <w:p>
            <w:pPr>
              <w:spacing w:after="0"/>
              <w:rPr>
                <w:sz w:val="1"/>
                <w:szCs w:val="1"/>
                <w:color w:val="auto"/>
              </w:rPr>
            </w:pPr>
          </w:p>
        </w:tc>
      </w:tr>
      <w:tr>
        <w:trPr>
          <w:trHeight w:val="121"/>
        </w:trPr>
        <w:tc>
          <w:tcPr>
            <w:tcW w:w="3960" w:type="dxa"/>
            <w:vAlign w:val="bottom"/>
            <w:gridSpan w:val="2"/>
          </w:tcPr>
          <w:p>
            <w:pPr>
              <w:spacing w:after="0" w:line="121" w:lineRule="exact"/>
              <w:rPr>
                <w:sz w:val="20"/>
                <w:szCs w:val="20"/>
                <w:color w:val="auto"/>
              </w:rPr>
            </w:pPr>
            <w:r>
              <w:rPr>
                <w:rFonts w:ascii="Arial" w:cs="Arial" w:eastAsia="Arial" w:hAnsi="Arial"/>
                <w:sz w:val="13"/>
                <w:szCs w:val="13"/>
                <w:color w:val="auto"/>
              </w:rPr>
              <w:t>Patriot National, Inc.</w:t>
            </w:r>
          </w:p>
        </w:tc>
        <w:tc>
          <w:tcPr>
            <w:tcW w:w="780" w:type="dxa"/>
            <w:vAlign w:val="bottom"/>
            <w:gridSpan w:val="2"/>
          </w:tcPr>
          <w:p>
            <w:pPr>
              <w:ind w:left="280"/>
              <w:spacing w:after="0" w:line="121" w:lineRule="exact"/>
              <w:rPr>
                <w:sz w:val="20"/>
                <w:szCs w:val="20"/>
                <w:color w:val="auto"/>
              </w:rPr>
            </w:pPr>
            <w:r>
              <w:rPr>
                <w:rFonts w:ascii="Arial" w:cs="Arial" w:eastAsia="Arial" w:hAnsi="Arial"/>
                <w:sz w:val="13"/>
                <w:szCs w:val="13"/>
                <w:color w:val="auto"/>
              </w:rPr>
              <w:t>—</w:t>
            </w:r>
          </w:p>
        </w:tc>
        <w:tc>
          <w:tcPr>
            <w:tcW w:w="220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780" w:type="dxa"/>
            <w:vAlign w:val="bottom"/>
            <w:gridSpan w:val="2"/>
          </w:tcPr>
          <w:p>
            <w:pPr>
              <w:ind w:left="44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11,867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27,995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106,922</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3"/>
                <w:szCs w:val="13"/>
                <w:color w:val="auto"/>
                <w:w w:val="81"/>
              </w:rPr>
              <w:t>Estate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TPC Broadband Investors, LP</w:t>
            </w:r>
          </w:p>
        </w:tc>
        <w:tc>
          <w:tcPr>
            <w:tcW w:w="780" w:type="dxa"/>
            <w:vAlign w:val="bottom"/>
            <w:gridSpan w:val="2"/>
            <w:shd w:val="clear" w:color="auto" w:fill="CCEEFF"/>
          </w:tcPr>
          <w:p>
            <w:pPr>
              <w:ind w:left="280"/>
              <w:spacing w:after="0" w:line="121" w:lineRule="exact"/>
              <w:rPr>
                <w:sz w:val="20"/>
                <w:szCs w:val="20"/>
                <w:color w:val="auto"/>
              </w:rPr>
            </w:pPr>
            <w:r>
              <w:rPr>
                <w:rFonts w:ascii="Arial" w:cs="Arial" w:eastAsia="Arial" w:hAnsi="Arial"/>
                <w:sz w:val="13"/>
                <w:szCs w:val="13"/>
                <w:color w:val="auto"/>
              </w:rPr>
              <w:t>—</w:t>
            </w:r>
          </w:p>
        </w:tc>
        <w:tc>
          <w:tcPr>
            <w:tcW w:w="220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87"/>
              </w:rPr>
              <w:t>Telecommunications</w:t>
            </w:r>
          </w:p>
        </w:tc>
        <w:tc>
          <w:tcPr>
            <w:tcW w:w="780" w:type="dxa"/>
            <w:vAlign w:val="bottom"/>
            <w:gridSpan w:val="2"/>
            <w:shd w:val="clear" w:color="auto" w:fill="CCEEFF"/>
          </w:tcPr>
          <w:p>
            <w:pPr>
              <w:ind w:left="44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430,666</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430,666</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430,666</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(Advanced Cable Communications, LLC)</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60" w:type="dxa"/>
            <w:vAlign w:val="bottom"/>
            <w:gridSpan w:val="2"/>
          </w:tcPr>
          <w:p>
            <w:pPr>
              <w:spacing w:after="0" w:line="121" w:lineRule="exact"/>
              <w:rPr>
                <w:sz w:val="20"/>
                <w:szCs w:val="20"/>
                <w:color w:val="auto"/>
              </w:rPr>
            </w:pPr>
            <w:r>
              <w:rPr>
                <w:rFonts w:ascii="Arial" w:cs="Arial" w:eastAsia="Arial" w:hAnsi="Arial"/>
                <w:sz w:val="13"/>
                <w:szCs w:val="13"/>
                <w:color w:val="auto"/>
              </w:rPr>
              <w:t>TPC Broadband Investors, LP</w:t>
            </w:r>
          </w:p>
        </w:tc>
        <w:tc>
          <w:tcPr>
            <w:tcW w:w="780" w:type="dxa"/>
            <w:vAlign w:val="bottom"/>
            <w:gridSpan w:val="2"/>
          </w:tcPr>
          <w:p>
            <w:pPr>
              <w:ind w:left="280"/>
              <w:spacing w:after="0" w:line="121" w:lineRule="exact"/>
              <w:rPr>
                <w:sz w:val="20"/>
                <w:szCs w:val="20"/>
                <w:color w:val="auto"/>
              </w:rPr>
            </w:pPr>
            <w:r>
              <w:rPr>
                <w:rFonts w:ascii="Arial" w:cs="Arial" w:eastAsia="Arial" w:hAnsi="Arial"/>
                <w:sz w:val="13"/>
                <w:szCs w:val="13"/>
                <w:color w:val="auto"/>
              </w:rPr>
              <w:t>—</w:t>
            </w:r>
          </w:p>
        </w:tc>
        <w:tc>
          <w:tcPr>
            <w:tcW w:w="220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7"/>
              </w:rPr>
              <w:t>Telecommunications</w:t>
            </w:r>
          </w:p>
        </w:tc>
        <w:tc>
          <w:tcPr>
            <w:tcW w:w="780" w:type="dxa"/>
            <w:vAlign w:val="bottom"/>
            <w:gridSpan w:val="2"/>
          </w:tcPr>
          <w:p>
            <w:pPr>
              <w:ind w:left="44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569,334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960" w:type="dxa"/>
            <w:vAlign w:val="bottom"/>
            <w:gridSpan w:val="2"/>
          </w:tcPr>
          <w:p>
            <w:pPr>
              <w:ind w:left="14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7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22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Telecommunications</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149,617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892,276</w:t>
            </w:r>
          </w:p>
        </w:tc>
        <w:tc>
          <w:tcPr>
            <w:tcW w:w="0" w:type="dxa"/>
            <w:vAlign w:val="bottom"/>
          </w:tcPr>
          <w:p>
            <w:pPr>
              <w:spacing w:after="0"/>
              <w:rPr>
                <w:sz w:val="1"/>
                <w:szCs w:val="1"/>
                <w:color w:val="auto"/>
              </w:rPr>
            </w:pPr>
          </w:p>
        </w:tc>
      </w:tr>
      <w:tr>
        <w:trPr>
          <w:trHeight w:val="121"/>
        </w:trPr>
        <w:tc>
          <w:tcPr>
            <w:tcW w:w="3960" w:type="dxa"/>
            <w:vAlign w:val="bottom"/>
            <w:gridSpan w:val="2"/>
          </w:tcPr>
          <w:p>
            <w:pPr>
              <w:spacing w:after="0" w:line="121" w:lineRule="exact"/>
              <w:rPr>
                <w:sz w:val="20"/>
                <w:szCs w:val="20"/>
                <w:color w:val="auto"/>
              </w:rPr>
            </w:pPr>
            <w:r>
              <w:rPr>
                <w:rFonts w:ascii="Arial" w:cs="Arial" w:eastAsia="Arial" w:hAnsi="Arial"/>
                <w:sz w:val="13"/>
                <w:szCs w:val="13"/>
                <w:color w:val="auto"/>
              </w:rPr>
              <w:t>Vestcom Parent Holdings, Inc.</w:t>
            </w:r>
          </w:p>
        </w:tc>
        <w:tc>
          <w:tcPr>
            <w:tcW w:w="780" w:type="dxa"/>
            <w:vAlign w:val="bottom"/>
            <w:gridSpan w:val="2"/>
          </w:tcPr>
          <w:p>
            <w:pPr>
              <w:ind w:left="280"/>
              <w:spacing w:after="0" w:line="121" w:lineRule="exact"/>
              <w:rPr>
                <w:sz w:val="20"/>
                <w:szCs w:val="20"/>
                <w:color w:val="auto"/>
              </w:rPr>
            </w:pPr>
            <w:r>
              <w:rPr>
                <w:rFonts w:ascii="Arial" w:cs="Arial" w:eastAsia="Arial" w:hAnsi="Arial"/>
                <w:sz w:val="13"/>
                <w:szCs w:val="13"/>
                <w:color w:val="auto"/>
              </w:rPr>
              <w:t>—</w:t>
            </w:r>
          </w:p>
        </w:tc>
        <w:tc>
          <w:tcPr>
            <w:tcW w:w="22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0"/>
              </w:rPr>
              <w:t>Media: Advertising, Printing and</w:t>
            </w:r>
          </w:p>
        </w:tc>
        <w:tc>
          <w:tcPr>
            <w:tcW w:w="780" w:type="dxa"/>
            <w:vAlign w:val="bottom"/>
            <w:gridSpan w:val="2"/>
          </w:tcPr>
          <w:p>
            <w:pPr>
              <w:ind w:left="440"/>
              <w:spacing w:after="0" w:line="12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15,179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56,895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577,005</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Publishing</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5,870,491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9,401,058</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88"/>
              </w:rPr>
              <w:t>Total Investments in Non-Controlled, Non-Affiliated Portfolio Companies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597,910,267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598,887,525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Equivalents—7.7%</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gridSpan w:val="2"/>
          </w:tcPr>
          <w:p>
            <w:pPr>
              <w:spacing w:after="0" w:line="135" w:lineRule="exact"/>
              <w:rPr>
                <w:sz w:val="20"/>
                <w:szCs w:val="20"/>
                <w:color w:val="auto"/>
              </w:rPr>
            </w:pPr>
            <w:r>
              <w:rPr>
                <w:rFonts w:ascii="Arial" w:cs="Arial" w:eastAsia="Arial" w:hAnsi="Arial"/>
                <w:sz w:val="13"/>
                <w:szCs w:val="13"/>
                <w:color w:val="auto"/>
                <w:w w:val="89"/>
              </w:rPr>
              <w:t>BlackRock Liquidity Funds, Temp Cash and Temp Fund, Institutional Shares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28,212,041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28,212,041</w:t>
            </w: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691,318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698,932</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Cash and Cash Equivalents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28,903,359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28,910,973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Equivalents—167.0%</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5"/>
              </w:rPr>
              <w:t>626,813,626</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627,798,498</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Assets—(67.0)%</w:t>
            </w: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w w:val="81"/>
              </w:rPr>
              <w:t>(251,891,670)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375,906,828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8" w:lineRule="exact"/>
        <w:rPr>
          <w:sz w:val="20"/>
          <w:szCs w:val="20"/>
          <w:color w:val="auto"/>
        </w:rPr>
      </w:pPr>
    </w:p>
    <w:p>
      <w:pPr>
        <w:ind w:left="460" w:right="60" w:hanging="452"/>
        <w:spacing w:after="0" w:line="243" w:lineRule="auto"/>
        <w:tabs>
          <w:tab w:leader="none" w:pos="4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460" w:hanging="452"/>
        <w:spacing w:after="0" w:line="216"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right="380" w:hanging="452"/>
        <w:spacing w:after="0" w:line="234" w:lineRule="auto"/>
        <w:tabs>
          <w:tab w:leader="none" w:pos="4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80" w:hanging="452"/>
        <w:spacing w:after="0" w:line="234" w:lineRule="auto"/>
        <w:tabs>
          <w:tab w:leader="none" w:pos="4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460" w:right="80" w:hanging="452"/>
        <w:spacing w:after="0" w:line="216"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460" w:hanging="452"/>
        <w:spacing w:after="0" w:line="216"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460" w:hanging="452"/>
        <w:spacing w:after="0" w:line="216"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line="216"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securities, or a portion thereof, are not pledged as collateral under the Credit Facility. All other securities are pledged as collateral under the Credit Facility and held through Funding I.</w:t>
      </w:r>
    </w:p>
    <w:p>
      <w:pPr>
        <w:ind w:left="460" w:hanging="452"/>
        <w:spacing w:after="0" w:line="216"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460" w:right="440" w:hanging="452"/>
        <w:spacing w:after="0" w:line="216"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ind w:left="460" w:right="300" w:hanging="452"/>
        <w:spacing w:after="0" w:line="216"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460" w:hanging="452"/>
        <w:spacing w:after="0"/>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Par amount is denominated in Canadian Dollars.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jc w:val="center"/>
              <w:ind w:right="97"/>
              <w:spacing w:after="0"/>
              <w:rPr>
                <w:sz w:val="20"/>
                <w:szCs w:val="20"/>
                <w:color w:val="auto"/>
              </w:rPr>
            </w:pPr>
            <w:r>
              <w:rPr>
                <w:rFonts w:ascii="Arial" w:cs="Arial" w:eastAsia="Arial" w:hAnsi="Arial"/>
                <w:sz w:val="13"/>
                <w:szCs w:val="13"/>
                <w:b w:val="1"/>
                <w:bCs w:val="1"/>
                <w:color w:val="auto"/>
                <w:w w:val="84"/>
              </w:rPr>
              <w:t>Basis Point</w:t>
            </w: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Spread</w:t>
            </w: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Current</w:t>
            </w:r>
          </w:p>
        </w:tc>
        <w:tc>
          <w:tcPr>
            <w:tcW w:w="9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5"/>
              </w:rPr>
              <w:t>Above</w:t>
            </w:r>
          </w:p>
        </w:tc>
        <w:tc>
          <w:tcPr>
            <w:tcW w:w="80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Par /</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60" w:type="dxa"/>
            <w:vAlign w:val="bottom"/>
            <w:vMerge w:val="continue"/>
          </w:tcPr>
          <w:p>
            <w:pPr>
              <w:spacing w:after="0"/>
              <w:rPr>
                <w:sz w:val="13"/>
                <w:szCs w:val="13"/>
                <w:color w:val="auto"/>
              </w:rPr>
            </w:pPr>
          </w:p>
        </w:tc>
        <w:tc>
          <w:tcPr>
            <w:tcW w:w="1320" w:type="dxa"/>
            <w:vAlign w:val="bottom"/>
          </w:tcPr>
          <w:p>
            <w:pPr>
              <w:jc w:val="right"/>
              <w:ind w:right="137"/>
              <w:spacing w:after="0"/>
              <w:rPr>
                <w:sz w:val="20"/>
                <w:szCs w:val="20"/>
                <w:color w:val="auto"/>
              </w:rPr>
            </w:pPr>
            <w:r>
              <w:rPr>
                <w:rFonts w:ascii="Arial" w:cs="Arial" w:eastAsia="Arial" w:hAnsi="Arial"/>
                <w:sz w:val="13"/>
                <w:szCs w:val="13"/>
                <w:b w:val="1"/>
                <w:bCs w:val="1"/>
                <w:color w:val="auto"/>
              </w:rPr>
              <w:t>Maturity</w:t>
            </w: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860" w:type="dxa"/>
            <w:vAlign w:val="bottom"/>
          </w:tcPr>
          <w:p>
            <w:pPr>
              <w:ind w:left="120"/>
              <w:spacing w:after="0"/>
              <w:rPr>
                <w:sz w:val="20"/>
                <w:szCs w:val="20"/>
                <w:color w:val="auto"/>
              </w:rPr>
            </w:pPr>
            <w:r>
              <w:rPr>
                <w:rFonts w:ascii="Arial" w:cs="Arial" w:eastAsia="Arial" w:hAnsi="Arial"/>
                <w:sz w:val="13"/>
                <w:szCs w:val="13"/>
                <w:b w:val="1"/>
                <w:bCs w:val="1"/>
                <w:color w:val="auto"/>
              </w:rPr>
              <w:t>Coupon</w:t>
            </w:r>
          </w:p>
        </w:tc>
        <w:tc>
          <w:tcPr>
            <w:tcW w:w="960" w:type="dxa"/>
            <w:vAlign w:val="bottom"/>
          </w:tcPr>
          <w:p>
            <w:pPr>
              <w:jc w:val="center"/>
              <w:ind w:right="7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0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980" w:type="dxa"/>
            <w:vAlign w:val="bottom"/>
          </w:tcPr>
          <w:p>
            <w:pPr>
              <w:jc w:val="right"/>
              <w:ind w:right="297"/>
              <w:spacing w:after="0"/>
              <w:rPr>
                <w:sz w:val="20"/>
                <w:szCs w:val="20"/>
                <w:color w:val="auto"/>
              </w:rPr>
            </w:pPr>
            <w:r>
              <w:rPr>
                <w:rFonts w:ascii="Arial" w:cs="Arial" w:eastAsia="Arial" w:hAnsi="Arial"/>
                <w:sz w:val="13"/>
                <w:szCs w:val="13"/>
                <w:b w:val="1"/>
                <w:bCs w:val="1"/>
                <w:color w:val="auto"/>
              </w:rPr>
              <w:t>Cost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47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4"/>
              </w:rPr>
              <w:t xml:space="preserve">Investments in Non-Controlled, Non-Affiliated Portfolio Companies—104.2% </w:t>
            </w:r>
            <w:r>
              <w:rPr>
                <w:rFonts w:ascii="Arial" w:cs="Arial" w:eastAsia="Arial" w:hAnsi="Arial"/>
                <w:sz w:val="10"/>
                <w:szCs w:val="10"/>
                <w:b w:val="1"/>
                <w:bCs w:val="1"/>
                <w:color w:val="auto"/>
                <w:w w:val="94"/>
              </w:rPr>
              <w:t>(3), (4)</w:t>
            </w:r>
          </w:p>
        </w:tc>
        <w:tc>
          <w:tcPr>
            <w:tcW w:w="18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Debt—89.1%</w:t>
            </w:r>
          </w:p>
        </w:tc>
        <w:tc>
          <w:tcPr>
            <w:tcW w:w="1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04/02/2018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11.97%</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(9)</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10,734,388</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  10,555,953</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  10,895,404</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(10)</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04/02/2018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1,165,725</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17,486</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02/28/2019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7,136,577</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7,101,328</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7,118,736</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04/04/2022</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3,900,038</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3,881,182</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3,880,538</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Ancile Solutions,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07/16/2018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2,990,287</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2,971,513</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2,975,336</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12/21/2020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L+825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6,602,074</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6,517,717</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6,492,018</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ARC Automotive Group,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10/12/2020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3,970,000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3,935,708</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3,930,300</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11/15/2018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Energy: Oil and Gas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L+650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5,310,750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5,189,661</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4,514,138</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06/29/2020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4,280,585</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4,227,278</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4,264,533</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Bowlmor AMF Corp.</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09/17/2021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L+625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12,902,393</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12,820,758</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12,805,625</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Camin Cargo Control,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06/30/2021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Transportation: Cargo</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2,493,750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2,469,351</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2,468,812</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CareCentrix, Inc.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07/08/2021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5,000,000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4,878,103</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4,870,850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07/02/2020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L+700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4,961,991</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4,700,000</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12/24/2019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4,432,500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4,381,480</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4,210,875</w:t>
            </w:r>
          </w:p>
        </w:tc>
        <w:tc>
          <w:tcPr>
            <w:tcW w:w="0" w:type="dxa"/>
            <w:vAlign w:val="bottom"/>
          </w:tcPr>
          <w:p>
            <w:pPr>
              <w:spacing w:after="0"/>
              <w:rPr>
                <w:sz w:val="1"/>
                <w:szCs w:val="1"/>
                <w:color w:val="auto"/>
              </w:rPr>
            </w:pPr>
          </w:p>
        </w:tc>
      </w:tr>
      <w:tr>
        <w:trPr>
          <w:trHeight w:val="121"/>
        </w:trPr>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3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01/08/2019</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L+600</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4,925,000</w:t>
            </w:r>
          </w:p>
        </w:tc>
        <w:tc>
          <w:tcPr>
            <w:tcW w:w="9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4,887,389</w:t>
            </w: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12/21/2020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L+650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11,861,946</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11,755,521</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11,743,327</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02/07/2022</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1,990,000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1,971,403</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1,988,348</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DCS Business Services, Inc.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03/19/2018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2,976,683</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2,952,648</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3,017,613</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DISA Global Solutions,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12/09/2020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4,975,000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4,931,287</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4,875,500</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06/30/2020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4,937,500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4,901,367</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4,937,500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09/10/2020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8,955,000</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8,955,000</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(10)</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09/10/2020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07/01/2021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4,987,500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4,914,374</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4,862,812</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FHC Health Systems, Inc.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12/23/2021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L+400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4,975,000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4,927,105</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4,897,290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GlobalLogic Holdings,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05/31/2019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3,930,000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3,900,641</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3,910,350</w:t>
            </w:r>
          </w:p>
        </w:tc>
        <w:tc>
          <w:tcPr>
            <w:tcW w:w="0" w:type="dxa"/>
            <w:vAlign w:val="bottom"/>
          </w:tcPr>
          <w:p>
            <w:pPr>
              <w:spacing w:after="0"/>
              <w:rPr>
                <w:sz w:val="1"/>
                <w:szCs w:val="1"/>
                <w:color w:val="auto"/>
              </w:rPr>
            </w:pPr>
          </w:p>
        </w:tc>
      </w:tr>
      <w:tr>
        <w:trPr>
          <w:trHeight w:val="121"/>
        </w:trPr>
        <w:tc>
          <w:tcPr>
            <w:tcW w:w="3460" w:type="dxa"/>
            <w:vAlign w:val="bottom"/>
          </w:tcPr>
          <w:p>
            <w:pPr>
              <w:spacing w:after="0" w:line="121" w:lineRule="exact"/>
              <w:rPr>
                <w:sz w:val="20"/>
                <w:szCs w:val="20"/>
                <w:color w:val="auto"/>
              </w:rPr>
            </w:pPr>
            <w:r>
              <w:rPr>
                <w:rFonts w:ascii="Arial" w:cs="Arial" w:eastAsia="Arial" w:hAnsi="Arial"/>
                <w:sz w:val="13"/>
                <w:szCs w:val="13"/>
                <w:color w:val="auto"/>
              </w:rPr>
              <w:t>Granite Broadcasting Corporation</w:t>
            </w:r>
          </w:p>
        </w:tc>
        <w:tc>
          <w:tcPr>
            <w:tcW w:w="13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05/23/2018</w:t>
            </w:r>
          </w:p>
        </w:tc>
        <w:tc>
          <w:tcPr>
            <w:tcW w:w="1880" w:type="dxa"/>
            <w:vAlign w:val="bottom"/>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6.75%</w:t>
            </w:r>
          </w:p>
        </w:tc>
        <w:tc>
          <w:tcPr>
            <w:tcW w:w="96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L+550</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1,091,582</w:t>
            </w:r>
          </w:p>
        </w:tc>
        <w:tc>
          <w:tcPr>
            <w:tcW w:w="9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1,090,547</w:t>
            </w: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1,088,177</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11/04/2020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6,877,500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6,827,661</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6,739,950</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Help/Systems Holdings, Inc.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06/28/2019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4,900,000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4,866,257</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4,851,000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10/21/2020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1,194,000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1,178,322</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1,194,000</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12/13/2019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2,753,737</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2,734,900</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2,726,199</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08/05/2019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6,650,000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6,598,073</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6,641,687</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ICC-Nexergy, Inc.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04/30/2020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4,987,500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4,941,329</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4,937,625</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11/04/2020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L+625</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6,965,000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6,842,099</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6,965,000</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05/01/2019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L+600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10,094,315</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10,001,190</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9,084,884</w:t>
            </w:r>
          </w:p>
        </w:tc>
        <w:tc>
          <w:tcPr>
            <w:tcW w:w="0" w:type="dxa"/>
            <w:vAlign w:val="bottom"/>
          </w:tcPr>
          <w:p>
            <w:pPr>
              <w:spacing w:after="0"/>
              <w:rPr>
                <w:sz w:val="1"/>
                <w:szCs w:val="1"/>
                <w:color w:val="auto"/>
              </w:rPr>
            </w:pPr>
          </w:p>
        </w:tc>
      </w:tr>
      <w:tr>
        <w:trPr>
          <w:trHeight w:val="121"/>
        </w:trPr>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32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03/28/2019</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shd w:val="clear" w:color="auto" w:fill="CCEEFF"/>
          </w:tcPr>
          <w:p>
            <w:pPr>
              <w:jc w:val="right"/>
              <w:ind w:right="77"/>
              <w:spacing w:after="0" w:line="121"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L+450</w:t>
            </w:r>
          </w:p>
        </w:tc>
        <w:tc>
          <w:tcPr>
            <w:tcW w:w="8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5,366,227</w:t>
            </w:r>
          </w:p>
        </w:tc>
        <w:tc>
          <w:tcPr>
            <w:tcW w:w="9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5,306,494</w:t>
            </w: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5,366,227</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3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03/28/2019</w:t>
            </w:r>
          </w:p>
        </w:tc>
        <w:tc>
          <w:tcPr>
            <w:tcW w:w="18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12.00%</w:t>
            </w:r>
          </w:p>
        </w:tc>
        <w:tc>
          <w:tcPr>
            <w:tcW w:w="96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L+1,100</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4,500,000</w:t>
            </w:r>
          </w:p>
        </w:tc>
        <w:tc>
          <w:tcPr>
            <w:tcW w:w="9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4,447,058</w:t>
            </w: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06/30/2020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6,800,000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6,734,452</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6,800,000</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07/30/2020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L+700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5,000,000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4,901,996</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4,900,000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08/19/2019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L+1,000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5,965,222</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5,874,403</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5,537,227</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Kendra Scott, LLC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07/17/2020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L+600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3,000,000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2,970,849</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2,977,500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Lanyon Solutions,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11/13/2020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1,965,012</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1,958,874</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1,943,731</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11/30/2018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5,789,068</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5,735,375</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5,736,619</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(11)</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05/10/2021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2,208,750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2,197,809</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2,197,706</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05/10/2021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 Gaming and Leisure</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285,000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283,588</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283,575</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LTI Holdings,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04/18/2022</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L+425</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1,995,000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1,985,364</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1,973,175</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New Trident HoldCorp, Inc.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07/31/2019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8,917,647</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8,854,192</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8,566,559</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Physiotherapy Corporation </w:t>
            </w:r>
            <w:r>
              <w:rPr>
                <w:rFonts w:ascii="Arial" w:cs="Arial" w:eastAsia="Arial" w:hAnsi="Arial"/>
                <w:sz w:val="10"/>
                <w:szCs w:val="10"/>
                <w:color w:val="auto"/>
              </w:rPr>
              <w:t>(8)</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06/04/2021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3,500,000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3,482,889</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3,491,250</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PlayPower, Inc.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06/23/2021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3,990,000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3,951,094</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3,970,050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Polyconcept Finance B.V.</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06/28/2019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11,482,697</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11,430,576</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11,425,283</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Premier Dental Services, Inc.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11/01/2018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8,219,601</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8,131,135</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7,109,955</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Profile Products LLC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05/20/2021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7,470,287</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7,398,025</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7,470,287</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(10)</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05/20/2020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2,459,016</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12/17/2018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L+650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4,912,500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4,880,217</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4,914,563</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Research Now Group, Inc.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03/18/2021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6,965,000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6,931,604</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6,912,763</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06/18/2019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3,582,758</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3,557,217</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3,575,247</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Ryan, LLC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08/07/2020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6.75%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4,443,750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4,378,244</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4,382,648</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04/21/2017</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6,101,682</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5,946,657</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5,491,514</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 (11)</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08/09/2021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714,200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711,056</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714,200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Surgical Specialties Corporation (US),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08/22/2018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10,037,432</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10,017,760</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9,937,058</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12/16/2020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6,218,750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6,171,308</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6,164,336</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10/18/2019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L+400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5,895,000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5,875,736</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5,895,000</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Tensar Corporation</w:t>
            </w:r>
          </w:p>
        </w:tc>
        <w:tc>
          <w:tcPr>
            <w:tcW w:w="13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07/09/2021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4,950,000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4,906,969</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4,588,056</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TOMS Shoes, LLC</w:t>
            </w:r>
          </w:p>
        </w:tc>
        <w:tc>
          <w:tcPr>
            <w:tcW w:w="13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11/02/2020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1,990,000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1,814,920</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1,845,725</w:t>
            </w:r>
          </w:p>
        </w:tc>
        <w:tc>
          <w:tcPr>
            <w:tcW w:w="0" w:type="dxa"/>
            <w:vAlign w:val="bottom"/>
          </w:tcPr>
          <w:p>
            <w:pPr>
              <w:spacing w:after="0"/>
              <w:rPr>
                <w:sz w:val="1"/>
                <w:szCs w:val="1"/>
                <w:color w:val="auto"/>
              </w:rPr>
            </w:pPr>
          </w:p>
        </w:tc>
      </w:tr>
      <w:tr>
        <w:trPr>
          <w:trHeight w:val="121"/>
        </w:trPr>
        <w:tc>
          <w:tcPr>
            <w:tcW w:w="3460" w:type="dxa"/>
            <w:vAlign w:val="bottom"/>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320" w:type="dxa"/>
            <w:vAlign w:val="bottom"/>
          </w:tcPr>
          <w:p>
            <w:pPr>
              <w:jc w:val="right"/>
              <w:ind w:right="77"/>
              <w:spacing w:after="0" w:line="121" w:lineRule="exact"/>
              <w:rPr>
                <w:sz w:val="20"/>
                <w:szCs w:val="20"/>
                <w:color w:val="auto"/>
              </w:rPr>
            </w:pPr>
            <w:r>
              <w:rPr>
                <w:rFonts w:ascii="Arial" w:cs="Arial" w:eastAsia="Arial" w:hAnsi="Arial"/>
                <w:sz w:val="13"/>
                <w:szCs w:val="13"/>
                <w:color w:val="auto"/>
              </w:rPr>
              <w:t>01/14/2019</w:t>
            </w:r>
          </w:p>
        </w:tc>
        <w:tc>
          <w:tcPr>
            <w:tcW w:w="1880" w:type="dxa"/>
            <w:vAlign w:val="bottom"/>
          </w:tcPr>
          <w:p>
            <w:pPr>
              <w:jc w:val="center"/>
              <w:spacing w:after="0" w:line="121" w:lineRule="exact"/>
              <w:rPr>
                <w:sz w:val="20"/>
                <w:szCs w:val="20"/>
                <w:color w:val="auto"/>
              </w:rPr>
            </w:pPr>
            <w:r>
              <w:rPr>
                <w:rFonts w:ascii="Arial" w:cs="Arial" w:eastAsia="Arial" w:hAnsi="Arial"/>
                <w:sz w:val="13"/>
                <w:szCs w:val="13"/>
                <w:color w:val="auto"/>
                <w:w w:val="87"/>
              </w:rPr>
              <w:t>Telecommunications</w:t>
            </w:r>
          </w:p>
        </w:tc>
        <w:tc>
          <w:tcPr>
            <w:tcW w:w="860" w:type="dxa"/>
            <w:vAlign w:val="bottom"/>
          </w:tcPr>
          <w:p>
            <w:pPr>
              <w:jc w:val="right"/>
              <w:ind w:right="77"/>
              <w:spacing w:after="0" w:line="121" w:lineRule="exact"/>
              <w:rPr>
                <w:sz w:val="20"/>
                <w:szCs w:val="20"/>
                <w:color w:val="auto"/>
              </w:rPr>
            </w:pPr>
            <w:r>
              <w:rPr>
                <w:rFonts w:ascii="Arial" w:cs="Arial" w:eastAsia="Arial" w:hAnsi="Arial"/>
                <w:sz w:val="13"/>
                <w:szCs w:val="13"/>
                <w:color w:val="auto"/>
              </w:rPr>
              <w:t>9.50%</w:t>
            </w:r>
          </w:p>
        </w:tc>
        <w:tc>
          <w:tcPr>
            <w:tcW w:w="96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L+850</w:t>
            </w:r>
          </w:p>
        </w:tc>
        <w:tc>
          <w:tcPr>
            <w:tcW w:w="8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430,126</w:t>
            </w:r>
          </w:p>
        </w:tc>
        <w:tc>
          <w:tcPr>
            <w:tcW w:w="9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430,126</w:t>
            </w: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430,126</w:t>
            </w: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Arial" w:cs="Arial" w:eastAsia="Arial" w:hAnsi="Arial"/>
                <w:sz w:val="13"/>
                <w:szCs w:val="13"/>
                <w:color w:val="auto"/>
              </w:rPr>
              <w:t>(PIK 1.00%)</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320" w:type="dxa"/>
            <w:vAlign w:val="bottom"/>
            <w:shd w:val="clear" w:color="auto" w:fill="CCEEFF"/>
          </w:tcPr>
          <w:p>
            <w:pPr>
              <w:jc w:val="right"/>
              <w:ind w:right="77"/>
              <w:spacing w:after="0" w:line="136" w:lineRule="exact"/>
              <w:rPr>
                <w:sz w:val="20"/>
                <w:szCs w:val="20"/>
                <w:color w:val="auto"/>
              </w:rPr>
            </w:pPr>
            <w:r>
              <w:rPr>
                <w:rFonts w:ascii="Arial" w:cs="Arial" w:eastAsia="Arial" w:hAnsi="Arial"/>
                <w:sz w:val="13"/>
                <w:szCs w:val="13"/>
                <w:color w:val="auto"/>
              </w:rPr>
              <w:t>01/14/2019</w:t>
            </w:r>
          </w:p>
        </w:tc>
        <w:tc>
          <w:tcPr>
            <w:tcW w:w="18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Telecommunications</w:t>
            </w:r>
          </w:p>
        </w:tc>
        <w:tc>
          <w:tcPr>
            <w:tcW w:w="860" w:type="dxa"/>
            <w:vAlign w:val="bottom"/>
            <w:shd w:val="clear" w:color="auto" w:fill="CCEEFF"/>
          </w:tcPr>
          <w:p>
            <w:pPr>
              <w:jc w:val="right"/>
              <w:ind w:right="77"/>
              <w:spacing w:after="0" w:line="136" w:lineRule="exact"/>
              <w:rPr>
                <w:sz w:val="20"/>
                <w:szCs w:val="20"/>
                <w:color w:val="auto"/>
              </w:rPr>
            </w:pPr>
            <w:r>
              <w:rPr>
                <w:rFonts w:ascii="Arial" w:cs="Arial" w:eastAsia="Arial" w:hAnsi="Arial"/>
                <w:sz w:val="13"/>
                <w:szCs w:val="13"/>
                <w:color w:val="auto"/>
              </w:rPr>
              <w:t>8.50%</w:t>
            </w:r>
          </w:p>
        </w:tc>
        <w:tc>
          <w:tcPr>
            <w:tcW w:w="960" w:type="dxa"/>
            <w:vAlign w:val="bottom"/>
            <w:shd w:val="clear" w:color="auto" w:fill="CCEEFF"/>
          </w:tcPr>
          <w:p>
            <w:pPr>
              <w:jc w:val="right"/>
              <w:ind w:right="197"/>
              <w:spacing w:after="0" w:line="136" w:lineRule="exact"/>
              <w:rPr>
                <w:sz w:val="20"/>
                <w:szCs w:val="20"/>
                <w:color w:val="auto"/>
              </w:rPr>
            </w:pPr>
            <w:r>
              <w:rPr>
                <w:rFonts w:ascii="Arial" w:cs="Arial" w:eastAsia="Arial" w:hAnsi="Arial"/>
                <w:sz w:val="13"/>
                <w:szCs w:val="13"/>
                <w:color w:val="auto"/>
              </w:rPr>
              <w:t>L+750</w:t>
            </w:r>
          </w:p>
        </w:tc>
        <w:tc>
          <w:tcPr>
            <w:tcW w:w="800" w:type="dxa"/>
            <w:vAlign w:val="bottom"/>
            <w:shd w:val="clear" w:color="auto" w:fill="CCEEFF"/>
          </w:tcPr>
          <w:p>
            <w:pPr>
              <w:jc w:val="right"/>
              <w:ind w:right="57"/>
              <w:spacing w:after="0" w:line="136" w:lineRule="exact"/>
              <w:rPr>
                <w:sz w:val="20"/>
                <w:szCs w:val="20"/>
                <w:color w:val="auto"/>
              </w:rPr>
            </w:pPr>
            <w:r>
              <w:rPr>
                <w:rFonts w:ascii="Arial" w:cs="Arial" w:eastAsia="Arial" w:hAnsi="Arial"/>
                <w:sz w:val="13"/>
                <w:szCs w:val="13"/>
                <w:color w:val="auto"/>
              </w:rPr>
              <w:t>599,702</w:t>
            </w:r>
          </w:p>
        </w:tc>
        <w:tc>
          <w:tcPr>
            <w:tcW w:w="980" w:type="dxa"/>
            <w:vAlign w:val="bottom"/>
            <w:shd w:val="clear" w:color="auto" w:fill="CCEEFF"/>
          </w:tcPr>
          <w:p>
            <w:pPr>
              <w:jc w:val="right"/>
              <w:ind w:right="57"/>
              <w:spacing w:after="0" w:line="136" w:lineRule="exact"/>
              <w:rPr>
                <w:sz w:val="20"/>
                <w:szCs w:val="20"/>
                <w:color w:val="auto"/>
              </w:rPr>
            </w:pPr>
            <w:r>
              <w:rPr>
                <w:rFonts w:ascii="Arial" w:cs="Arial" w:eastAsia="Arial" w:hAnsi="Arial"/>
                <w:sz w:val="13"/>
                <w:szCs w:val="13"/>
                <w:color w:val="auto"/>
              </w:rPr>
              <w:t>548,736</w:t>
            </w: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569,717</w:t>
            </w:r>
          </w:p>
        </w:tc>
        <w:tc>
          <w:tcPr>
            <w:tcW w:w="0" w:type="dxa"/>
            <w:vAlign w:val="bottom"/>
          </w:tcPr>
          <w:p>
            <w:pPr>
              <w:spacing w:after="0"/>
              <w:rPr>
                <w:sz w:val="1"/>
                <w:szCs w:val="1"/>
                <w:color w:val="auto"/>
              </w:rPr>
            </w:pPr>
          </w:p>
        </w:tc>
      </w:tr>
      <w:tr>
        <w:trPr>
          <w:trHeight w:val="160"/>
        </w:trPr>
        <w:tc>
          <w:tcPr>
            <w:tcW w:w="3460" w:type="dxa"/>
            <w:vAlign w:val="bottom"/>
          </w:tcPr>
          <w:p>
            <w:pPr>
              <w:spacing w:after="0"/>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1320" w:type="dxa"/>
            <w:vAlign w:val="bottom"/>
          </w:tcPr>
          <w:p>
            <w:pPr>
              <w:jc w:val="right"/>
              <w:ind w:right="77"/>
              <w:spacing w:after="0"/>
              <w:rPr>
                <w:sz w:val="20"/>
                <w:szCs w:val="20"/>
                <w:color w:val="auto"/>
              </w:rPr>
            </w:pPr>
            <w:r>
              <w:rPr>
                <w:rFonts w:ascii="Arial" w:cs="Arial" w:eastAsia="Arial" w:hAnsi="Arial"/>
                <w:sz w:val="13"/>
                <w:szCs w:val="13"/>
                <w:color w:val="auto"/>
              </w:rPr>
              <w:t>01/14/2019</w:t>
            </w:r>
          </w:p>
        </w:tc>
        <w:tc>
          <w:tcPr>
            <w:tcW w:w="1880" w:type="dxa"/>
            <w:vAlign w:val="bottom"/>
          </w:tcPr>
          <w:p>
            <w:pPr>
              <w:jc w:val="center"/>
              <w:spacing w:after="0"/>
              <w:rPr>
                <w:sz w:val="20"/>
                <w:szCs w:val="20"/>
                <w:color w:val="auto"/>
              </w:rPr>
            </w:pPr>
            <w:r>
              <w:rPr>
                <w:rFonts w:ascii="Arial" w:cs="Arial" w:eastAsia="Arial" w:hAnsi="Arial"/>
                <w:sz w:val="13"/>
                <w:szCs w:val="13"/>
                <w:color w:val="auto"/>
                <w:w w:val="87"/>
              </w:rPr>
              <w:t>Telecommunications</w:t>
            </w:r>
          </w:p>
        </w:tc>
        <w:tc>
          <w:tcPr>
            <w:tcW w:w="8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151,090</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22"/>
              <w:spacing w:after="0" w:line="135" w:lineRule="exact"/>
              <w:rPr>
                <w:sz w:val="20"/>
                <w:szCs w:val="20"/>
                <w:color w:val="auto"/>
              </w:rPr>
            </w:pPr>
            <w:r>
              <w:rPr>
                <w:rFonts w:ascii="Arial" w:cs="Arial" w:eastAsia="Arial" w:hAnsi="Arial"/>
                <w:sz w:val="13"/>
                <w:szCs w:val="13"/>
                <w:b w:val="1"/>
                <w:bCs w:val="1"/>
                <w:color w:val="auto"/>
              </w:rPr>
              <w:t>Current</w:t>
            </w: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Above</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Par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gridSpan w:val="2"/>
            <w:vMerge w:val="continue"/>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2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Industry</w:t>
            </w:r>
          </w:p>
        </w:tc>
        <w:tc>
          <w:tcPr>
            <w:tcW w:w="920" w:type="dxa"/>
            <w:vAlign w:val="bottom"/>
            <w:gridSpan w:val="2"/>
          </w:tcPr>
          <w:p>
            <w:pPr>
              <w:jc w:val="right"/>
              <w:ind w:right="342"/>
              <w:spacing w:after="0"/>
              <w:rPr>
                <w:sz w:val="20"/>
                <w:szCs w:val="20"/>
                <w:color w:val="auto"/>
              </w:rPr>
            </w:pPr>
            <w:r>
              <w:rPr>
                <w:rFonts w:ascii="Arial" w:cs="Arial" w:eastAsia="Arial" w:hAnsi="Arial"/>
                <w:sz w:val="13"/>
                <w:szCs w:val="13"/>
                <w:b w:val="1"/>
                <w:bCs w:val="1"/>
                <w:color w:val="auto"/>
              </w:rPr>
              <w:t>Coupon</w:t>
            </w: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 xml:space="preserve">Fair Value </w:t>
            </w:r>
            <w:r>
              <w:rPr>
                <w:rFonts w:ascii="Arial" w:cs="Arial" w:eastAsia="Arial" w:hAnsi="Arial"/>
                <w:sz w:val="10"/>
                <w:szCs w:val="10"/>
                <w:b w:val="1"/>
                <w:bCs w:val="1"/>
                <w:color w:val="auto"/>
                <w:w w:val="99"/>
              </w:rPr>
              <w:t>(2)</w:t>
            </w:r>
          </w:p>
        </w:tc>
        <w:tc>
          <w:tcPr>
            <w:tcW w:w="0" w:type="dxa"/>
            <w:vAlign w:val="bottom"/>
          </w:tcPr>
          <w:p>
            <w:pPr>
              <w:spacing w:after="0"/>
              <w:rPr>
                <w:sz w:val="1"/>
                <w:szCs w:val="1"/>
                <w:color w:val="auto"/>
              </w:rPr>
            </w:pPr>
          </w:p>
        </w:tc>
      </w:tr>
      <w:tr>
        <w:trPr>
          <w:trHeight w:val="128"/>
        </w:trPr>
        <w:tc>
          <w:tcPr>
            <w:tcW w:w="4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U.S. Farathane, LLC</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02/07/2022</w:t>
            </w:r>
          </w:p>
        </w:tc>
        <w:tc>
          <w:tcPr>
            <w:tcW w:w="12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Automotive</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6.75</w:t>
            </w:r>
          </w:p>
        </w:tc>
        <w:tc>
          <w:tcPr>
            <w:tcW w:w="300" w:type="dxa"/>
            <w:vAlign w:val="bottom"/>
            <w:tcBorders>
              <w:top w:val="single" w:sz="8" w:color="CCEEFF"/>
            </w:tcBorders>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w w:val="74"/>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L+575</w:t>
            </w:r>
          </w:p>
        </w:tc>
        <w:tc>
          <w:tcPr>
            <w:tcW w:w="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3,800,641</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3,729,952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3,807,672</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08/13/2021</w:t>
            </w:r>
          </w:p>
        </w:tc>
        <w:tc>
          <w:tcPr>
            <w:tcW w:w="12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Healthcare and Pharmaceuticals</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10.00%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3,121,094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3,121,094</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3,121,094</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Vistage Worldwide, Inc. </w:t>
            </w:r>
            <w:r>
              <w:rPr>
                <w:rFonts w:ascii="Arial" w:cs="Arial" w:eastAsia="Arial" w:hAnsi="Arial"/>
                <w:sz w:val="10"/>
                <w:szCs w:val="10"/>
                <w:color w:val="auto"/>
              </w:rPr>
              <w:t>(8)</w:t>
            </w:r>
          </w:p>
        </w:tc>
        <w:tc>
          <w:tcPr>
            <w:tcW w:w="2740" w:type="dxa"/>
            <w:vAlign w:val="bottom"/>
            <w:gridSpan w:val="4"/>
            <w:shd w:val="clear" w:color="auto" w:fill="CCEEFF"/>
          </w:tcPr>
          <w:p>
            <w:pPr>
              <w:ind w:left="20"/>
              <w:spacing w:after="0" w:line="135" w:lineRule="exact"/>
              <w:rPr>
                <w:sz w:val="20"/>
                <w:szCs w:val="20"/>
                <w:color w:val="auto"/>
              </w:rPr>
            </w:pPr>
            <w:r>
              <w:rPr>
                <w:rFonts w:ascii="Arial" w:cs="Arial" w:eastAsia="Arial" w:hAnsi="Arial"/>
                <w:sz w:val="13"/>
                <w:szCs w:val="13"/>
                <w:color w:val="auto"/>
                <w:w w:val="92"/>
              </w:rPr>
              <w:t>08/19/2021  Media: Broadcasting and Subscription</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6.50%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L+550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5,000,000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4,950,477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Wilton Brands,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08/30/2018</w:t>
            </w:r>
          </w:p>
        </w:tc>
        <w:tc>
          <w:tcPr>
            <w:tcW w:w="12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Consumer Goods: Non-Durable</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8.50%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L+725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2,703,000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2,674,736</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2,630,370</w:t>
            </w: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Worley Claims Services, LLC</w:t>
            </w:r>
          </w:p>
        </w:tc>
        <w:tc>
          <w:tcPr>
            <w:tcW w:w="2740" w:type="dxa"/>
            <w:vAlign w:val="bottom"/>
            <w:gridSpan w:val="4"/>
            <w:shd w:val="clear" w:color="auto" w:fill="CCEEFF"/>
          </w:tcPr>
          <w:p>
            <w:pPr>
              <w:ind w:left="20"/>
              <w:spacing w:after="0" w:line="121" w:lineRule="exact"/>
              <w:rPr>
                <w:sz w:val="20"/>
                <w:szCs w:val="20"/>
                <w:color w:val="auto"/>
              </w:rPr>
            </w:pPr>
            <w:r>
              <w:rPr>
                <w:rFonts w:ascii="Arial" w:cs="Arial" w:eastAsia="Arial" w:hAnsi="Arial"/>
                <w:sz w:val="13"/>
                <w:szCs w:val="13"/>
                <w:color w:val="auto"/>
                <w:w w:val="92"/>
              </w:rPr>
              <w:t>10/30/2020  Banking, Finance, Insurance and Real</w:t>
            </w:r>
          </w:p>
        </w:tc>
        <w:tc>
          <w:tcPr>
            <w:tcW w:w="92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9.00%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L+800</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6,490,688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6,429,955</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6,490,688</w:t>
            </w: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1"/>
              </w:rPr>
              <w:t>Estate</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335,790,073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332,180,834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Debt—12.8%</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10/31/2018</w:t>
            </w:r>
          </w:p>
        </w:tc>
        <w:tc>
          <w:tcPr>
            <w:tcW w:w="12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8.50%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919,155</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893,130</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09/01/2017</w:t>
            </w:r>
          </w:p>
        </w:tc>
        <w:tc>
          <w:tcPr>
            <w:tcW w:w="12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Metals and Mining</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11.50%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950,000</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12/31/2020</w:t>
            </w:r>
          </w:p>
        </w:tc>
        <w:tc>
          <w:tcPr>
            <w:tcW w:w="12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5"/>
              </w:rPr>
              <w:t>Chemicals, Plastics and Rubber</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11.00%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1,965,770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09/30/2020</w:t>
            </w:r>
          </w:p>
        </w:tc>
        <w:tc>
          <w:tcPr>
            <w:tcW w:w="12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Wholesale</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11.00%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11,000,000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10,423,463</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10,670,000</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07/31/2019</w:t>
            </w:r>
          </w:p>
        </w:tc>
        <w:tc>
          <w:tcPr>
            <w:tcW w:w="12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11.00%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3,938,373</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4,040,000</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07/07/2022</w:t>
            </w:r>
          </w:p>
        </w:tc>
        <w:tc>
          <w:tcPr>
            <w:tcW w:w="12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Services</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10.75%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10,750,000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10,589,814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10,723,125</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07/07/2021</w:t>
            </w:r>
          </w:p>
        </w:tc>
        <w:tc>
          <w:tcPr>
            <w:tcW w:w="12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11.75%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11,000,000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5"/>
              </w:rPr>
              <w:t>10,902,202</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10,780,000</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10/02/2020</w:t>
            </w:r>
          </w:p>
        </w:tc>
        <w:tc>
          <w:tcPr>
            <w:tcW w:w="12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Media: Diversified and Production</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9.00%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L+775</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5,252,824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5,194,116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5,230,920</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08/01/2017</w:t>
            </w:r>
          </w:p>
        </w:tc>
        <w:tc>
          <w:tcPr>
            <w:tcW w:w="120" w:type="dxa"/>
            <w:vAlign w:val="bottom"/>
          </w:tcPr>
          <w:p>
            <w:pPr>
              <w:spacing w:after="0"/>
              <w:rPr>
                <w:sz w:val="12"/>
                <w:szCs w:val="12"/>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Energy: Oil and Gas</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10.00%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2,812,500</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2,697,607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2,615,625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47,630,500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47,902,800</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Subordinated Debt/Corporate Notes—1.5% </w:t>
            </w:r>
            <w:r>
              <w:rPr>
                <w:rFonts w:ascii="Arial" w:cs="Arial" w:eastAsia="Arial" w:hAnsi="Arial"/>
                <w:sz w:val="10"/>
                <w:szCs w:val="10"/>
                <w:b w:val="1"/>
                <w:bCs w:val="1"/>
                <w:color w:val="auto"/>
              </w:rPr>
              <w:t>(8)</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09/14/2018</w:t>
            </w:r>
          </w:p>
        </w:tc>
        <w:tc>
          <w:tcPr>
            <w:tcW w:w="12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4,786,483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4,361,551</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1,818,864</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Affinion Investments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08/15/2018</w:t>
            </w:r>
          </w:p>
        </w:tc>
        <w:tc>
          <w:tcPr>
            <w:tcW w:w="12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2,484,000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2,146,500</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1,664,280</w:t>
            </w:r>
          </w:p>
        </w:tc>
        <w:tc>
          <w:tcPr>
            <w:tcW w:w="0" w:type="dxa"/>
            <w:vAlign w:val="bottom"/>
          </w:tcPr>
          <w:p>
            <w:pPr>
              <w:spacing w:after="0"/>
              <w:rPr>
                <w:sz w:val="1"/>
                <w:szCs w:val="1"/>
                <w:color w:val="auto"/>
              </w:rPr>
            </w:pPr>
          </w:p>
        </w:tc>
      </w:tr>
      <w:tr>
        <w:trPr>
          <w:trHeight w:val="121"/>
        </w:trPr>
        <w:tc>
          <w:tcPr>
            <w:tcW w:w="42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10/26/2018</w:t>
            </w:r>
          </w:p>
        </w:tc>
        <w:tc>
          <w:tcPr>
            <w:tcW w:w="120" w:type="dxa"/>
            <w:vAlign w:val="bottom"/>
            <w:shd w:val="clear" w:color="auto" w:fill="CCEEFF"/>
          </w:tcPr>
          <w:p>
            <w:pPr>
              <w:spacing w:after="0"/>
              <w:rPr>
                <w:sz w:val="10"/>
                <w:szCs w:val="10"/>
                <w:color w:val="auto"/>
              </w:rPr>
            </w:pPr>
          </w:p>
        </w:tc>
        <w:tc>
          <w:tcPr>
            <w:tcW w:w="204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8"/>
              </w:rPr>
              <w:t>High Tech Industries</w:t>
            </w:r>
          </w:p>
        </w:tc>
        <w:tc>
          <w:tcPr>
            <w:tcW w:w="920" w:type="dxa"/>
            <w:vAlign w:val="bottom"/>
            <w:gridSpan w:val="2"/>
            <w:shd w:val="clear" w:color="auto" w:fill="CCEEFF"/>
          </w:tcPr>
          <w:p>
            <w:pPr>
              <w:jc w:val="right"/>
              <w:ind w:right="142"/>
              <w:spacing w:after="0" w:line="121" w:lineRule="exact"/>
              <w:rPr>
                <w:sz w:val="20"/>
                <w:szCs w:val="20"/>
                <w:color w:val="auto"/>
              </w:rPr>
            </w:pPr>
            <w:r>
              <w:rPr>
                <w:rFonts w:ascii="Arial" w:cs="Arial" w:eastAsia="Arial" w:hAnsi="Arial"/>
                <w:sz w:val="13"/>
                <w:szCs w:val="13"/>
                <w:color w:val="auto"/>
              </w:rPr>
              <w:t>13.00%</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2,025,065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1,999,885</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1,992,841</w:t>
            </w:r>
          </w:p>
        </w:tc>
        <w:tc>
          <w:tcPr>
            <w:tcW w:w="0" w:type="dxa"/>
            <w:vAlign w:val="bottom"/>
          </w:tcPr>
          <w:p>
            <w:pPr>
              <w:spacing w:after="0"/>
              <w:rPr>
                <w:sz w:val="1"/>
                <w:szCs w:val="1"/>
                <w:color w:val="auto"/>
              </w:rPr>
            </w:pPr>
          </w:p>
        </w:tc>
      </w:tr>
      <w:tr>
        <w:trPr>
          <w:trHeight w:val="163"/>
        </w:trPr>
        <w:tc>
          <w:tcPr>
            <w:tcW w:w="4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2"/>
              <w:spacing w:after="0"/>
              <w:rPr>
                <w:sz w:val="20"/>
                <w:szCs w:val="20"/>
                <w:color w:val="auto"/>
              </w:rPr>
            </w:pPr>
            <w:r>
              <w:rPr>
                <w:rFonts w:ascii="Arial" w:cs="Arial" w:eastAsia="Arial" w:hAnsi="Arial"/>
                <w:sz w:val="13"/>
                <w:szCs w:val="13"/>
                <w:color w:val="auto"/>
              </w:rPr>
              <w:t>(PIK 1.75%)</w:t>
            </w: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UniTek Global Services, Inc.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6"/>
              </w:rPr>
              <w:t>07/15/2019</w:t>
            </w:r>
          </w:p>
        </w:tc>
        <w:tc>
          <w:tcPr>
            <w:tcW w:w="120" w:type="dxa"/>
            <w:vAlign w:val="bottom"/>
          </w:tcPr>
          <w:p>
            <w:pPr>
              <w:spacing w:after="0"/>
              <w:rPr>
                <w:sz w:val="10"/>
                <w:szCs w:val="10"/>
                <w:color w:val="auto"/>
              </w:rPr>
            </w:pPr>
          </w:p>
        </w:tc>
        <w:tc>
          <w:tcPr>
            <w:tcW w:w="20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8"/>
              </w:rPr>
              <w:t>Telecommunications</w:t>
            </w:r>
          </w:p>
        </w:tc>
        <w:tc>
          <w:tcPr>
            <w:tcW w:w="920" w:type="dxa"/>
            <w:vAlign w:val="bottom"/>
            <w:gridSpan w:val="2"/>
          </w:tcPr>
          <w:p>
            <w:pPr>
              <w:jc w:val="right"/>
              <w:ind w:right="142"/>
              <w:spacing w:after="0" w:line="121" w:lineRule="exact"/>
              <w:rPr>
                <w:sz w:val="20"/>
                <w:szCs w:val="20"/>
                <w:color w:val="auto"/>
              </w:rPr>
            </w:pPr>
            <w:r>
              <w:rPr>
                <w:rFonts w:ascii="Arial" w:cs="Arial" w:eastAsia="Arial" w:hAnsi="Arial"/>
                <w:sz w:val="13"/>
                <w:szCs w:val="13"/>
                <w:color w:val="auto"/>
              </w:rPr>
              <w:t>15.00%</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126,259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126,259</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126,259</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02"/>
              <w:spacing w:after="0"/>
              <w:rPr>
                <w:sz w:val="20"/>
                <w:szCs w:val="20"/>
                <w:color w:val="auto"/>
              </w:rPr>
            </w:pPr>
            <w:r>
              <w:rPr>
                <w:rFonts w:ascii="Arial" w:cs="Arial" w:eastAsia="Arial" w:hAnsi="Arial"/>
                <w:sz w:val="13"/>
                <w:szCs w:val="13"/>
                <w:color w:val="auto"/>
                <w:w w:val="95"/>
              </w:rPr>
              <w:t>(PIK 15.00%)</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8,634,195</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5,602,244</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Preferred Equity—0.3% </w:t>
            </w:r>
            <w:r>
              <w:rPr>
                <w:rFonts w:ascii="Arial" w:cs="Arial" w:eastAsia="Arial" w:hAnsi="Arial"/>
                <w:sz w:val="10"/>
                <w:szCs w:val="10"/>
                <w:b w:val="1"/>
                <w:bCs w:val="1"/>
                <w:color w:val="auto"/>
              </w:rPr>
              <w:t>(7), (8)</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J.A. Cosmetics US, Inc.</w:t>
            </w:r>
          </w:p>
        </w:tc>
        <w:tc>
          <w:tcPr>
            <w:tcW w:w="7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8.00%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399,704</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455,490</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Telecommunications</w:t>
            </w:r>
          </w:p>
        </w:tc>
        <w:tc>
          <w:tcPr>
            <w:tcW w:w="92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13.50%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1,047,317</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670,283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691,115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1,069,987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1,146,605</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Common Equity/Warrants—0.5% </w:t>
            </w:r>
            <w:r>
              <w:rPr>
                <w:rFonts w:ascii="Arial" w:cs="Arial" w:eastAsia="Arial" w:hAnsi="Arial"/>
                <w:sz w:val="10"/>
                <w:szCs w:val="10"/>
                <w:b w:val="1"/>
                <w:bCs w:val="1"/>
                <w:color w:val="auto"/>
              </w:rPr>
              <w:t>(7), (8)</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w:t>
            </w:r>
          </w:p>
        </w:tc>
        <w:tc>
          <w:tcPr>
            <w:tcW w:w="7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118,817</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674,296</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6"/>
              </w:rPr>
              <w:t>12/12/2023</w:t>
            </w:r>
          </w:p>
        </w:tc>
        <w:tc>
          <w:tcPr>
            <w:tcW w:w="12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554,715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1,186,649</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291,226</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12/12/2023</w:t>
            </w:r>
          </w:p>
        </w:tc>
        <w:tc>
          <w:tcPr>
            <w:tcW w:w="12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1,135,743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22,715</w:t>
            </w: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Faraday Holdings, LLC</w:t>
            </w: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1"/>
              </w:rPr>
              <w:t>—</w:t>
            </w:r>
          </w:p>
        </w:tc>
        <w:tc>
          <w:tcPr>
            <w:tcW w:w="20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0"/>
              </w:rPr>
              <w:t>Construction and Building</w:t>
            </w:r>
          </w:p>
        </w:tc>
        <w:tc>
          <w:tcPr>
            <w:tcW w:w="920" w:type="dxa"/>
            <w:vAlign w:val="bottom"/>
            <w:gridSpan w:val="2"/>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939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45,761</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52,466</w:t>
            </w:r>
          </w:p>
        </w:tc>
        <w:tc>
          <w:tcPr>
            <w:tcW w:w="0" w:type="dxa"/>
            <w:vAlign w:val="bottom"/>
          </w:tcPr>
          <w:p>
            <w:pPr>
              <w:spacing w:after="0"/>
              <w:rPr>
                <w:sz w:val="1"/>
                <w:szCs w:val="1"/>
                <w:color w:val="auto"/>
              </w:rPr>
            </w:pPr>
          </w:p>
        </w:tc>
      </w:tr>
      <w:tr>
        <w:trPr>
          <w:trHeight w:val="161"/>
        </w:trPr>
        <w:tc>
          <w:tcPr>
            <w:tcW w:w="4240" w:type="dxa"/>
            <w:vAlign w:val="bottom"/>
            <w:gridSpan w:val="2"/>
          </w:tcPr>
          <w:p>
            <w:pPr>
              <w:spacing w:after="0"/>
              <w:rPr>
                <w:sz w:val="20"/>
                <w:szCs w:val="20"/>
                <w:color w:val="auto"/>
              </w:rPr>
            </w:pPr>
            <w:r>
              <w:rPr>
                <w:rFonts w:ascii="Arial" w:cs="Arial" w:eastAsia="Arial" w:hAnsi="Arial"/>
                <w:sz w:val="13"/>
                <w:szCs w:val="13"/>
                <w:color w:val="auto"/>
              </w:rPr>
              <w:t>(Interior Specialists, Inc.)</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2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J.A. Cosmetics US, Inc.</w:t>
            </w:r>
          </w:p>
        </w:tc>
        <w:tc>
          <w:tcPr>
            <w:tcW w:w="700" w:type="dxa"/>
            <w:vAlign w:val="bottom"/>
            <w:gridSpan w:val="2"/>
            <w:shd w:val="clear" w:color="auto" w:fill="CCEEFF"/>
          </w:tcPr>
          <w:p>
            <w:pPr>
              <w:jc w:val="center"/>
              <w:ind w:right="100"/>
              <w:spacing w:after="0" w:line="136" w:lineRule="exact"/>
              <w:rPr>
                <w:sz w:val="20"/>
                <w:szCs w:val="20"/>
                <w:color w:val="auto"/>
              </w:rPr>
            </w:pPr>
            <w:r>
              <w:rPr>
                <w:rFonts w:ascii="Arial" w:cs="Arial" w:eastAsia="Arial" w:hAnsi="Arial"/>
                <w:sz w:val="13"/>
                <w:szCs w:val="13"/>
                <w:color w:val="auto"/>
                <w:w w:val="91"/>
              </w:rPr>
              <w:t>—</w:t>
            </w:r>
          </w:p>
        </w:tc>
        <w:tc>
          <w:tcPr>
            <w:tcW w:w="2040" w:type="dxa"/>
            <w:vAlign w:val="bottom"/>
            <w:gridSpan w:val="2"/>
            <w:shd w:val="clear" w:color="auto" w:fill="CCEEFF"/>
          </w:tcPr>
          <w:p>
            <w:pPr>
              <w:jc w:val="center"/>
              <w:ind w:right="100"/>
              <w:spacing w:after="0" w:line="136" w:lineRule="exact"/>
              <w:rPr>
                <w:sz w:val="20"/>
                <w:szCs w:val="20"/>
                <w:color w:val="auto"/>
              </w:rPr>
            </w:pPr>
            <w:r>
              <w:rPr>
                <w:rFonts w:ascii="Arial" w:cs="Arial" w:eastAsia="Arial" w:hAnsi="Arial"/>
                <w:sz w:val="13"/>
                <w:szCs w:val="13"/>
                <w:color w:val="auto"/>
                <w:w w:val="86"/>
              </w:rPr>
              <w:t>Consumer Goods: Durable</w:t>
            </w:r>
          </w:p>
        </w:tc>
        <w:tc>
          <w:tcPr>
            <w:tcW w:w="920" w:type="dxa"/>
            <w:vAlign w:val="bottom"/>
            <w:gridSpan w:val="2"/>
            <w:shd w:val="clear" w:color="auto" w:fill="CCEEFF"/>
          </w:tcPr>
          <w:p>
            <w:pPr>
              <w:jc w:val="right"/>
              <w:ind w:right="242"/>
              <w:spacing w:after="0" w:line="13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215,689</w:t>
            </w: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Patriot National, Inc. (Warrants)</w:t>
            </w:r>
          </w:p>
        </w:tc>
        <w:tc>
          <w:tcPr>
            <w:tcW w:w="2740" w:type="dxa"/>
            <w:vAlign w:val="bottom"/>
            <w:gridSpan w:val="4"/>
          </w:tcPr>
          <w:p>
            <w:pPr>
              <w:ind w:left="20"/>
              <w:spacing w:after="0" w:line="121" w:lineRule="exact"/>
              <w:rPr>
                <w:sz w:val="20"/>
                <w:szCs w:val="20"/>
                <w:color w:val="auto"/>
              </w:rPr>
            </w:pPr>
            <w:r>
              <w:rPr>
                <w:rFonts w:ascii="Arial" w:cs="Arial" w:eastAsia="Arial" w:hAnsi="Arial"/>
                <w:sz w:val="13"/>
                <w:szCs w:val="13"/>
                <w:color w:val="auto"/>
                <w:w w:val="92"/>
              </w:rPr>
              <w:t>11/27/2023  Banking, Finance, Insurance and Real</w:t>
            </w:r>
          </w:p>
        </w:tc>
        <w:tc>
          <w:tcPr>
            <w:tcW w:w="920" w:type="dxa"/>
            <w:vAlign w:val="bottom"/>
            <w:gridSpan w:val="2"/>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14,484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28,002</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190,609</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3"/>
                <w:szCs w:val="13"/>
                <w:color w:val="auto"/>
                <w:w w:val="81"/>
              </w:rPr>
              <w:t>Estate</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7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1"/>
              </w:rPr>
              <w:t>—</w:t>
            </w: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Telecommunications</w:t>
            </w:r>
          </w:p>
        </w:tc>
        <w:tc>
          <w:tcPr>
            <w:tcW w:w="92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149,617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240" w:type="dxa"/>
            <w:vAlign w:val="bottom"/>
            <w:gridSpan w:val="2"/>
          </w:tcPr>
          <w:p>
            <w:pPr>
              <w:spacing w:after="0" w:line="121" w:lineRule="exact"/>
              <w:rPr>
                <w:sz w:val="20"/>
                <w:szCs w:val="20"/>
                <w:color w:val="auto"/>
              </w:rPr>
            </w:pPr>
            <w:r>
              <w:rPr>
                <w:rFonts w:ascii="Arial" w:cs="Arial" w:eastAsia="Arial" w:hAnsi="Arial"/>
                <w:sz w:val="13"/>
                <w:szCs w:val="13"/>
                <w:color w:val="auto"/>
              </w:rPr>
              <w:t>Vestcom Parent Holdings, Inc.</w:t>
            </w: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1"/>
              </w:rPr>
              <w:t>—</w:t>
            </w:r>
          </w:p>
        </w:tc>
        <w:tc>
          <w:tcPr>
            <w:tcW w:w="20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0"/>
              </w:rPr>
              <w:t>Media: Advertising, Printing and</w:t>
            </w:r>
          </w:p>
        </w:tc>
        <w:tc>
          <w:tcPr>
            <w:tcW w:w="920" w:type="dxa"/>
            <w:vAlign w:val="bottom"/>
            <w:gridSpan w:val="2"/>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15,179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56,895</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255,899</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Publishing</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1,436,420</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1,702,900</w:t>
            </w: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4"/>
              </w:rPr>
              <w:t>Total Investments in Non-Controlled, Non-Affiliated Portfolio Companies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394,561,175</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388,535,383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Investments in Controlled, Affiliated Portfolio Companies—0.7%</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First Lien Secured Debt—0.7%</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GMC Television Broadcasting Holdings, LLC </w:t>
            </w:r>
            <w:r>
              <w:rPr>
                <w:rFonts w:ascii="Arial" w:cs="Arial" w:eastAsia="Arial" w:hAnsi="Arial"/>
                <w:sz w:val="10"/>
                <w:szCs w:val="10"/>
                <w:color w:val="auto"/>
              </w:rPr>
              <w:t>(8), (12)</w:t>
            </w:r>
          </w:p>
        </w:tc>
        <w:tc>
          <w:tcPr>
            <w:tcW w:w="2740" w:type="dxa"/>
            <w:vAlign w:val="bottom"/>
            <w:gridSpan w:val="4"/>
            <w:shd w:val="clear" w:color="auto" w:fill="CCEEFF"/>
          </w:tcPr>
          <w:p>
            <w:pPr>
              <w:ind w:left="20"/>
              <w:spacing w:after="0" w:line="135" w:lineRule="exact"/>
              <w:rPr>
                <w:sz w:val="20"/>
                <w:szCs w:val="20"/>
                <w:color w:val="auto"/>
              </w:rPr>
            </w:pPr>
            <w:r>
              <w:rPr>
                <w:rFonts w:ascii="Arial" w:cs="Arial" w:eastAsia="Arial" w:hAnsi="Arial"/>
                <w:sz w:val="13"/>
                <w:szCs w:val="13"/>
                <w:color w:val="auto"/>
                <w:w w:val="92"/>
              </w:rPr>
              <w:t>12/30/2016  Media: Broadcasting and Subscription</w:t>
            </w:r>
          </w:p>
        </w:tc>
        <w:tc>
          <w:tcPr>
            <w:tcW w:w="920" w:type="dxa"/>
            <w:vAlign w:val="bottom"/>
            <w:gridSpan w:val="2"/>
            <w:shd w:val="clear" w:color="auto" w:fill="CCEEFF"/>
          </w:tcPr>
          <w:p>
            <w:pPr>
              <w:jc w:val="right"/>
              <w:ind w:right="142"/>
              <w:spacing w:after="0" w:line="135" w:lineRule="exact"/>
              <w:rPr>
                <w:sz w:val="20"/>
                <w:szCs w:val="20"/>
                <w:color w:val="auto"/>
              </w:rPr>
            </w:pPr>
            <w:r>
              <w:rPr>
                <w:rFonts w:ascii="Arial" w:cs="Arial" w:eastAsia="Arial" w:hAnsi="Arial"/>
                <w:sz w:val="13"/>
                <w:szCs w:val="13"/>
                <w:color w:val="auto"/>
              </w:rPr>
              <w:t>4.33%</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L+400</w:t>
            </w:r>
            <w:r>
              <w:rPr>
                <w:rFonts w:ascii="Arial" w:cs="Arial" w:eastAsia="Arial" w:hAnsi="Arial"/>
                <w:sz w:val="10"/>
                <w:szCs w:val="10"/>
                <w:color w:val="auto"/>
              </w:rPr>
              <w:t>(9)</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3,702,009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2,777,132</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2,776,507</w:t>
            </w: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Investments—104.9%</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397,338,307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391,311,890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Equivalents—5.8%</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w w:val="95"/>
              </w:rPr>
              <w:t>BlackRock Liquidity Funds, Temp Cash and Temp Fund, Institutional Shares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21,428,514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21,428,514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Equivalents—110.7%</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5"/>
              </w:rPr>
              <w:t>418,766,821</w:t>
            </w:r>
          </w:p>
        </w:tc>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412,740,404</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Assets—(10.7)%</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w w:val="84"/>
              </w:rPr>
              <w:t>(39,849,955)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372,890,449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79"/>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ind w:right="-7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516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98" w:lineRule="exact"/>
        <w:rPr>
          <w:sz w:val="20"/>
          <w:szCs w:val="20"/>
          <w:color w:val="auto"/>
        </w:rPr>
      </w:pPr>
    </w:p>
    <w:p>
      <w:pPr>
        <w:ind w:left="460" w:right="80" w:hanging="452"/>
        <w:spacing w:after="0" w:line="224" w:lineRule="auto"/>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460" w:hanging="452"/>
        <w:spacing w:after="0" w:line="216" w:lineRule="auto"/>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right="300" w:hanging="452"/>
        <w:spacing w:after="0" w:line="234"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hanging="452"/>
        <w:spacing w:after="0" w:line="234" w:lineRule="auto"/>
        <w:tabs>
          <w:tab w:leader="none" w:pos="4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460" w:hanging="452"/>
        <w:spacing w:after="0"/>
        <w:tabs>
          <w:tab w:leader="none" w:pos="460" w:val="left"/>
        </w:tabs>
        <w:numPr>
          <w:ilvl w:val="0"/>
          <w:numId w:val="39"/>
        </w:numPr>
        <w:rPr>
          <w:rFonts w:ascii="Arial" w:cs="Arial" w:eastAsia="Arial" w:hAnsi="Arial"/>
          <w:sz w:val="10"/>
          <w:szCs w:val="10"/>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20" w:lineRule="exact"/>
        <w:rPr>
          <w:rFonts w:ascii="Arial" w:cs="Arial" w:eastAsia="Arial" w:hAnsi="Arial"/>
          <w:sz w:val="10"/>
          <w:szCs w:val="10"/>
          <w:color w:val="auto"/>
        </w:rPr>
      </w:pPr>
    </w:p>
    <w:p>
      <w:pPr>
        <w:ind w:left="460" w:hanging="452"/>
        <w:spacing w:after="0" w:line="216" w:lineRule="auto"/>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460" w:hanging="452"/>
        <w:spacing w:after="0" w:line="216" w:lineRule="auto"/>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line="216" w:lineRule="auto"/>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 and held through Funding I.</w:t>
      </w:r>
    </w:p>
    <w:p>
      <w:pPr>
        <w:ind w:left="460" w:hanging="452"/>
        <w:spacing w:after="0" w:line="216" w:lineRule="auto"/>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460" w:right="360" w:hanging="452"/>
        <w:spacing w:after="0" w:line="216" w:lineRule="auto"/>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ind w:left="460" w:right="220" w:hanging="452"/>
        <w:spacing w:after="0" w:line="216" w:lineRule="auto"/>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460" w:hanging="452"/>
        <w:spacing w:after="0"/>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Became a controlled affiliate during the quarter ended September 30, 2015.</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160"/>
          </w:cols>
          <w:pgMar w:left="32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160" w:firstLine="562"/>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66" w:lineRule="exact"/>
        <w:rPr>
          <w:sz w:val="20"/>
          <w:szCs w:val="20"/>
          <w:color w:val="auto"/>
        </w:rPr>
      </w:pPr>
    </w:p>
    <w:p>
      <w:pPr>
        <w:ind w:right="100" w:firstLine="562"/>
        <w:spacing w:after="0" w:line="248" w:lineRule="auto"/>
        <w:rPr>
          <w:sz w:val="20"/>
          <w:szCs w:val="20"/>
          <w:color w:val="auto"/>
        </w:rPr>
      </w:pPr>
      <w:r>
        <w:rPr>
          <w:rFonts w:ascii="Arial" w:cs="Arial" w:eastAsia="Arial" w:hAnsi="Arial"/>
          <w:sz w:val="13"/>
          <w:szCs w:val="13"/>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72" w:lineRule="exact"/>
        <w:rPr>
          <w:sz w:val="20"/>
          <w:szCs w:val="20"/>
          <w:color w:val="auto"/>
        </w:rPr>
      </w:pPr>
    </w:p>
    <w:p>
      <w:pPr>
        <w:ind w:right="820" w:firstLine="562"/>
        <w:spacing w:after="0" w:line="253" w:lineRule="auto"/>
        <w:rPr>
          <w:sz w:val="20"/>
          <w:szCs w:val="20"/>
          <w:color w:val="auto"/>
        </w:rPr>
      </w:pPr>
      <w:r>
        <w:rPr>
          <w:rFonts w:ascii="Arial" w:cs="Arial" w:eastAsia="Arial" w:hAnsi="Arial"/>
          <w:sz w:val="14"/>
          <w:szCs w:val="14"/>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66" w:lineRule="exact"/>
        <w:rPr>
          <w:sz w:val="20"/>
          <w:szCs w:val="20"/>
          <w:color w:val="auto"/>
        </w:rPr>
      </w:pPr>
    </w:p>
    <w:p>
      <w:pPr>
        <w:jc w:val="both"/>
        <w:ind w:right="80" w:firstLine="562"/>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$350 million as of September 30, 2016 at LIBOR plus 200 basis points during the revolving period. The Credit Facility is secured by all of the assets held by Funding I. See Note 11.</w:t>
      </w:r>
    </w:p>
    <w:p>
      <w:pPr>
        <w:spacing w:after="0" w:line="67"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75" w:lineRule="exact"/>
        <w:rPr>
          <w:sz w:val="20"/>
          <w:szCs w:val="20"/>
          <w:color w:val="auto"/>
        </w:rPr>
      </w:pPr>
    </w:p>
    <w:p>
      <w:pPr>
        <w:ind w:right="40" w:firstLine="562"/>
        <w:spacing w:after="0" w:line="290" w:lineRule="auto"/>
        <w:rPr>
          <w:sz w:val="20"/>
          <w:szCs w:val="20"/>
          <w:color w:val="auto"/>
        </w:rPr>
      </w:pPr>
      <w:r>
        <w:rPr>
          <w:rFonts w:ascii="Arial" w:cs="Arial" w:eastAsia="Arial" w:hAnsi="Arial"/>
          <w:sz w:val="13"/>
          <w:szCs w:val="13"/>
          <w:color w:val="auto"/>
        </w:rPr>
        <w:t>In August 2015, we completed the acquisition of MCG pursuant to the Agreement and Plan of Merger by and among MCG, our Investment Adviser and the Company. As a result of the transactions completed by the Merger Agreement, MCG was ultimately merged with and into PFLT Funding II, LLC with PFLT Funding II, LLC as the surviving company. See Note 13.</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40" w:firstLine="562"/>
        <w:spacing w:after="0" w:line="248"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72"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448"/>
        <w:spacing w:after="0" w:line="253" w:lineRule="auto"/>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448"/>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448"/>
        <w:spacing w:after="0" w:line="264" w:lineRule="auto"/>
        <w:tabs>
          <w:tab w:leader="none" w:pos="7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left="780" w:right="80" w:hanging="448"/>
        <w:spacing w:after="0" w:line="238" w:lineRule="auto"/>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00" w:hanging="448"/>
        <w:spacing w:after="0" w:line="253" w:lineRule="auto"/>
        <w:tabs>
          <w:tab w:leader="none" w:pos="7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240" w:firstLine="562"/>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77" w:lineRule="exact"/>
        <w:rPr>
          <w:sz w:val="20"/>
          <w:szCs w:val="20"/>
          <w:color w:val="auto"/>
        </w:rPr>
      </w:pPr>
    </w:p>
    <w:p>
      <w:pPr>
        <w:ind w:right="60" w:firstLine="562"/>
        <w:spacing w:after="0" w:line="248"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72" w:lineRule="exact"/>
        <w:rPr>
          <w:sz w:val="20"/>
          <w:szCs w:val="20"/>
          <w:color w:val="auto"/>
        </w:rPr>
      </w:pPr>
    </w:p>
    <w:p>
      <w:pPr>
        <w:ind w:right="20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are not subject to federal income taxes as a RIC, we may elect to retain a portion of our calendar year income, which may result in an excise tax. For the fiscal years ended September 30, 2016, 2015 and 2014, we had accrued an excise tax of zero, $0.4 million and $0.5 million, respectively.</w:t>
      </w:r>
    </w:p>
    <w:p>
      <w:pPr>
        <w:spacing w:after="0" w:line="77" w:lineRule="exact"/>
        <w:rPr>
          <w:sz w:val="20"/>
          <w:szCs w:val="20"/>
          <w:color w:val="auto"/>
        </w:rPr>
      </w:pPr>
    </w:p>
    <w:p>
      <w:pPr>
        <w:ind w:right="60" w:firstLine="562"/>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benefits of positions not considered to satisfy the “more-likely-than-not” threshold would be recorded as a tax expense. We did not have any material uncertain tax positions or any unrecognized tax benefits that met the recognition or measurement criteria of ASC 740-10-25 as of the periods presented herein.</w:t>
      </w:r>
    </w:p>
    <w:p>
      <w:pPr>
        <w:spacing w:after="0" w:line="60" w:lineRule="exact"/>
        <w:rPr>
          <w:sz w:val="20"/>
          <w:szCs w:val="20"/>
          <w:color w:val="auto"/>
        </w:rPr>
      </w:pPr>
    </w:p>
    <w:p>
      <w:pPr>
        <w:jc w:val="both"/>
        <w:ind w:right="60" w:firstLine="56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75" w:lineRule="exact"/>
        <w:rPr>
          <w:sz w:val="20"/>
          <w:szCs w:val="20"/>
          <w:color w:val="auto"/>
        </w:rPr>
      </w:pPr>
    </w:p>
    <w:p>
      <w:pPr>
        <w:ind w:right="54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 Consolidation</w:t>
      </w:r>
    </w:p>
    <w:p>
      <w:pPr>
        <w:spacing w:after="0" w:line="9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subsidiaries in our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of its affiliates.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Advisers, in February 2016.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69"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39"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7"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auto"/>
        </w:rPr>
        <w:t>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75" w:lineRule="exact"/>
        <w:rPr>
          <w:sz w:val="20"/>
          <w:szCs w:val="20"/>
          <w:color w:val="auto"/>
        </w:rPr>
      </w:pPr>
    </w:p>
    <w:p>
      <w:pPr>
        <w:jc w:val="both"/>
        <w:ind w:right="80" w:firstLine="562"/>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76"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2016.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260" w:firstLine="562"/>
        <w:spacing w:after="0" w:line="253" w:lineRule="auto"/>
        <w:rPr>
          <w:sz w:val="20"/>
          <w:szCs w:val="20"/>
          <w:color w:val="auto"/>
        </w:rPr>
      </w:pPr>
      <w:r>
        <w:rPr>
          <w:rFonts w:ascii="Arial" w:cs="Arial" w:eastAsia="Arial" w:hAnsi="Arial"/>
          <w:sz w:val="14"/>
          <w:szCs w:val="14"/>
          <w:color w:val="auto"/>
        </w:rPr>
        <w:t>Purchases of investments, including PIK, for the years ended September 30, 2016, 2015 and 2014 totaled $364.6 million, $224.8 million and $248.8 million, respectively. Sales and repayments of investments for the same periods totaled $164.2 million, $195.0 million and $225.6 million, respectively.</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00" w:type="dxa"/>
            <w:vAlign w:val="bottom"/>
          </w:tcPr>
          <w:p>
            <w:pPr>
              <w:spacing w:after="0"/>
              <w:rPr>
                <w:sz w:val="14"/>
                <w:szCs w:val="14"/>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Pr>
          <w:p>
            <w:pPr>
              <w:spacing w:after="0"/>
              <w:rPr>
                <w:sz w:val="14"/>
                <w:szCs w:val="14"/>
                <w:color w:val="auto"/>
              </w:rPr>
            </w:pPr>
          </w:p>
        </w:tc>
        <w:tc>
          <w:tcPr>
            <w:tcW w:w="206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48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Cost</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5"/>
              </w:rPr>
              <w:t>Fair Value</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Cost</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549,736,982</w:t>
            </w: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548,410,095</w:t>
            </w: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338,567,205</w:t>
            </w: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334,957,341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10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38,404,428</w:t>
            </w:r>
          </w:p>
        </w:tc>
        <w:tc>
          <w:tcPr>
            <w:tcW w:w="10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36,596,692</w:t>
            </w:r>
          </w:p>
        </w:tc>
        <w:tc>
          <w:tcPr>
            <w:tcW w:w="12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47,630,500</w:t>
            </w: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47,902,800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3,228,083</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3,160,372</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8,634,195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5,602,244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 common equity / warrants</w:t>
            </w:r>
          </w:p>
        </w:tc>
        <w:tc>
          <w:tcPr>
            <w:tcW w:w="10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6,540,774</w:t>
            </w:r>
          </w:p>
        </w:tc>
        <w:tc>
          <w:tcPr>
            <w:tcW w:w="10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10,720,366</w:t>
            </w:r>
          </w:p>
        </w:tc>
        <w:tc>
          <w:tcPr>
            <w:tcW w:w="12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2,506,407</w:t>
            </w: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2,849,505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597,910,267</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7"/>
              </w:rPr>
              <w:t>598,887,525</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397,338,307</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391,311,890</w:t>
            </w:r>
          </w:p>
        </w:tc>
        <w:tc>
          <w:tcPr>
            <w:tcW w:w="0" w:type="dxa"/>
            <w:vAlign w:val="bottom"/>
          </w:tcPr>
          <w:p>
            <w:pPr>
              <w:spacing w:after="0"/>
              <w:rPr>
                <w:sz w:val="1"/>
                <w:szCs w:val="1"/>
                <w:color w:val="auto"/>
              </w:rPr>
            </w:pPr>
          </w:p>
        </w:tc>
      </w:tr>
      <w:tr>
        <w:trPr>
          <w:trHeight w:val="163"/>
        </w:trPr>
        <w:tc>
          <w:tcPr>
            <w:tcW w:w="4820" w:type="dxa"/>
            <w:vAlign w:val="bottom"/>
            <w:gridSpan w:val="3"/>
          </w:tcPr>
          <w:p>
            <w:pPr>
              <w:spacing w:after="0" w:line="155" w:lineRule="exact"/>
              <w:rPr>
                <w:sz w:val="20"/>
                <w:szCs w:val="20"/>
                <w:color w:val="auto"/>
              </w:rPr>
            </w:pPr>
            <w:r>
              <w:rPr>
                <w:rFonts w:ascii="Arial" w:cs="Arial" w:eastAsia="Arial" w:hAnsi="Arial"/>
                <w:sz w:val="14"/>
                <w:szCs w:val="14"/>
                <w:color w:val="auto"/>
              </w:rPr>
              <w:t>Cash and cash equivalents</w:t>
            </w: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28,903,359</w:t>
            </w: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28,910,973</w:t>
            </w: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626,813,626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7"/>
              </w:rPr>
              <w:t>627,798,498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418,766,821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412,740,404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560" w:firstLine="562"/>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w:t>
      </w:r>
    </w:p>
    <w:p>
      <w:pPr>
        <w:spacing w:after="0" w:line="197"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auto"/>
            </w:tcBorders>
            <w:vMerge w:val="continue"/>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Healthcare and Pharmaceuticals</w:t>
            </w:r>
          </w:p>
        </w:tc>
        <w:tc>
          <w:tcPr>
            <w:tcW w:w="2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40"/>
              <w:spacing w:after="0" w:line="142" w:lineRule="exact"/>
              <w:rPr>
                <w:sz w:val="20"/>
                <w:szCs w:val="20"/>
                <w:color w:val="auto"/>
              </w:rPr>
            </w:pPr>
            <w:r>
              <w:rPr>
                <w:rFonts w:ascii="Arial" w:cs="Arial" w:eastAsia="Arial" w:hAnsi="Arial"/>
                <w:sz w:val="14"/>
                <w:szCs w:val="14"/>
                <w:color w:val="auto"/>
              </w:rPr>
              <w:t>10%</w:t>
            </w:r>
          </w:p>
        </w:tc>
        <w:tc>
          <w:tcPr>
            <w:tcW w:w="6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High Tech Industries</w:t>
            </w:r>
          </w:p>
        </w:tc>
        <w:tc>
          <w:tcPr>
            <w:tcW w:w="3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30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Consumer Goods: Durable</w:t>
            </w:r>
          </w:p>
        </w:tc>
        <w:tc>
          <w:tcPr>
            <w:tcW w:w="3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Hotel, Gaming and Leisure</w:t>
            </w:r>
          </w:p>
        </w:tc>
        <w:tc>
          <w:tcPr>
            <w:tcW w:w="30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Telecommunications</w:t>
            </w:r>
          </w:p>
        </w:tc>
        <w:tc>
          <w:tcPr>
            <w:tcW w:w="3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30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Capital Equipment</w:t>
            </w:r>
          </w:p>
        </w:tc>
        <w:tc>
          <w:tcPr>
            <w:tcW w:w="3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76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30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Retail</w:t>
            </w:r>
          </w:p>
        </w:tc>
        <w:tc>
          <w:tcPr>
            <w:tcW w:w="3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Wholesale</w:t>
            </w:r>
          </w:p>
        </w:tc>
        <w:tc>
          <w:tcPr>
            <w:tcW w:w="30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Consumer Goods: Non-Durable</w:t>
            </w:r>
          </w:p>
        </w:tc>
        <w:tc>
          <w:tcPr>
            <w:tcW w:w="3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30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3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30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Banking, Finance, Insurance and Real Estate</w:t>
            </w:r>
          </w:p>
        </w:tc>
        <w:tc>
          <w:tcPr>
            <w:tcW w:w="3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Beverage, Food and Tobacco</w:t>
            </w:r>
          </w:p>
        </w:tc>
        <w:tc>
          <w:tcPr>
            <w:tcW w:w="30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7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Consumer Services</w:t>
            </w:r>
          </w:p>
        </w:tc>
        <w:tc>
          <w:tcPr>
            <w:tcW w:w="3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30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color w:val="auto"/>
              </w:rPr>
              <w:t>Automotive</w:t>
            </w:r>
          </w:p>
        </w:tc>
        <w:tc>
          <w:tcPr>
            <w:tcW w:w="3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7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2640" w:type="dxa"/>
            <w:vAlign w:val="bottom"/>
            <w:gridSpan w:val="2"/>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7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2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100%</w:t>
            </w: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100" w:type="dxa"/>
            <w:vAlign w:val="bottom"/>
            <w:vMerge w:val="restart"/>
          </w:tcPr>
          <w:p>
            <w:pPr>
              <w:jc w:val="right"/>
              <w:ind w:right="1288"/>
              <w:spacing w:after="0"/>
              <w:rPr>
                <w:sz w:val="20"/>
                <w:szCs w:val="20"/>
                <w:color w:val="auto"/>
              </w:rPr>
            </w:pPr>
            <w:r>
              <w:rPr>
                <w:rFonts w:ascii="Arial" w:cs="Arial" w:eastAsia="Arial" w:hAnsi="Arial"/>
                <w:sz w:val="14"/>
                <w:szCs w:val="14"/>
                <w:color w:val="auto"/>
              </w:rPr>
              <w:t>59</w:t>
            </w: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1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740"/>
        <w:spacing w:after="0"/>
        <w:tabs>
          <w:tab w:leader="none" w:pos="16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640" w:right="800" w:hanging="890"/>
        <w:spacing w:after="0" w:line="238" w:lineRule="auto"/>
        <w:tabs>
          <w:tab w:leader="none" w:pos="16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640" w:right="840" w:hanging="890"/>
        <w:spacing w:after="0" w:line="253" w:lineRule="auto"/>
        <w:tabs>
          <w:tab w:leader="none" w:pos="16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jc w:val="both"/>
        <w:ind w:right="28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76"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76" w:lineRule="exact"/>
        <w:rPr>
          <w:sz w:val="20"/>
          <w:szCs w:val="20"/>
          <w:color w:val="auto"/>
        </w:rPr>
      </w:pPr>
    </w:p>
    <w:p>
      <w:pPr>
        <w:ind w:right="160" w:firstLine="562"/>
        <w:spacing w:after="0" w:line="255"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1 and one reclassification from Level 3 to Level 2 during the year ended September 30, 2016. During the year ended September 30, 2015, there were two reclassifications from Level 2 to 3 and one reclassification from Level 3 to 2.</w:t>
      </w:r>
    </w:p>
    <w:p>
      <w:pPr>
        <w:spacing w:after="0" w:line="6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and 2(e).</w:t>
      </w:r>
    </w:p>
    <w:p>
      <w:pPr>
        <w:spacing w:after="0" w:line="75" w:lineRule="exact"/>
        <w:rPr>
          <w:sz w:val="20"/>
          <w:szCs w:val="20"/>
          <w:color w:val="auto"/>
        </w:rPr>
      </w:pPr>
    </w:p>
    <w:p>
      <w:pPr>
        <w:ind w:right="120" w:firstLine="562"/>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right="120" w:firstLine="562"/>
        <w:spacing w:after="0" w:line="245"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0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 as of</w:t>
            </w: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19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Unobservable Input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86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273,399,858</w:t>
            </w:r>
          </w:p>
        </w:tc>
        <w:tc>
          <w:tcPr>
            <w:tcW w:w="5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6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4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00" w:type="dxa"/>
            <w:vAlign w:val="bottom"/>
          </w:tcPr>
          <w:p>
            <w:pPr>
              <w:spacing w:after="0"/>
              <w:rPr>
                <w:sz w:val="12"/>
                <w:szCs w:val="12"/>
                <w:color w:val="auto"/>
              </w:rPr>
            </w:pPr>
          </w:p>
        </w:tc>
        <w:tc>
          <w:tcPr>
            <w:tcW w:w="16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314,767,301</w:t>
            </w:r>
          </w:p>
        </w:tc>
        <w:tc>
          <w:tcPr>
            <w:tcW w:w="18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Market Comparable</w:t>
            </w:r>
          </w:p>
        </w:tc>
        <w:tc>
          <w:tcPr>
            <w:tcW w:w="19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3"/>
              </w:rPr>
              <w:t>5.3% – 16.5% (8.9%)</w:t>
            </w: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7,655,677</w:t>
            </w:r>
          </w:p>
        </w:tc>
        <w:tc>
          <w:tcPr>
            <w:tcW w:w="18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3"/>
              </w:rPr>
              <w:t>Enterprise Market Value</w:t>
            </w:r>
          </w:p>
        </w:tc>
        <w:tc>
          <w:tcPr>
            <w:tcW w:w="190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rPr>
              <w:t>EBITDA multiple</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4.3x – 9.0x (7.2x)</w:t>
            </w:r>
          </w:p>
        </w:tc>
        <w:tc>
          <w:tcPr>
            <w:tcW w:w="0" w:type="dxa"/>
            <w:vAlign w:val="bottom"/>
          </w:tcPr>
          <w:p>
            <w:pPr>
              <w:spacing w:after="0"/>
              <w:rPr>
                <w:sz w:val="1"/>
                <w:szCs w:val="1"/>
                <w:color w:val="auto"/>
              </w:rPr>
            </w:pPr>
          </w:p>
        </w:tc>
      </w:tr>
      <w:tr>
        <w:trPr>
          <w:trHeight w:val="156"/>
        </w:trPr>
        <w:tc>
          <w:tcPr>
            <w:tcW w:w="444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595,822,836</w:t>
            </w:r>
          </w:p>
        </w:tc>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232,389,498</w:t>
            </w:r>
          </w:p>
        </w:tc>
        <w:tc>
          <w:tcPr>
            <w:tcW w:w="1860" w:type="dxa"/>
            <w:vAlign w:val="bottom"/>
            <w:gridSpan w:val="2"/>
            <w:shd w:val="clear" w:color="auto" w:fill="CCEEFF"/>
          </w:tcPr>
          <w:p>
            <w:pPr>
              <w:jc w:val="center"/>
              <w:ind w:right="460"/>
              <w:spacing w:after="0" w:line="143" w:lineRule="exact"/>
              <w:rPr>
                <w:sz w:val="20"/>
                <w:szCs w:val="20"/>
                <w:color w:val="auto"/>
              </w:rPr>
            </w:pPr>
            <w:r>
              <w:rPr>
                <w:rFonts w:ascii="Arial" w:cs="Arial" w:eastAsia="Arial" w:hAnsi="Arial"/>
                <w:sz w:val="14"/>
                <w:szCs w:val="14"/>
                <w:color w:val="auto"/>
                <w:w w:val="94"/>
              </w:rPr>
              <w:t>Market Comparable</w:t>
            </w:r>
          </w:p>
        </w:tc>
        <w:tc>
          <w:tcPr>
            <w:tcW w:w="1900" w:type="dxa"/>
            <w:vAlign w:val="bottom"/>
            <w:gridSpan w:val="2"/>
            <w:shd w:val="clear" w:color="auto" w:fill="CCEEFF"/>
          </w:tcPr>
          <w:p>
            <w:pPr>
              <w:jc w:val="center"/>
              <w:ind w:right="460"/>
              <w:spacing w:after="0" w:line="143" w:lineRule="exact"/>
              <w:rPr>
                <w:sz w:val="20"/>
                <w:szCs w:val="20"/>
                <w:color w:val="auto"/>
              </w:rPr>
            </w:pPr>
            <w:r>
              <w:rPr>
                <w:rFonts w:ascii="Arial" w:cs="Arial" w:eastAsia="Arial" w:hAnsi="Arial"/>
                <w:sz w:val="14"/>
                <w:szCs w:val="14"/>
                <w:color w:val="auto"/>
                <w:w w:val="97"/>
              </w:rPr>
              <w:t>Market Yield</w:t>
            </w:r>
          </w:p>
        </w:tc>
        <w:tc>
          <w:tcPr>
            <w:tcW w:w="13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 as of</w:t>
            </w:r>
          </w:p>
        </w:tc>
        <w:tc>
          <w:tcPr>
            <w:tcW w:w="500" w:type="dxa"/>
            <w:vAlign w:val="bottom"/>
          </w:tcPr>
          <w:p>
            <w:pPr>
              <w:spacing w:after="0"/>
              <w:rPr>
                <w:sz w:val="14"/>
                <w:szCs w:val="14"/>
                <w:color w:val="auto"/>
              </w:rPr>
            </w:pPr>
          </w:p>
        </w:tc>
        <w:tc>
          <w:tcPr>
            <w:tcW w:w="18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19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Unobservable Input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2015</w:t>
            </w:r>
          </w:p>
        </w:tc>
        <w:tc>
          <w:tcPr>
            <w:tcW w:w="5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259,566,475</w:t>
            </w:r>
          </w:p>
        </w:tc>
        <w:tc>
          <w:tcPr>
            <w:tcW w:w="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6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Broker/Dealer bid quotes</w:t>
            </w:r>
          </w:p>
        </w:tc>
        <w:tc>
          <w:tcPr>
            <w:tcW w:w="44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0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128,895,910</w:t>
            </w:r>
          </w:p>
        </w:tc>
        <w:tc>
          <w:tcPr>
            <w:tcW w:w="500" w:type="dxa"/>
            <w:vAlign w:val="bottom"/>
          </w:tcPr>
          <w:p>
            <w:pPr>
              <w:spacing w:after="0"/>
              <w:rPr>
                <w:sz w:val="12"/>
                <w:szCs w:val="12"/>
                <w:color w:val="auto"/>
              </w:rPr>
            </w:pPr>
          </w:p>
        </w:tc>
        <w:tc>
          <w:tcPr>
            <w:tcW w:w="18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Market Comparable</w:t>
            </w:r>
          </w:p>
        </w:tc>
        <w:tc>
          <w:tcPr>
            <w:tcW w:w="19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5.5% – 34.7% (10.6%)</w:t>
            </w:r>
          </w:p>
        </w:tc>
        <w:tc>
          <w:tcPr>
            <w:tcW w:w="0" w:type="dxa"/>
            <w:vAlign w:val="bottom"/>
          </w:tcPr>
          <w:p>
            <w:pPr>
              <w:spacing w:after="0"/>
              <w:rPr>
                <w:sz w:val="1"/>
                <w:szCs w:val="1"/>
                <w:color w:val="auto"/>
              </w:rPr>
            </w:pPr>
          </w:p>
        </w:tc>
      </w:tr>
      <w:tr>
        <w:trPr>
          <w:trHeight w:val="148"/>
        </w:trPr>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313,941</w:t>
            </w:r>
          </w:p>
        </w:tc>
        <w:tc>
          <w:tcPr>
            <w:tcW w:w="5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4"/>
              </w:rPr>
              <w:t>Market Comparable</w:t>
            </w:r>
          </w:p>
        </w:tc>
        <w:tc>
          <w:tcPr>
            <w:tcW w:w="190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color w:val="auto"/>
                <w:w w:val="92"/>
              </w:rPr>
              <w:t>Broker/Dealer bid quotes</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2,344,955</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3"/>
              </w:rPr>
              <w:t>Enterprise Market Value</w:t>
            </w:r>
          </w:p>
        </w:tc>
        <w:tc>
          <w:tcPr>
            <w:tcW w:w="19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EBITDA multiple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6"/>
              </w:rPr>
              <w:t>6.0x – 10.5x (7.6x)</w:t>
            </w:r>
          </w:p>
        </w:tc>
        <w:tc>
          <w:tcPr>
            <w:tcW w:w="0" w:type="dxa"/>
            <w:vAlign w:val="bottom"/>
          </w:tcPr>
          <w:p>
            <w:pPr>
              <w:spacing w:after="0"/>
              <w:rPr>
                <w:sz w:val="1"/>
                <w:szCs w:val="1"/>
                <w:color w:val="auto"/>
              </w:rPr>
            </w:pPr>
          </w:p>
        </w:tc>
      </w:tr>
      <w:tr>
        <w:trPr>
          <w:trHeight w:val="149"/>
        </w:trPr>
        <w:tc>
          <w:tcPr>
            <w:tcW w:w="44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391,121,281</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4"/>
              </w:rPr>
              <w:t>Market Comparable</w:t>
            </w:r>
          </w:p>
        </w:tc>
        <w:tc>
          <w:tcPr>
            <w:tcW w:w="190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7"/>
              </w:rPr>
              <w:t>Market Yield</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3"/>
              </w:rPr>
              <w:t>2.9%</w:t>
            </w:r>
          </w:p>
        </w:tc>
        <w:tc>
          <w:tcPr>
            <w:tcW w:w="0" w:type="dxa"/>
            <w:vAlign w:val="bottom"/>
          </w:tcPr>
          <w:p>
            <w:pPr>
              <w:spacing w:after="0" w:line="20" w:lineRule="exact"/>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and cash equivalents and Credit Facility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Fair Value at September 30, 2016</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38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14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84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4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548,410,095</w:t>
            </w:r>
          </w:p>
        </w:tc>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548,410,095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36,596,692</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36,596,692</w:t>
            </w:r>
          </w:p>
        </w:tc>
        <w:tc>
          <w:tcPr>
            <w:tcW w:w="0" w:type="dxa"/>
            <w:vAlign w:val="bottom"/>
          </w:tcPr>
          <w:p>
            <w:pPr>
              <w:spacing w:after="0"/>
              <w:rPr>
                <w:sz w:val="1"/>
                <w:szCs w:val="1"/>
                <w:color w:val="auto"/>
              </w:rPr>
            </w:pPr>
          </w:p>
        </w:tc>
      </w:tr>
      <w:tr>
        <w:trPr>
          <w:trHeight w:val="149"/>
        </w:trPr>
        <w:tc>
          <w:tcPr>
            <w:tcW w:w="5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3,160,372</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3,160,372</w:t>
            </w:r>
          </w:p>
        </w:tc>
        <w:tc>
          <w:tcPr>
            <w:tcW w:w="0" w:type="dxa"/>
            <w:vAlign w:val="bottom"/>
          </w:tcPr>
          <w:p>
            <w:pPr>
              <w:spacing w:after="0"/>
              <w:rPr>
                <w:sz w:val="1"/>
                <w:szCs w:val="1"/>
                <w:color w:val="auto"/>
              </w:rPr>
            </w:pPr>
          </w:p>
        </w:tc>
      </w:tr>
      <w:tr>
        <w:trPr>
          <w:trHeight w:val="148"/>
        </w:trPr>
        <w:tc>
          <w:tcPr>
            <w:tcW w:w="544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10,720,366</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106,922</w:t>
            </w:r>
          </w:p>
        </w:tc>
        <w:tc>
          <w:tcPr>
            <w:tcW w:w="18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2,957,767</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7,655,677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4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598,887,525</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106,922</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2,957,767</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595,822,836</w:t>
            </w:r>
          </w:p>
        </w:tc>
        <w:tc>
          <w:tcPr>
            <w:tcW w:w="0" w:type="dxa"/>
            <w:vAlign w:val="bottom"/>
          </w:tcPr>
          <w:p>
            <w:pPr>
              <w:spacing w:after="0"/>
              <w:rPr>
                <w:sz w:val="1"/>
                <w:szCs w:val="1"/>
                <w:color w:val="auto"/>
              </w:rPr>
            </w:pPr>
          </w:p>
        </w:tc>
      </w:tr>
      <w:tr>
        <w:trPr>
          <w:trHeight w:val="163"/>
        </w:trPr>
        <w:tc>
          <w:tcPr>
            <w:tcW w:w="544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28,910,973</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28,910,973</w:t>
            </w:r>
          </w:p>
        </w:tc>
        <w:tc>
          <w:tcPr>
            <w:tcW w:w="5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627,798,498</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29,017,895</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2,957,767</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595,822,836</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4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232,389,498</w:t>
            </w:r>
          </w:p>
        </w:tc>
        <w:tc>
          <w:tcPr>
            <w:tcW w:w="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232,389,498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Fair Value at September 30, 2015</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3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14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84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5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ind w:left="700"/>
              <w:spacing w:after="0" w:line="142" w:lineRule="exact"/>
              <w:rPr>
                <w:sz w:val="20"/>
                <w:szCs w:val="20"/>
                <w:color w:val="auto"/>
              </w:rPr>
            </w:pPr>
            <w:r>
              <w:rPr>
                <w:rFonts w:ascii="Arial" w:cs="Arial" w:eastAsia="Arial" w:hAnsi="Arial"/>
                <w:sz w:val="14"/>
                <w:szCs w:val="14"/>
                <w:color w:val="auto"/>
                <w:w w:val="85"/>
              </w:rPr>
              <w:t>—</w:t>
            </w:r>
          </w:p>
        </w:tc>
        <w:tc>
          <w:tcPr>
            <w:tcW w:w="5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47,902,800</w:t>
            </w:r>
          </w:p>
        </w:tc>
        <w:tc>
          <w:tcPr>
            <w:tcW w:w="180" w:type="dxa"/>
            <w:vAlign w:val="bottom"/>
          </w:tcPr>
          <w:p>
            <w:pPr>
              <w:spacing w:after="0"/>
              <w:rPr>
                <w:sz w:val="12"/>
                <w:szCs w:val="12"/>
                <w:color w:val="auto"/>
              </w:rPr>
            </w:pPr>
          </w:p>
        </w:tc>
        <w:tc>
          <w:tcPr>
            <w:tcW w:w="13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47,902,800</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5,602,244</w:t>
            </w: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5,602,244</w:t>
            </w:r>
          </w:p>
        </w:tc>
        <w:tc>
          <w:tcPr>
            <w:tcW w:w="0" w:type="dxa"/>
            <w:vAlign w:val="bottom"/>
          </w:tcPr>
          <w:p>
            <w:pPr>
              <w:spacing w:after="0"/>
              <w:rPr>
                <w:sz w:val="1"/>
                <w:szCs w:val="1"/>
                <w:color w:val="auto"/>
              </w:rPr>
            </w:pPr>
          </w:p>
        </w:tc>
      </w:tr>
      <w:tr>
        <w:trPr>
          <w:trHeight w:val="148"/>
        </w:trPr>
        <w:tc>
          <w:tcPr>
            <w:tcW w:w="498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2,849,505</w:t>
            </w:r>
          </w:p>
        </w:tc>
        <w:tc>
          <w:tcPr>
            <w:tcW w:w="180" w:type="dxa"/>
            <w:vAlign w:val="bottom"/>
          </w:tcPr>
          <w:p>
            <w:pPr>
              <w:spacing w:after="0"/>
              <w:rPr>
                <w:sz w:val="12"/>
                <w:szCs w:val="12"/>
                <w:color w:val="auto"/>
              </w:rPr>
            </w:pPr>
          </w:p>
        </w:tc>
        <w:tc>
          <w:tcPr>
            <w:tcW w:w="138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190,609</w:t>
            </w:r>
          </w:p>
        </w:tc>
        <w:tc>
          <w:tcPr>
            <w:tcW w:w="1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2,658,896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391,311,890</w:t>
            </w: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190,609</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391,121,281</w:t>
            </w:r>
          </w:p>
        </w:tc>
        <w:tc>
          <w:tcPr>
            <w:tcW w:w="0" w:type="dxa"/>
            <w:vAlign w:val="bottom"/>
          </w:tcPr>
          <w:p>
            <w:pPr>
              <w:spacing w:after="0"/>
              <w:rPr>
                <w:sz w:val="1"/>
                <w:szCs w:val="1"/>
                <w:color w:val="auto"/>
              </w:rPr>
            </w:pPr>
          </w:p>
        </w:tc>
      </w:tr>
      <w:tr>
        <w:trPr>
          <w:trHeight w:val="163"/>
        </w:trPr>
        <w:tc>
          <w:tcPr>
            <w:tcW w:w="4980" w:type="dxa"/>
            <w:vAlign w:val="bottom"/>
          </w:tcPr>
          <w:p>
            <w:pPr>
              <w:spacing w:after="0" w:line="155" w:lineRule="exact"/>
              <w:rPr>
                <w:sz w:val="20"/>
                <w:szCs w:val="20"/>
                <w:color w:val="auto"/>
              </w:rPr>
            </w:pPr>
            <w:r>
              <w:rPr>
                <w:rFonts w:ascii="Arial" w:cs="Arial" w:eastAsia="Arial" w:hAnsi="Arial"/>
                <w:sz w:val="14"/>
                <w:szCs w:val="14"/>
                <w:color w:val="auto"/>
              </w:rPr>
              <w:t>Cash equivalents</w:t>
            </w:r>
          </w:p>
        </w:tc>
        <w:tc>
          <w:tcPr>
            <w:tcW w:w="4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5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color w:val="auto"/>
                <w:w w:val="88"/>
              </w:rPr>
              <w:t>21,428,514</w:t>
            </w:r>
          </w:p>
        </w:tc>
        <w:tc>
          <w:tcPr>
            <w:tcW w:w="5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412,740,404</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21,428,514</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190,609</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391,121,281</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54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ind w:left="700"/>
              <w:spacing w:after="0" w:line="143" w:lineRule="exact"/>
              <w:rPr>
                <w:sz w:val="20"/>
                <w:szCs w:val="20"/>
                <w:color w:val="auto"/>
              </w:rPr>
            </w:pPr>
            <w:r>
              <w:rPr>
                <w:rFonts w:ascii="Arial" w:cs="Arial" w:eastAsia="Arial" w:hAnsi="Arial"/>
                <w:sz w:val="14"/>
                <w:szCs w:val="14"/>
                <w:color w:val="auto"/>
                <w:w w:val="85"/>
              </w:rPr>
              <w:t>—</w:t>
            </w:r>
          </w:p>
        </w:tc>
        <w:tc>
          <w:tcPr>
            <w:tcW w:w="54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688"/>
              <w:spacing w:after="0"/>
              <w:rPr>
                <w:sz w:val="20"/>
                <w:szCs w:val="20"/>
                <w:color w:val="auto"/>
              </w:rPr>
            </w:pPr>
            <w:r>
              <w:rPr>
                <w:rFonts w:ascii="Arial" w:cs="Arial" w:eastAsia="Arial" w:hAnsi="Arial"/>
                <w:sz w:val="14"/>
                <w:szCs w:val="14"/>
                <w:color w:val="auto"/>
                <w:w w:val="89"/>
              </w:rPr>
              <w:t>61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9"/>
          </w:tcPr>
          <w:p>
            <w:pPr>
              <w:jc w:val="center"/>
              <w:ind w:left="628"/>
              <w:spacing w:after="0"/>
              <w:rPr>
                <w:sz w:val="20"/>
                <w:szCs w:val="20"/>
                <w:color w:val="auto"/>
              </w:rPr>
            </w:pPr>
            <w:r>
              <w:rPr>
                <w:rFonts w:ascii="Arial" w:cs="Arial" w:eastAsia="Arial" w:hAnsi="Arial"/>
                <w:sz w:val="14"/>
                <w:szCs w:val="14"/>
                <w:b w:val="1"/>
                <w:bCs w:val="1"/>
                <w:color w:val="auto"/>
                <w:w w:val="92"/>
              </w:rPr>
              <w:t>Year Ended September 30, 2016</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First Lien</w:t>
            </w:r>
          </w:p>
        </w:tc>
        <w:tc>
          <w:tcPr>
            <w:tcW w:w="18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1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56,163,940</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391,121,281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6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Net realized gains (losses)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744,464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(2,223,584)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(1,479,120)</w:t>
            </w:r>
          </w:p>
        </w:tc>
        <w:tc>
          <w:tcPr>
            <w:tcW w:w="0" w:type="dxa"/>
            <w:vAlign w:val="bottom"/>
          </w:tcPr>
          <w:p>
            <w:pPr>
              <w:spacing w:after="0"/>
              <w:rPr>
                <w:sz w:val="1"/>
                <w:szCs w:val="1"/>
                <w:color w:val="auto"/>
              </w:rPr>
            </w:pPr>
          </w:p>
        </w:tc>
      </w:tr>
      <w:tr>
        <w:trPr>
          <w:trHeight w:val="148"/>
        </w:trPr>
        <w:tc>
          <w:tcPr>
            <w:tcW w:w="160" w:type="dxa"/>
            <w:vAlign w:val="bottom"/>
            <w:shd w:val="clear" w:color="auto" w:fill="CCEEFF"/>
          </w:tcPr>
          <w:p>
            <w:pPr>
              <w:spacing w:after="0"/>
              <w:rPr>
                <w:sz w:val="12"/>
                <w:szCs w:val="12"/>
                <w:color w:val="auto"/>
              </w:rPr>
            </w:pPr>
          </w:p>
        </w:tc>
        <w:tc>
          <w:tcPr>
            <w:tcW w:w="69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Net unrealized appreciation</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2,282,976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4,804,379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7,087,355</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357,140,895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9,088,987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366,229,882</w:t>
            </w:r>
          </w:p>
        </w:tc>
        <w:tc>
          <w:tcPr>
            <w:tcW w:w="0" w:type="dxa"/>
            <w:vAlign w:val="bottom"/>
          </w:tcPr>
          <w:p>
            <w:pPr>
              <w:spacing w:after="0"/>
              <w:rPr>
                <w:sz w:val="1"/>
                <w:szCs w:val="1"/>
                <w:color w:val="auto"/>
              </w:rPr>
            </w:pPr>
          </w:p>
        </w:tc>
      </w:tr>
      <w:tr>
        <w:trPr>
          <w:trHeight w:val="148"/>
        </w:trPr>
        <w:tc>
          <w:tcPr>
            <w:tcW w:w="160" w:type="dxa"/>
            <w:vAlign w:val="bottom"/>
            <w:shd w:val="clear" w:color="auto" w:fill="CCEEFF"/>
          </w:tcPr>
          <w:p>
            <w:pPr>
              <w:spacing w:after="0"/>
              <w:rPr>
                <w:sz w:val="12"/>
                <w:szCs w:val="12"/>
                <w:color w:val="auto"/>
              </w:rPr>
            </w:pPr>
          </w:p>
        </w:tc>
        <w:tc>
          <w:tcPr>
            <w:tcW w:w="69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Sales, repayments and non-cash exchanges</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(146,715,581)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(17,463,214)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(164,178,795)</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Transfers in and/or out of Level 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(2,957,767)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(2,957,767)</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548,410,095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47,412,741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595,822,836</w:t>
            </w:r>
          </w:p>
        </w:tc>
        <w:tc>
          <w:tcPr>
            <w:tcW w:w="0" w:type="dxa"/>
            <w:vAlign w:val="bottom"/>
          </w:tcPr>
          <w:p>
            <w:pPr>
              <w:spacing w:after="0"/>
              <w:rPr>
                <w:sz w:val="1"/>
                <w:szCs w:val="1"/>
                <w:color w:val="auto"/>
              </w:rPr>
            </w:pPr>
          </w:p>
        </w:tc>
      </w:tr>
      <w:tr>
        <w:trPr>
          <w:trHeight w:val="20"/>
        </w:trPr>
        <w:tc>
          <w:tcPr>
            <w:tcW w:w="7140" w:type="dxa"/>
            <w:vAlign w:val="bottom"/>
            <w:gridSpan w:val="3"/>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 appreciation on</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980" w:type="dxa"/>
            <w:vAlign w:val="bottom"/>
            <w:gridSpan w:val="2"/>
          </w:tcPr>
          <w:p>
            <w:pPr>
              <w:spacing w:after="0" w:line="149" w:lineRule="exact"/>
              <w:rPr>
                <w:sz w:val="20"/>
                <w:szCs w:val="20"/>
                <w:color w:val="auto"/>
              </w:rPr>
            </w:pPr>
            <w:r>
              <w:rPr>
                <w:rFonts w:ascii="Arial" w:cs="Arial" w:eastAsia="Arial" w:hAnsi="Arial"/>
                <w:sz w:val="14"/>
                <w:szCs w:val="14"/>
                <w:color w:val="auto"/>
                <w:w w:val="96"/>
              </w:rPr>
              <w:t>investments in our Consolidated Statements of Operations attributable to our Level 3 assets still held at the reporting</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6980" w:type="dxa"/>
            <w:vAlign w:val="bottom"/>
            <w:gridSpan w:val="2"/>
          </w:tcPr>
          <w:p>
            <w:pPr>
              <w:spacing w:after="0"/>
              <w:rPr>
                <w:sz w:val="20"/>
                <w:szCs w:val="20"/>
                <w:color w:val="auto"/>
              </w:rPr>
            </w:pPr>
            <w:r>
              <w:rPr>
                <w:rFonts w:ascii="Arial" w:cs="Arial" w:eastAsia="Arial" w:hAnsi="Arial"/>
                <w:sz w:val="14"/>
                <w:szCs w:val="14"/>
                <w:color w:val="auto"/>
              </w:rPr>
              <w:t>date.</w:t>
            </w:r>
          </w:p>
        </w:tc>
        <w:tc>
          <w:tcPr>
            <w:tcW w:w="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2,617,111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(693,738)</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1,923,373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jc w:val="center"/>
              <w:ind w:left="628"/>
              <w:spacing w:after="0"/>
              <w:rPr>
                <w:sz w:val="20"/>
                <w:szCs w:val="20"/>
                <w:color w:val="auto"/>
              </w:rPr>
            </w:pPr>
            <w:r>
              <w:rPr>
                <w:rFonts w:ascii="Arial" w:cs="Arial" w:eastAsia="Arial" w:hAnsi="Arial"/>
                <w:sz w:val="14"/>
                <w:szCs w:val="14"/>
                <w:b w:val="1"/>
                <w:bCs w:val="1"/>
                <w:color w:val="auto"/>
                <w:w w:val="92"/>
              </w:rPr>
              <w:t>Year Ended September 30, 2015</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First Lien</w:t>
            </w:r>
          </w:p>
        </w:tc>
        <w:tc>
          <w:tcPr>
            <w:tcW w:w="18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1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40,707,230</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343,272,585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Net realized (losses) gains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(175,862)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667,008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491,146</w:t>
            </w:r>
          </w:p>
        </w:tc>
        <w:tc>
          <w:tcPr>
            <w:tcW w:w="0" w:type="dxa"/>
            <w:vAlign w:val="bottom"/>
          </w:tcPr>
          <w:p>
            <w:pPr>
              <w:spacing w:after="0"/>
              <w:rPr>
                <w:sz w:val="1"/>
                <w:szCs w:val="1"/>
                <w:color w:val="auto"/>
              </w:rPr>
            </w:pPr>
          </w:p>
        </w:tc>
      </w:tr>
      <w:tr>
        <w:trPr>
          <w:trHeight w:val="148"/>
        </w:trPr>
        <w:tc>
          <w:tcPr>
            <w:tcW w:w="160" w:type="dxa"/>
            <w:vAlign w:val="bottom"/>
            <w:shd w:val="clear" w:color="auto" w:fill="CCEEFF"/>
          </w:tcPr>
          <w:p>
            <w:pPr>
              <w:spacing w:after="0"/>
              <w:rPr>
                <w:sz w:val="12"/>
                <w:szCs w:val="12"/>
                <w:color w:val="auto"/>
              </w:rPr>
            </w:pPr>
          </w:p>
        </w:tc>
        <w:tc>
          <w:tcPr>
            <w:tcW w:w="69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Net unrealized depreciation</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(3,286,024)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(2,397,090)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(5,683,114)</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 xml:space="preserve">Purchases, PIK, net discount accretion and non-cash exchanges </w:t>
            </w:r>
            <w:r>
              <w:rPr>
                <w:rFonts w:ascii="Arial" w:cs="Arial" w:eastAsia="Arial" w:hAnsi="Arial"/>
                <w:sz w:val="12"/>
                <w:szCs w:val="12"/>
                <w:color w:val="auto"/>
              </w:rPr>
              <w:t>(1)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215,410,313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27,790,325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243,200,638</w:t>
            </w:r>
          </w:p>
        </w:tc>
        <w:tc>
          <w:tcPr>
            <w:tcW w:w="0" w:type="dxa"/>
            <w:vAlign w:val="bottom"/>
          </w:tcPr>
          <w:p>
            <w:pPr>
              <w:spacing w:after="0"/>
              <w:rPr>
                <w:sz w:val="1"/>
                <w:szCs w:val="1"/>
                <w:color w:val="auto"/>
              </w:rPr>
            </w:pPr>
          </w:p>
        </w:tc>
      </w:tr>
      <w:tr>
        <w:trPr>
          <w:trHeight w:val="149"/>
        </w:trPr>
        <w:tc>
          <w:tcPr>
            <w:tcW w:w="160" w:type="dxa"/>
            <w:vAlign w:val="bottom"/>
            <w:shd w:val="clear" w:color="auto" w:fill="CCEEFF"/>
          </w:tcPr>
          <w:p>
            <w:pPr>
              <w:spacing w:after="0"/>
              <w:rPr>
                <w:sz w:val="12"/>
                <w:szCs w:val="12"/>
                <w:color w:val="auto"/>
              </w:rPr>
            </w:pPr>
          </w:p>
        </w:tc>
        <w:tc>
          <w:tcPr>
            <w:tcW w:w="69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Sales, repayments and non-cash exchanges</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(179,556,441)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(15,493,137)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(195,049,578)</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6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Transfers in and/or out of Level 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4,889,604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4,889,604</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1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334,957,341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56,163,940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391,121,281</w:t>
            </w:r>
          </w:p>
        </w:tc>
        <w:tc>
          <w:tcPr>
            <w:tcW w:w="0" w:type="dxa"/>
            <w:vAlign w:val="bottom"/>
          </w:tcPr>
          <w:p>
            <w:pPr>
              <w:spacing w:after="0"/>
              <w:rPr>
                <w:sz w:val="1"/>
                <w:szCs w:val="1"/>
                <w:color w:val="auto"/>
              </w:rPr>
            </w:pPr>
          </w:p>
        </w:tc>
      </w:tr>
      <w:tr>
        <w:trPr>
          <w:trHeight w:val="20"/>
        </w:trPr>
        <w:tc>
          <w:tcPr>
            <w:tcW w:w="7140" w:type="dxa"/>
            <w:vAlign w:val="bottom"/>
            <w:gridSpan w:val="3"/>
            <w:vMerge w:val="restart"/>
          </w:tcPr>
          <w:p>
            <w:pPr>
              <w:spacing w:after="0"/>
              <w:rPr>
                <w:sz w:val="20"/>
                <w:szCs w:val="20"/>
                <w:color w:val="auto"/>
              </w:rPr>
            </w:pPr>
            <w:r>
              <w:rPr>
                <w:rFonts w:ascii="Arial" w:cs="Arial" w:eastAsia="Arial" w:hAnsi="Arial"/>
                <w:sz w:val="14"/>
                <w:szCs w:val="14"/>
                <w:color w:val="auto"/>
                <w:w w:val="97"/>
              </w:rPr>
              <w:t>Net change in unrealized depreciation reported within the net change in unrealized appreciation on investments in our</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6980" w:type="dxa"/>
            <w:vAlign w:val="bottom"/>
            <w:gridSpan w:val="2"/>
          </w:tcPr>
          <w:p>
            <w:pPr>
              <w:spacing w:after="0"/>
              <w:rPr>
                <w:sz w:val="20"/>
                <w:szCs w:val="20"/>
                <w:color w:val="auto"/>
              </w:rPr>
            </w:pPr>
            <w:r>
              <w:rPr>
                <w:rFonts w:ascii="Arial" w:cs="Arial" w:eastAsia="Arial" w:hAnsi="Arial"/>
                <w:sz w:val="14"/>
                <w:szCs w:val="14"/>
                <w:color w:val="auto"/>
              </w:rPr>
              <w:t>Consolidated Statements of Operations attributable to our Level 3 assets still held at the reporting date.</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(3,449,989)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(2,257,945)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(5,707,934)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4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60" w:type="dxa"/>
            <w:vAlign w:val="bottom"/>
          </w:tcPr>
          <w:p>
            <w:pPr>
              <w:spacing w:after="0"/>
              <w:rPr>
                <w:sz w:val="20"/>
                <w:szCs w:val="20"/>
                <w:color w:val="auto"/>
              </w:rPr>
            </w:pPr>
            <w:r>
              <w:rPr>
                <w:rFonts w:ascii="Arial" w:cs="Arial" w:eastAsia="Arial" w:hAnsi="Arial"/>
                <w:sz w:val="12"/>
                <w:szCs w:val="12"/>
                <w:color w:val="auto"/>
                <w:w w:val="95"/>
              </w:rPr>
              <w:t>(1)</w:t>
            </w:r>
          </w:p>
        </w:tc>
        <w:tc>
          <w:tcPr>
            <w:tcW w:w="6980" w:type="dxa"/>
            <w:vAlign w:val="bottom"/>
            <w:gridSpan w:val="2"/>
          </w:tcPr>
          <w:p>
            <w:pPr>
              <w:ind w:left="400"/>
              <w:spacing w:after="0"/>
              <w:rPr>
                <w:sz w:val="20"/>
                <w:szCs w:val="20"/>
                <w:color w:val="auto"/>
              </w:rPr>
            </w:pPr>
            <w:r>
              <w:rPr>
                <w:rFonts w:ascii="Arial" w:cs="Arial" w:eastAsia="Arial" w:hAnsi="Arial"/>
                <w:sz w:val="14"/>
                <w:szCs w:val="14"/>
                <w:color w:val="auto"/>
              </w:rPr>
              <w:t>Includes assets acquired from MCG.</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60" w:type="dxa"/>
            <w:vAlign w:val="bottom"/>
          </w:tcPr>
          <w:p>
            <w:pPr>
              <w:spacing w:after="0"/>
              <w:rPr>
                <w:sz w:val="24"/>
                <w:szCs w:val="24"/>
                <w:color w:val="auto"/>
              </w:rPr>
            </w:pPr>
          </w:p>
        </w:tc>
        <w:tc>
          <w:tcPr>
            <w:tcW w:w="6980" w:type="dxa"/>
            <w:vAlign w:val="bottom"/>
            <w:gridSpan w:val="2"/>
          </w:tcPr>
          <w:p>
            <w:pPr>
              <w:ind w:left="5400"/>
              <w:spacing w:after="0"/>
              <w:rPr>
                <w:sz w:val="20"/>
                <w:szCs w:val="20"/>
                <w:color w:val="auto"/>
              </w:rPr>
            </w:pPr>
            <w:r>
              <w:rPr>
                <w:rFonts w:ascii="Arial" w:cs="Arial" w:eastAsia="Arial" w:hAnsi="Arial"/>
                <w:sz w:val="14"/>
                <w:szCs w:val="14"/>
                <w:color w:val="auto"/>
              </w:rPr>
              <w:t>62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8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8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$29,600,000 and $146,400,000, respectively)</w:t>
            </w:r>
          </w:p>
        </w:tc>
        <w:tc>
          <w:tcPr>
            <w:tcW w:w="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29,600,000</w:t>
            </w:r>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146,949,000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Total unrealized depreciation included in earnings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(518,002)</w:t>
            </w:r>
          </w:p>
        </w:tc>
        <w:tc>
          <w:tcPr>
            <w:tcW w:w="22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(549,000)</w:t>
            </w:r>
          </w:p>
        </w:tc>
        <w:tc>
          <w:tcPr>
            <w:tcW w:w="0" w:type="dxa"/>
            <w:vAlign w:val="bottom"/>
          </w:tcPr>
          <w:p>
            <w:pPr>
              <w:spacing w:after="0"/>
              <w:rPr>
                <w:sz w:val="1"/>
                <w:szCs w:val="1"/>
                <w:color w:val="auto"/>
              </w:rPr>
            </w:pPr>
          </w:p>
        </w:tc>
      </w:tr>
      <w:tr>
        <w:trPr>
          <w:trHeight w:val="149"/>
        </w:trPr>
        <w:tc>
          <w:tcPr>
            <w:tcW w:w="85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Borrowings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260,707,500</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130,700,000</w:t>
            </w:r>
          </w:p>
        </w:tc>
        <w:tc>
          <w:tcPr>
            <w:tcW w:w="0" w:type="dxa"/>
            <w:vAlign w:val="bottom"/>
          </w:tcPr>
          <w:p>
            <w:pPr>
              <w:spacing w:after="0"/>
              <w:rPr>
                <w:sz w:val="1"/>
                <w:szCs w:val="1"/>
                <w:color w:val="auto"/>
              </w:rPr>
            </w:pPr>
          </w:p>
        </w:tc>
      </w:tr>
      <w:tr>
        <w:trPr>
          <w:trHeight w:val="148"/>
        </w:trPr>
        <w:tc>
          <w:tcPr>
            <w:tcW w:w="85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Repayments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(57,400,000)</w:t>
            </w:r>
          </w:p>
        </w:tc>
        <w:tc>
          <w:tcPr>
            <w:tcW w:w="22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(247,500,000)</w:t>
            </w:r>
          </w:p>
        </w:tc>
        <w:tc>
          <w:tcPr>
            <w:tcW w:w="0" w:type="dxa"/>
            <w:vAlign w:val="bottom"/>
          </w:tcPr>
          <w:p>
            <w:pPr>
              <w:spacing w:after="0"/>
              <w:rPr>
                <w:sz w:val="1"/>
                <w:szCs w:val="1"/>
                <w:color w:val="auto"/>
              </w:rPr>
            </w:pPr>
          </w:p>
        </w:tc>
      </w:tr>
      <w:tr>
        <w:trPr>
          <w:trHeight w:val="148"/>
        </w:trPr>
        <w:tc>
          <w:tcPr>
            <w:tcW w:w="85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50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$232,907,500 and $29,600,000, respectively)</w:t>
            </w:r>
          </w:p>
        </w:tc>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232,389,498</w:t>
            </w:r>
          </w:p>
        </w:tc>
        <w:tc>
          <w:tcPr>
            <w:tcW w:w="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As of September 30, 2016, we had outstanding non-U.S. dollar borrowings on our Credit Facility. Net change in fair value from foreign currency translating on outstanding borrowings is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00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Original</w:t>
            </w:r>
          </w:p>
        </w:tc>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5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Reset Date</w:t>
            </w:r>
          </w:p>
        </w:tc>
        <w:tc>
          <w:tcPr>
            <w:tcW w:w="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Borrowing Cost</w:t>
            </w:r>
          </w:p>
        </w:tc>
        <w:tc>
          <w:tcPr>
            <w:tcW w:w="198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Canadian Dollars</w:t>
            </w:r>
          </w:p>
        </w:tc>
        <w:tc>
          <w:tcPr>
            <w:tcW w:w="10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8"/>
              </w:rPr>
              <w:t>C$  17,500,000</w:t>
            </w:r>
          </w:p>
        </w:tc>
        <w:tc>
          <w:tcPr>
            <w:tcW w:w="5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12,407,501</w:t>
            </w:r>
          </w:p>
        </w:tc>
        <w:tc>
          <w:tcPr>
            <w:tcW w:w="10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8"/>
              </w:rPr>
              <w:t>$   13,338,920</w:t>
            </w:r>
          </w:p>
        </w:tc>
        <w:tc>
          <w:tcPr>
            <w:tcW w:w="10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October 3, 2016</w:t>
            </w:r>
          </w:p>
        </w:tc>
        <w:tc>
          <w:tcPr>
            <w:tcW w:w="5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931,419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2016 and 2015, our Credit Facility had a net change in unrealized depreciation of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September 30, 2016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Purchases of /</w:t>
            </w:r>
          </w:p>
        </w:tc>
        <w:tc>
          <w:tcPr>
            <w:tcW w:w="1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 of /</w:t>
            </w:r>
          </w:p>
        </w:tc>
        <w:tc>
          <w:tcPr>
            <w:tcW w:w="1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8"/>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2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Distributions</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Affiliates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from Affiliates</w:t>
            </w: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Accrued</w:t>
            </w:r>
          </w:p>
        </w:tc>
        <w:tc>
          <w:tcPr>
            <w:tcW w:w="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5"/>
              </w:rPr>
              <w:t>Gains (Losses)</w:t>
            </w:r>
          </w:p>
        </w:tc>
        <w:tc>
          <w:tcPr>
            <w:tcW w:w="0" w:type="dxa"/>
            <w:vAlign w:val="bottom"/>
          </w:tcPr>
          <w:p>
            <w:pPr>
              <w:spacing w:after="0"/>
              <w:rPr>
                <w:sz w:val="1"/>
                <w:szCs w:val="1"/>
                <w:color w:val="auto"/>
              </w:rPr>
            </w:pPr>
          </w:p>
        </w:tc>
      </w:tr>
      <w:tr>
        <w:trPr>
          <w:trHeight w:val="142"/>
        </w:trPr>
        <w:tc>
          <w:tcPr>
            <w:tcW w:w="3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GMC Television Broadcasting Holdings, LLC</w:t>
            </w:r>
          </w:p>
        </w:tc>
        <w:tc>
          <w:tcPr>
            <w:tcW w:w="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2,776,507</w:t>
            </w:r>
          </w:p>
        </w:tc>
        <w:tc>
          <w:tcPr>
            <w:tcW w:w="2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(2,777,132)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105,502</w:t>
            </w: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Controlled Affiliates</w:t>
            </w: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2,776,507</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(2,777,132)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105,502</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Years Ended September 30,</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42"/>
        </w:trPr>
        <w:tc>
          <w:tcPr>
            <w:tcW w:w="5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33,488,663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12,504,245</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20,513,971</w:t>
            </w:r>
          </w:p>
        </w:tc>
        <w:tc>
          <w:tcPr>
            <w:tcW w:w="100" w:type="dxa"/>
            <w:vAlign w:val="bottom"/>
            <w:shd w:val="clear" w:color="auto" w:fill="CCEEFF"/>
          </w:tcPr>
          <w:p>
            <w:pPr>
              <w:spacing w:after="0"/>
              <w:rPr>
                <w:sz w:val="12"/>
                <w:szCs w:val="12"/>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26,730,074</w:t>
            </w:r>
          </w:p>
        </w:tc>
        <w:tc>
          <w:tcPr>
            <w:tcW w:w="300" w:type="dxa"/>
            <w:vAlign w:val="bottom"/>
          </w:tcPr>
          <w:p>
            <w:pPr>
              <w:spacing w:after="0"/>
              <w:rPr>
                <w:sz w:val="12"/>
                <w:szCs w:val="12"/>
                <w:color w:val="auto"/>
              </w:rPr>
            </w:pPr>
          </w:p>
        </w:tc>
        <w:tc>
          <w:tcPr>
            <w:tcW w:w="15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16,291,965</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14,898,056</w:t>
            </w: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176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w:t>
            </w: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0.77</w:t>
            </w:r>
          </w:p>
        </w:tc>
        <w:tc>
          <w:tcPr>
            <w:tcW w:w="360" w:type="dxa"/>
            <w:vAlign w:val="bottom"/>
            <w:gridSpan w:val="2"/>
            <w:shd w:val="clear" w:color="auto" w:fill="CCEEFF"/>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w:t>
            </w:r>
          </w:p>
        </w:tc>
      </w:tr>
      <w:tr>
        <w:trPr>
          <w:trHeight w:val="312"/>
        </w:trPr>
        <w:tc>
          <w:tcPr>
            <w:tcW w:w="5020" w:type="dxa"/>
            <w:vAlign w:val="bottom"/>
          </w:tcPr>
          <w:p>
            <w:pPr>
              <w:spacing w:after="0"/>
              <w:rPr>
                <w:sz w:val="24"/>
                <w:szCs w:val="24"/>
                <w:color w:val="auto"/>
              </w:rPr>
            </w:pPr>
          </w:p>
        </w:tc>
        <w:tc>
          <w:tcPr>
            <w:tcW w:w="1500" w:type="dxa"/>
            <w:vAlign w:val="bottom"/>
          </w:tcPr>
          <w:p>
            <w:pPr>
              <w:jc w:val="right"/>
              <w:ind w:right="748"/>
              <w:spacing w:after="0"/>
              <w:rPr>
                <w:sz w:val="20"/>
                <w:szCs w:val="20"/>
                <w:color w:val="auto"/>
              </w:rPr>
            </w:pPr>
            <w:r>
              <w:rPr>
                <w:rFonts w:ascii="Arial" w:cs="Arial" w:eastAsia="Arial" w:hAnsi="Arial"/>
                <w:sz w:val="14"/>
                <w:szCs w:val="14"/>
                <w:color w:val="auto"/>
              </w:rPr>
              <w:t>63</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00"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85" w:lineRule="exact"/>
        <w:rPr>
          <w:sz w:val="20"/>
          <w:szCs w:val="20"/>
          <w:color w:val="auto"/>
        </w:rPr>
      </w:pPr>
    </w:p>
    <w:p>
      <w:pPr>
        <w:ind w:right="520" w:firstLine="562"/>
        <w:spacing w:after="0" w:line="253" w:lineRule="auto"/>
        <w:rPr>
          <w:sz w:val="20"/>
          <w:szCs w:val="20"/>
          <w:color w:val="auto"/>
        </w:rPr>
      </w:pPr>
      <w:r>
        <w:rPr>
          <w:rFonts w:ascii="Arial" w:cs="Arial" w:eastAsia="Arial" w:hAnsi="Arial"/>
          <w:sz w:val="14"/>
          <w:szCs w:val="14"/>
          <w:color w:val="auto"/>
        </w:rPr>
        <w:t>As of September 30, 2016 and 2015, the cost of investments for federal income tax purposes was $600.1 million and $399.6 million, respectively, resulting in a gross unrealized appreciation of $10.6 million and $3.3 million, respectively, and depreciation of $11.8 million and $11.6 million,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tcPr>
          <w:p>
            <w:pPr>
              <w:ind w:left="560"/>
              <w:spacing w:after="0"/>
              <w:rPr>
                <w:sz w:val="20"/>
                <w:szCs w:val="20"/>
                <w:color w:val="auto"/>
              </w:rPr>
            </w:pPr>
            <w:r>
              <w:rPr>
                <w:rFonts w:ascii="Arial" w:cs="Arial" w:eastAsia="Arial" w:hAnsi="Arial"/>
                <w:sz w:val="14"/>
                <w:szCs w:val="14"/>
                <w:color w:val="auto"/>
              </w:rPr>
              <w:t>The following amounts were reclassified for tax purposes: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6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Years Ended September 30,</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42"/>
        </w:trPr>
        <w:tc>
          <w:tcPr>
            <w:tcW w:w="6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Decrease in paid-in capital</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(308,435)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(429,892)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(254,753)</w:t>
            </w:r>
          </w:p>
        </w:tc>
        <w:tc>
          <w:tcPr>
            <w:tcW w:w="100" w:type="dxa"/>
            <w:vAlign w:val="bottom"/>
            <w:shd w:val="clear" w:color="auto" w:fill="CCEEFF"/>
          </w:tcPr>
          <w:p>
            <w:pPr>
              <w:spacing w:after="0"/>
              <w:rPr>
                <w:sz w:val="12"/>
                <w:szCs w:val="12"/>
                <w:color w:val="auto"/>
              </w:rPr>
            </w:pPr>
          </w:p>
        </w:tc>
      </w:tr>
      <w:tr>
        <w:trPr>
          <w:trHeight w:val="148"/>
        </w:trPr>
        <w:tc>
          <w:tcPr>
            <w:tcW w:w="6860" w:type="dxa"/>
            <w:vAlign w:val="bottom"/>
          </w:tcPr>
          <w:p>
            <w:pPr>
              <w:spacing w:after="0" w:line="149" w:lineRule="exact"/>
              <w:rPr>
                <w:sz w:val="20"/>
                <w:szCs w:val="20"/>
                <w:color w:val="auto"/>
              </w:rPr>
            </w:pPr>
            <w:r>
              <w:rPr>
                <w:rFonts w:ascii="Arial" w:cs="Arial" w:eastAsia="Arial" w:hAnsi="Arial"/>
                <w:sz w:val="14"/>
                <w:szCs w:val="14"/>
                <w:color w:val="auto"/>
              </w:rPr>
              <w:t>Increase in accumulated net realized gain</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9,384</w:t>
            </w:r>
          </w:p>
        </w:tc>
      </w:tr>
      <w:tr>
        <w:trPr>
          <w:trHeight w:val="149"/>
        </w:trPr>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undistributed net investment income</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308,435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429,892</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245,369</w:t>
            </w:r>
          </w:p>
        </w:tc>
      </w:tr>
      <w:tr>
        <w:trPr>
          <w:trHeight w:val="379"/>
        </w:trPr>
        <w:tc>
          <w:tcPr>
            <w:tcW w:w="6860" w:type="dxa"/>
            <w:vAlign w:val="bottom"/>
          </w:tcPr>
          <w:p>
            <w:pPr>
              <w:ind w:left="56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Years Ended September 30,</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42"/>
        </w:trPr>
        <w:tc>
          <w:tcPr>
            <w:tcW w:w="7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in net assets resulting from operations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33,488,663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12,504,245</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20,513,971</w:t>
            </w:r>
          </w:p>
        </w:tc>
        <w:tc>
          <w:tcPr>
            <w:tcW w:w="100" w:type="dxa"/>
            <w:vAlign w:val="bottom"/>
            <w:shd w:val="clear" w:color="auto" w:fill="CCEEFF"/>
          </w:tcPr>
          <w:p>
            <w:pPr>
              <w:spacing w:after="0"/>
              <w:rPr>
                <w:sz w:val="12"/>
                <w:szCs w:val="12"/>
                <w:color w:val="auto"/>
              </w:rPr>
            </w:pPr>
          </w:p>
        </w:tc>
      </w:tr>
      <w:tr>
        <w:trPr>
          <w:trHeight w:val="148"/>
        </w:trPr>
        <w:tc>
          <w:tcPr>
            <w:tcW w:w="7060" w:type="dxa"/>
            <w:vAlign w:val="bottom"/>
          </w:tcPr>
          <w:p>
            <w:pPr>
              <w:spacing w:after="0" w:line="149" w:lineRule="exact"/>
              <w:rPr>
                <w:sz w:val="20"/>
                <w:szCs w:val="20"/>
                <w:color w:val="auto"/>
              </w:rPr>
            </w:pPr>
            <w:r>
              <w:rPr>
                <w:rFonts w:ascii="Arial" w:cs="Arial" w:eastAsia="Arial" w:hAnsi="Arial"/>
                <w:sz w:val="14"/>
                <w:szCs w:val="14"/>
                <w:color w:val="auto"/>
              </w:rPr>
              <w:t>Net realized loss on investments</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1,376,788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 investments and Credit Facility</w:t>
            </w:r>
          </w:p>
        </w:tc>
        <w:tc>
          <w:tcPr>
            <w:tcW w:w="2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(7,529,291)</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5,551,614</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(1,004,771)</w:t>
            </w:r>
          </w:p>
        </w:tc>
      </w:tr>
      <w:tr>
        <w:trPr>
          <w:trHeight w:val="148"/>
        </w:trPr>
        <w:tc>
          <w:tcPr>
            <w:tcW w:w="7060" w:type="dxa"/>
            <w:vAlign w:val="bottom"/>
          </w:tcPr>
          <w:p>
            <w:pPr>
              <w:spacing w:after="0" w:line="149" w:lineRule="exact"/>
              <w:rPr>
                <w:sz w:val="20"/>
                <w:szCs w:val="20"/>
                <w:color w:val="auto"/>
              </w:rPr>
            </w:pPr>
            <w:r>
              <w:rPr>
                <w:rFonts w:ascii="Arial" w:cs="Arial" w:eastAsia="Arial" w:hAnsi="Arial"/>
                <w:sz w:val="14"/>
                <w:szCs w:val="14"/>
                <w:color w:val="auto"/>
              </w:rPr>
              <w:t>Other book-to-tax differences</w:t>
            </w:r>
          </w:p>
        </w:tc>
        <w:tc>
          <w:tcPr>
            <w:tcW w:w="24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642,719</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5,788</w:t>
            </w: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266,378</w:t>
            </w:r>
          </w:p>
        </w:tc>
      </w:tr>
      <w:tr>
        <w:trPr>
          <w:trHeight w:val="148"/>
        </w:trPr>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non-deductible expenses</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440,000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479,425</w:t>
            </w:r>
          </w:p>
        </w:tc>
      </w:tr>
      <w:tr>
        <w:trPr>
          <w:trHeight w:val="156"/>
        </w:trPr>
        <w:tc>
          <w:tcPr>
            <w:tcW w:w="7060" w:type="dxa"/>
            <w:vAlign w:val="bottom"/>
          </w:tcPr>
          <w:p>
            <w:pPr>
              <w:spacing w:after="0" w:line="155" w:lineRule="exact"/>
              <w:rPr>
                <w:sz w:val="20"/>
                <w:szCs w:val="20"/>
                <w:color w:val="auto"/>
              </w:rPr>
            </w:pPr>
            <w:r>
              <w:rPr>
                <w:rFonts w:ascii="Arial" w:cs="Arial" w:eastAsia="Arial" w:hAnsi="Arial"/>
                <w:sz w:val="14"/>
                <w:szCs w:val="14"/>
                <w:color w:val="auto"/>
              </w:rPr>
              <w:t>Taxable income before dividends paid deduction</w:t>
            </w: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27,978,879</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18,501,647</w:t>
            </w:r>
          </w:p>
        </w:tc>
        <w:tc>
          <w:tcPr>
            <w:tcW w:w="3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20,255,003</w:t>
            </w:r>
          </w:p>
        </w:tc>
        <w:tc>
          <w:tcPr>
            <w:tcW w:w="100" w:type="dxa"/>
            <w:vAlign w:val="bottom"/>
          </w:tcPr>
          <w:p>
            <w:pPr>
              <w:spacing w:after="0"/>
              <w:rPr>
                <w:sz w:val="13"/>
                <w:szCs w:val="13"/>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surplus on a book basis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8"/>
              </w:rPr>
              <w:t>As of September 30,</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42"/>
        </w:trPr>
        <w:tc>
          <w:tcPr>
            <w:tcW w:w="5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 – tax basis</w:t>
            </w: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10,097,684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12,591,089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10,097,482</w:t>
            </w:r>
          </w:p>
        </w:tc>
        <w:tc>
          <w:tcPr>
            <w:tcW w:w="100" w:type="dxa"/>
            <w:vAlign w:val="bottom"/>
            <w:shd w:val="clear" w:color="auto" w:fill="CCEEFF"/>
          </w:tcPr>
          <w:p>
            <w:pPr>
              <w:spacing w:after="0"/>
              <w:rPr>
                <w:sz w:val="12"/>
                <w:szCs w:val="12"/>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 xml:space="preserve">(Realized loss carried forward)/Undistributed long-term capital gain </w:t>
            </w:r>
            <w:r>
              <w:rPr>
                <w:rFonts w:ascii="Arial" w:cs="Arial" w:eastAsia="Arial" w:hAnsi="Arial"/>
                <w:sz w:val="12"/>
                <w:szCs w:val="12"/>
                <w:color w:val="auto"/>
              </w:rPr>
              <w:t>(1)</w:t>
            </w: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(1,121,514)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1,652,842</w:t>
            </w: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payable and other book to tax differences</w:t>
            </w: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(5,793,312)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(5,203,754)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(3,989,324)</w:t>
            </w: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Net unrealized appreciation (depreciation) of investments and Credit Facility</w:t>
            </w: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1,502,874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(6,026,417)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(474,803)</w:t>
            </w:r>
          </w:p>
        </w:tc>
      </w:tr>
      <w:tr>
        <w:trPr>
          <w:trHeight w:val="27"/>
        </w:trPr>
        <w:tc>
          <w:tcPr>
            <w:tcW w:w="5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accumulated surplus – book basis</w:t>
            </w: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4,685,732</w:t>
            </w:r>
          </w:p>
        </w:tc>
        <w:tc>
          <w:tcPr>
            <w:tcW w:w="40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1,360,918</w:t>
            </w:r>
          </w:p>
        </w:tc>
        <w:tc>
          <w:tcPr>
            <w:tcW w:w="3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7,286,197</w:t>
            </w:r>
          </w:p>
        </w:tc>
      </w:tr>
      <w:tr>
        <w:trPr>
          <w:trHeight w:val="20"/>
        </w:trPr>
        <w:tc>
          <w:tcPr>
            <w:tcW w:w="5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4" w:lineRule="exact"/>
        <w:rPr>
          <w:sz w:val="20"/>
          <w:szCs w:val="20"/>
          <w:color w:val="auto"/>
        </w:rPr>
      </w:pPr>
    </w:p>
    <w:p>
      <w:pPr>
        <w:ind w:left="560" w:right="1220" w:hanging="552"/>
        <w:spacing w:after="0" w:line="560" w:lineRule="auto"/>
        <w:tabs>
          <w:tab w:leader="none" w:pos="552" w:val="left"/>
        </w:tabs>
        <w:numPr>
          <w:ilvl w:val="0"/>
          <w:numId w:val="43"/>
        </w:numPr>
        <w:rPr>
          <w:rFonts w:ascii="Arial" w:cs="Arial" w:eastAsia="Arial" w:hAnsi="Arial"/>
          <w:sz w:val="12"/>
          <w:szCs w:val="12"/>
          <w:color w:val="auto"/>
        </w:rPr>
      </w:pPr>
      <w:r>
        <w:rPr>
          <w:rFonts w:ascii="Arial" w:cs="Arial" w:eastAsia="Arial" w:hAnsi="Arial"/>
          <w:sz w:val="14"/>
          <w:szCs w:val="14"/>
          <w:color w:val="auto"/>
        </w:rPr>
        <w:t>As of September 30, 2016, the capital loss carried forward was $1.1 million. This loss can be carried forward indefinitely to be an offset against future capital gains. The tax characteristics of distributions declared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Years Ended September 30,</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Ordinary income (including short-term gains)</w:t>
            </w:r>
          </w:p>
        </w:tc>
        <w:tc>
          <w:tcPr>
            <w:tcW w:w="24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30,472,284</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17,206,311</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13,473,860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Long-term capital gain</w:t>
            </w: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1,653,105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2,578,795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w:t>
            </w:r>
          </w:p>
        </w:tc>
        <w:tc>
          <w:tcPr>
            <w:tcW w:w="24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30,472,284</w:t>
            </w:r>
          </w:p>
        </w:tc>
        <w:tc>
          <w:tcPr>
            <w:tcW w:w="5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18,859,416</w:t>
            </w:r>
          </w:p>
        </w:tc>
        <w:tc>
          <w:tcPr>
            <w:tcW w:w="2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16,052,655</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4"/>
                <w:szCs w:val="14"/>
                <w:color w:val="auto"/>
              </w:rPr>
              <w:t>Total distributions per share based on weighted average shares</w:t>
            </w:r>
          </w:p>
        </w:tc>
        <w:tc>
          <w:tcPr>
            <w:tcW w:w="2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80" w:type="dxa"/>
            <w:vAlign w:val="bottom"/>
            <w:vMerge w:val="continue"/>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1.16</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80" w:type="dxa"/>
            <w:vAlign w:val="bottom"/>
            <w:vMerge w:val="restart"/>
          </w:tcPr>
          <w:p>
            <w:pPr>
              <w:jc w:val="right"/>
              <w:ind w:right="1288"/>
              <w:spacing w:after="0"/>
              <w:rPr>
                <w:sz w:val="20"/>
                <w:szCs w:val="20"/>
                <w:color w:val="auto"/>
              </w:rPr>
            </w:pPr>
            <w:r>
              <w:rPr>
                <w:rFonts w:ascii="Arial" w:cs="Arial" w:eastAsia="Arial" w:hAnsi="Arial"/>
                <w:sz w:val="14"/>
                <w:szCs w:val="14"/>
                <w:color w:val="auto"/>
              </w:rPr>
              <w:t>64</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5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EQUIVALENTS</w:t>
      </w:r>
    </w:p>
    <w:p>
      <w:pPr>
        <w:spacing w:after="0" w:line="100"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2016 and 2015, cash equivalents consisted of money market funds in the amounts of $28.9 million and $21.4 million at fair value,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Below are the financial highlights for the years ended September 30: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2"/>
                <w:szCs w:val="12"/>
                <w:b w:val="1"/>
                <w:bCs w:val="1"/>
                <w:color w:val="auto"/>
              </w:rPr>
              <w:t>(6)</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12"/>
                <w:szCs w:val="12"/>
                <w:b w:val="1"/>
                <w:bCs w:val="1"/>
                <w:color w:val="auto"/>
              </w:rPr>
              <w:t>(6)</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5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13.95</w:t>
            </w:r>
          </w:p>
        </w:tc>
        <w:tc>
          <w:tcPr>
            <w:tcW w:w="3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14.40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14.10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13.98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1.08</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149"/>
        </w:trPr>
        <w:tc>
          <w:tcPr>
            <w:tcW w:w="4520" w:type="dxa"/>
            <w:vAlign w:val="bottom"/>
          </w:tcPr>
          <w:p>
            <w:pPr>
              <w:spacing w:after="0" w:line="149" w:lineRule="exact"/>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(0.31)</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0.26</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0.15</w:t>
            </w:r>
          </w:p>
        </w:tc>
        <w:tc>
          <w:tcPr>
            <w:tcW w:w="1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0.77</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1.38</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8"/>
        </w:trPr>
        <w:tc>
          <w:tcPr>
            <w:tcW w:w="452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Distribution of net investment income</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(0.98)</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(0.84)</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(0.95)</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148"/>
        </w:trPr>
        <w:tc>
          <w:tcPr>
            <w:tcW w:w="4520" w:type="dxa"/>
            <w:vAlign w:val="bottom"/>
          </w:tcPr>
          <w:p>
            <w:pPr>
              <w:ind w:left="160"/>
              <w:spacing w:after="0" w:line="149" w:lineRule="exact"/>
              <w:rPr>
                <w:sz w:val="20"/>
                <w:szCs w:val="20"/>
                <w:color w:val="auto"/>
              </w:rPr>
            </w:pPr>
            <w:r>
              <w:rPr>
                <w:rFonts w:ascii="Arial" w:cs="Arial" w:eastAsia="Arial" w:hAnsi="Arial"/>
                <w:sz w:val="14"/>
                <w:szCs w:val="14"/>
                <w:color w:val="auto"/>
              </w:rPr>
              <w:t>Distribution of realized gains</w:t>
            </w:r>
          </w:p>
        </w:tc>
        <w:tc>
          <w:tcPr>
            <w:tcW w:w="22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(0.18)</w:t>
            </w:r>
          </w:p>
        </w:tc>
        <w:tc>
          <w:tcPr>
            <w:tcW w:w="14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(0.24)</w:t>
            </w:r>
          </w:p>
        </w:tc>
        <w:tc>
          <w:tcPr>
            <w:tcW w:w="14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(0.10)</w:t>
            </w:r>
          </w:p>
        </w:tc>
        <w:tc>
          <w:tcPr>
            <w:tcW w:w="1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 to stockholders</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(1.16)</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(1.08)</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49"/>
        </w:trPr>
        <w:tc>
          <w:tcPr>
            <w:tcW w:w="4520" w:type="dxa"/>
            <w:vAlign w:val="bottom"/>
          </w:tcPr>
          <w:p>
            <w:pPr>
              <w:spacing w:after="0" w:line="149" w:lineRule="exact"/>
              <w:rPr>
                <w:sz w:val="20"/>
                <w:szCs w:val="20"/>
                <w:color w:val="auto"/>
              </w:rPr>
            </w:pPr>
            <w:r>
              <w:rPr>
                <w:rFonts w:ascii="Arial" w:cs="Arial" w:eastAsia="Arial" w:hAnsi="Arial"/>
                <w:sz w:val="14"/>
                <w:szCs w:val="14"/>
                <w:color w:val="auto"/>
              </w:rPr>
              <w:t xml:space="preserve">Effect of acquisition of MCG and offering costs </w:t>
            </w: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(0.06)</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(0.08)</w:t>
            </w:r>
          </w:p>
        </w:tc>
        <w:tc>
          <w:tcPr>
            <w:tcW w:w="1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14.40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14.10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20" w:type="dxa"/>
            <w:vAlign w:val="bottom"/>
            <w:vMerge w:val="continue"/>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11.94</w:t>
            </w:r>
          </w:p>
        </w:tc>
        <w:tc>
          <w:tcPr>
            <w:tcW w:w="4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13.78</w:t>
            </w:r>
          </w:p>
        </w:tc>
        <w:tc>
          <w:tcPr>
            <w:tcW w:w="36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13.78</w:t>
            </w:r>
          </w:p>
        </w:tc>
        <w:tc>
          <w:tcPr>
            <w:tcW w:w="36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12.67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21.77%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(6.01)%</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8.05%</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17.17%</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29.43%</w:t>
            </w:r>
          </w:p>
        </w:tc>
        <w:tc>
          <w:tcPr>
            <w:tcW w:w="0" w:type="dxa"/>
            <w:vAlign w:val="bottom"/>
          </w:tcPr>
          <w:p>
            <w:pPr>
              <w:spacing w:after="0"/>
              <w:rPr>
                <w:sz w:val="1"/>
                <w:szCs w:val="1"/>
                <w:color w:val="auto"/>
              </w:rPr>
            </w:pPr>
          </w:p>
        </w:tc>
      </w:tr>
      <w:tr>
        <w:trPr>
          <w:trHeight w:val="156"/>
        </w:trPr>
        <w:tc>
          <w:tcPr>
            <w:tcW w:w="452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220" w:type="dxa"/>
            <w:vAlign w:val="bottom"/>
          </w:tcPr>
          <w:p>
            <w:pPr>
              <w:spacing w:after="0"/>
              <w:rPr>
                <w:sz w:val="13"/>
                <w:szCs w:val="13"/>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26,730,074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26,730,074</w:t>
            </w:r>
          </w:p>
        </w:tc>
        <w:tc>
          <w:tcPr>
            <w:tcW w:w="140" w:type="dxa"/>
            <w:vAlign w:val="bottom"/>
          </w:tcPr>
          <w:p>
            <w:pPr>
              <w:spacing w:after="0"/>
              <w:rPr>
                <w:sz w:val="13"/>
                <w:szCs w:val="13"/>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14,898,056</w:t>
            </w:r>
          </w:p>
        </w:tc>
        <w:tc>
          <w:tcPr>
            <w:tcW w:w="140" w:type="dxa"/>
            <w:vAlign w:val="bottom"/>
          </w:tcPr>
          <w:p>
            <w:pPr>
              <w:spacing w:after="0"/>
              <w:rPr>
                <w:sz w:val="13"/>
                <w:szCs w:val="13"/>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14,898,056</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6,850,667</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Ratios / Supplemental Data:</w:t>
            </w:r>
          </w:p>
        </w:tc>
        <w:tc>
          <w:tcPr>
            <w:tcW w:w="2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22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3.01%</w:t>
            </w:r>
          </w:p>
        </w:tc>
        <w:tc>
          <w:tcPr>
            <w:tcW w:w="1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4.45%</w:t>
            </w:r>
          </w:p>
        </w:tc>
        <w:tc>
          <w:tcPr>
            <w:tcW w:w="1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4.43%</w:t>
            </w:r>
          </w:p>
        </w:tc>
        <w:tc>
          <w:tcPr>
            <w:tcW w:w="16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expenses to average net assets</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2.34%</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1.95%</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1.66%</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color w:val="auto"/>
              </w:rPr>
              <w:t>Ratio of total expenses to average net assets</w:t>
            </w: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5.14%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5.35%</w:t>
            </w:r>
          </w:p>
        </w:tc>
        <w:tc>
          <w:tcPr>
            <w:tcW w:w="140" w:type="dxa"/>
            <w:vAlign w:val="bottom"/>
          </w:tcPr>
          <w:p>
            <w:pPr>
              <w:spacing w:after="0"/>
              <w:rPr>
                <w:sz w:val="13"/>
                <w:szCs w:val="13"/>
                <w:color w:val="auto"/>
              </w:rPr>
            </w:pPr>
          </w:p>
        </w:tc>
        <w:tc>
          <w:tcPr>
            <w:tcW w:w="11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6.40%</w:t>
            </w:r>
          </w:p>
        </w:tc>
        <w:tc>
          <w:tcPr>
            <w:tcW w:w="140" w:type="dxa"/>
            <w:vAlign w:val="bottom"/>
          </w:tcPr>
          <w:p>
            <w:pPr>
              <w:spacing w:after="0"/>
              <w:rPr>
                <w:sz w:val="13"/>
                <w:szCs w:val="13"/>
                <w:color w:val="auto"/>
              </w:rPr>
            </w:pPr>
          </w:p>
        </w:tc>
        <w:tc>
          <w:tcPr>
            <w:tcW w:w="11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6.09%</w:t>
            </w:r>
          </w:p>
        </w:tc>
        <w:tc>
          <w:tcPr>
            <w:tcW w:w="160" w:type="dxa"/>
            <w:vAlign w:val="bottom"/>
          </w:tcPr>
          <w:p>
            <w:pPr>
              <w:spacing w:after="0"/>
              <w:rPr>
                <w:sz w:val="13"/>
                <w:szCs w:val="13"/>
                <w:color w:val="auto"/>
              </w:rPr>
            </w:pPr>
          </w:p>
        </w:tc>
        <w:tc>
          <w:tcPr>
            <w:tcW w:w="1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7.43%</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7.77%</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7.68%</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48"/>
        </w:trPr>
        <w:tc>
          <w:tcPr>
            <w:tcW w:w="452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375,906,828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372,890,449</w:t>
            </w:r>
          </w:p>
        </w:tc>
        <w:tc>
          <w:tcPr>
            <w:tcW w:w="4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214,527,710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210,066,394</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95,743,877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debt outstanding</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140,218,095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123,924,384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147,599,452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71,678,836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46,133,607</w:t>
            </w:r>
          </w:p>
        </w:tc>
        <w:tc>
          <w:tcPr>
            <w:tcW w:w="0" w:type="dxa"/>
            <w:vAlign w:val="bottom"/>
          </w:tcPr>
          <w:p>
            <w:pPr>
              <w:spacing w:after="0"/>
              <w:rPr>
                <w:sz w:val="1"/>
                <w:szCs w:val="1"/>
                <w:color w:val="auto"/>
              </w:rPr>
            </w:pPr>
          </w:p>
        </w:tc>
      </w:tr>
      <w:tr>
        <w:trPr>
          <w:trHeight w:val="155"/>
        </w:trPr>
        <w:tc>
          <w:tcPr>
            <w:tcW w:w="452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7.61</w:t>
            </w:r>
          </w:p>
        </w:tc>
        <w:tc>
          <w:tcPr>
            <w:tcW w:w="40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9.91</w:t>
            </w:r>
          </w:p>
        </w:tc>
        <w:tc>
          <w:tcPr>
            <w:tcW w:w="360" w:type="dxa"/>
            <w:vAlign w:val="bottom"/>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7.48</w:t>
            </w:r>
          </w:p>
        </w:tc>
        <w:tc>
          <w:tcPr>
            <w:tcW w:w="360" w:type="dxa"/>
            <w:vAlign w:val="bottom"/>
          </w:tcPr>
          <w:p>
            <w:pPr>
              <w:spacing w:after="0"/>
              <w:rPr>
                <w:sz w:val="13"/>
                <w:szCs w:val="13"/>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6.73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(5)</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2,618</w:t>
            </w:r>
          </w:p>
        </w:tc>
        <w:tc>
          <w:tcPr>
            <w:tcW w:w="3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13,598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2,460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3,109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2,275</w:t>
            </w:r>
          </w:p>
        </w:tc>
        <w:tc>
          <w:tcPr>
            <w:tcW w:w="0" w:type="dxa"/>
            <w:vAlign w:val="bottom"/>
          </w:tcPr>
          <w:p>
            <w:pPr>
              <w:spacing w:after="0"/>
              <w:rPr>
                <w:sz w:val="1"/>
                <w:szCs w:val="1"/>
                <w:color w:val="auto"/>
              </w:rPr>
            </w:pPr>
          </w:p>
        </w:tc>
      </w:tr>
      <w:tr>
        <w:trPr>
          <w:trHeight w:val="182"/>
        </w:trPr>
        <w:tc>
          <w:tcPr>
            <w:tcW w:w="452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2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32.16%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51.02%</w:t>
            </w:r>
          </w:p>
        </w:tc>
        <w:tc>
          <w:tcPr>
            <w:tcW w:w="1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62.74%</w:t>
            </w:r>
          </w:p>
        </w:tc>
        <w:tc>
          <w:tcPr>
            <w:tcW w:w="1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81.89%</w:t>
            </w:r>
          </w:p>
        </w:tc>
        <w:tc>
          <w:tcPr>
            <w:tcW w:w="1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50.68%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16" w:lineRule="exact"/>
        <w:rPr>
          <w:sz w:val="20"/>
          <w:szCs w:val="20"/>
          <w:color w:val="auto"/>
        </w:rPr>
      </w:pPr>
    </w:p>
    <w:p>
      <w:pPr>
        <w:ind w:left="560" w:hanging="552"/>
        <w:spacing w:after="0"/>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560" w:right="140" w:hanging="552"/>
        <w:spacing w:after="0" w:line="221" w:lineRule="auto"/>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560" w:hanging="552"/>
        <w:spacing w:after="0" w:line="221" w:lineRule="auto"/>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560" w:hanging="552"/>
        <w:spacing w:after="0" w:line="221" w:lineRule="auto"/>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Excludes Credit Facility related costs.</w:t>
      </w:r>
    </w:p>
    <w:p>
      <w:pPr>
        <w:ind w:left="560" w:right="280" w:hanging="552"/>
        <w:spacing w:after="0" w:line="238" w:lineRule="auto"/>
        <w:tabs>
          <w:tab w:leader="none" w:pos="560" w:val="left"/>
        </w:tabs>
        <w:numPr>
          <w:ilvl w:val="0"/>
          <w:numId w:val="44"/>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ind w:left="560" w:hanging="552"/>
        <w:spacing w:after="0"/>
        <w:tabs>
          <w:tab w:leader="none" w:pos="560" w:val="left"/>
        </w:tabs>
        <w:numPr>
          <w:ilvl w:val="0"/>
          <w:numId w:val="44"/>
        </w:numPr>
        <w:rPr>
          <w:rFonts w:ascii="Arial" w:cs="Arial" w:eastAsia="Arial" w:hAnsi="Arial"/>
          <w:sz w:val="12"/>
          <w:szCs w:val="12"/>
          <w:color w:val="auto"/>
        </w:rPr>
      </w:pPr>
      <w:r>
        <w:rPr>
          <w:rFonts w:ascii="Arial" w:cs="Arial" w:eastAsia="Arial" w:hAnsi="Arial"/>
          <w:sz w:val="14"/>
          <w:szCs w:val="14"/>
          <w:color w:val="auto"/>
        </w:rPr>
        <w:t>Audited by predecessor auditors.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CREDIT FACILITY</w:t>
      </w:r>
    </w:p>
    <w:p>
      <w:pPr>
        <w:spacing w:after="0" w:line="100"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 0.375% and 0.75%, as of September 30, 2016 and 2015, respectively. The annualized weighted average cost of debt for the years ended September 30, 2016, 2015 and 2014, inclusive of the fee on the undrawn commitment on the Credit Facility but excluding amendment costs, was 3.51%, 2.62% and 2.35%, respectively.</w:t>
      </w:r>
    </w:p>
    <w:p>
      <w:pPr>
        <w:spacing w:after="0" w:line="77" w:lineRule="exact"/>
        <w:rPr>
          <w:sz w:val="20"/>
          <w:szCs w:val="20"/>
          <w:color w:val="auto"/>
        </w:rPr>
      </w:pPr>
    </w:p>
    <w:p>
      <w:pPr>
        <w:ind w:right="80" w:firstLine="562"/>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60" w:lineRule="exact"/>
        <w:rPr>
          <w:sz w:val="20"/>
          <w:szCs w:val="20"/>
          <w:color w:val="auto"/>
        </w:rPr>
      </w:pPr>
    </w:p>
    <w:p>
      <w:pPr>
        <w:ind w:firstLine="562"/>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67"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75"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00"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September 30, 2016 and 2015, we had $20.0 million and $4.8 million, respectively, in commitments to fund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ACQUISITION OF MCG CAPITAL CORPORTION</w:t>
      </w:r>
    </w:p>
    <w:p>
      <w:pPr>
        <w:spacing w:after="0" w:line="100" w:lineRule="exact"/>
        <w:rPr>
          <w:sz w:val="20"/>
          <w:szCs w:val="20"/>
          <w:color w:val="auto"/>
        </w:rPr>
      </w:pPr>
    </w:p>
    <w:p>
      <w:pPr>
        <w:ind w:right="440" w:firstLine="562"/>
        <w:spacing w:after="0" w:line="253" w:lineRule="auto"/>
        <w:rPr>
          <w:sz w:val="20"/>
          <w:szCs w:val="20"/>
          <w:color w:val="auto"/>
        </w:rPr>
      </w:pPr>
      <w:r>
        <w:rPr>
          <w:rFonts w:ascii="Arial" w:cs="Arial" w:eastAsia="Arial" w:hAnsi="Arial"/>
          <w:sz w:val="14"/>
          <w:szCs w:val="14"/>
          <w:color w:val="auto"/>
        </w:rPr>
        <w:t>We entered into the Merger Agreement with MCG on April 28, 2015 to improve our scale to be more important to borrowers, to increase our market capitalization, to reduce our expense ratio and to increase diversification.</w:t>
      </w:r>
    </w:p>
    <w:p>
      <w:pPr>
        <w:spacing w:after="0" w:line="66" w:lineRule="exact"/>
        <w:rPr>
          <w:sz w:val="20"/>
          <w:szCs w:val="20"/>
          <w:color w:val="auto"/>
        </w:rPr>
      </w:pPr>
    </w:p>
    <w:p>
      <w:pPr>
        <w:ind w:right="60" w:firstLine="562"/>
        <w:spacing w:after="0" w:line="228" w:lineRule="auto"/>
        <w:rPr>
          <w:sz w:val="20"/>
          <w:szCs w:val="20"/>
          <w:color w:val="auto"/>
        </w:rPr>
      </w:pPr>
      <w:r>
        <w:rPr>
          <w:rFonts w:ascii="Arial" w:cs="Arial" w:eastAsia="Arial" w:hAnsi="Arial"/>
          <w:sz w:val="14"/>
          <w:szCs w:val="14"/>
          <w:color w:val="auto"/>
        </w:rPr>
        <w:t>In August 2015, we completed the acquisition of MCG whereby we acquired 100% of the net assets of MCG, approximately $166.9 million consisting of primarily cash. In accordance with the terms of the Merger Agreement, each outstanding share of MCG common stock (including shares of restricted stock) was converted into the right to receive (i) 0.32044 shares of our common stock (with MCG stockholders receiving cash in lieu of fractional shares of our common stock), and (ii) $0.30595 per share in cash. Pursuant to the Merger Agreement, we issued an aggregate of approximately 11.8 million shares of our common stock to former MCG stockholders, and our Investment Adviser made an aggregate cash payment of approximately $11.3 million to former MCG stockholders. The cash payment of approximately $11.3 million by our Investment Adviser is not subject to any reimbursement arrangement and is therefore not reflected in our consolidated financial statements. We incurred transaction costs of $2.3 million, of which $2.2 million relating to our share issuance were charged to paid in capital and $0.1 million was expensed.</w:t>
      </w:r>
    </w:p>
    <w:p>
      <w:pPr>
        <w:spacing w:after="0" w:line="77"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We accounted for the merger with MCG under the asset acquisition method of accounting in accordance with ASC 805-50, Business Combinations—Related Issues. Under asset acquisition accounting, acquiring assets in groups requires ascertaining the cost of the net assets, as well as, allocating that cost to the individual assets and liabilities comprising the group. Under ASC 805-50-30-1,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records. Furthermore, ASC 805-50-30-2 provides that if the consideration given is not in the form of cash (for example, in the form of equity interests issued), measurement is based on the cost to the acquiring entity or the fair value of the net assets acquired, whichever is more clearly evident and, thus, more reliably measured. Since the acquired net assets were principally comprised of cash, we used the net assets acquired to measure the value of the common stock issued. Finally, ASC 805-50-30-3 provides that the cost of the group of assets acquired in an asset acquisition is allocated to the individual assets acquired or liabilities assumed based on their relative fair values of net identifiable assets acquired other than “non-qualifying” assets (for example, cash) and does not give rise to goodwill.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00"/>
          </w:cols>
          <w:pgMar w:left="320" w:top="459" w:right="3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Supplementary Data</w:t>
      </w:r>
    </w:p>
    <w:p>
      <w:pPr>
        <w:jc w:val="center"/>
        <w:spacing w:after="0" w:line="226" w:lineRule="auto"/>
        <w:rPr>
          <w:sz w:val="20"/>
          <w:szCs w:val="20"/>
          <w:color w:val="auto"/>
        </w:rPr>
      </w:pPr>
      <w:r>
        <w:rPr>
          <w:rFonts w:ascii="Arial" w:cs="Arial" w:eastAsia="Arial" w:hAnsi="Arial"/>
          <w:sz w:val="14"/>
          <w:szCs w:val="14"/>
          <w:b w:val="1"/>
          <w:bCs w:val="1"/>
          <w:color w:val="auto"/>
        </w:rPr>
        <w:t>Selected Quarterly Data (Unaudited)</w:t>
      </w:r>
    </w:p>
    <w:p>
      <w:pPr>
        <w:jc w:val="cente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6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15,396</w:t>
            </w: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10,803</w:t>
            </w:r>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11,346</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8,756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8,155</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6,830</w:t>
            </w:r>
          </w:p>
        </w:tc>
        <w:tc>
          <w:tcPr>
            <w:tcW w:w="5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7,265</w:t>
            </w:r>
          </w:p>
        </w:tc>
        <w:tc>
          <w:tcPr>
            <w:tcW w:w="3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5,086</w:t>
            </w: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1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7,732</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6,589</w:t>
            </w:r>
          </w:p>
        </w:tc>
        <w:tc>
          <w:tcPr>
            <w:tcW w:w="5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(4,829)</w:t>
            </w:r>
          </w:p>
        </w:tc>
        <w:tc>
          <w:tcPr>
            <w:tcW w:w="3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(3,339)</w:t>
            </w:r>
          </w:p>
        </w:tc>
      </w:tr>
      <w:tr>
        <w:trPr>
          <w:trHeight w:val="148"/>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15,887</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13,419</w:t>
            </w:r>
          </w:p>
        </w:tc>
        <w:tc>
          <w:tcPr>
            <w:tcW w:w="5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2,436</w:t>
            </w:r>
          </w:p>
        </w:tc>
        <w:tc>
          <w:tcPr>
            <w:tcW w:w="3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1,747</w:t>
            </w: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0.59</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0.50</w:t>
            </w:r>
          </w:p>
        </w:tc>
        <w:tc>
          <w:tcPr>
            <w:tcW w:w="5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0.09</w:t>
            </w:r>
          </w:p>
        </w:tc>
        <w:tc>
          <w:tcPr>
            <w:tcW w:w="3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0.07</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14.06</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5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13.54</w:t>
            </w:r>
          </w:p>
        </w:tc>
        <w:tc>
          <w:tcPr>
            <w:tcW w:w="3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13.73</w:t>
            </w: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13.23</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12.40</w:t>
            </w:r>
          </w:p>
        </w:tc>
        <w:tc>
          <w:tcPr>
            <w:tcW w:w="5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11.70</w:t>
            </w:r>
          </w:p>
        </w:tc>
        <w:tc>
          <w:tcPr>
            <w:tcW w:w="3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11.25</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6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7,791</w:t>
            </w: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7,104</w:t>
            </w:r>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7,983</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7,477</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3,639</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4,097</w:t>
            </w:r>
          </w:p>
        </w:tc>
        <w:tc>
          <w:tcPr>
            <w:tcW w:w="5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4,456</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5,468</w:t>
            </w: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(2,424)</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630</w:t>
            </w:r>
          </w:p>
        </w:tc>
        <w:tc>
          <w:tcPr>
            <w:tcW w:w="5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1,668</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(5,030)</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1,215</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4,727</w:t>
            </w:r>
          </w:p>
        </w:tc>
        <w:tc>
          <w:tcPr>
            <w:tcW w:w="5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6,124</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438</w:t>
            </w: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0.06</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0.32</w:t>
            </w:r>
          </w:p>
        </w:tc>
        <w:tc>
          <w:tcPr>
            <w:tcW w:w="5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0.41</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0.03</w:t>
            </w:r>
          </w:p>
        </w:tc>
      </w:tr>
      <w:tr>
        <w:trPr>
          <w:trHeight w:val="148"/>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13.95</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14.33</w:t>
            </w:r>
          </w:p>
        </w:tc>
        <w:tc>
          <w:tcPr>
            <w:tcW w:w="5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14.30</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14.16</w:t>
            </w: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11.94</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13.88</w:t>
            </w:r>
          </w:p>
        </w:tc>
        <w:tc>
          <w:tcPr>
            <w:tcW w:w="5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14.03</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13.73</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6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142"/>
        </w:trPr>
        <w:tc>
          <w:tcPr>
            <w:tcW w:w="5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8,221</w:t>
            </w: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7,669</w:t>
            </w:r>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7,623</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6,844</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5,320</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4,363</w:t>
            </w:r>
          </w:p>
        </w:tc>
        <w:tc>
          <w:tcPr>
            <w:tcW w:w="5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3,725</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3,228</w:t>
            </w: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(3,043)</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579</w:t>
            </w:r>
          </w:p>
        </w:tc>
        <w:tc>
          <w:tcPr>
            <w:tcW w:w="5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3,513</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2,829</w:t>
            </w:r>
          </w:p>
        </w:tc>
      </w:tr>
      <w:tr>
        <w:trPr>
          <w:trHeight w:val="148"/>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2,278</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4,942</w:t>
            </w:r>
          </w:p>
        </w:tc>
        <w:tc>
          <w:tcPr>
            <w:tcW w:w="5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7,237</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6,057</w:t>
            </w: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 *</w:t>
            </w:r>
          </w:p>
        </w:tc>
        <w:tc>
          <w:tcPr>
            <w:tcW w:w="1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0.15</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0.33</w:t>
            </w:r>
          </w:p>
        </w:tc>
        <w:tc>
          <w:tcPr>
            <w:tcW w:w="5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0.49</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0.41</w:t>
            </w:r>
          </w:p>
        </w:tc>
      </w:tr>
      <w:tr>
        <w:trPr>
          <w:trHeight w:val="148"/>
        </w:trPr>
        <w:tc>
          <w:tcPr>
            <w:tcW w:w="554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5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14.40</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14.52</w:t>
            </w:r>
          </w:p>
        </w:tc>
        <w:tc>
          <w:tcPr>
            <w:tcW w:w="5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14.46</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14.24</w:t>
            </w: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5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13.78</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14.29</w:t>
            </w:r>
          </w:p>
        </w:tc>
        <w:tc>
          <w:tcPr>
            <w:tcW w:w="5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13.82</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50" w:lineRule="exact"/>
        <w:rPr>
          <w:sz w:val="20"/>
          <w:szCs w:val="20"/>
          <w:color w:val="auto"/>
        </w:rPr>
      </w:pPr>
    </w:p>
    <w:p>
      <w:pPr>
        <w:ind w:left="560" w:hanging="552"/>
        <w:spacing w:after="0"/>
        <w:tabs>
          <w:tab w:leader="none" w:pos="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As of September 30, 2016,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Management’s Report on Internal Control Over Financial Reporting, which appears on page 43 of this Report, is incorporated by reference herein.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9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180"/>
          </w:cols>
          <w:pgMar w:left="320" w:top="459"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PART III</w:t>
      </w:r>
    </w:p>
    <w:p>
      <w:pPr>
        <w:spacing w:after="0" w:line="208"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We will file a definitive Proxy Statement for our 2017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84"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2017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2017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2017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2017 Annual Meeting of Stockholders, to be filed with the Securities and Exchange Commission within 120 days following the end of our fiscal year.</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2017 Annual Meeting of Stockholders, to be filed with the Securities and Exchange Commission within 120 days following the end of our fiscal year.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IV</w:t>
      </w: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09" w:lineRule="exact"/>
        <w:rPr>
          <w:sz w:val="20"/>
          <w:szCs w:val="20"/>
          <w:color w:val="auto"/>
        </w:rPr>
      </w:pPr>
    </w:p>
    <w:p>
      <w:pPr>
        <w:ind w:left="780" w:hanging="448"/>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Index to Financial Statements — Refer to Item 8 starting on page 42.</w:t>
      </w:r>
    </w:p>
    <w:p>
      <w:pPr>
        <w:spacing w:after="0" w:line="109" w:lineRule="exact"/>
        <w:rPr>
          <w:rFonts w:ascii="Arial" w:cs="Arial" w:eastAsia="Arial" w:hAnsi="Arial"/>
          <w:sz w:val="14"/>
          <w:szCs w:val="14"/>
          <w:color w:val="auto"/>
        </w:rPr>
      </w:pPr>
    </w:p>
    <w:p>
      <w:pPr>
        <w:ind w:left="780" w:hanging="448"/>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Financial Statement Schedules — None.</w:t>
      </w:r>
    </w:p>
    <w:p>
      <w:pPr>
        <w:spacing w:after="0" w:line="109" w:lineRule="exact"/>
        <w:rPr>
          <w:rFonts w:ascii="Arial" w:cs="Arial" w:eastAsia="Arial" w:hAnsi="Arial"/>
          <w:sz w:val="14"/>
          <w:szCs w:val="14"/>
          <w:color w:val="auto"/>
        </w:rPr>
      </w:pPr>
    </w:p>
    <w:p>
      <w:pPr>
        <w:ind w:left="780" w:hanging="448"/>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3.1</w:t>
            </w:r>
          </w:p>
        </w:tc>
        <w:tc>
          <w:tcPr>
            <w:tcW w:w="10680" w:type="dxa"/>
            <w:vAlign w:val="bottom"/>
          </w:tcPr>
          <w:p>
            <w:pPr>
              <w:ind w:left="220"/>
              <w:spacing w:after="0"/>
              <w:rPr>
                <w:sz w:val="20"/>
                <w:szCs w:val="20"/>
                <w:color w:val="auto"/>
              </w:rPr>
            </w:pPr>
            <w:r>
              <w:rPr>
                <w:rFonts w:ascii="Arial" w:cs="Arial" w:eastAsia="Arial" w:hAnsi="Arial"/>
                <w:sz w:val="14"/>
                <w:szCs w:val="14"/>
                <w:color w:val="auto"/>
                <w:w w:val="93"/>
              </w:rPr>
              <w:t>Articles of Amendment and Restatement of the Registrant (Incorporated by reference to the Registrant’s Pre-Effective Amendment No. 3 to the Registration Statement on Form N-2</w:t>
            </w:r>
          </w:p>
        </w:tc>
      </w:tr>
      <w:tr>
        <w:trPr>
          <w:trHeight w:val="182"/>
        </w:trPr>
        <w:tc>
          <w:tcPr>
            <w:tcW w:w="540" w:type="dxa"/>
            <w:vAlign w:val="bottom"/>
          </w:tcPr>
          <w:p>
            <w:pPr>
              <w:spacing w:after="0"/>
              <w:rPr>
                <w:sz w:val="15"/>
                <w:szCs w:val="15"/>
                <w:color w:val="auto"/>
              </w:rPr>
            </w:pPr>
          </w:p>
        </w:tc>
        <w:tc>
          <w:tcPr>
            <w:tcW w:w="10680" w:type="dxa"/>
            <w:vAlign w:val="bottom"/>
          </w:tcPr>
          <w:p>
            <w:pPr>
              <w:ind w:left="220"/>
              <w:spacing w:after="0"/>
              <w:rPr>
                <w:sz w:val="20"/>
                <w:szCs w:val="20"/>
                <w:color w:val="auto"/>
              </w:rPr>
            </w:pPr>
            <w:r>
              <w:rPr>
                <w:rFonts w:ascii="Arial" w:cs="Arial" w:eastAsia="Arial" w:hAnsi="Arial"/>
                <w:sz w:val="14"/>
                <w:szCs w:val="14"/>
                <w:color w:val="auto"/>
              </w:rPr>
              <w:t>(File No. 333-170243), filed on March 29, 2011).</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3.2</w:t>
            </w:r>
          </w:p>
        </w:tc>
        <w:tc>
          <w:tcPr>
            <w:tcW w:w="10680" w:type="dxa"/>
            <w:vAlign w:val="bottom"/>
          </w:tcPr>
          <w:p>
            <w:pPr>
              <w:ind w:left="220"/>
              <w:spacing w:after="0"/>
              <w:rPr>
                <w:sz w:val="20"/>
                <w:szCs w:val="20"/>
                <w:color w:val="auto"/>
              </w:rPr>
            </w:pPr>
            <w:r>
              <w:rPr>
                <w:rFonts w:ascii="Arial" w:cs="Arial" w:eastAsia="Arial" w:hAnsi="Arial"/>
                <w:sz w:val="14"/>
                <w:szCs w:val="14"/>
                <w:color w:val="auto"/>
                <w:w w:val="94"/>
              </w:rPr>
              <w:t>Amended and Restated Bylaws of the Registrant (Incorporated by reference to Exhibit 3.1 to the Registrant’s Current Report on Form 8-K (File No. 814-00891), filed on December</w:t>
            </w:r>
          </w:p>
        </w:tc>
      </w:tr>
      <w:tr>
        <w:trPr>
          <w:trHeight w:val="182"/>
        </w:trPr>
        <w:tc>
          <w:tcPr>
            <w:tcW w:w="540" w:type="dxa"/>
            <w:vAlign w:val="bottom"/>
          </w:tcPr>
          <w:p>
            <w:pPr>
              <w:spacing w:after="0"/>
              <w:rPr>
                <w:sz w:val="15"/>
                <w:szCs w:val="15"/>
                <w:color w:val="auto"/>
              </w:rPr>
            </w:pPr>
          </w:p>
        </w:tc>
        <w:tc>
          <w:tcPr>
            <w:tcW w:w="10680" w:type="dxa"/>
            <w:vAlign w:val="bottom"/>
          </w:tcPr>
          <w:p>
            <w:pPr>
              <w:ind w:left="220"/>
              <w:spacing w:after="0"/>
              <w:rPr>
                <w:sz w:val="20"/>
                <w:szCs w:val="20"/>
                <w:color w:val="auto"/>
              </w:rPr>
            </w:pPr>
            <w:r>
              <w:rPr>
                <w:rFonts w:ascii="Arial" w:cs="Arial" w:eastAsia="Arial" w:hAnsi="Arial"/>
                <w:sz w:val="14"/>
                <w:szCs w:val="14"/>
                <w:color w:val="auto"/>
              </w:rPr>
              <w:t>2, 2015).</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rPr>
              <w:t>4.1</w:t>
            </w:r>
          </w:p>
        </w:tc>
        <w:tc>
          <w:tcPr>
            <w:tcW w:w="10680" w:type="dxa"/>
            <w:vAlign w:val="bottom"/>
          </w:tcPr>
          <w:p>
            <w:pPr>
              <w:ind w:left="220"/>
              <w:spacing w:after="0"/>
              <w:rPr>
                <w:sz w:val="20"/>
                <w:szCs w:val="20"/>
                <w:color w:val="auto"/>
              </w:rPr>
            </w:pPr>
            <w:r>
              <w:rPr>
                <w:rFonts w:ascii="Arial" w:cs="Arial" w:eastAsia="Arial" w:hAnsi="Arial"/>
                <w:sz w:val="14"/>
                <w:szCs w:val="14"/>
                <w:color w:val="auto"/>
                <w:w w:val="94"/>
              </w:rPr>
              <w:t>Form of Share Certificate (Incorporated by reference to the Registrant’s Pre-Effective Amendment No. 5 to the Registration Statement on Form N-2 (File No. 333-170243), filed on</w:t>
            </w:r>
          </w:p>
        </w:tc>
      </w:tr>
      <w:tr>
        <w:trPr>
          <w:trHeight w:val="182"/>
        </w:trPr>
        <w:tc>
          <w:tcPr>
            <w:tcW w:w="540" w:type="dxa"/>
            <w:vAlign w:val="bottom"/>
          </w:tcPr>
          <w:p>
            <w:pPr>
              <w:spacing w:after="0"/>
              <w:rPr>
                <w:sz w:val="15"/>
                <w:szCs w:val="15"/>
                <w:color w:val="auto"/>
              </w:rPr>
            </w:pPr>
          </w:p>
        </w:tc>
        <w:tc>
          <w:tcPr>
            <w:tcW w:w="10680" w:type="dxa"/>
            <w:vAlign w:val="bottom"/>
          </w:tcPr>
          <w:p>
            <w:pPr>
              <w:ind w:left="220"/>
              <w:spacing w:after="0"/>
              <w:rPr>
                <w:sz w:val="20"/>
                <w:szCs w:val="20"/>
                <w:color w:val="auto"/>
              </w:rPr>
            </w:pPr>
            <w:r>
              <w:rPr>
                <w:rFonts w:ascii="Arial" w:cs="Arial" w:eastAsia="Arial" w:hAnsi="Arial"/>
                <w:sz w:val="14"/>
                <w:szCs w:val="14"/>
                <w:color w:val="auto"/>
              </w:rPr>
              <w:t>April 5, 2011).</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w w:val="87"/>
              </w:rPr>
              <w:t>10.1</w:t>
            </w:r>
          </w:p>
        </w:tc>
        <w:tc>
          <w:tcPr>
            <w:tcW w:w="10680" w:type="dxa"/>
            <w:vAlign w:val="bottom"/>
          </w:tcPr>
          <w:p>
            <w:pPr>
              <w:ind w:left="220"/>
              <w:spacing w:after="0"/>
              <w:rPr>
                <w:sz w:val="20"/>
                <w:szCs w:val="20"/>
                <w:color w:val="auto"/>
              </w:rPr>
            </w:pPr>
            <w:r>
              <w:rPr>
                <w:rFonts w:ascii="Arial" w:cs="Arial" w:eastAsia="Arial" w:hAnsi="Arial"/>
                <w:sz w:val="14"/>
                <w:szCs w:val="14"/>
                <w:color w:val="auto"/>
                <w:w w:val="95"/>
              </w:rPr>
              <w:t>First Amendment to Third Amended and Restated Revolving Credit and Security Agreement, dated as of August 26, 2015, among PennantPark Floating Rate Funding I, LLC, as</w:t>
            </w:r>
          </w:p>
        </w:tc>
      </w:tr>
      <w:tr>
        <w:trPr>
          <w:trHeight w:val="148"/>
        </w:trPr>
        <w:tc>
          <w:tcPr>
            <w:tcW w:w="540" w:type="dxa"/>
            <w:vAlign w:val="bottom"/>
          </w:tcPr>
          <w:p>
            <w:pPr>
              <w:spacing w:after="0"/>
              <w:rPr>
                <w:sz w:val="12"/>
                <w:szCs w:val="12"/>
                <w:color w:val="auto"/>
              </w:rPr>
            </w:pPr>
          </w:p>
        </w:tc>
        <w:tc>
          <w:tcPr>
            <w:tcW w:w="10680" w:type="dxa"/>
            <w:vAlign w:val="bottom"/>
          </w:tcPr>
          <w:p>
            <w:pPr>
              <w:ind w:left="220"/>
              <w:spacing w:after="0" w:line="149" w:lineRule="exact"/>
              <w:rPr>
                <w:sz w:val="20"/>
                <w:szCs w:val="20"/>
                <w:color w:val="auto"/>
              </w:rPr>
            </w:pPr>
            <w:r>
              <w:rPr>
                <w:rFonts w:ascii="Arial" w:cs="Arial" w:eastAsia="Arial" w:hAnsi="Arial"/>
                <w:sz w:val="14"/>
                <w:szCs w:val="14"/>
                <w:color w:val="auto"/>
                <w:w w:val="96"/>
              </w:rPr>
              <w:t>borrower, PennantPark Investment Advisers, LLC, as collateral manager, the lenders from time to time parties thereto, SunTrust Bank, as administrative agent, and U.S. Bank</w:t>
            </w:r>
          </w:p>
        </w:tc>
      </w:tr>
      <w:tr>
        <w:trPr>
          <w:trHeight w:val="148"/>
        </w:trPr>
        <w:tc>
          <w:tcPr>
            <w:tcW w:w="540" w:type="dxa"/>
            <w:vAlign w:val="bottom"/>
          </w:tcPr>
          <w:p>
            <w:pPr>
              <w:spacing w:after="0"/>
              <w:rPr>
                <w:sz w:val="12"/>
                <w:szCs w:val="12"/>
                <w:color w:val="auto"/>
              </w:rPr>
            </w:pPr>
          </w:p>
        </w:tc>
        <w:tc>
          <w:tcPr>
            <w:tcW w:w="10680" w:type="dxa"/>
            <w:vAlign w:val="bottom"/>
          </w:tcPr>
          <w:p>
            <w:pPr>
              <w:ind w:left="220"/>
              <w:spacing w:after="0" w:line="149" w:lineRule="exact"/>
              <w:rPr>
                <w:sz w:val="20"/>
                <w:szCs w:val="20"/>
                <w:color w:val="auto"/>
              </w:rPr>
            </w:pPr>
            <w:r>
              <w:rPr>
                <w:rFonts w:ascii="Arial" w:cs="Arial" w:eastAsia="Arial" w:hAnsi="Arial"/>
                <w:sz w:val="14"/>
                <w:szCs w:val="14"/>
                <w:color w:val="auto"/>
                <w:w w:val="93"/>
              </w:rPr>
              <w:t>National Association, as collateral agent, as backup collateral manager, and as custodian (Incorporated by reference to Exhibit 10.1 to the Registrant’s Annual Report on Form 10-K</w:t>
            </w:r>
          </w:p>
        </w:tc>
      </w:tr>
      <w:tr>
        <w:trPr>
          <w:trHeight w:val="182"/>
        </w:trPr>
        <w:tc>
          <w:tcPr>
            <w:tcW w:w="540" w:type="dxa"/>
            <w:vAlign w:val="bottom"/>
          </w:tcPr>
          <w:p>
            <w:pPr>
              <w:spacing w:after="0"/>
              <w:rPr>
                <w:sz w:val="15"/>
                <w:szCs w:val="15"/>
                <w:color w:val="auto"/>
              </w:rPr>
            </w:pPr>
          </w:p>
        </w:tc>
        <w:tc>
          <w:tcPr>
            <w:tcW w:w="10680" w:type="dxa"/>
            <w:vAlign w:val="bottom"/>
          </w:tcPr>
          <w:p>
            <w:pPr>
              <w:ind w:left="220"/>
              <w:spacing w:after="0"/>
              <w:rPr>
                <w:sz w:val="20"/>
                <w:szCs w:val="20"/>
                <w:color w:val="auto"/>
              </w:rPr>
            </w:pPr>
            <w:r>
              <w:rPr>
                <w:rFonts w:ascii="Arial" w:cs="Arial" w:eastAsia="Arial" w:hAnsi="Arial"/>
                <w:sz w:val="14"/>
                <w:szCs w:val="14"/>
                <w:color w:val="auto"/>
              </w:rPr>
              <w:t>(File No. 814-00891), filed on November 12, 2015).</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w w:val="87"/>
              </w:rPr>
              <w:t>10.2</w:t>
            </w:r>
          </w:p>
        </w:tc>
        <w:tc>
          <w:tcPr>
            <w:tcW w:w="10680" w:type="dxa"/>
            <w:vAlign w:val="bottom"/>
          </w:tcPr>
          <w:p>
            <w:pPr>
              <w:ind w:left="220"/>
              <w:spacing w:after="0"/>
              <w:rPr>
                <w:sz w:val="20"/>
                <w:szCs w:val="20"/>
                <w:color w:val="auto"/>
              </w:rPr>
            </w:pPr>
            <w:r>
              <w:rPr>
                <w:rFonts w:ascii="Arial" w:cs="Arial" w:eastAsia="Arial" w:hAnsi="Arial"/>
                <w:sz w:val="14"/>
                <w:szCs w:val="14"/>
                <w:color w:val="auto"/>
                <w:w w:val="92"/>
              </w:rPr>
              <w:t>Purchase and Contribution Agreement, dated as of June 23, 2011, among PennantPark Floating Rate Capital Ltd., as the seller, and PennantPark Floating Rate Funding I, LLC, as the</w:t>
            </w:r>
          </w:p>
        </w:tc>
      </w:tr>
      <w:tr>
        <w:trPr>
          <w:trHeight w:val="182"/>
        </w:trPr>
        <w:tc>
          <w:tcPr>
            <w:tcW w:w="540" w:type="dxa"/>
            <w:vAlign w:val="bottom"/>
          </w:tcPr>
          <w:p>
            <w:pPr>
              <w:spacing w:after="0"/>
              <w:rPr>
                <w:sz w:val="15"/>
                <w:szCs w:val="15"/>
                <w:color w:val="auto"/>
              </w:rPr>
            </w:pPr>
          </w:p>
        </w:tc>
        <w:tc>
          <w:tcPr>
            <w:tcW w:w="10680" w:type="dxa"/>
            <w:vAlign w:val="bottom"/>
          </w:tcPr>
          <w:p>
            <w:pPr>
              <w:ind w:left="220"/>
              <w:spacing w:after="0"/>
              <w:rPr>
                <w:sz w:val="20"/>
                <w:szCs w:val="20"/>
                <w:color w:val="auto"/>
              </w:rPr>
            </w:pPr>
            <w:r>
              <w:rPr>
                <w:rFonts w:ascii="Arial" w:cs="Arial" w:eastAsia="Arial" w:hAnsi="Arial"/>
                <w:sz w:val="14"/>
                <w:szCs w:val="14"/>
                <w:color w:val="auto"/>
              </w:rPr>
              <w:t>buyer (Incorporated by reference to Exhibit 10.2 to the Registrant’s Periodic Report on Form 8-K, filed on June 29, 2011).</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w w:val="87"/>
              </w:rPr>
              <w:t>10.3</w:t>
            </w:r>
          </w:p>
        </w:tc>
        <w:tc>
          <w:tcPr>
            <w:tcW w:w="10680" w:type="dxa"/>
            <w:vAlign w:val="bottom"/>
          </w:tcPr>
          <w:p>
            <w:pPr>
              <w:ind w:left="220"/>
              <w:spacing w:after="0"/>
              <w:rPr>
                <w:sz w:val="20"/>
                <w:szCs w:val="20"/>
                <w:color w:val="auto"/>
              </w:rPr>
            </w:pPr>
            <w:r>
              <w:rPr>
                <w:rFonts w:ascii="Arial" w:cs="Arial" w:eastAsia="Arial" w:hAnsi="Arial"/>
                <w:sz w:val="14"/>
                <w:szCs w:val="14"/>
                <w:color w:val="auto"/>
                <w:w w:val="94"/>
              </w:rPr>
              <w:t>Form of Administration Agreement between the Registrant and PennantPark Investment Administration, LLC (Incorporated by reference to Exhibit 99(k)(2) to the Registrant’s Pre-</w:t>
            </w:r>
          </w:p>
        </w:tc>
      </w:tr>
      <w:tr>
        <w:trPr>
          <w:trHeight w:val="182"/>
        </w:trPr>
        <w:tc>
          <w:tcPr>
            <w:tcW w:w="540" w:type="dxa"/>
            <w:vAlign w:val="bottom"/>
          </w:tcPr>
          <w:p>
            <w:pPr>
              <w:spacing w:after="0"/>
              <w:rPr>
                <w:sz w:val="15"/>
                <w:szCs w:val="15"/>
                <w:color w:val="auto"/>
              </w:rPr>
            </w:pPr>
          </w:p>
        </w:tc>
        <w:tc>
          <w:tcPr>
            <w:tcW w:w="10680" w:type="dxa"/>
            <w:vAlign w:val="bottom"/>
          </w:tcPr>
          <w:p>
            <w:pPr>
              <w:ind w:left="220"/>
              <w:spacing w:after="0"/>
              <w:rPr>
                <w:sz w:val="20"/>
                <w:szCs w:val="20"/>
                <w:color w:val="auto"/>
              </w:rPr>
            </w:pPr>
            <w:r>
              <w:rPr>
                <w:rFonts w:ascii="Arial" w:cs="Arial" w:eastAsia="Arial" w:hAnsi="Arial"/>
                <w:sz w:val="14"/>
                <w:szCs w:val="14"/>
                <w:color w:val="auto"/>
              </w:rPr>
              <w:t>Effective Amendment No. 3 to the Registration Statement on Form N-2 (File No. 333-170243), filed on March 29, 2011).</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w w:val="87"/>
              </w:rPr>
              <w:t>10.4</w:t>
            </w:r>
          </w:p>
        </w:tc>
        <w:tc>
          <w:tcPr>
            <w:tcW w:w="10680" w:type="dxa"/>
            <w:vAlign w:val="bottom"/>
          </w:tcPr>
          <w:p>
            <w:pPr>
              <w:ind w:left="220"/>
              <w:spacing w:after="0"/>
              <w:rPr>
                <w:sz w:val="20"/>
                <w:szCs w:val="20"/>
                <w:color w:val="auto"/>
              </w:rPr>
            </w:pPr>
            <w:r>
              <w:rPr>
                <w:rFonts w:ascii="Arial" w:cs="Arial" w:eastAsia="Arial" w:hAnsi="Arial"/>
                <w:sz w:val="14"/>
                <w:szCs w:val="14"/>
                <w:color w:val="auto"/>
                <w:w w:val="96"/>
              </w:rPr>
              <w:t>Dividend Reinvestment Plan (Incorporated by reference to Exhibit 99(e) to the Registrant’s Pre-Effective Amendment No. 3 to the Registration Statement on Form N-2 (File No.</w:t>
            </w:r>
          </w:p>
        </w:tc>
      </w:tr>
      <w:tr>
        <w:trPr>
          <w:trHeight w:val="182"/>
        </w:trPr>
        <w:tc>
          <w:tcPr>
            <w:tcW w:w="540" w:type="dxa"/>
            <w:vAlign w:val="bottom"/>
          </w:tcPr>
          <w:p>
            <w:pPr>
              <w:spacing w:after="0"/>
              <w:rPr>
                <w:sz w:val="15"/>
                <w:szCs w:val="15"/>
                <w:color w:val="auto"/>
              </w:rPr>
            </w:pPr>
          </w:p>
        </w:tc>
        <w:tc>
          <w:tcPr>
            <w:tcW w:w="10680" w:type="dxa"/>
            <w:vAlign w:val="bottom"/>
          </w:tcPr>
          <w:p>
            <w:pPr>
              <w:ind w:left="220"/>
              <w:spacing w:after="0"/>
              <w:rPr>
                <w:sz w:val="20"/>
                <w:szCs w:val="20"/>
                <w:color w:val="auto"/>
              </w:rPr>
            </w:pPr>
            <w:r>
              <w:rPr>
                <w:rFonts w:ascii="Arial" w:cs="Arial" w:eastAsia="Arial" w:hAnsi="Arial"/>
                <w:sz w:val="14"/>
                <w:szCs w:val="14"/>
                <w:color w:val="auto"/>
              </w:rPr>
              <w:t>333-170243), filed on March 29, 2011).</w:t>
            </w:r>
          </w:p>
        </w:tc>
      </w:tr>
      <w:tr>
        <w:trPr>
          <w:trHeight w:val="223"/>
        </w:trPr>
        <w:tc>
          <w:tcPr>
            <w:tcW w:w="540" w:type="dxa"/>
            <w:vAlign w:val="bottom"/>
          </w:tcPr>
          <w:p>
            <w:pPr>
              <w:jc w:val="right"/>
              <w:ind w:right="208"/>
              <w:spacing w:after="0"/>
              <w:rPr>
                <w:sz w:val="20"/>
                <w:szCs w:val="20"/>
                <w:color w:val="auto"/>
              </w:rPr>
            </w:pPr>
            <w:r>
              <w:rPr>
                <w:rFonts w:ascii="Arial" w:cs="Arial" w:eastAsia="Arial" w:hAnsi="Arial"/>
                <w:sz w:val="14"/>
                <w:szCs w:val="14"/>
                <w:color w:val="auto"/>
                <w:w w:val="87"/>
              </w:rPr>
              <w:t>10.5</w:t>
            </w:r>
          </w:p>
        </w:tc>
        <w:tc>
          <w:tcPr>
            <w:tcW w:w="10680" w:type="dxa"/>
            <w:vAlign w:val="bottom"/>
          </w:tcPr>
          <w:p>
            <w:pPr>
              <w:ind w:left="220"/>
              <w:spacing w:after="0"/>
              <w:rPr>
                <w:sz w:val="20"/>
                <w:szCs w:val="20"/>
                <w:color w:val="auto"/>
              </w:rPr>
            </w:pPr>
            <w:r>
              <w:rPr>
                <w:rFonts w:ascii="Arial" w:cs="Arial" w:eastAsia="Arial" w:hAnsi="Arial"/>
                <w:sz w:val="14"/>
                <w:szCs w:val="14"/>
                <w:color w:val="auto"/>
                <w:w w:val="96"/>
              </w:rPr>
              <w:t>Second Amended and Restated Investment Advisory Agreement, dated as of February 2, 2016, between PennantPark Floating Rate Capital Ltd. and PennantPark Investment</w:t>
            </w:r>
          </w:p>
        </w:tc>
      </w:tr>
      <w:tr>
        <w:trPr>
          <w:trHeight w:val="182"/>
        </w:trPr>
        <w:tc>
          <w:tcPr>
            <w:tcW w:w="540" w:type="dxa"/>
            <w:vAlign w:val="bottom"/>
          </w:tcPr>
          <w:p>
            <w:pPr>
              <w:spacing w:after="0"/>
              <w:rPr>
                <w:sz w:val="15"/>
                <w:szCs w:val="15"/>
                <w:color w:val="auto"/>
              </w:rPr>
            </w:pPr>
          </w:p>
        </w:tc>
        <w:tc>
          <w:tcPr>
            <w:tcW w:w="10680" w:type="dxa"/>
            <w:vAlign w:val="bottom"/>
          </w:tcPr>
          <w:p>
            <w:pPr>
              <w:ind w:left="220"/>
              <w:spacing w:after="0"/>
              <w:rPr>
                <w:sz w:val="20"/>
                <w:szCs w:val="20"/>
                <w:color w:val="auto"/>
              </w:rPr>
            </w:pPr>
            <w:r>
              <w:rPr>
                <w:rFonts w:ascii="Arial" w:cs="Arial" w:eastAsia="Arial" w:hAnsi="Arial"/>
                <w:sz w:val="14"/>
                <w:szCs w:val="14"/>
                <w:color w:val="auto"/>
              </w:rPr>
              <w:t>Advisers, LLC (Incorporated by reference to the Registrant’s Quarterly Report on Form 10-Q (File No. 814-00891), filed on February 4, 2016).</w:t>
            </w:r>
          </w:p>
        </w:tc>
      </w:tr>
      <w:tr>
        <w:trPr>
          <w:trHeight w:val="223"/>
        </w:trPr>
        <w:tc>
          <w:tcPr>
            <w:tcW w:w="540" w:type="dxa"/>
            <w:vAlign w:val="bottom"/>
          </w:tcPr>
          <w:p>
            <w:pPr>
              <w:jc w:val="right"/>
              <w:ind w:right="128"/>
              <w:spacing w:after="0"/>
              <w:rPr>
                <w:sz w:val="20"/>
                <w:szCs w:val="20"/>
                <w:color w:val="auto"/>
              </w:rPr>
            </w:pPr>
            <w:r>
              <w:rPr>
                <w:rFonts w:ascii="Arial" w:cs="Arial" w:eastAsia="Arial" w:hAnsi="Arial"/>
                <w:sz w:val="14"/>
                <w:szCs w:val="14"/>
                <w:color w:val="auto"/>
                <w:w w:val="97"/>
              </w:rPr>
              <w:t>10.6*</w:t>
            </w:r>
          </w:p>
        </w:tc>
        <w:tc>
          <w:tcPr>
            <w:tcW w:w="10680" w:type="dxa"/>
            <w:vAlign w:val="bottom"/>
          </w:tcPr>
          <w:p>
            <w:pPr>
              <w:ind w:left="220"/>
              <w:spacing w:after="0"/>
              <w:rPr>
                <w:sz w:val="20"/>
                <w:szCs w:val="20"/>
                <w:color w:val="auto"/>
              </w:rPr>
            </w:pPr>
            <w:r>
              <w:rPr>
                <w:rFonts w:ascii="Arial" w:cs="Arial" w:eastAsia="Arial" w:hAnsi="Arial"/>
                <w:sz w:val="14"/>
                <w:szCs w:val="14"/>
                <w:color w:val="auto"/>
                <w:w w:val="94"/>
              </w:rPr>
              <w:t>Indemnification Agreement, dated as of November 15, 2016, between PennantPark Floating Rate Capital Ltd. and each of the directors and officers listed on Schedule A attached</w:t>
            </w:r>
          </w:p>
        </w:tc>
      </w:tr>
      <w:tr>
        <w:trPr>
          <w:trHeight w:val="182"/>
        </w:trPr>
        <w:tc>
          <w:tcPr>
            <w:tcW w:w="540" w:type="dxa"/>
            <w:vAlign w:val="bottom"/>
          </w:tcPr>
          <w:p>
            <w:pPr>
              <w:spacing w:after="0"/>
              <w:rPr>
                <w:sz w:val="15"/>
                <w:szCs w:val="15"/>
                <w:color w:val="auto"/>
              </w:rPr>
            </w:pPr>
          </w:p>
        </w:tc>
        <w:tc>
          <w:tcPr>
            <w:tcW w:w="10680" w:type="dxa"/>
            <w:vAlign w:val="bottom"/>
          </w:tcPr>
          <w:p>
            <w:pPr>
              <w:ind w:left="220"/>
              <w:spacing w:after="0"/>
              <w:rPr>
                <w:sz w:val="20"/>
                <w:szCs w:val="20"/>
                <w:color w:val="auto"/>
              </w:rPr>
            </w:pPr>
            <w:r>
              <w:rPr>
                <w:rFonts w:ascii="Arial" w:cs="Arial" w:eastAsia="Arial" w:hAnsi="Arial"/>
                <w:sz w:val="14"/>
                <w:szCs w:val="14"/>
                <w:color w:val="auto"/>
              </w:rPr>
              <w:t>thereto.</w:t>
            </w:r>
          </w:p>
        </w:tc>
      </w:tr>
    </w:tbl>
    <w:p>
      <w:pPr>
        <w:spacing w:after="0" w:line="74" w:lineRule="exact"/>
        <w:rPr>
          <w:sz w:val="20"/>
          <w:szCs w:val="20"/>
          <w:color w:val="auto"/>
        </w:rPr>
      </w:pPr>
    </w:p>
    <w:p>
      <w:pPr>
        <w:ind w:left="760" w:hanging="752"/>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audited financial statements contained in this Report).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14.1*</w:t>
      </w:r>
      <w:r>
        <w:rPr>
          <w:rFonts w:ascii="Arial" w:cs="Arial" w:eastAsia="Arial" w:hAnsi="Arial"/>
          <w:sz w:val="13"/>
          <w:szCs w:val="13"/>
          <w:color w:val="auto"/>
        </w:rPr>
        <w:t>Joint Code of Ethics of the Registrant.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21.1*</w:t>
      </w:r>
      <w:r>
        <w:rPr>
          <w:rFonts w:ascii="Arial" w:cs="Arial" w:eastAsia="Arial" w:hAnsi="Arial"/>
          <w:sz w:val="13"/>
          <w:szCs w:val="13"/>
          <w:color w:val="auto"/>
        </w:rPr>
        <w:t>Subsidiaries of the Registrant.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w:t>
      </w:r>
      <w:r>
        <w:rPr>
          <w:rFonts w:ascii="Arial" w:cs="Arial" w:eastAsia="Arial" w:hAnsi="Arial"/>
          <w:sz w:val="13"/>
          <w:szCs w:val="13"/>
          <w:color w:val="auto"/>
        </w:rPr>
        <w:t>Certification of Chief Executive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w:t>
      </w:r>
      <w:r>
        <w:rPr>
          <w:rFonts w:ascii="Arial" w:cs="Arial" w:eastAsia="Arial" w:hAnsi="Arial"/>
          <w:sz w:val="13"/>
          <w:szCs w:val="13"/>
          <w:color w:val="auto"/>
        </w:rPr>
        <w:t>Certification of Chief Financial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w:t>
      </w:r>
      <w:r>
        <w:rPr>
          <w:rFonts w:ascii="Arial" w:cs="Arial" w:eastAsia="Arial" w:hAnsi="Arial"/>
          <w:sz w:val="13"/>
          <w:szCs w:val="13"/>
          <w:color w:val="auto"/>
        </w:rPr>
        <w:t>Certification of Chief Executive Officer pursuant to section 906 of the Sarbanes-Oxley Act of 2002.</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w:t>
      </w:r>
      <w:r>
        <w:rPr>
          <w:rFonts w:ascii="Arial" w:cs="Arial" w:eastAsia="Arial" w:hAnsi="Arial"/>
          <w:sz w:val="13"/>
          <w:szCs w:val="13"/>
          <w:color w:val="auto"/>
        </w:rPr>
        <w:t>Certification of Chief Financial Officer pursuant to section 906 of the Sarbanes-Oxley Act of 2002.</w:t>
      </w:r>
    </w:p>
    <w:p>
      <w:pPr>
        <w:spacing w:after="0" w:line="96"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3"/>
          <w:szCs w:val="13"/>
          <w:color w:val="auto"/>
        </w:rPr>
        <w:t>Privacy Policy of the Registrant. (Incorporated by reference to the Registrant’s Annual Report on Form 10-K (File No. 814-00891), filed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8516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57" w:lineRule="exact"/>
        <w:rPr>
          <w:sz w:val="20"/>
          <w:szCs w:val="20"/>
          <w:color w:val="auto"/>
        </w:rPr>
      </w:pPr>
    </w:p>
    <w:p>
      <w:pPr>
        <w:ind w:left="560" w:hanging="552"/>
        <w:spacing w:after="0"/>
        <w:tabs>
          <w:tab w:leader="none" w:pos="5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20"/>
          </w:cols>
          <w:pgMar w:left="32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260" w:firstLine="562"/>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ARTHUR H. PENN</w:t>
            </w:r>
          </w:p>
        </w:tc>
      </w:tr>
      <w:tr>
        <w:trPr>
          <w:trHeight w:val="133"/>
        </w:trPr>
        <w:tc>
          <w:tcPr>
            <w:tcW w:w="500" w:type="dxa"/>
            <w:vAlign w:val="bottom"/>
          </w:tcPr>
          <w:p>
            <w:pPr>
              <w:spacing w:after="0" w:line="133" w:lineRule="exact"/>
              <w:rPr>
                <w:sz w:val="20"/>
                <w:szCs w:val="20"/>
                <w:color w:val="auto"/>
              </w:rPr>
            </w:pPr>
            <w:r>
              <w:rPr>
                <w:rFonts w:ascii="Arial" w:cs="Arial" w:eastAsia="Arial" w:hAnsi="Arial"/>
                <w:sz w:val="14"/>
                <w:szCs w:val="14"/>
                <w:color w:val="auto"/>
              </w:rPr>
              <w:t>Name:</w:t>
            </w:r>
          </w:p>
        </w:tc>
        <w:tc>
          <w:tcPr>
            <w:tcW w:w="3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Arthur H. Penn</w:t>
            </w:r>
          </w:p>
        </w:tc>
      </w:tr>
      <w:tr>
        <w:trPr>
          <w:trHeight w:val="186"/>
        </w:trPr>
        <w:tc>
          <w:tcPr>
            <w:tcW w:w="5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4"/>
              </w:rPr>
              <w:t>Chief Executive Officer and Chairman of the Board of Directors</w:t>
            </w:r>
          </w:p>
        </w:tc>
      </w:tr>
    </w:tbl>
    <w:p>
      <w:pPr>
        <w:spacing w:after="0" w:line="182"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2"/>
              </w:rPr>
              <w:t>Signature</w:t>
            </w:r>
          </w:p>
        </w:tc>
        <w:tc>
          <w:tcPr>
            <w:tcW w:w="1780" w:type="dxa"/>
            <w:vAlign w:val="bottom"/>
          </w:tcPr>
          <w:p>
            <w:pPr>
              <w:spacing w:after="0"/>
              <w:rPr>
                <w:sz w:val="16"/>
                <w:szCs w:val="16"/>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Title</w:t>
            </w:r>
          </w:p>
        </w:tc>
        <w:tc>
          <w:tcPr>
            <w:tcW w:w="700" w:type="dxa"/>
            <w:vAlign w:val="bottom"/>
          </w:tcPr>
          <w:p>
            <w:pPr>
              <w:spacing w:after="0"/>
              <w:rPr>
                <w:sz w:val="16"/>
                <w:szCs w:val="16"/>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8"/>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ARTHUR H. PENN</w:t>
            </w:r>
          </w:p>
        </w:tc>
        <w:tc>
          <w:tcPr>
            <w:tcW w:w="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color w:val="auto"/>
                <w:w w:val="95"/>
              </w:rPr>
              <w:t>Chief Executive Officer and Chairman of the Board of Directors (Principal Executive</w:t>
            </w:r>
          </w:p>
        </w:tc>
        <w:tc>
          <w:tcPr>
            <w:tcW w:w="14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November 22, 2016</w:t>
            </w:r>
          </w:p>
        </w:tc>
      </w:tr>
      <w:tr>
        <w:trPr>
          <w:trHeight w:val="186"/>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Arthur H. Penn</w:t>
            </w:r>
          </w:p>
        </w:tc>
        <w:tc>
          <w:tcPr>
            <w:tcW w:w="1780" w:type="dxa"/>
            <w:vAlign w:val="bottom"/>
          </w:tcPr>
          <w:p>
            <w:pPr>
              <w:spacing w:after="0"/>
              <w:rPr>
                <w:sz w:val="16"/>
                <w:szCs w:val="16"/>
                <w:color w:val="auto"/>
              </w:rPr>
            </w:pPr>
          </w:p>
        </w:tc>
        <w:tc>
          <w:tcPr>
            <w:tcW w:w="5340" w:type="dxa"/>
            <w:vAlign w:val="bottom"/>
            <w:gridSpan w:val="3"/>
          </w:tcPr>
          <w:p>
            <w:pPr>
              <w:jc w:val="center"/>
              <w:ind w:right="120"/>
              <w:spacing w:after="0" w:line="150" w:lineRule="exact"/>
              <w:rPr>
                <w:sz w:val="20"/>
                <w:szCs w:val="20"/>
                <w:color w:val="auto"/>
              </w:rPr>
            </w:pPr>
            <w:r>
              <w:rPr>
                <w:rFonts w:ascii="Arial" w:cs="Arial" w:eastAsia="Arial" w:hAnsi="Arial"/>
                <w:sz w:val="14"/>
                <w:szCs w:val="14"/>
                <w:color w:val="auto"/>
              </w:rPr>
              <w:t>Officer)</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AVIV EFRAT</w:t>
            </w:r>
          </w:p>
        </w:tc>
        <w:tc>
          <w:tcPr>
            <w:tcW w:w="178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color w:val="auto"/>
                <w:w w:val="95"/>
              </w:rPr>
              <w:t>Chief Financial Officer and Treasurer (Principal Financial and Accounting Officer)</w:t>
            </w:r>
          </w:p>
        </w:tc>
        <w:tc>
          <w:tcPr>
            <w:tcW w:w="14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November 22, 2016</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Aviv Efrat</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ADAM K. BERNSTEIN</w:t>
            </w:r>
          </w:p>
        </w:tc>
        <w:tc>
          <w:tcPr>
            <w:tcW w:w="178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color w:val="auto"/>
                <w:w w:val="97"/>
              </w:rPr>
              <w:t>Director</w:t>
            </w:r>
          </w:p>
        </w:tc>
        <w:tc>
          <w:tcPr>
            <w:tcW w:w="14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November 22, 2016</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Adam K. Bernstein</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JEFFREY FLUG</w:t>
            </w:r>
          </w:p>
        </w:tc>
        <w:tc>
          <w:tcPr>
            <w:tcW w:w="178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color w:val="auto"/>
                <w:w w:val="97"/>
              </w:rPr>
              <w:t>Director</w:t>
            </w:r>
          </w:p>
        </w:tc>
        <w:tc>
          <w:tcPr>
            <w:tcW w:w="14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November 22, 2016</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Jeffrey Flug</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MARSHALL BROZOST</w:t>
            </w:r>
          </w:p>
        </w:tc>
        <w:tc>
          <w:tcPr>
            <w:tcW w:w="178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color w:val="auto"/>
                <w:w w:val="97"/>
              </w:rPr>
              <w:t>Director</w:t>
            </w:r>
          </w:p>
        </w:tc>
        <w:tc>
          <w:tcPr>
            <w:tcW w:w="14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November 22, 2016</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Marshall Brozost</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40"/>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SAMUEL L. KATZ</w:t>
            </w:r>
          </w:p>
        </w:tc>
        <w:tc>
          <w:tcPr>
            <w:tcW w:w="178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right="100"/>
              <w:spacing w:after="0"/>
              <w:rPr>
                <w:sz w:val="20"/>
                <w:szCs w:val="20"/>
                <w:color w:val="auto"/>
              </w:rPr>
            </w:pPr>
            <w:r>
              <w:rPr>
                <w:rFonts w:ascii="Arial" w:cs="Arial" w:eastAsia="Arial" w:hAnsi="Arial"/>
                <w:sz w:val="14"/>
                <w:szCs w:val="14"/>
                <w:color w:val="auto"/>
                <w:w w:val="97"/>
              </w:rPr>
              <w:t>Director</w:t>
            </w:r>
          </w:p>
        </w:tc>
        <w:tc>
          <w:tcPr>
            <w:tcW w:w="1420" w:type="dxa"/>
            <w:vAlign w:val="bottom"/>
            <w:gridSpan w:val="3"/>
          </w:tcPr>
          <w:p>
            <w:pPr>
              <w:jc w:val="center"/>
              <w:ind w:left="208"/>
              <w:spacing w:after="0"/>
              <w:rPr>
                <w:sz w:val="20"/>
                <w:szCs w:val="20"/>
                <w:color w:val="auto"/>
              </w:rPr>
            </w:pPr>
            <w:r>
              <w:rPr>
                <w:rFonts w:ascii="Arial" w:cs="Arial" w:eastAsia="Arial" w:hAnsi="Arial"/>
                <w:sz w:val="14"/>
                <w:szCs w:val="14"/>
                <w:color w:val="auto"/>
                <w:w w:val="92"/>
              </w:rPr>
              <w:t>November 22, 2016</w:t>
            </w:r>
          </w:p>
        </w:tc>
      </w:tr>
      <w:tr>
        <w:trPr>
          <w:trHeight w:val="180"/>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Samuel L. Katz</w:t>
            </w:r>
          </w:p>
        </w:tc>
        <w:tc>
          <w:tcPr>
            <w:tcW w:w="1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88"/>
        </w:trPr>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60" w:type="dxa"/>
            <w:vAlign w:val="bottom"/>
            <w:gridSpan w:val="2"/>
          </w:tcPr>
          <w:p>
            <w:pPr>
              <w:jc w:val="right"/>
              <w:ind w:right="908"/>
              <w:spacing w:after="0"/>
              <w:rPr>
                <w:sz w:val="20"/>
                <w:szCs w:val="20"/>
                <w:color w:val="auto"/>
              </w:rPr>
            </w:pPr>
            <w:r>
              <w:rPr>
                <w:rFonts w:ascii="Arial" w:cs="Arial" w:eastAsia="Arial" w:hAnsi="Arial"/>
                <w:sz w:val="14"/>
                <w:szCs w:val="14"/>
                <w:color w:val="auto"/>
              </w:rPr>
              <w:t>71</w:t>
            </w:r>
          </w:p>
        </w:tc>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73" w:name="page74"/>
    <w:bookmarkEnd w:id="73"/>
    <w:p>
      <w:pPr>
        <w:jc w:val="right"/>
        <w:spacing w:after="0"/>
        <w:rPr>
          <w:sz w:val="20"/>
          <w:szCs w:val="20"/>
          <w:color w:val="auto"/>
        </w:rPr>
      </w:pPr>
      <w:r>
        <w:rPr>
          <w:rFonts w:ascii="Arial" w:cs="Arial" w:eastAsia="Arial" w:hAnsi="Arial"/>
          <w:sz w:val="14"/>
          <w:szCs w:val="14"/>
          <w:b w:val="1"/>
          <w:bCs w:val="1"/>
          <w:color w:val="auto"/>
        </w:rPr>
        <w:t>EXHIBIT 10.6</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 AGREEMENT</w:t>
      </w:r>
    </w:p>
    <w:p>
      <w:pPr>
        <w:spacing w:after="0" w:line="200" w:lineRule="exact"/>
        <w:rPr>
          <w:sz w:val="20"/>
          <w:szCs w:val="20"/>
          <w:color w:val="auto"/>
        </w:rPr>
      </w:pPr>
    </w:p>
    <w:p>
      <w:pPr>
        <w:spacing w:after="0" w:line="224"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This INDEMNIFICATION AGREEMENT is made this 15th day of November, 2016 (“Agreement”) by and between PennantPark Floating Rate Capital Ltd. (the “Company”) and each of the Company’s Directors and/or Officers listed on Schedule A hereto (each, an “Indemnitee”).</w:t>
      </w:r>
    </w:p>
    <w:p>
      <w:pPr>
        <w:spacing w:after="0" w:line="174" w:lineRule="exact"/>
        <w:rPr>
          <w:sz w:val="20"/>
          <w:szCs w:val="20"/>
          <w:color w:val="auto"/>
        </w:rPr>
      </w:pPr>
    </w:p>
    <w:p>
      <w:pPr>
        <w:ind w:right="400" w:firstLine="562"/>
        <w:spacing w:after="0" w:line="253" w:lineRule="auto"/>
        <w:rPr>
          <w:sz w:val="20"/>
          <w:szCs w:val="20"/>
          <w:color w:val="auto"/>
        </w:rPr>
      </w:pPr>
      <w:r>
        <w:rPr>
          <w:rFonts w:ascii="Arial" w:cs="Arial" w:eastAsia="Arial" w:hAnsi="Arial"/>
          <w:sz w:val="14"/>
          <w:szCs w:val="14"/>
          <w:color w:val="auto"/>
        </w:rPr>
        <w:t>WHEREAS, at the request of the Company, Indemnitee currently serves as a Director/Officer and, therefore, may be subjected to claims, suits or proceedings arising as a result of Indemnitee’s service; and</w:t>
      </w:r>
    </w:p>
    <w:p>
      <w:pPr>
        <w:spacing w:after="0" w:line="174" w:lineRule="exact"/>
        <w:rPr>
          <w:sz w:val="20"/>
          <w:szCs w:val="20"/>
          <w:color w:val="auto"/>
        </w:rPr>
      </w:pPr>
    </w:p>
    <w:p>
      <w:pPr>
        <w:ind w:right="280" w:firstLine="562"/>
        <w:spacing w:after="0" w:line="253" w:lineRule="auto"/>
        <w:rPr>
          <w:sz w:val="20"/>
          <w:szCs w:val="20"/>
          <w:color w:val="auto"/>
        </w:rPr>
      </w:pPr>
      <w:r>
        <w:rPr>
          <w:rFonts w:ascii="Arial" w:cs="Arial" w:eastAsia="Arial" w:hAnsi="Arial"/>
          <w:sz w:val="14"/>
          <w:szCs w:val="14"/>
          <w:color w:val="auto"/>
        </w:rPr>
        <w:t>WHEREAS, as an inducement to Indemnitee to continue to serve as such Director/Officer, the Company has agreed to indemnify Indemnitee against expenses and costs incurred by Indemnitee in connection with any such claims, suits or proceedings, to the fullest extent that is lawful; and</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WHEREAS, the parties by this Agreement desire to set forth their agreement regarding indemnification;</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NOW, THEREFORE, in consideration of the premises and the covenants contained herein, the Company and Indemnitee do hereby covenant and agree as follows:</w:t>
      </w:r>
    </w:p>
    <w:p>
      <w:pPr>
        <w:spacing w:after="0" w:line="204" w:lineRule="exact"/>
        <w:rPr>
          <w:sz w:val="20"/>
          <w:szCs w:val="20"/>
          <w:color w:val="auto"/>
        </w:rPr>
      </w:pPr>
    </w:p>
    <w:p>
      <w:pPr>
        <w:ind w:left="560"/>
        <w:spacing w:after="0"/>
        <w:tabs>
          <w:tab w:leader="none" w:pos="1300" w:val="left"/>
        </w:tabs>
        <w:rPr>
          <w:sz w:val="20"/>
          <w:szCs w:val="20"/>
          <w:color w:val="auto"/>
        </w:rPr>
      </w:pPr>
      <w:r>
        <w:rPr>
          <w:rFonts w:ascii="Arial" w:cs="Arial" w:eastAsia="Arial" w:hAnsi="Arial"/>
          <w:sz w:val="14"/>
          <w:szCs w:val="14"/>
          <w:color w:val="auto"/>
        </w:rPr>
        <w:t>Section 1.</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 For purposes of this Agreement:</w:t>
      </w:r>
    </w:p>
    <w:p>
      <w:pPr>
        <w:spacing w:after="0" w:line="204" w:lineRule="exact"/>
        <w:rPr>
          <w:sz w:val="20"/>
          <w:szCs w:val="20"/>
          <w:color w:val="auto"/>
        </w:rPr>
      </w:pPr>
    </w:p>
    <w:p>
      <w:pPr>
        <w:ind w:left="1620" w:hanging="489"/>
        <w:spacing w:after="0"/>
        <w:tabs>
          <w:tab w:leader="none" w:pos="1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“Board” means the board of directors of the Company.</w:t>
      </w:r>
    </w:p>
    <w:p>
      <w:pPr>
        <w:spacing w:after="0" w:line="203" w:lineRule="exact"/>
        <w:rPr>
          <w:rFonts w:ascii="Arial" w:cs="Arial" w:eastAsia="Arial" w:hAnsi="Arial"/>
          <w:sz w:val="14"/>
          <w:szCs w:val="14"/>
          <w:color w:val="auto"/>
        </w:rPr>
      </w:pPr>
    </w:p>
    <w:p>
      <w:pPr>
        <w:ind w:left="1620" w:hanging="489"/>
        <w:spacing w:after="0"/>
        <w:tabs>
          <w:tab w:leader="none" w:pos="1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“Corporate Status” means the status of a person as a Director, Officer, employee or agent of the Company.</w:t>
      </w:r>
    </w:p>
    <w:p>
      <w:pPr>
        <w:spacing w:after="0" w:line="203" w:lineRule="exact"/>
        <w:rPr>
          <w:rFonts w:ascii="Arial" w:cs="Arial" w:eastAsia="Arial" w:hAnsi="Arial"/>
          <w:sz w:val="14"/>
          <w:szCs w:val="14"/>
          <w:color w:val="auto"/>
        </w:rPr>
      </w:pPr>
    </w:p>
    <w:p>
      <w:pPr>
        <w:ind w:left="1620" w:hanging="489"/>
        <w:spacing w:after="0"/>
        <w:tabs>
          <w:tab w:leader="none" w:pos="16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“Director” means a director of the Company.</w:t>
      </w:r>
    </w:p>
    <w:p>
      <w:pPr>
        <w:spacing w:after="0" w:line="203" w:lineRule="exact"/>
        <w:rPr>
          <w:rFonts w:ascii="Arial" w:cs="Arial" w:eastAsia="Arial" w:hAnsi="Arial"/>
          <w:sz w:val="14"/>
          <w:szCs w:val="14"/>
          <w:color w:val="auto"/>
        </w:rPr>
      </w:pPr>
    </w:p>
    <w:p>
      <w:pPr>
        <w:ind w:firstLine="1131"/>
        <w:spacing w:after="0" w:line="233" w:lineRule="auto"/>
        <w:tabs>
          <w:tab w:leader="none" w:pos="1614" w:val="left"/>
        </w:tabs>
        <w:numPr>
          <w:ilvl w:val="0"/>
          <w:numId w:val="49"/>
        </w:numPr>
        <w:rPr>
          <w:rFonts w:ascii="Arial" w:cs="Arial" w:eastAsia="Arial" w:hAnsi="Arial"/>
          <w:sz w:val="14"/>
          <w:szCs w:val="14"/>
          <w:color w:val="auto"/>
        </w:rPr>
      </w:pPr>
      <w:r>
        <w:rPr>
          <w:rFonts w:ascii="Arial" w:cs="Arial" w:eastAsia="Arial" w:hAnsi="Arial"/>
          <w:sz w:val="14"/>
          <w:szCs w:val="14"/>
          <w:color w:val="auto"/>
        </w:rPr>
        <w:t>“Disabling Conduct” means willful misfeasance, bad faith, or gross negligence in the performance of Indemnitee’s duties as a Director/Officer, or reckless disregard of Indemnitee’s duties as a Director/Officer. Disabling Conduct also shall mean (i) an act or omission of Indemnitee that is material to the matter giving rise to a Proceeding and was committed in bad faith or was the result of active and deliberate dishonesty, (ii) actual receipt of an improper personal benefit in money, property, or services by Indemnitee, or (iii) in the case of a criminal proceeding, the Indemnitee had reasonable cause to believe that the act or omission was unlawful.</w:t>
      </w:r>
    </w:p>
    <w:p>
      <w:pPr>
        <w:spacing w:after="0" w:line="184" w:lineRule="exact"/>
        <w:rPr>
          <w:rFonts w:ascii="Arial" w:cs="Arial" w:eastAsia="Arial" w:hAnsi="Arial"/>
          <w:sz w:val="14"/>
          <w:szCs w:val="14"/>
          <w:color w:val="auto"/>
        </w:rPr>
      </w:pPr>
    </w:p>
    <w:p>
      <w:pPr>
        <w:ind w:right="220" w:firstLine="1131"/>
        <w:spacing w:after="0" w:line="264" w:lineRule="auto"/>
        <w:tabs>
          <w:tab w:leader="none" w:pos="1606" w:val="left"/>
        </w:tabs>
        <w:numPr>
          <w:ilvl w:val="0"/>
          <w:numId w:val="49"/>
        </w:numPr>
        <w:rPr>
          <w:rFonts w:ascii="Arial" w:cs="Arial" w:eastAsia="Arial" w:hAnsi="Arial"/>
          <w:sz w:val="13"/>
          <w:szCs w:val="13"/>
          <w:color w:val="auto"/>
        </w:rPr>
      </w:pPr>
      <w:r>
        <w:rPr>
          <w:rFonts w:ascii="Arial" w:cs="Arial" w:eastAsia="Arial" w:hAnsi="Arial"/>
          <w:sz w:val="13"/>
          <w:szCs w:val="13"/>
          <w:color w:val="auto"/>
        </w:rPr>
        <w:t>“Expenses” shall include all reasonable attorneys’ fees and all reasonable costs, including, without limitation,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or being or preparing to be a witness in a Proceeding.</w:t>
      </w:r>
    </w:p>
    <w:p>
      <w:pPr>
        <w:spacing w:after="0" w:line="168" w:lineRule="exact"/>
        <w:rPr>
          <w:rFonts w:ascii="Arial" w:cs="Arial" w:eastAsia="Arial" w:hAnsi="Arial"/>
          <w:sz w:val="13"/>
          <w:szCs w:val="13"/>
          <w:color w:val="auto"/>
        </w:rPr>
      </w:pPr>
    </w:p>
    <w:p>
      <w:pPr>
        <w:jc w:val="both"/>
        <w:ind w:right="100" w:firstLine="1131"/>
        <w:spacing w:after="0" w:line="233" w:lineRule="auto"/>
        <w:tabs>
          <w:tab w:leader="none" w:pos="159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“Independent Counsel” means counsel that meets all of the following criteria: (i) is “independent legal counsel” within the meaning of Rule 0-1(a)(6) under the Investment Company Act of 1940, as amended (the “1940 Act”), in respect of the Company; (ii) is experienced in matters of the 1940 Act and Maryland corporate law; (iii) is not currently representing, nor in the past two years has been retained to represent, the Company or Indemnitee in any matter material to either such party; and (iv) is not currently representing, nor in the past two years has been retained to represent, any other party</w:t>
      </w:r>
    </w:p>
    <w:p>
      <w:pPr>
        <w:sectPr>
          <w:pgSz w:w="11900" w:h="16838" w:orient="portrait"/>
          <w:cols w:equalWidth="0" w:num="1">
            <w:col w:w="11240"/>
          </w:cols>
          <w:pgMar w:left="320" w:top="118" w:right="339" w:bottom="1440" w:gutter="0" w:footer="0" w:header="0"/>
        </w:sectPr>
      </w:pPr>
    </w:p>
    <w:bookmarkStart w:id="74" w:name="page75"/>
    <w:bookmarkEnd w:id="74"/>
    <w:p>
      <w:pPr>
        <w:ind w:right="60"/>
        <w:spacing w:after="0" w:line="22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Proceeding giving rise to a request for indemnification hereunder, except that the counsel also may represent another Independent Director in the Proceeding. Independent Counsel shall be selected by Indemnitee and approved by the Board (which approval shall not be unreasonably withheld). In the event that the Board does not approve Indemnitee’s selection within 30 days of written notice from Indemnitee of Indemnitee’s selection, Indemnitee may select another counsel from a law firm having 100 or more attorneys and rated “AV” in Martindale-Hubbell Law Directory to act as Independent Counsel for purposes of this Agreement, provided that such other counsel satisfies the criteria in (i) through (iv) in this paragraph. Notwithstanding the foregoing, the term “Independent Counsel” shall not include any person who, under applicable standards of professional conduct, would have a material conflict of interest in representing either the Company or Indemnitee in an action to determine Indemnitee’s rights under this Agreement.</w:t>
      </w:r>
    </w:p>
    <w:p>
      <w:pPr>
        <w:spacing w:after="0" w:line="185" w:lineRule="exact"/>
        <w:rPr>
          <w:sz w:val="20"/>
          <w:szCs w:val="20"/>
          <w:color w:val="auto"/>
        </w:rPr>
      </w:pPr>
    </w:p>
    <w:p>
      <w:pPr>
        <w:ind w:right="260" w:firstLine="1131"/>
        <w:spacing w:after="0" w:line="253" w:lineRule="auto"/>
        <w:tabs>
          <w:tab w:leader="none" w:pos="1614"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“Indemnifiable Amounts” means reasonable Expenses, and any judgment, settlement, penalty or fine actually incurred by Indemnitee or on Indemnitee’s behalf in connection with a Proceeding.</w:t>
      </w:r>
    </w:p>
    <w:p>
      <w:pPr>
        <w:spacing w:after="0" w:line="173" w:lineRule="exact"/>
        <w:rPr>
          <w:rFonts w:ascii="Arial" w:cs="Arial" w:eastAsia="Arial" w:hAnsi="Arial"/>
          <w:sz w:val="14"/>
          <w:szCs w:val="14"/>
          <w:color w:val="auto"/>
        </w:rPr>
      </w:pPr>
    </w:p>
    <w:p>
      <w:pPr>
        <w:ind w:left="1620" w:hanging="489"/>
        <w:spacing w:after="0"/>
        <w:tabs>
          <w:tab w:leader="none" w:pos="16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“Independent Director” means a Director who is not an “interested person” (as defined in the 1940 Act) of the Company.</w:t>
      </w:r>
    </w:p>
    <w:p>
      <w:pPr>
        <w:spacing w:after="0" w:line="203" w:lineRule="exact"/>
        <w:rPr>
          <w:rFonts w:ascii="Arial" w:cs="Arial" w:eastAsia="Arial" w:hAnsi="Arial"/>
          <w:sz w:val="14"/>
          <w:szCs w:val="14"/>
          <w:color w:val="auto"/>
        </w:rPr>
      </w:pPr>
    </w:p>
    <w:p>
      <w:pPr>
        <w:ind w:left="1600" w:hanging="469"/>
        <w:spacing w:after="0"/>
        <w:tabs>
          <w:tab w:leader="none" w:pos="1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“Officer” means an officer of the Company appointed by the Board pursuant to the Company’s governing documents.</w:t>
      </w:r>
    </w:p>
    <w:p>
      <w:pPr>
        <w:spacing w:after="0" w:line="203" w:lineRule="exact"/>
        <w:rPr>
          <w:rFonts w:ascii="Arial" w:cs="Arial" w:eastAsia="Arial" w:hAnsi="Arial"/>
          <w:sz w:val="14"/>
          <w:szCs w:val="14"/>
          <w:color w:val="auto"/>
        </w:rPr>
      </w:pPr>
    </w:p>
    <w:p>
      <w:pPr>
        <w:ind w:right="320" w:firstLine="1131"/>
        <w:spacing w:after="0" w:line="290" w:lineRule="auto"/>
        <w:tabs>
          <w:tab w:leader="none" w:pos="1582" w:val="left"/>
        </w:tabs>
        <w:numPr>
          <w:ilvl w:val="0"/>
          <w:numId w:val="50"/>
        </w:numPr>
        <w:rPr>
          <w:rFonts w:ascii="Arial" w:cs="Arial" w:eastAsia="Arial" w:hAnsi="Arial"/>
          <w:sz w:val="13"/>
          <w:szCs w:val="13"/>
          <w:color w:val="auto"/>
        </w:rPr>
      </w:pPr>
      <w:r>
        <w:rPr>
          <w:rFonts w:ascii="Arial" w:cs="Arial" w:eastAsia="Arial" w:hAnsi="Arial"/>
          <w:sz w:val="13"/>
          <w:szCs w:val="13"/>
          <w:color w:val="auto"/>
        </w:rPr>
        <w:t>“Proceeding” includes any claim, action, suit, arbitration, alternative dispute resolution mechanism, investigation, administrative hearing or any other proceeding, whether civil, criminal, administrative or investigative, except one initiated by an Indemnitee pursuant to Section 7 of this Agreement to enforce Indemnitee’s rights under this Agreement.</w:t>
      </w:r>
    </w:p>
    <w:p>
      <w:pPr>
        <w:spacing w:after="0" w:line="152"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Services by Indemnitee</w:t>
      </w:r>
      <w:r>
        <w:rPr>
          <w:rFonts w:ascii="Arial" w:cs="Arial" w:eastAsia="Arial" w:hAnsi="Arial"/>
          <w:sz w:val="14"/>
          <w:szCs w:val="14"/>
          <w:color w:val="auto"/>
        </w:rPr>
        <w:t>. Indemnitee agrees to continue to serve as a Director/Officer but may resign, at any time and for any reason, from such position (subject to any other contractual obligation or any obligation imposed by operation of law). The Company shall have no obligation under this Agreement to continue Indemnitee in such position, but, in the event that Indemnitee ceases to serve as a Director/Officer, Indemnitee shall nevertheless retain all rights provided under this Agreement until its termination. This Agreement shall not be deemed an employment contract between the Company (or any of its subsidiaries) and Indemnitee.</w:t>
      </w:r>
    </w:p>
    <w:p>
      <w:pPr>
        <w:spacing w:after="0" w:line="185" w:lineRule="exact"/>
        <w:rPr>
          <w:sz w:val="20"/>
          <w:szCs w:val="20"/>
          <w:color w:val="auto"/>
        </w:rPr>
      </w:pPr>
    </w:p>
    <w:p>
      <w:pPr>
        <w:ind w:right="200" w:firstLine="562"/>
        <w:spacing w:after="0" w:line="233"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Indemnification – General</w:t>
      </w:r>
      <w:r>
        <w:rPr>
          <w:rFonts w:ascii="Arial" w:cs="Arial" w:eastAsia="Arial" w:hAnsi="Arial"/>
          <w:sz w:val="14"/>
          <w:szCs w:val="14"/>
          <w:color w:val="auto"/>
        </w:rPr>
        <w:t>. The Company shall indemnify, and advance Expenses to, Indemnitee (a) as specifically provided in this Agreement and the Company’s governing documents and (b) otherwise to the fullest extent permitted by applicable law in effect on the date hereof and as amended from time to time; provided, however, that no change in applicable law shall have the effect of reducing the benefits available to Indemnitee hereunder based on applicable law as in effect on the date hereof. The rights of Indemnitee provided in this Section shall include, but shall not be limited to, all rights set forth in the other Sections of this Agreement.</w:t>
      </w:r>
    </w:p>
    <w:p>
      <w:pPr>
        <w:spacing w:after="0" w:line="185"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Rights of Indemnification; Indemnification of Expenses for a Party</w:t>
      </w:r>
      <w:r>
        <w:rPr>
          <w:rFonts w:ascii="Arial" w:cs="Arial" w:eastAsia="Arial" w:hAnsi="Arial"/>
          <w:sz w:val="14"/>
          <w:szCs w:val="14"/>
          <w:color w:val="auto"/>
        </w:rPr>
        <w:t>. Indemnitee shall be entitled to the rights of indemnification provided in this Section 4 if, by reason of Indemnitee’s Corporate Status, Indemnitee is, or is threatened to be, made a party to or otherwise involved in any pending, actual, completed or threatened Proceeding, whether or not such Proceeding is brought by or in the right of the Company and irrespective of when the conduct that is the subject of the Proceeding occurred. Pursuant to this Section 4, and subject to the procedures contained in Section 6 of this Agreement, Indemnitee shall be indemnified against all Indemnifiable Amounts by reason of Indemnitee’s Corporate Status to the maximum extent permitted by applicable law in effect at the date of this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20"/>
          </w:cols>
          <w:pgMar w:left="320" w:top="269" w:right="359" w:bottom="1440" w:gutter="0" w:footer="0" w:header="0"/>
        </w:sectPr>
      </w:pPr>
    </w:p>
    <w:bookmarkStart w:id="75" w:name="page76"/>
    <w:bookmarkEnd w:id="75"/>
    <w:p>
      <w:pPr>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Agreement or at the time of the request for indemnification, whichever is greater,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Indemnitee shall not be indemnified against Indemnifiable Amounts if Indemnitee is made party in a Proceeding and found liable by reason of Disabling Conduct. Without limiting any other rights of Indemnitee in this Agreement, if Indemnitee is not wholly successful in such Proceeding, but is successful, on the merits or otherwise, as to one or more but less than all claims, issues or matters in such Proceeding, or is not successful as to one or more claims for reasons other than Disabling Conduct, the Company shall indemnify Indemnitee against all Indemnifiable Amounts incurred by Indemnitee or on Indemnitee’s behalf in connection with each claim, issue or matter to the maximum extent permitted by applicable law in effect at the date of this Agreement or at the time of the request for indemnification, whichever is greater. For purposes of this Section and without limitation, subject to the procedures contained in Section 6 of this Agreement, the termination of any claim, issue or matter in any such pending Proceeding by dismissal, with or without prejudice, or by settlement agreement without an admission of liability, shall be deemed to be a successful result as to such claim, issue or matter.</w:t>
      </w:r>
    </w:p>
    <w:p>
      <w:pPr>
        <w:spacing w:after="0" w:line="179" w:lineRule="exact"/>
        <w:rPr>
          <w:sz w:val="20"/>
          <w:szCs w:val="20"/>
          <w:color w:val="auto"/>
        </w:rPr>
      </w:pPr>
    </w:p>
    <w:p>
      <w:pPr>
        <w:ind w:left="560"/>
        <w:spacing w:after="0"/>
        <w:tabs>
          <w:tab w:leader="none" w:pos="1300" w:val="left"/>
        </w:tabs>
        <w:rPr>
          <w:sz w:val="20"/>
          <w:szCs w:val="20"/>
          <w:color w:val="auto"/>
        </w:rPr>
      </w:pPr>
      <w:r>
        <w:rPr>
          <w:rFonts w:ascii="Arial" w:cs="Arial" w:eastAsia="Arial" w:hAnsi="Arial"/>
          <w:sz w:val="14"/>
          <w:szCs w:val="14"/>
          <w:color w:val="auto"/>
        </w:rPr>
        <w:t>Section 5.</w:t>
      </w:r>
      <w:r>
        <w:rPr>
          <w:sz w:val="20"/>
          <w:szCs w:val="20"/>
          <w:color w:val="auto"/>
        </w:rPr>
        <w:tab/>
      </w:r>
      <w:r>
        <w:rPr>
          <w:rFonts w:ascii="Arial" w:cs="Arial" w:eastAsia="Arial" w:hAnsi="Arial"/>
          <w:sz w:val="12"/>
          <w:szCs w:val="12"/>
          <w:u w:val="single" w:color="auto"/>
          <w:color w:val="auto"/>
        </w:rPr>
        <w:t>Advancement of Expenses</w:t>
      </w:r>
      <w:r>
        <w:rPr>
          <w:rFonts w:ascii="Arial" w:cs="Arial" w:eastAsia="Arial" w:hAnsi="Arial"/>
          <w:sz w:val="12"/>
          <w:szCs w:val="12"/>
          <w:color w:val="auto"/>
        </w:rPr>
        <w:t>.</w:t>
      </w:r>
    </w:p>
    <w:p>
      <w:pPr>
        <w:spacing w:after="0" w:line="204" w:lineRule="exact"/>
        <w:rPr>
          <w:sz w:val="20"/>
          <w:szCs w:val="20"/>
          <w:color w:val="auto"/>
        </w:rPr>
      </w:pPr>
    </w:p>
    <w:p>
      <w:pPr>
        <w:ind w:right="120" w:firstLine="1131"/>
        <w:spacing w:after="0" w:line="228" w:lineRule="auto"/>
        <w:tabs>
          <w:tab w:leader="none" w:pos="1606"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Advancement of Expenses of a Party</w:t>
      </w:r>
      <w:r>
        <w:rPr>
          <w:rFonts w:ascii="Arial" w:cs="Arial" w:eastAsia="Arial" w:hAnsi="Arial"/>
          <w:sz w:val="14"/>
          <w:szCs w:val="14"/>
          <w:color w:val="auto"/>
        </w:rPr>
        <w:t>. The Company shall advance all Expenses incurred by or on behalf of Indemnitee in connection with any Proceeding to which Indemnitee is, or is threatened to be, made a party, within 10 business days after the receipt by the Company of a statement or statements from Indemnitee requesting such advance or advances from time to time, prior to final disposition of such Proceeding. Such statement or statements shall reasonably evidence the Expenses incurred by Indemnitee and shall include or be preceded or accompanied by (a) a written affirmation by Indemnitee of Indemnitee’s good faith belief that Indemnitee has not engaged in Disabling Conduct in connection with the Proceeding and (b) a written undertaking by or on behalf of Indemnitee to repay any Expenses advanced if it shall ultimately be determined that Indemnitee has engaged in Disabling Conduct or if Indemnitee is not successful with respect to a claim, issue or matter by reason of Disabling Conduct, as determined in accordance with Section 4. Furthermore, any such advancement shall be subject to the requirements and limitations of Section 17(h) of the 1940 Act.</w:t>
      </w:r>
    </w:p>
    <w:p>
      <w:pPr>
        <w:spacing w:after="0" w:line="184" w:lineRule="exact"/>
        <w:rPr>
          <w:rFonts w:ascii="Arial" w:cs="Arial" w:eastAsia="Arial" w:hAnsi="Arial"/>
          <w:sz w:val="14"/>
          <w:szCs w:val="14"/>
          <w:color w:val="auto"/>
        </w:rPr>
      </w:pPr>
    </w:p>
    <w:p>
      <w:pPr>
        <w:ind w:firstLine="1131"/>
        <w:spacing w:after="0" w:line="251" w:lineRule="auto"/>
        <w:tabs>
          <w:tab w:leader="none" w:pos="1614"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Indemnification and Advance of Expenses of a Non-Party</w:t>
      </w:r>
      <w:r>
        <w:rPr>
          <w:rFonts w:ascii="Arial" w:cs="Arial" w:eastAsia="Arial" w:hAnsi="Arial"/>
          <w:sz w:val="13"/>
          <w:szCs w:val="13"/>
          <w:color w:val="auto"/>
        </w:rPr>
        <w:t>. Notwithstanding any other provision of this Agreement, to the extent that Indemnitee is or may be, by reason of Indemnitee’s Corporate Status, made a witness or otherwise asked to participate, or is otherwise involved, in any Proceeding, whether instituted by the Company or any other party, and to which Indemnitee is not a party, Indemnitee shall be advanced all reasonable Expenses and indemnified against all Expenses actually and reasonably incurred by Indemnitee or on Indemnitee’s behalf in connection therewith within 10 days after the receipt by the Company of a statement or statements requesting such advance or advances from time to time, whether prior to or after final disposition of such Proceeding. Such statement or statements shall reasonably evidence the Expenses incurred by Indemnitee.</w:t>
      </w:r>
    </w:p>
    <w:p>
      <w:pPr>
        <w:spacing w:after="0" w:line="177" w:lineRule="exact"/>
        <w:rPr>
          <w:sz w:val="20"/>
          <w:szCs w:val="20"/>
          <w:color w:val="auto"/>
        </w:rPr>
      </w:pPr>
    </w:p>
    <w:p>
      <w:pPr>
        <w:ind w:left="560"/>
        <w:spacing w:after="0"/>
        <w:tabs>
          <w:tab w:leader="none" w:pos="1300" w:val="left"/>
        </w:tabs>
        <w:rPr>
          <w:sz w:val="20"/>
          <w:szCs w:val="20"/>
          <w:color w:val="auto"/>
        </w:rPr>
      </w:pPr>
      <w:r>
        <w:rPr>
          <w:rFonts w:ascii="Arial" w:cs="Arial" w:eastAsia="Arial" w:hAnsi="Arial"/>
          <w:sz w:val="14"/>
          <w:szCs w:val="14"/>
          <w:color w:val="auto"/>
        </w:rPr>
        <w:t>Section 6.</w:t>
      </w:r>
      <w:r>
        <w:rPr>
          <w:sz w:val="20"/>
          <w:szCs w:val="20"/>
          <w:color w:val="auto"/>
        </w:rPr>
        <w:tab/>
      </w:r>
      <w:r>
        <w:rPr>
          <w:rFonts w:ascii="Arial" w:cs="Arial" w:eastAsia="Arial" w:hAnsi="Arial"/>
          <w:sz w:val="13"/>
          <w:szCs w:val="13"/>
          <w:u w:val="single" w:color="auto"/>
          <w:color w:val="auto"/>
        </w:rPr>
        <w:t>Procedure for Determination of Entitlement to Indemnification</w:t>
      </w:r>
      <w:r>
        <w:rPr>
          <w:rFonts w:ascii="Arial" w:cs="Arial" w:eastAsia="Arial" w:hAnsi="Arial"/>
          <w:sz w:val="13"/>
          <w:szCs w:val="13"/>
          <w:color w:val="auto"/>
        </w:rPr>
        <w:t>.</w:t>
      </w:r>
    </w:p>
    <w:p>
      <w:pPr>
        <w:spacing w:after="0" w:line="204" w:lineRule="exact"/>
        <w:rPr>
          <w:sz w:val="20"/>
          <w:szCs w:val="20"/>
          <w:color w:val="auto"/>
        </w:rPr>
      </w:pPr>
    </w:p>
    <w:p>
      <w:pPr>
        <w:ind w:right="200" w:firstLine="1131"/>
        <w:spacing w:after="0" w:line="253" w:lineRule="auto"/>
        <w:tabs>
          <w:tab w:leader="none" w:pos="1606" w:val="left"/>
        </w:tabs>
        <w:numPr>
          <w:ilvl w:val="0"/>
          <w:numId w:val="52"/>
        </w:numPr>
        <w:rPr>
          <w:rFonts w:ascii="Arial" w:cs="Arial" w:eastAsia="Arial" w:hAnsi="Arial"/>
          <w:sz w:val="14"/>
          <w:szCs w:val="14"/>
          <w:color w:val="auto"/>
        </w:rPr>
      </w:pPr>
      <w:r>
        <w:rPr>
          <w:rFonts w:ascii="Arial" w:cs="Arial" w:eastAsia="Arial" w:hAnsi="Arial"/>
          <w:sz w:val="14"/>
          <w:szCs w:val="14"/>
          <w:color w:val="auto"/>
        </w:rPr>
        <w:t>To obtain indemnification under Sections 3 or 4 of this Agreement, Indemnitee shall submit a written request to the Company. The Secretary of the Company shall, promptly upon receipt of such a request for indemnification, advise the Board in writing that Indemnitee has requested indemnification.</w:t>
      </w:r>
    </w:p>
    <w:p>
      <w:pPr>
        <w:spacing w:after="0" w:line="173" w:lineRule="exact"/>
        <w:rPr>
          <w:rFonts w:ascii="Arial" w:cs="Arial" w:eastAsia="Arial" w:hAnsi="Arial"/>
          <w:sz w:val="14"/>
          <w:szCs w:val="14"/>
          <w:color w:val="auto"/>
        </w:rPr>
      </w:pPr>
    </w:p>
    <w:p>
      <w:pPr>
        <w:ind w:right="400" w:firstLine="1131"/>
        <w:spacing w:after="0" w:line="264" w:lineRule="auto"/>
        <w:tabs>
          <w:tab w:leader="none" w:pos="1614" w:val="left"/>
        </w:tabs>
        <w:numPr>
          <w:ilvl w:val="0"/>
          <w:numId w:val="52"/>
        </w:numPr>
        <w:rPr>
          <w:rFonts w:ascii="Arial" w:cs="Arial" w:eastAsia="Arial" w:hAnsi="Arial"/>
          <w:sz w:val="13"/>
          <w:szCs w:val="13"/>
          <w:color w:val="auto"/>
        </w:rPr>
      </w:pPr>
      <w:r>
        <w:rPr>
          <w:rFonts w:ascii="Arial" w:cs="Arial" w:eastAsia="Arial" w:hAnsi="Arial"/>
          <w:sz w:val="13"/>
          <w:szCs w:val="13"/>
          <w:color w:val="auto"/>
        </w:rPr>
        <w:t>Upon written request by Indemnitee for indemnification pursuant to Section 6(a) hereof: (i) if the Indemnitee has been successful, on the merits or otherwise, in defense of the Proceeding at issue (including a decision in an action for which Indemnitee seeks indemnity under this Agreement), then Indemnitee shall be entitled to indemnification for Indemnifiable Amounts, and (ii) if there has been a final non-appealable decision on the merits (including a decision in an action for which Indemnitee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20"/>
          </w:cols>
          <w:pgMar w:left="320" w:top="269" w:right="359" w:bottom="1440" w:gutter="0" w:footer="0" w:header="0"/>
        </w:sectPr>
      </w:pPr>
    </w:p>
    <w:bookmarkStart w:id="76" w:name="page77"/>
    <w:bookmarkEnd w:id="76"/>
    <w:p>
      <w:pPr>
        <w:ind w:right="40"/>
        <w:spacing w:after="0" w:line="24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seeks indemnity under this Agreement) by a court or other body in the Proceeding at issue or if, at the time of Indemnitee’s written request, there shall have been no final non-appealable decision on the merits by a court or other body, including because the Proceeding at issue has been settled, then Indemnitee shall be entitled to indemnification, for Indemnifiable Amounts, </w:t>
      </w:r>
      <w:r>
        <w:rPr>
          <w:rFonts w:ascii="Arial" w:cs="Arial" w:eastAsia="Arial" w:hAnsi="Arial"/>
          <w:sz w:val="13"/>
          <w:szCs w:val="13"/>
          <w:i w:val="1"/>
          <w:iCs w:val="1"/>
          <w:color w:val="auto"/>
        </w:rPr>
        <w:t>provided that</w:t>
      </w:r>
    </w:p>
    <w:p>
      <w:pPr>
        <w:ind w:right="20" w:firstLine="8"/>
        <w:spacing w:after="0" w:line="258" w:lineRule="auto"/>
        <w:tabs>
          <w:tab w:leader="none" w:pos="196" w:val="left"/>
        </w:tabs>
        <w:numPr>
          <w:ilvl w:val="0"/>
          <w:numId w:val="53"/>
        </w:numPr>
        <w:rPr>
          <w:rFonts w:ascii="Arial" w:cs="Arial" w:eastAsia="Arial" w:hAnsi="Arial"/>
          <w:sz w:val="12"/>
          <w:szCs w:val="12"/>
          <w:color w:val="auto"/>
        </w:rPr>
      </w:pPr>
      <w:r>
        <w:rPr>
          <w:rFonts w:ascii="Arial" w:cs="Arial" w:eastAsia="Arial" w:hAnsi="Arial"/>
          <w:sz w:val="12"/>
          <w:szCs w:val="12"/>
          <w:color w:val="auto"/>
        </w:rPr>
        <w:t>where there has been a final non-appealable decision on the merits, the court or other body adjudicating the Proceeding at issue did not find Indemnitee liable by reason of Disabling Conduct and (b) with respect to the Proceeding at issue, a determination is made that indemnification is permissible under the circumstances because Indemnitee had not engaged in Disabling Conduct, by</w:t>
      </w:r>
    </w:p>
    <w:p>
      <w:pPr>
        <w:spacing w:after="0" w:line="232" w:lineRule="auto"/>
        <w:rPr>
          <w:rFonts w:ascii="Arial" w:cs="Arial" w:eastAsia="Arial" w:hAnsi="Arial"/>
          <w:sz w:val="12"/>
          <w:szCs w:val="12"/>
          <w:color w:val="auto"/>
        </w:rPr>
      </w:pPr>
      <w:r>
        <w:rPr>
          <w:rFonts w:ascii="Arial" w:cs="Arial" w:eastAsia="Arial" w:hAnsi="Arial"/>
          <w:sz w:val="14"/>
          <w:szCs w:val="14"/>
          <w:color w:val="auto"/>
        </w:rPr>
        <w:t>(1) the vote of a majority of the Independent Directors who are not parties to the Proceeding at issue, (2) Independent Counsel in a written opinion, or (3) Company shareholders. Indemnitee shall be afforded a rebuttable presumption that Indemnitee has not engaged in Disabling Conduct, except no such presumption shall be afforded in those cases where a Proceeding is terminated by conviction, or a plea of nolo contendere or its equivalent, or an entry of an order of probation prior to judgment.</w:t>
      </w:r>
    </w:p>
    <w:p>
      <w:pPr>
        <w:spacing w:after="0" w:line="182" w:lineRule="exact"/>
        <w:rPr>
          <w:rFonts w:ascii="Arial" w:cs="Arial" w:eastAsia="Arial" w:hAnsi="Arial"/>
          <w:sz w:val="12"/>
          <w:szCs w:val="12"/>
          <w:color w:val="auto"/>
        </w:rPr>
      </w:pPr>
    </w:p>
    <w:p>
      <w:pPr>
        <w:ind w:right="80" w:firstLine="1131"/>
        <w:spacing w:after="0" w:line="251" w:lineRule="auto"/>
        <w:tabs>
          <w:tab w:leader="none" w:pos="1606" w:val="left"/>
        </w:tabs>
        <w:numPr>
          <w:ilvl w:val="1"/>
          <w:numId w:val="53"/>
        </w:numPr>
        <w:rPr>
          <w:rFonts w:ascii="Arial" w:cs="Arial" w:eastAsia="Arial" w:hAnsi="Arial"/>
          <w:sz w:val="13"/>
          <w:szCs w:val="13"/>
          <w:color w:val="auto"/>
        </w:rPr>
      </w:pPr>
      <w:r>
        <w:rPr>
          <w:rFonts w:ascii="Arial" w:cs="Arial" w:eastAsia="Arial" w:hAnsi="Arial"/>
          <w:sz w:val="13"/>
          <w:szCs w:val="13"/>
          <w:color w:val="auto"/>
        </w:rPr>
        <w:t>If it is determined that Indemnitee is entitled to indemnification under this Agreement, payment to Indemnitee shall be made within 10 business days after such determination. Indemnitee shall cooperate with the person making such determination with respect to Indemnitee’s entitlement to indemnification, including providing to such person upon reasonable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making such determination, in response to a request by such person, shall be borne by the Company (irrespective of the determination as to Indemnitee’s entitlement to indemnification).</w:t>
      </w:r>
    </w:p>
    <w:p>
      <w:pPr>
        <w:spacing w:after="0" w:line="177"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4"/>
          <w:szCs w:val="14"/>
          <w:color w:val="auto"/>
        </w:rPr>
        <w:t>Section 7.</w:t>
      </w:r>
      <w:r>
        <w:rPr>
          <w:sz w:val="20"/>
          <w:szCs w:val="20"/>
          <w:color w:val="auto"/>
        </w:rPr>
        <w:tab/>
      </w:r>
      <w:r>
        <w:rPr>
          <w:rFonts w:ascii="Arial" w:cs="Arial" w:eastAsia="Arial" w:hAnsi="Arial"/>
          <w:sz w:val="12"/>
          <w:szCs w:val="12"/>
          <w:u w:val="single" w:color="auto"/>
          <w:color w:val="auto"/>
        </w:rPr>
        <w:t>Remedies of Indemnitee</w:t>
      </w:r>
      <w:r>
        <w:rPr>
          <w:rFonts w:ascii="Arial" w:cs="Arial" w:eastAsia="Arial" w:hAnsi="Arial"/>
          <w:sz w:val="12"/>
          <w:szCs w:val="12"/>
          <w:color w:val="auto"/>
        </w:rPr>
        <w:t>.</w:t>
      </w:r>
    </w:p>
    <w:p>
      <w:pPr>
        <w:spacing w:after="0" w:line="204" w:lineRule="exact"/>
        <w:rPr>
          <w:sz w:val="20"/>
          <w:szCs w:val="20"/>
          <w:color w:val="auto"/>
        </w:rPr>
      </w:pPr>
    </w:p>
    <w:p>
      <w:pPr>
        <w:ind w:right="80" w:firstLine="1131"/>
        <w:spacing w:after="0" w:line="228" w:lineRule="auto"/>
        <w:tabs>
          <w:tab w:leader="none" w:pos="1606" w:val="left"/>
        </w:tabs>
        <w:numPr>
          <w:ilvl w:val="0"/>
          <w:numId w:val="54"/>
        </w:numPr>
        <w:rPr>
          <w:rFonts w:ascii="Arial" w:cs="Arial" w:eastAsia="Arial" w:hAnsi="Arial"/>
          <w:sz w:val="14"/>
          <w:szCs w:val="14"/>
          <w:color w:val="auto"/>
        </w:rPr>
      </w:pPr>
      <w:r>
        <w:rPr>
          <w:rFonts w:ascii="Arial" w:cs="Arial" w:eastAsia="Arial" w:hAnsi="Arial"/>
          <w:sz w:val="14"/>
          <w:szCs w:val="14"/>
          <w:color w:val="auto"/>
        </w:rPr>
        <w:t>If (i) a determination is made pursuant to Section 6 of this Agreement that Indemnitee is not entitled to indemnification, (ii) advancement of Expenses is not timely made pursuant to Section 5, (iii) no determination of entitlement to indemnification shall have been made pursuant to Section 6(b) or Section 6(c) within 90 days after receipt by the Company of the request for indemnification, (iv) payment of indemnification is not made pursuant to Section 4 within 10 business days after receipt by the Company of written request therefor pursuant to Section 6, or (v) payment of indemnification is not made within 10 business days after a determination has been made that Indemnitee is entitled to indemnification, Indemnitee shall be entitled to an adjudication in an appropriate court of the state of Maryland, or in any other court of competent jurisdiction, of Indemnitee’s entitlement to such indemnification or advancement of Expenses. Alternatively, Indemnitee may seek an award in arbitration to be conducted by a single arbitrator pursuant to the Commercial Arbitration Rules of the American Arbitration Association.</w:t>
      </w:r>
    </w:p>
    <w:p>
      <w:pPr>
        <w:spacing w:after="0" w:line="184" w:lineRule="exact"/>
        <w:rPr>
          <w:rFonts w:ascii="Arial" w:cs="Arial" w:eastAsia="Arial" w:hAnsi="Arial"/>
          <w:sz w:val="14"/>
          <w:szCs w:val="14"/>
          <w:color w:val="auto"/>
        </w:rPr>
      </w:pPr>
    </w:p>
    <w:p>
      <w:pPr>
        <w:ind w:right="20" w:firstLine="1131"/>
        <w:spacing w:after="0" w:line="251" w:lineRule="auto"/>
        <w:tabs>
          <w:tab w:leader="none" w:pos="1614" w:val="left"/>
        </w:tabs>
        <w:numPr>
          <w:ilvl w:val="0"/>
          <w:numId w:val="54"/>
        </w:numPr>
        <w:rPr>
          <w:rFonts w:ascii="Arial" w:cs="Arial" w:eastAsia="Arial" w:hAnsi="Arial"/>
          <w:sz w:val="13"/>
          <w:szCs w:val="13"/>
          <w:color w:val="auto"/>
        </w:rPr>
      </w:pPr>
      <w:r>
        <w:rPr>
          <w:rFonts w:ascii="Arial" w:cs="Arial" w:eastAsia="Arial" w:hAnsi="Arial"/>
          <w:sz w:val="13"/>
          <w:szCs w:val="13"/>
          <w:color w:val="auto"/>
        </w:rPr>
        <w:t>If Indemnitee, pursuant to Section 7(a), seeks a judicial adjudication or an award in arbitration of Indemnitee’s rights under, or to recover damages for breach of this Agreement, Indemnitee shall be entitled to recover from the Company, and shall be indemnified by the Company against, any and all Expenses actually and reasonably incurred by Indemnitee in such judicial adjudication or arbitration, but only if Indemnitee prevails therein. If it shall be determined in said judicial adjudication or arbitration that Indemnitee is entitled to receive part but not all of the indemnification or advancement of Expenses sought, the Expenses incurred by Indemnitee in connection with such judicial adjudication or arbitration shall be appropriately prorated in the same proportion as the amount of the indemnification or advancement of Expenses awarded in the judicial adjudication or arbitration.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320" w:top="269" w:right="359" w:bottom="1440" w:gutter="0" w:footer="0" w:header="0"/>
        </w:sectPr>
      </w:pPr>
    </w:p>
    <w:bookmarkStart w:id="77" w:name="page78"/>
    <w:bookmarkEnd w:id="77"/>
    <w:p>
      <w:pPr>
        <w:ind w:left="560"/>
        <w:spacing w:after="0"/>
        <w:tabs>
          <w:tab w:leader="none" w:pos="13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8.</w:t>
      </w:r>
      <w:r>
        <w:rPr>
          <w:sz w:val="20"/>
          <w:szCs w:val="20"/>
          <w:color w:val="auto"/>
        </w:rPr>
        <w:tab/>
      </w:r>
      <w:r>
        <w:rPr>
          <w:rFonts w:ascii="Arial" w:cs="Arial" w:eastAsia="Arial" w:hAnsi="Arial"/>
          <w:sz w:val="13"/>
          <w:szCs w:val="13"/>
          <w:u w:val="single" w:color="auto"/>
          <w:color w:val="auto"/>
        </w:rPr>
        <w:t>Non-Exclusivity; Insurance; Subrogation; Exclusions</w:t>
      </w:r>
      <w:r>
        <w:rPr>
          <w:rFonts w:ascii="Arial" w:cs="Arial" w:eastAsia="Arial" w:hAnsi="Arial"/>
          <w:sz w:val="13"/>
          <w:szCs w:val="13"/>
          <w:color w:val="auto"/>
        </w:rPr>
        <w:t>.</w:t>
      </w:r>
    </w:p>
    <w:p>
      <w:pPr>
        <w:spacing w:after="0" w:line="204" w:lineRule="exact"/>
        <w:rPr>
          <w:sz w:val="20"/>
          <w:szCs w:val="20"/>
          <w:color w:val="auto"/>
        </w:rPr>
      </w:pPr>
    </w:p>
    <w:p>
      <w:pPr>
        <w:ind w:right="140" w:firstLine="1131"/>
        <w:spacing w:after="0" w:line="233" w:lineRule="auto"/>
        <w:tabs>
          <w:tab w:leader="none" w:pos="1604"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rights of indemnification and advance of Expenses as provided by this Agreement shall not be deemed exclusive of any other rights to which Indemnitee may at any time be entitled under applicable law or the Articles of Amendment and Restatement or Bylaws of the Company, any agreement, a vote of shareholders or a resolution of Directors, or otherwise.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w:t>
      </w:r>
    </w:p>
    <w:p>
      <w:pPr>
        <w:spacing w:after="0" w:line="184" w:lineRule="exact"/>
        <w:rPr>
          <w:rFonts w:ascii="Arial" w:cs="Arial" w:eastAsia="Arial" w:hAnsi="Arial"/>
          <w:sz w:val="14"/>
          <w:szCs w:val="14"/>
          <w:color w:val="auto"/>
        </w:rPr>
      </w:pPr>
    </w:p>
    <w:p>
      <w:pPr>
        <w:ind w:right="120" w:firstLine="1131"/>
        <w:spacing w:after="0" w:line="238" w:lineRule="auto"/>
        <w:tabs>
          <w:tab w:leader="none" w:pos="1614" w:val="left"/>
        </w:tabs>
        <w:numPr>
          <w:ilvl w:val="0"/>
          <w:numId w:val="55"/>
        </w:numPr>
        <w:rPr>
          <w:rFonts w:ascii="Arial" w:cs="Arial" w:eastAsia="Arial" w:hAnsi="Arial"/>
          <w:sz w:val="14"/>
          <w:szCs w:val="14"/>
          <w:color w:val="auto"/>
        </w:rPr>
      </w:pPr>
      <w:r>
        <w:rPr>
          <w:rFonts w:ascii="Arial" w:cs="Arial" w:eastAsia="Arial" w:hAnsi="Arial"/>
          <w:sz w:val="14"/>
          <w:szCs w:val="14"/>
          <w:color w:val="auto"/>
        </w:rPr>
        <w:t>If the Company maintains liability insurance for Directors, Officers, employees, or agents of the Company, Indemnitee shall be covered by such policy or policies in accordance with its or their terms to the maximum extent of the coverage available (including coverage after Indemnitee is no longer serving in a Corporate Status for acts and omissions or alleged acts or omissions while serving in a Corporate Status) for any such Director, Officer, employee or agent under such policy or policies.</w:t>
      </w:r>
    </w:p>
    <w:p>
      <w:pPr>
        <w:spacing w:after="0" w:line="182" w:lineRule="exact"/>
        <w:rPr>
          <w:rFonts w:ascii="Arial" w:cs="Arial" w:eastAsia="Arial" w:hAnsi="Arial"/>
          <w:sz w:val="14"/>
          <w:szCs w:val="14"/>
          <w:color w:val="auto"/>
        </w:rPr>
      </w:pPr>
    </w:p>
    <w:p>
      <w:pPr>
        <w:ind w:right="240" w:firstLine="1131"/>
        <w:spacing w:after="0" w:line="255" w:lineRule="auto"/>
        <w:tabs>
          <w:tab w:leader="none" w:pos="1606"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 the event of any payment under this Agreement, when Indemnitee has been fully and indefeasibly indemnified (hereunder and/or otherwise) in respect of all Expenses, judgments, penalties, fines and amounts paid in settlement actually and reasonably incurred by Indemnitee or on Indemnitee’s behalf in connection with a Proceeding by reason of Indemnitee’s Corporate Status,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4" w:lineRule="exact"/>
        <w:rPr>
          <w:rFonts w:ascii="Arial" w:cs="Arial" w:eastAsia="Arial" w:hAnsi="Arial"/>
          <w:sz w:val="13"/>
          <w:szCs w:val="13"/>
          <w:color w:val="auto"/>
        </w:rPr>
      </w:pPr>
    </w:p>
    <w:p>
      <w:pPr>
        <w:ind w:right="420" w:firstLine="1131"/>
        <w:spacing w:after="0" w:line="253" w:lineRule="auto"/>
        <w:tabs>
          <w:tab w:leader="none" w:pos="1612"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Company shall not be liable under this Agreement to make any payment of amounts otherwise indemnifiable hereunder to the extent Indemnitee otherwise actually has received such payment under any insurance policy, contract, agreement or otherwise.</w:t>
      </w:r>
    </w:p>
    <w:p>
      <w:pPr>
        <w:spacing w:after="0" w:line="173" w:lineRule="exact"/>
        <w:rPr>
          <w:rFonts w:ascii="Arial" w:cs="Arial" w:eastAsia="Arial" w:hAnsi="Arial"/>
          <w:sz w:val="14"/>
          <w:szCs w:val="14"/>
          <w:color w:val="auto"/>
        </w:rPr>
      </w:pPr>
    </w:p>
    <w:p>
      <w:pPr>
        <w:ind w:firstLine="1131"/>
        <w:spacing w:after="0" w:line="253" w:lineRule="auto"/>
        <w:tabs>
          <w:tab w:leader="none" w:pos="1606" w:val="left"/>
        </w:tabs>
        <w:numPr>
          <w:ilvl w:val="0"/>
          <w:numId w:val="55"/>
        </w:numPr>
        <w:rPr>
          <w:rFonts w:ascii="Arial" w:cs="Arial" w:eastAsia="Arial" w:hAnsi="Arial"/>
          <w:sz w:val="14"/>
          <w:szCs w:val="14"/>
          <w:color w:val="auto"/>
        </w:rPr>
      </w:pPr>
      <w:r>
        <w:rPr>
          <w:rFonts w:ascii="Arial" w:cs="Arial" w:eastAsia="Arial" w:hAnsi="Arial"/>
          <w:sz w:val="14"/>
          <w:szCs w:val="14"/>
          <w:color w:val="auto"/>
        </w:rPr>
        <w:t>Notwithstanding any other provision of this Agreement to the contrary, the Company shall not be liable for indemnification or advance of Expenses in connection with any settlement or judgment for insider trading or for disgorgement of profits pursuant to Section 16(b) of the Securities Exchange Act of 1934.</w:t>
      </w:r>
    </w:p>
    <w:p>
      <w:pPr>
        <w:spacing w:after="0" w:line="174"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Duration of Agreement</w:t>
      </w:r>
      <w:r>
        <w:rPr>
          <w:rFonts w:ascii="Arial" w:cs="Arial" w:eastAsia="Arial" w:hAnsi="Arial"/>
          <w:sz w:val="13"/>
          <w:szCs w:val="13"/>
          <w:color w:val="auto"/>
        </w:rPr>
        <w:t>. This Agreement supersedes any and all prior agreements between the Company and Indemnitee with respect to the subject matter hereof. This Agreement shall continue until and terminate 10 years after the date that Indemnitee shall have ceased to serve as a Director, Officer, employee, or agent of the Company, provided, that the rights of Indemnitee hereunder shall continue until the final termination of any proceeding then pending in respect of which Indemnitee is granted rights to indemnification or advancement of Expenses hereunder and of any proceeding commenced by Indemnitee pursuant to Section 7 relating thereto. This Agreement shall be binding upon the Company and its successors and assigns and shall inure to the benefit of Indemnitee and Indemnitee’s heirs, executors and administrators. The Company agrees that it shall not sell, assign or otherwise transfer all or substantially all of its assets, or merge or reorganize with any other entity or series thereof, unless the entity or series to which such sale, assignment or transfer is being made, or that is the survivor of any such merger or reorganization, agrees to assume all of the obligations (whether contingent or otherwise) of the Company hereunder.</w:t>
      </w:r>
    </w:p>
    <w:p>
      <w:pPr>
        <w:spacing w:after="0" w:line="179"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Severability</w:t>
      </w:r>
      <w:r>
        <w:rPr>
          <w:rFonts w:ascii="Arial" w:cs="Arial" w:eastAsia="Arial" w:hAnsi="Arial"/>
          <w:sz w:val="14"/>
          <w:szCs w:val="14"/>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20"/>
          </w:cols>
          <w:pgMar w:left="320" w:top="269" w:right="359" w:bottom="1440" w:gutter="0" w:footer="0" w:header="0"/>
        </w:sectPr>
      </w:pPr>
    </w:p>
    <w:bookmarkStart w:id="78" w:name="page79"/>
    <w:bookmarkEnd w:id="78"/>
    <w:p>
      <w:pPr>
        <w:ind w:right="100"/>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invalid, illegal or unenforceable) shall not in any way be affected or impaired thereby; and (b)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3" w:lineRule="exact"/>
        <w:rPr>
          <w:sz w:val="20"/>
          <w:szCs w:val="20"/>
          <w:color w:val="auto"/>
        </w:rPr>
      </w:pPr>
    </w:p>
    <w:p>
      <w:pPr>
        <w:ind w:left="560"/>
        <w:spacing w:after="0"/>
        <w:tabs>
          <w:tab w:leader="none" w:pos="1380" w:val="left"/>
        </w:tabs>
        <w:rPr>
          <w:sz w:val="20"/>
          <w:szCs w:val="20"/>
          <w:color w:val="auto"/>
        </w:rPr>
      </w:pPr>
      <w:r>
        <w:rPr>
          <w:rFonts w:ascii="Arial" w:cs="Arial" w:eastAsia="Arial" w:hAnsi="Arial"/>
          <w:sz w:val="14"/>
          <w:szCs w:val="14"/>
          <w:color w:val="auto"/>
        </w:rPr>
        <w:t>Section 11.</w:t>
      </w:r>
      <w:r>
        <w:rPr>
          <w:sz w:val="20"/>
          <w:szCs w:val="20"/>
          <w:color w:val="auto"/>
        </w:rPr>
        <w:tab/>
      </w:r>
      <w:r>
        <w:rPr>
          <w:rFonts w:ascii="Arial" w:cs="Arial" w:eastAsia="Arial" w:hAnsi="Arial"/>
          <w:sz w:val="13"/>
          <w:szCs w:val="13"/>
          <w:u w:val="single" w:color="auto"/>
          <w:color w:val="auto"/>
        </w:rPr>
        <w:t>Exception to Right of Indemnification or Advancement of Expenses</w:t>
      </w:r>
      <w:r>
        <w:rPr>
          <w:rFonts w:ascii="Arial" w:cs="Arial" w:eastAsia="Arial" w:hAnsi="Arial"/>
          <w:sz w:val="13"/>
          <w:szCs w:val="13"/>
          <w:color w:val="auto"/>
        </w:rPr>
        <w:t>.</w:t>
      </w:r>
    </w:p>
    <w:p>
      <w:pPr>
        <w:spacing w:after="0" w:line="204" w:lineRule="exact"/>
        <w:rPr>
          <w:sz w:val="20"/>
          <w:szCs w:val="20"/>
          <w:color w:val="auto"/>
        </w:rPr>
      </w:pPr>
    </w:p>
    <w:p>
      <w:pPr>
        <w:ind w:firstLine="1131"/>
        <w:spacing w:after="0" w:line="238" w:lineRule="auto"/>
        <w:tabs>
          <w:tab w:leader="none" w:pos="1606"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Notwithstanding any other provision of this Agreement, Indemnitee shall not be entitled to indemnification or advance of Expenses under this Agreement with respect to any Proceeding brought by Indemnitee (other than a Proceeding under Section 7(a) of this Agreement), unless the bringing of such Proceeding or making of such claim shall have been approved by a vote a majority of the members of the Board.</w:t>
      </w:r>
    </w:p>
    <w:p>
      <w:pPr>
        <w:spacing w:after="0" w:line="182" w:lineRule="exact"/>
        <w:rPr>
          <w:rFonts w:ascii="Arial" w:cs="Arial" w:eastAsia="Arial" w:hAnsi="Arial"/>
          <w:sz w:val="14"/>
          <w:szCs w:val="14"/>
          <w:color w:val="auto"/>
        </w:rPr>
      </w:pPr>
    </w:p>
    <w:p>
      <w:pPr>
        <w:ind w:right="580" w:firstLine="1131"/>
        <w:spacing w:after="0" w:line="290" w:lineRule="auto"/>
        <w:tabs>
          <w:tab w:leader="none" w:pos="1614" w:val="left"/>
        </w:tabs>
        <w:numPr>
          <w:ilvl w:val="0"/>
          <w:numId w:val="56"/>
        </w:numPr>
        <w:rPr>
          <w:rFonts w:ascii="Arial" w:cs="Arial" w:eastAsia="Arial" w:hAnsi="Arial"/>
          <w:sz w:val="13"/>
          <w:szCs w:val="13"/>
          <w:color w:val="auto"/>
        </w:rPr>
      </w:pPr>
      <w:r>
        <w:rPr>
          <w:rFonts w:ascii="Arial" w:cs="Arial" w:eastAsia="Arial" w:hAnsi="Arial"/>
          <w:sz w:val="13"/>
          <w:szCs w:val="13"/>
          <w:color w:val="auto"/>
        </w:rPr>
        <w:t>Notwithstanding any other provision of this Agreement, the Company shall not be liable to indemnify Indemnitee against any liability to the Company or its shareholders to which Indemnitee (other than a Proceeding under Section 7(a) of this Agreement) otherwise would be subject by reason of Disabling Conduct.</w:t>
      </w:r>
    </w:p>
    <w:p>
      <w:pPr>
        <w:spacing w:after="0" w:line="151" w:lineRule="exact"/>
        <w:rPr>
          <w:rFonts w:ascii="Arial" w:cs="Arial" w:eastAsia="Arial" w:hAnsi="Arial"/>
          <w:sz w:val="13"/>
          <w:szCs w:val="13"/>
          <w:color w:val="auto"/>
        </w:rPr>
      </w:pPr>
    </w:p>
    <w:p>
      <w:pPr>
        <w:ind w:right="180" w:firstLine="1131"/>
        <w:spacing w:after="0" w:line="238" w:lineRule="auto"/>
        <w:tabs>
          <w:tab w:leader="none" w:pos="1606"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Notwithstanding any other provision of this Agreement, the Company shall not be liable to indemnify Indemnitee against any liability to the Company or its shareholders arising in connection with a Proceeding by or in the right of the Company in which the Indemnitee shall have been adjudged to be liable to the Company in a final non-appealable decision on the merits by a court or other body.</w:t>
      </w:r>
    </w:p>
    <w:p>
      <w:pPr>
        <w:spacing w:after="0" w:line="183"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Identical Counterparts</w:t>
      </w:r>
      <w:r>
        <w:rPr>
          <w:rFonts w:ascii="Arial" w:cs="Arial" w:eastAsia="Arial" w:hAnsi="Arial"/>
          <w:sz w:val="14"/>
          <w:szCs w:val="14"/>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u w:val="single" w:color="auto"/>
          <w:color w:val="auto"/>
        </w:rPr>
        <w:t>Headings</w:t>
      </w:r>
      <w:r>
        <w:rPr>
          <w:rFonts w:ascii="Arial" w:cs="Arial" w:eastAsia="Arial" w:hAnsi="Arial"/>
          <w:sz w:val="14"/>
          <w:szCs w:val="14"/>
          <w:color w:val="auto"/>
        </w:rPr>
        <w:t>. The headings of the Sections of this Agreement are inserted for convenience only and shall not be deemed to constitute part of this Agreement or to affect the construction thereof.</w:t>
      </w:r>
    </w:p>
    <w:p>
      <w:pPr>
        <w:spacing w:after="0" w:line="174"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Modification and Waiver</w:t>
      </w:r>
      <w:r>
        <w:rPr>
          <w:rFonts w:ascii="Arial" w:cs="Arial" w:eastAsia="Arial" w:hAnsi="Arial"/>
          <w:sz w:val="13"/>
          <w:szCs w:val="13"/>
          <w:color w:val="auto"/>
        </w:rPr>
        <w:t>. No supplement, modification or amendment shall be binding unless executed in writing by Indemnitee and the Company. No waiver of any of the provisions of this Agreement shall be deemed or shall constitute a waiver of any other provisions hereof (whether or not similar) nor shall such waiver constitute a continuing waiver.</w:t>
      </w:r>
    </w:p>
    <w:p>
      <w:pPr>
        <w:spacing w:after="0" w:line="152"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 xml:space="preserve">Section 15. </w:t>
      </w:r>
      <w:r>
        <w:rPr>
          <w:rFonts w:ascii="Arial" w:cs="Arial" w:eastAsia="Arial" w:hAnsi="Arial"/>
          <w:sz w:val="14"/>
          <w:szCs w:val="14"/>
          <w:u w:val="single" w:color="auto"/>
          <w:color w:val="auto"/>
        </w:rPr>
        <w:t>Notice by Indemnitee</w:t>
      </w:r>
      <w:r>
        <w:rPr>
          <w:rFonts w:ascii="Arial" w:cs="Arial" w:eastAsia="Arial" w:hAnsi="Arial"/>
          <w:sz w:val="14"/>
          <w:szCs w:val="14"/>
          <w:color w:val="auto"/>
        </w:rPr>
        <w:t>. Indemnitee shall promptly notify the Company in writing upon being served with any summons, citation, subpoena, complaint, indictment, information or other document relating to any Proceeding or matter which may be subject to indemnification or advance of Expenses covered hereunder. The failure to give any such notice shall not disqualify Indemnitee from the right, or otherwise affect in any manner any right of Indemnitee, to indemnification or the advance of Expenses under this Agreement unless the Company’s ability to defend in such Proceeding or to obtain proceeds under any insurance policy is materially and adversely prejudiced thereby, and then only to the extent the Company is thereby actually so prejudiced.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00"/>
          </w:cols>
          <w:pgMar w:left="320" w:top="269" w:right="379" w:bottom="1440" w:gutter="0" w:footer="0" w:header="0"/>
        </w:sectPr>
      </w:pPr>
    </w:p>
    <w:bookmarkStart w:id="79" w:name="page80"/>
    <w:bookmarkEnd w:id="79"/>
    <w:p>
      <w:pPr>
        <w:jc w:val="both"/>
        <w:ind w:firstLine="562"/>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16.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requests, demands and other communications hereunder shall be in writing and shall be deemed to have been duly given if (i) delivered by hand and receipted for by the party to whom said notice or other communication shall have been directed, or (ii) mailed by certified or registered mail with postage prepaid, on the third business day after the date on which it is mailed:</w:t>
      </w:r>
    </w:p>
    <w:p>
      <w:pPr>
        <w:spacing w:after="0" w:line="183" w:lineRule="exact"/>
        <w:rPr>
          <w:sz w:val="20"/>
          <w:szCs w:val="20"/>
          <w:color w:val="auto"/>
        </w:rPr>
      </w:pPr>
    </w:p>
    <w:p>
      <w:pPr>
        <w:ind w:left="1620" w:hanging="489"/>
        <w:spacing w:after="0"/>
        <w:tabs>
          <w:tab w:leader="none" w:pos="16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If to one or more Indemnitee(s), to:</w:t>
      </w:r>
    </w:p>
    <w:p>
      <w:pPr>
        <w:spacing w:after="0" w:line="203"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the address set forth below Indemnitee’s name at the end</w:t>
      </w:r>
    </w:p>
    <w:p>
      <w:pPr>
        <w:ind w:left="1800"/>
        <w:spacing w:after="0"/>
        <w:rPr>
          <w:sz w:val="20"/>
          <w:szCs w:val="20"/>
          <w:color w:val="auto"/>
        </w:rPr>
      </w:pPr>
      <w:r>
        <w:rPr>
          <w:rFonts w:ascii="Arial" w:cs="Arial" w:eastAsia="Arial" w:hAnsi="Arial"/>
          <w:sz w:val="14"/>
          <w:szCs w:val="14"/>
          <w:color w:val="auto"/>
        </w:rPr>
        <w:t>of this Agreement</w:t>
      </w:r>
    </w:p>
    <w:p>
      <w:pPr>
        <w:spacing w:after="0" w:line="19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and, in the case of an Indemnitee that is an Independent</w:t>
      </w:r>
    </w:p>
    <w:p>
      <w:pPr>
        <w:ind w:left="1800"/>
        <w:spacing w:after="0" w:line="221" w:lineRule="auto"/>
        <w:rPr>
          <w:sz w:val="20"/>
          <w:szCs w:val="20"/>
          <w:color w:val="auto"/>
        </w:rPr>
      </w:pPr>
      <w:r>
        <w:rPr>
          <w:rFonts w:ascii="Arial" w:cs="Arial" w:eastAsia="Arial" w:hAnsi="Arial"/>
          <w:sz w:val="14"/>
          <w:szCs w:val="14"/>
          <w:color w:val="auto"/>
        </w:rPr>
        <w:t>Director, with copies to:</w:t>
      </w:r>
    </w:p>
    <w:p>
      <w:pPr>
        <w:ind w:left="1800"/>
        <w:spacing w:after="0" w:line="221" w:lineRule="auto"/>
        <w:rPr>
          <w:sz w:val="20"/>
          <w:szCs w:val="20"/>
          <w:color w:val="auto"/>
        </w:rPr>
      </w:pPr>
      <w:r>
        <w:rPr>
          <w:rFonts w:ascii="Arial" w:cs="Arial" w:eastAsia="Arial" w:hAnsi="Arial"/>
          <w:sz w:val="14"/>
          <w:szCs w:val="14"/>
          <w:color w:val="auto"/>
        </w:rPr>
        <w:t>Nicole M. Runyan</w:t>
      </w:r>
    </w:p>
    <w:p>
      <w:pPr>
        <w:ind w:left="1800"/>
        <w:spacing w:after="0" w:line="222" w:lineRule="auto"/>
        <w:rPr>
          <w:sz w:val="20"/>
          <w:szCs w:val="20"/>
          <w:color w:val="auto"/>
        </w:rPr>
      </w:pPr>
      <w:r>
        <w:rPr>
          <w:rFonts w:ascii="Arial" w:cs="Arial" w:eastAsia="Arial" w:hAnsi="Arial"/>
          <w:sz w:val="14"/>
          <w:szCs w:val="14"/>
          <w:color w:val="auto"/>
        </w:rPr>
        <w:t>Stroock &amp; Stroock &amp; Lavan LLP</w:t>
      </w:r>
    </w:p>
    <w:p>
      <w:pPr>
        <w:ind w:left="1800"/>
        <w:spacing w:after="0" w:line="221" w:lineRule="auto"/>
        <w:rPr>
          <w:sz w:val="20"/>
          <w:szCs w:val="20"/>
          <w:color w:val="auto"/>
        </w:rPr>
      </w:pPr>
      <w:r>
        <w:rPr>
          <w:rFonts w:ascii="Arial" w:cs="Arial" w:eastAsia="Arial" w:hAnsi="Arial"/>
          <w:sz w:val="14"/>
          <w:szCs w:val="14"/>
          <w:color w:val="auto"/>
        </w:rPr>
        <w:t>180 Maiden Lane</w:t>
      </w:r>
    </w:p>
    <w:p>
      <w:pPr>
        <w:ind w:left="1800"/>
        <w:spacing w:after="0"/>
        <w:rPr>
          <w:sz w:val="20"/>
          <w:szCs w:val="20"/>
          <w:color w:val="auto"/>
        </w:rPr>
      </w:pPr>
      <w:r>
        <w:rPr>
          <w:rFonts w:ascii="Arial" w:cs="Arial" w:eastAsia="Arial" w:hAnsi="Arial"/>
          <w:sz w:val="14"/>
          <w:szCs w:val="14"/>
          <w:color w:val="auto"/>
        </w:rPr>
        <w:t>New York, New York 10038</w:t>
      </w:r>
    </w:p>
    <w:p>
      <w:pPr>
        <w:spacing w:after="0" w:line="192" w:lineRule="exact"/>
        <w:rPr>
          <w:sz w:val="20"/>
          <w:szCs w:val="20"/>
          <w:color w:val="auto"/>
        </w:rPr>
      </w:pPr>
    </w:p>
    <w:p>
      <w:pPr>
        <w:ind w:left="1620" w:hanging="489"/>
        <w:spacing w:after="0"/>
        <w:tabs>
          <w:tab w:leader="none" w:pos="16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If to the Company, to:</w:t>
      </w:r>
    </w:p>
    <w:p>
      <w:pPr>
        <w:spacing w:after="0" w:line="203"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PennantPark Floating Rate Capital Ltd.</w:t>
      </w:r>
    </w:p>
    <w:p>
      <w:pPr>
        <w:ind w:left="1800"/>
        <w:spacing w:after="0" w:line="221" w:lineRule="auto"/>
        <w:rPr>
          <w:sz w:val="20"/>
          <w:szCs w:val="20"/>
          <w:color w:val="auto"/>
        </w:rPr>
      </w:pPr>
      <w:r>
        <w:rPr>
          <w:rFonts w:ascii="Arial" w:cs="Arial" w:eastAsia="Arial" w:hAnsi="Arial"/>
          <w:sz w:val="14"/>
          <w:szCs w:val="14"/>
          <w:color w:val="auto"/>
        </w:rPr>
        <w:t>590 Madison Avenue, 15th Floor</w:t>
      </w:r>
    </w:p>
    <w:p>
      <w:pPr>
        <w:ind w:left="1800"/>
        <w:spacing w:after="0" w:line="221" w:lineRule="auto"/>
        <w:rPr>
          <w:sz w:val="20"/>
          <w:szCs w:val="20"/>
          <w:color w:val="auto"/>
        </w:rPr>
      </w:pPr>
      <w:r>
        <w:rPr>
          <w:rFonts w:ascii="Arial" w:cs="Arial" w:eastAsia="Arial" w:hAnsi="Arial"/>
          <w:sz w:val="14"/>
          <w:szCs w:val="14"/>
          <w:color w:val="auto"/>
        </w:rPr>
        <w:t>New York, New York 10022</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Attention: Chief Financial Officer</w:t>
      </w:r>
    </w:p>
    <w:p>
      <w:pPr>
        <w:spacing w:after="0" w:line="19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with copies to:</w:t>
      </w:r>
    </w:p>
    <w:p>
      <w:pPr>
        <w:ind w:left="1800"/>
        <w:spacing w:after="0" w:line="221" w:lineRule="auto"/>
        <w:rPr>
          <w:sz w:val="20"/>
          <w:szCs w:val="20"/>
          <w:color w:val="auto"/>
        </w:rPr>
      </w:pPr>
      <w:r>
        <w:rPr>
          <w:rFonts w:ascii="Arial" w:cs="Arial" w:eastAsia="Arial" w:hAnsi="Arial"/>
          <w:sz w:val="14"/>
          <w:szCs w:val="14"/>
          <w:color w:val="auto"/>
        </w:rPr>
        <w:t>Thomas J. Friedmann</w:t>
      </w:r>
    </w:p>
    <w:p>
      <w:pPr>
        <w:ind w:left="1800"/>
        <w:spacing w:after="0" w:line="221" w:lineRule="auto"/>
        <w:rPr>
          <w:sz w:val="20"/>
          <w:szCs w:val="20"/>
          <w:color w:val="auto"/>
        </w:rPr>
      </w:pPr>
      <w:r>
        <w:rPr>
          <w:rFonts w:ascii="Arial" w:cs="Arial" w:eastAsia="Arial" w:hAnsi="Arial"/>
          <w:sz w:val="14"/>
          <w:szCs w:val="14"/>
          <w:color w:val="auto"/>
        </w:rPr>
        <w:t>David J. Harris</w:t>
      </w:r>
    </w:p>
    <w:p>
      <w:pPr>
        <w:ind w:left="1800"/>
        <w:spacing w:after="0" w:line="222" w:lineRule="auto"/>
        <w:rPr>
          <w:sz w:val="20"/>
          <w:szCs w:val="20"/>
          <w:color w:val="auto"/>
        </w:rPr>
      </w:pPr>
      <w:r>
        <w:rPr>
          <w:rFonts w:ascii="Arial" w:cs="Arial" w:eastAsia="Arial" w:hAnsi="Arial"/>
          <w:sz w:val="14"/>
          <w:szCs w:val="14"/>
          <w:color w:val="auto"/>
        </w:rPr>
        <w:t>William J. Tuttle</w:t>
      </w:r>
    </w:p>
    <w:p>
      <w:pPr>
        <w:ind w:left="1800"/>
        <w:spacing w:after="0" w:line="221" w:lineRule="auto"/>
        <w:rPr>
          <w:sz w:val="20"/>
          <w:szCs w:val="20"/>
          <w:color w:val="auto"/>
        </w:rPr>
      </w:pPr>
      <w:r>
        <w:rPr>
          <w:rFonts w:ascii="Arial" w:cs="Arial" w:eastAsia="Arial" w:hAnsi="Arial"/>
          <w:sz w:val="14"/>
          <w:szCs w:val="14"/>
          <w:color w:val="auto"/>
        </w:rPr>
        <w:t>Dechert LLP</w:t>
      </w:r>
    </w:p>
    <w:p>
      <w:pPr>
        <w:ind w:left="1800"/>
        <w:spacing w:after="0" w:line="221" w:lineRule="auto"/>
        <w:rPr>
          <w:sz w:val="20"/>
          <w:szCs w:val="20"/>
          <w:color w:val="auto"/>
        </w:rPr>
      </w:pPr>
      <w:r>
        <w:rPr>
          <w:rFonts w:ascii="Arial" w:cs="Arial" w:eastAsia="Arial" w:hAnsi="Arial"/>
          <w:sz w:val="14"/>
          <w:szCs w:val="14"/>
          <w:color w:val="auto"/>
        </w:rPr>
        <w:t>1900 K Street, N.W.</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Washington, District of Columbia 20006</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or to such other address as may have been furnished to Indemnitee by the Company or to the Company by Indemnitee, as the case may be.</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 xml:space="preserve">Section 17. </w:t>
      </w:r>
      <w:r>
        <w:rPr>
          <w:rFonts w:ascii="Arial" w:cs="Arial" w:eastAsia="Arial" w:hAnsi="Arial"/>
          <w:sz w:val="13"/>
          <w:szCs w:val="13"/>
          <w:u w:val="single" w:color="auto"/>
          <w:color w:val="auto"/>
        </w:rPr>
        <w:t>Governing Law</w:t>
      </w:r>
      <w:r>
        <w:rPr>
          <w:rFonts w:ascii="Arial" w:cs="Arial" w:eastAsia="Arial" w:hAnsi="Arial"/>
          <w:sz w:val="13"/>
          <w:szCs w:val="13"/>
          <w:color w:val="auto"/>
        </w:rPr>
        <w:t>. The parties agree that this Agreement shall be governed by, and construed and enforced in accordance with, the laws of the state of Maryland.</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 WITNESS WHEREOF, the parties hereto have executed this Agreement on the day and year first above written.</w:t>
      </w:r>
    </w:p>
    <w:p>
      <w:pPr>
        <w:spacing w:after="0" w:line="231" w:lineRule="exact"/>
        <w:rPr>
          <w:sz w:val="20"/>
          <w:szCs w:val="20"/>
          <w:color w:val="auto"/>
        </w:rPr>
      </w:pPr>
    </w:p>
    <w:p>
      <w:pPr>
        <w:ind w:left="4280"/>
        <w:spacing w:after="0"/>
        <w:rPr>
          <w:sz w:val="20"/>
          <w:szCs w:val="20"/>
          <w:color w:val="auto"/>
        </w:rPr>
      </w:pPr>
      <w:r>
        <w:rPr>
          <w:rFonts w:ascii="Arial" w:cs="Arial" w:eastAsia="Arial" w:hAnsi="Arial"/>
          <w:sz w:val="14"/>
          <w:szCs w:val="14"/>
          <w:color w:val="auto"/>
        </w:rPr>
        <w:t>PENNANTPARK FLOATING RATE CAPITAL LTD.</w:t>
      </w:r>
    </w:p>
    <w:p>
      <w:pPr>
        <w:spacing w:after="0" w:line="352" w:lineRule="exact"/>
        <w:rPr>
          <w:sz w:val="20"/>
          <w:szCs w:val="20"/>
          <w:color w:val="auto"/>
        </w:rPr>
      </w:pPr>
    </w:p>
    <w:p>
      <w:pPr>
        <w:ind w:left="428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-3810</wp:posOffset>
            </wp:positionV>
            <wp:extent cx="14922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92250" cy="8255"/>
                    </a:xfrm>
                    <a:prstGeom prst="rect">
                      <a:avLst/>
                    </a:prstGeom>
                    <a:noFill/>
                  </pic:spPr>
                </pic:pic>
              </a:graphicData>
            </a:graphic>
          </wp:anchor>
        </w:drawing>
      </w:r>
    </w:p>
    <w:p>
      <w:pPr>
        <w:ind w:left="4280"/>
        <w:spacing w:after="0" w:line="221" w:lineRule="auto"/>
        <w:rPr>
          <w:sz w:val="20"/>
          <w:szCs w:val="20"/>
          <w:color w:val="auto"/>
        </w:rPr>
      </w:pPr>
      <w:r>
        <w:rPr>
          <w:rFonts w:ascii="Arial" w:cs="Arial" w:eastAsia="Arial" w:hAnsi="Arial"/>
          <w:sz w:val="14"/>
          <w:szCs w:val="14"/>
          <w:color w:val="auto"/>
        </w:rPr>
        <w:t>By: Arthur H. Penn</w:t>
      </w:r>
    </w:p>
    <w:p>
      <w:pPr>
        <w:jc w:val="center"/>
        <w:spacing w:after="0"/>
        <w:rPr>
          <w:sz w:val="20"/>
          <w:szCs w:val="20"/>
          <w:color w:val="auto"/>
        </w:rPr>
      </w:pPr>
      <w:r>
        <w:rPr>
          <w:rFonts w:ascii="Arial" w:cs="Arial" w:eastAsia="Arial" w:hAnsi="Arial"/>
          <w:sz w:val="14"/>
          <w:szCs w:val="14"/>
          <w:color w:val="auto"/>
        </w:rPr>
        <w:t>Title: Chairman and Chief Executive Officer</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40"/>
          </w:cols>
          <w:pgMar w:left="320" w:top="269" w:right="43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AGREED TO AND ACCEPTED BY:</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/s/ Adam K.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2829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Adam K. Bernstein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/s/ Marshall S.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2829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Marshall S. Brozost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/s/ Jeffrey Flug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2829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Jeffrey Flug</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/s/ 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2829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Samuel L. Katz</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2829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Arthur H. Penn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2829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Aviv Efrat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/s/ Guy F. Talarico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2829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Guy F. Talarico</w:t>
      </w:r>
    </w:p>
    <w:p>
      <w:pPr>
        <w:spacing w:after="0" w:line="129"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139"/>
          </w:cols>
          <w:pgMar w:left="320" w:top="269" w:right="1440" w:bottom="1440" w:gutter="0" w:footer="0" w:header="0"/>
        </w:sectPr>
      </w:pPr>
    </w:p>
    <w:bookmarkStart w:id="81" w:name="page82"/>
    <w:bookmarkEnd w:id="81"/>
    <w:p>
      <w:pPr>
        <w:jc w:val="right"/>
        <w:ind w:right="4179"/>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Directors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Adam K. Bernstein</w:t>
      </w:r>
    </w:p>
    <w:p>
      <w:pPr>
        <w:spacing w:after="0" w:line="221" w:lineRule="auto"/>
        <w:rPr>
          <w:sz w:val="20"/>
          <w:szCs w:val="20"/>
          <w:color w:val="auto"/>
        </w:rPr>
      </w:pPr>
      <w:r>
        <w:rPr>
          <w:rFonts w:ascii="Arial" w:cs="Arial" w:eastAsia="Arial" w:hAnsi="Arial"/>
          <w:sz w:val="14"/>
          <w:szCs w:val="14"/>
          <w:color w:val="auto"/>
        </w:rPr>
        <w:t>Marshall Brozost</w:t>
      </w:r>
    </w:p>
    <w:p>
      <w:pPr>
        <w:spacing w:after="0" w:line="221" w:lineRule="auto"/>
        <w:rPr>
          <w:sz w:val="20"/>
          <w:szCs w:val="20"/>
          <w:color w:val="auto"/>
        </w:rPr>
      </w:pPr>
      <w:r>
        <w:rPr>
          <w:rFonts w:ascii="Arial" w:cs="Arial" w:eastAsia="Arial" w:hAnsi="Arial"/>
          <w:sz w:val="14"/>
          <w:szCs w:val="14"/>
          <w:color w:val="auto"/>
        </w:rPr>
        <w:t>Jeffrey Flug</w:t>
      </w:r>
    </w:p>
    <w:p>
      <w:pPr>
        <w:spacing w:after="0" w:line="222" w:lineRule="auto"/>
        <w:rPr>
          <w:sz w:val="20"/>
          <w:szCs w:val="20"/>
          <w:color w:val="auto"/>
        </w:rPr>
      </w:pPr>
      <w:r>
        <w:rPr>
          <w:rFonts w:ascii="Arial" w:cs="Arial" w:eastAsia="Arial" w:hAnsi="Arial"/>
          <w:sz w:val="14"/>
          <w:szCs w:val="14"/>
          <w:color w:val="auto"/>
        </w:rPr>
        <w:t>Samuel L. Katz</w:t>
      </w:r>
    </w:p>
    <w:p>
      <w:pPr>
        <w:spacing w:after="0"/>
        <w:rPr>
          <w:sz w:val="20"/>
          <w:szCs w:val="20"/>
          <w:color w:val="auto"/>
        </w:rPr>
      </w:pPr>
      <w:r>
        <w:rPr>
          <w:rFonts w:ascii="Arial" w:cs="Arial" w:eastAsia="Arial" w:hAnsi="Arial"/>
          <w:sz w:val="14"/>
          <w:szCs w:val="14"/>
          <w:color w:val="auto"/>
        </w:rPr>
        <w:t>Arthur H. Penn</w:t>
      </w:r>
      <w:r>
        <w:rPr>
          <w:rFonts w:ascii="Arial" w:cs="Arial" w:eastAsia="Arial" w:hAnsi="Arial"/>
          <w:sz w:val="12"/>
          <w:szCs w:val="12"/>
          <w:color w:val="auto"/>
        </w:rPr>
        <w:t>1</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Officers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Aviv Efrat</w:t>
      </w:r>
    </w:p>
    <w:p>
      <w:pPr>
        <w:spacing w:after="0"/>
        <w:rPr>
          <w:sz w:val="20"/>
          <w:szCs w:val="20"/>
          <w:color w:val="auto"/>
        </w:rPr>
      </w:pPr>
      <w:r>
        <w:rPr>
          <w:rFonts w:ascii="Arial" w:cs="Arial" w:eastAsia="Arial" w:hAnsi="Arial"/>
          <w:sz w:val="14"/>
          <w:szCs w:val="14"/>
          <w:color w:val="auto"/>
        </w:rPr>
        <w:t>Guy F. Talarico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5156835</wp:posOffset>
            </wp:positionV>
            <wp:extent cx="19970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0" w:hanging="552"/>
        <w:spacing w:after="0"/>
        <w:tabs>
          <w:tab w:leader="none" w:pos="560" w:val="left"/>
        </w:tabs>
        <w:numPr>
          <w:ilvl w:val="0"/>
          <w:numId w:val="59"/>
        </w:numPr>
        <w:rPr>
          <w:rFonts w:ascii="Arial" w:cs="Arial" w:eastAsia="Arial" w:hAnsi="Arial"/>
          <w:sz w:val="11"/>
          <w:szCs w:val="11"/>
          <w:color w:val="auto"/>
        </w:rPr>
      </w:pPr>
      <w:r>
        <w:rPr>
          <w:rFonts w:ascii="Arial" w:cs="Arial" w:eastAsia="Arial" w:hAnsi="Arial"/>
          <w:sz w:val="13"/>
          <w:szCs w:val="13"/>
          <w:color w:val="auto"/>
        </w:rPr>
        <w:t>Mr. Penn is Chief Executive Officer and Chairman of the Board of Directors of the Company.</w:t>
      </w:r>
    </w:p>
    <w:p>
      <w:pPr>
        <w:sectPr>
          <w:pgSz w:w="11900" w:h="16838" w:orient="portrait"/>
          <w:cols w:equalWidth="0" w:num="1">
            <w:col w:w="10139"/>
          </w:cols>
          <w:pgMar w:left="320" w:top="269"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4"/>
          <w:szCs w:val="14"/>
          <w:b w:val="1"/>
          <w:bCs w:val="1"/>
          <w:color w:val="auto"/>
        </w:rPr>
        <w:t>EXHIBIT 14.1</w:t>
      </w:r>
    </w:p>
    <w:p>
      <w:pPr>
        <w:jc w:val="center"/>
        <w:spacing w:after="0" w:line="225" w:lineRule="auto"/>
        <w:rPr>
          <w:sz w:val="20"/>
          <w:szCs w:val="20"/>
          <w:color w:val="auto"/>
        </w:rPr>
      </w:pPr>
      <w:r>
        <w:rPr>
          <w:rFonts w:ascii="Arial" w:cs="Arial" w:eastAsia="Arial" w:hAnsi="Arial"/>
          <w:sz w:val="14"/>
          <w:szCs w:val="14"/>
          <w:b w:val="1"/>
          <w:bCs w:val="1"/>
          <w:color w:val="auto"/>
        </w:rPr>
        <w:t>JOINT CODE OF ETHICS</w:t>
      </w:r>
    </w:p>
    <w:p>
      <w:pPr>
        <w:jc w:val="center"/>
        <w:spacing w:after="0" w:line="221" w:lineRule="auto"/>
        <w:rPr>
          <w:sz w:val="20"/>
          <w:szCs w:val="20"/>
          <w:color w:val="auto"/>
        </w:rPr>
      </w:pPr>
      <w:r>
        <w:rPr>
          <w:rFonts w:ascii="Arial" w:cs="Arial" w:eastAsia="Arial" w:hAnsi="Arial"/>
          <w:sz w:val="14"/>
          <w:szCs w:val="14"/>
          <w:b w:val="1"/>
          <w:bCs w:val="1"/>
          <w:color w:val="auto"/>
        </w:rPr>
        <w:t>FOR</w:t>
      </w:r>
    </w:p>
    <w:p>
      <w:pPr>
        <w:jc w:val="center"/>
        <w:spacing w:after="0" w:line="222" w:lineRule="auto"/>
        <w:rPr>
          <w:sz w:val="20"/>
          <w:szCs w:val="20"/>
          <w:color w:val="auto"/>
        </w:rPr>
      </w:pPr>
      <w:r>
        <w:rPr>
          <w:rFonts w:ascii="Arial" w:cs="Arial" w:eastAsia="Arial" w:hAnsi="Arial"/>
          <w:sz w:val="14"/>
          <w:szCs w:val="14"/>
          <w:b w:val="1"/>
          <w:bCs w:val="1"/>
          <w:color w:val="auto"/>
        </w:rPr>
        <w:t>PENNANTPARK INVESTMENT CORPORATION</w:t>
      </w:r>
    </w:p>
    <w:p>
      <w:pPr>
        <w:jc w:val="center"/>
        <w:spacing w:after="0" w:line="221" w:lineRule="auto"/>
        <w:rPr>
          <w:sz w:val="20"/>
          <w:szCs w:val="20"/>
          <w:color w:val="auto"/>
        </w:rPr>
      </w:pPr>
      <w:r>
        <w:rPr>
          <w:rFonts w:ascii="Arial" w:cs="Arial" w:eastAsia="Arial" w:hAnsi="Arial"/>
          <w:sz w:val="14"/>
          <w:szCs w:val="14"/>
          <w:b w:val="1"/>
          <w:bCs w:val="1"/>
          <w:color w:val="auto"/>
        </w:rPr>
        <w:t>PENNANTPARK FLOATING RATE CAPITAL LTD.</w:t>
      </w: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208" w:lineRule="exact"/>
        <w:rPr>
          <w:sz w:val="20"/>
          <w:szCs w:val="20"/>
          <w:color w:val="auto"/>
        </w:rPr>
      </w:pPr>
    </w:p>
    <w:p>
      <w:pPr>
        <w:ind w:right="80" w:firstLine="562"/>
        <w:spacing w:after="0" w:line="228" w:lineRule="auto"/>
        <w:rPr>
          <w:sz w:val="20"/>
          <w:szCs w:val="20"/>
          <w:color w:val="auto"/>
        </w:rPr>
      </w:pPr>
      <w:r>
        <w:rPr>
          <w:rFonts w:ascii="Arial" w:cs="Arial" w:eastAsia="Arial" w:hAnsi="Arial"/>
          <w:sz w:val="14"/>
          <w:szCs w:val="14"/>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85" w:lineRule="exact"/>
        <w:rPr>
          <w:sz w:val="20"/>
          <w:szCs w:val="20"/>
          <w:color w:val="auto"/>
        </w:rPr>
      </w:pPr>
    </w:p>
    <w:p>
      <w:pPr>
        <w:ind w:right="60" w:firstLine="562"/>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77"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All Covered Personnel must read and retain this Code.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207" w:lineRule="exact"/>
        <w:rPr>
          <w:sz w:val="20"/>
          <w:szCs w:val="20"/>
          <w:color w:val="auto"/>
        </w:rPr>
      </w:pPr>
    </w:p>
    <w:p>
      <w:pPr>
        <w:ind w:left="900" w:hanging="447"/>
        <w:spacing w:after="0"/>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Corporations or the Adviser.</w:t>
      </w:r>
    </w:p>
    <w:p>
      <w:pPr>
        <w:ind w:left="900" w:right="80" w:hanging="447"/>
        <w:spacing w:after="0" w:line="227" w:lineRule="auto"/>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50" w:lineRule="exact"/>
        <w:rPr>
          <w:rFonts w:ascii="Arial" w:cs="Arial" w:eastAsia="Arial" w:hAnsi="Arial"/>
          <w:sz w:val="14"/>
          <w:szCs w:val="14"/>
          <w:color w:val="auto"/>
        </w:rPr>
      </w:pPr>
    </w:p>
    <w:p>
      <w:pPr>
        <w:ind w:left="900" w:right="420" w:hanging="447"/>
        <w:spacing w:after="0" w:line="253" w:lineRule="auto"/>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38" w:lineRule="exact"/>
        <w:rPr>
          <w:rFonts w:ascii="Arial" w:cs="Arial" w:eastAsia="Arial" w:hAnsi="Arial"/>
          <w:sz w:val="14"/>
          <w:szCs w:val="14"/>
          <w:color w:val="auto"/>
        </w:rPr>
      </w:pPr>
    </w:p>
    <w:p>
      <w:pPr>
        <w:ind w:left="900" w:right="80" w:hanging="447"/>
        <w:spacing w:after="0" w:line="253" w:lineRule="auto"/>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38" w:lineRule="exact"/>
        <w:rPr>
          <w:rFonts w:ascii="Arial" w:cs="Arial" w:eastAsia="Arial" w:hAnsi="Arial"/>
          <w:sz w:val="14"/>
          <w:szCs w:val="14"/>
          <w:color w:val="auto"/>
        </w:rPr>
      </w:pPr>
    </w:p>
    <w:p>
      <w:pPr>
        <w:ind w:left="900" w:hanging="447"/>
        <w:spacing w:after="0"/>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68" w:lineRule="exact"/>
        <w:rPr>
          <w:rFonts w:ascii="Arial" w:cs="Arial" w:eastAsia="Arial" w:hAnsi="Arial"/>
          <w:sz w:val="14"/>
          <w:szCs w:val="14"/>
          <w:color w:val="auto"/>
        </w:rPr>
      </w:pPr>
    </w:p>
    <w:p>
      <w:pPr>
        <w:ind w:left="900" w:right="100" w:hanging="447"/>
        <w:spacing w:after="0" w:line="248" w:lineRule="auto"/>
        <w:tabs>
          <w:tab w:leader="none" w:pos="9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80" w:lineRule="exact"/>
        <w:rPr>
          <w:rFonts w:ascii="Arial" w:cs="Arial" w:eastAsia="Arial" w:hAnsi="Arial"/>
          <w:sz w:val="13"/>
          <w:szCs w:val="13"/>
          <w:color w:val="auto"/>
        </w:rPr>
      </w:pPr>
    </w:p>
    <w:p>
      <w:pPr>
        <w:ind w:left="900" w:right="60"/>
        <w:spacing w:after="0" w:line="227" w:lineRule="auto"/>
        <w:rPr>
          <w:rFonts w:ascii="Arial" w:cs="Arial" w:eastAsia="Arial" w:hAnsi="Arial"/>
          <w:sz w:val="13"/>
          <w:szCs w:val="13"/>
          <w:color w:val="auto"/>
        </w:rPr>
      </w:pPr>
      <w:r>
        <w:rPr>
          <w:rFonts w:ascii="Arial" w:cs="Arial" w:eastAsia="Arial" w:hAnsi="Arial"/>
          <w:sz w:val="14"/>
          <w:szCs w:val="14"/>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212" w:lineRule="exact"/>
        <w:rPr>
          <w:rFonts w:ascii="Arial" w:cs="Arial" w:eastAsia="Arial" w:hAnsi="Arial"/>
          <w:sz w:val="13"/>
          <w:szCs w:val="13"/>
          <w:color w:val="auto"/>
        </w:rPr>
      </w:pPr>
    </w:p>
    <w:p>
      <w:pPr>
        <w:ind w:left="900" w:hanging="447"/>
        <w:spacing w:after="0"/>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68" w:lineRule="exact"/>
        <w:rPr>
          <w:rFonts w:ascii="Arial" w:cs="Arial" w:eastAsia="Arial" w:hAnsi="Arial"/>
          <w:sz w:val="14"/>
          <w:szCs w:val="14"/>
          <w:color w:val="auto"/>
        </w:rPr>
      </w:pPr>
    </w:p>
    <w:p>
      <w:pPr>
        <w:ind w:left="900" w:right="60" w:hanging="447"/>
        <w:spacing w:after="0" w:line="253" w:lineRule="auto"/>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38" w:lineRule="exact"/>
        <w:rPr>
          <w:rFonts w:ascii="Arial" w:cs="Arial" w:eastAsia="Arial" w:hAnsi="Arial"/>
          <w:sz w:val="14"/>
          <w:szCs w:val="14"/>
          <w:color w:val="auto"/>
        </w:rPr>
      </w:pPr>
    </w:p>
    <w:p>
      <w:pPr>
        <w:ind w:left="900" w:right="220" w:hanging="447"/>
        <w:spacing w:after="0" w:line="253" w:lineRule="auto"/>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38" w:lineRule="exact"/>
        <w:rPr>
          <w:rFonts w:ascii="Arial" w:cs="Arial" w:eastAsia="Arial" w:hAnsi="Arial"/>
          <w:sz w:val="14"/>
          <w:szCs w:val="14"/>
          <w:color w:val="auto"/>
        </w:rPr>
      </w:pPr>
    </w:p>
    <w:p>
      <w:pPr>
        <w:ind w:left="900" w:right="200" w:hanging="447"/>
        <w:spacing w:after="0" w:line="253" w:lineRule="auto"/>
        <w:tabs>
          <w:tab w:leader="none" w:pos="9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“Restricted List” means the “Pipeline” report of potential investments combined with the current holdings of the clients. PennantPark Access Persons are restricted from trading any security on the Restricted List.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18" w:right="339" w:bottom="1440" w:gutter="0" w:footer="0" w:header="0"/>
        </w:sectPr>
      </w:pPr>
    </w:p>
    <w:bookmarkStart w:id="83" w:name="page84"/>
    <w:bookmarkEnd w:id="83"/>
    <w:p>
      <w:pPr>
        <w:ind w:left="900" w:right="60" w:hanging="447"/>
        <w:spacing w:after="0" w:line="238" w:lineRule="auto"/>
        <w:tabs>
          <w:tab w:leader="none" w:pos="900" w:val="left"/>
        </w:tabs>
        <w:numPr>
          <w:ilvl w:val="0"/>
          <w:numId w:val="6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47" w:lineRule="exact"/>
        <w:rPr>
          <w:rFonts w:ascii="Arial" w:cs="Arial" w:eastAsia="Arial" w:hAnsi="Arial"/>
          <w:sz w:val="14"/>
          <w:szCs w:val="14"/>
          <w:color w:val="auto"/>
        </w:rPr>
      </w:pPr>
    </w:p>
    <w:p>
      <w:pPr>
        <w:ind w:left="900" w:hanging="447"/>
        <w:spacing w:after="0"/>
        <w:tabs>
          <w:tab w:leader="none" w:pos="9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III Objective and General Prohibitions</w:t>
      </w:r>
    </w:p>
    <w:p>
      <w:pPr>
        <w:spacing w:after="0" w:line="208"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83" w:lineRule="exact"/>
        <w:rPr>
          <w:sz w:val="20"/>
          <w:szCs w:val="20"/>
          <w:color w:val="auto"/>
        </w:rPr>
      </w:pPr>
    </w:p>
    <w:p>
      <w:pPr>
        <w:jc w:val="both"/>
        <w:ind w:right="180" w:firstLine="562"/>
        <w:spacing w:after="0" w:line="264" w:lineRule="auto"/>
        <w:rPr>
          <w:sz w:val="20"/>
          <w:szCs w:val="20"/>
          <w:color w:val="auto"/>
        </w:rPr>
      </w:pPr>
      <w:r>
        <w:rPr>
          <w:rFonts w:ascii="Arial" w:cs="Arial" w:eastAsia="Arial" w:hAnsi="Arial"/>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168" w:lineRule="exact"/>
        <w:rPr>
          <w:sz w:val="20"/>
          <w:szCs w:val="20"/>
          <w:color w:val="auto"/>
        </w:rPr>
      </w:pPr>
    </w:p>
    <w:p>
      <w:pPr>
        <w:ind w:left="1000" w:hanging="439"/>
        <w:spacing w:after="0"/>
        <w:tabs>
          <w:tab w:leader="none" w:pos="10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68" w:lineRule="exact"/>
        <w:rPr>
          <w:rFonts w:ascii="Arial" w:cs="Arial" w:eastAsia="Arial" w:hAnsi="Arial"/>
          <w:sz w:val="14"/>
          <w:szCs w:val="14"/>
          <w:color w:val="auto"/>
        </w:rPr>
      </w:pPr>
    </w:p>
    <w:p>
      <w:pPr>
        <w:ind w:left="1000" w:right="100" w:hanging="439"/>
        <w:spacing w:after="0" w:line="253" w:lineRule="auto"/>
        <w:tabs>
          <w:tab w:leader="none" w:pos="10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38" w:lineRule="exact"/>
        <w:rPr>
          <w:rFonts w:ascii="Arial" w:cs="Arial" w:eastAsia="Arial" w:hAnsi="Arial"/>
          <w:sz w:val="14"/>
          <w:szCs w:val="14"/>
          <w:color w:val="auto"/>
        </w:rPr>
      </w:pPr>
    </w:p>
    <w:p>
      <w:pPr>
        <w:ind w:left="1000" w:hanging="439"/>
        <w:spacing w:after="0"/>
        <w:tabs>
          <w:tab w:leader="none" w:pos="10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68" w:lineRule="exact"/>
        <w:rPr>
          <w:rFonts w:ascii="Arial" w:cs="Arial" w:eastAsia="Arial" w:hAnsi="Arial"/>
          <w:sz w:val="14"/>
          <w:szCs w:val="14"/>
          <w:color w:val="auto"/>
        </w:rPr>
      </w:pPr>
    </w:p>
    <w:p>
      <w:pPr>
        <w:ind w:left="1000" w:hanging="439"/>
        <w:spacing w:after="0"/>
        <w:tabs>
          <w:tab w:leader="none" w:pos="10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204" w:lineRule="exact"/>
        <w:rPr>
          <w:sz w:val="20"/>
          <w:szCs w:val="20"/>
          <w:color w:val="auto"/>
        </w:rPr>
      </w:pPr>
    </w:p>
    <w:p>
      <w:pPr>
        <w:ind w:right="860" w:firstLine="562"/>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Personal Account Transactions; Window Period to Trade PennantPark shares</w:t>
      </w:r>
    </w:p>
    <w:p>
      <w:pPr>
        <w:spacing w:after="0" w:line="167"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4"/>
          <w:szCs w:val="14"/>
          <w:u w:val="single" w:color="auto"/>
          <w:color w:val="auto"/>
        </w:rPr>
        <w:t>Exceptions to the Pre-Clearance Requirement Policy</w:t>
      </w:r>
      <w:r>
        <w:rPr>
          <w:rFonts w:ascii="Arial" w:cs="Arial" w:eastAsia="Arial" w:hAnsi="Arial"/>
          <w:sz w:val="14"/>
          <w:szCs w:val="14"/>
          <w:color w:val="auto"/>
        </w:rPr>
        <w:t>,</w:t>
      </w:r>
    </w:p>
    <w:p>
      <w:pPr>
        <w:spacing w:after="0" w:line="163"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30 calendar days after the release of results (29 calendar days in all).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the expiration of 30 days, as events require.</w:t>
      </w:r>
    </w:p>
    <w:p>
      <w:pPr>
        <w:spacing w:after="0" w:line="136"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Additionally, Independent Directors are not required to seek preapproval for any transactions other than those which would trigger reporting requirements as set forth in Section VI (C) of this Code below.</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208" w:lineRule="exact"/>
        <w:rPr>
          <w:sz w:val="20"/>
          <w:szCs w:val="20"/>
          <w:color w:val="auto"/>
        </w:rPr>
      </w:pPr>
    </w:p>
    <w:p>
      <w:pPr>
        <w:ind w:left="900" w:right="160" w:hanging="447"/>
        <w:spacing w:after="0" w:line="251" w:lineRule="auto"/>
        <w:tabs>
          <w:tab w:leader="none" w:pos="9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41" w:lineRule="exact"/>
        <w:rPr>
          <w:rFonts w:ascii="Arial" w:cs="Arial" w:eastAsia="Arial" w:hAnsi="Arial"/>
          <w:sz w:val="13"/>
          <w:szCs w:val="13"/>
          <w:color w:val="auto"/>
        </w:rPr>
      </w:pPr>
    </w:p>
    <w:p>
      <w:pPr>
        <w:ind w:left="900" w:right="140" w:hanging="447"/>
        <w:spacing w:after="0" w:line="238" w:lineRule="auto"/>
        <w:tabs>
          <w:tab w:leader="none" w:pos="9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47" w:lineRule="exact"/>
        <w:rPr>
          <w:rFonts w:ascii="Arial" w:cs="Arial" w:eastAsia="Arial" w:hAnsi="Arial"/>
          <w:sz w:val="14"/>
          <w:szCs w:val="14"/>
          <w:color w:val="auto"/>
        </w:rPr>
      </w:pPr>
    </w:p>
    <w:p>
      <w:pPr>
        <w:jc w:val="both"/>
        <w:ind w:left="900" w:right="100" w:hanging="447"/>
        <w:spacing w:after="0" w:line="233" w:lineRule="auto"/>
        <w:tabs>
          <w:tab w:leader="none" w:pos="9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208" w:lineRule="exact"/>
        <w:rPr>
          <w:sz w:val="20"/>
          <w:szCs w:val="20"/>
          <w:color w:val="auto"/>
        </w:rPr>
      </w:pPr>
    </w:p>
    <w:p>
      <w:pPr>
        <w:ind w:left="900" w:hanging="447"/>
        <w:spacing w:after="0"/>
        <w:tabs>
          <w:tab w:leader="none" w:pos="9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Personal Securities Holdings Reports.</w:t>
      </w:r>
    </w:p>
    <w:p>
      <w:pPr>
        <w:spacing w:after="0" w:line="163"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269" w:right="339" w:bottom="1440" w:gutter="0" w:footer="0" w:header="0"/>
        </w:sectPr>
      </w:pPr>
    </w:p>
    <w:bookmarkStart w:id="84" w:name="page85"/>
    <w:bookmarkEnd w:id="84"/>
    <w:p>
      <w:pPr>
        <w:ind w:left="900" w:hanging="447"/>
        <w:spacing w:after="0"/>
        <w:tabs>
          <w:tab w:leader="none" w:pos="900" w:val="left"/>
        </w:tabs>
        <w:numPr>
          <w:ilvl w:val="0"/>
          <w:numId w:val="6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Quarterly Transaction Reports.</w:t>
      </w:r>
    </w:p>
    <w:p>
      <w:pPr>
        <w:spacing w:after="0" w:line="163" w:lineRule="exact"/>
        <w:rPr>
          <w:sz w:val="20"/>
          <w:szCs w:val="20"/>
          <w:color w:val="auto"/>
        </w:rPr>
      </w:pPr>
    </w:p>
    <w:p>
      <w:pPr>
        <w:ind w:right="260" w:firstLine="562"/>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125"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133" w:lineRule="exact"/>
        <w:rPr>
          <w:sz w:val="20"/>
          <w:szCs w:val="20"/>
          <w:color w:val="auto"/>
        </w:rPr>
      </w:pPr>
    </w:p>
    <w:p>
      <w:pPr>
        <w:ind w:left="840" w:hanging="270"/>
        <w:spacing w:after="0"/>
        <w:tabs>
          <w:tab w:leader="none" w:pos="840" w:val="left"/>
        </w:tabs>
        <w:numPr>
          <w:ilvl w:val="1"/>
          <w:numId w:val="66"/>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163" w:lineRule="exact"/>
        <w:rPr>
          <w:rFonts w:ascii="Arial" w:cs="Arial" w:eastAsia="Arial" w:hAnsi="Arial"/>
          <w:sz w:val="14"/>
          <w:szCs w:val="14"/>
          <w:color w:val="auto"/>
        </w:rPr>
      </w:pPr>
    </w:p>
    <w:p>
      <w:pPr>
        <w:ind w:right="220" w:firstLine="570"/>
        <w:spacing w:after="0" w:line="253" w:lineRule="auto"/>
        <w:tabs>
          <w:tab w:leader="none" w:pos="835" w:val="left"/>
        </w:tabs>
        <w:numPr>
          <w:ilvl w:val="1"/>
          <w:numId w:val="66"/>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146" w:lineRule="exact"/>
        <w:rPr>
          <w:rFonts w:ascii="Arial" w:cs="Arial" w:eastAsia="Arial" w:hAnsi="Arial"/>
          <w:sz w:val="14"/>
          <w:szCs w:val="14"/>
          <w:color w:val="auto"/>
        </w:rPr>
      </w:pPr>
    </w:p>
    <w:p>
      <w:pPr>
        <w:ind w:left="780" w:hanging="210"/>
        <w:spacing w:after="0"/>
        <w:tabs>
          <w:tab w:leader="none" w:pos="7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pacing w:after="0" w:line="163" w:lineRule="exact"/>
        <w:rPr>
          <w:rFonts w:ascii="Arial" w:cs="Arial" w:eastAsia="Arial" w:hAnsi="Arial"/>
          <w:sz w:val="14"/>
          <w:szCs w:val="14"/>
          <w:color w:val="auto"/>
        </w:rPr>
      </w:pPr>
    </w:p>
    <w:p>
      <w:pPr>
        <w:ind w:left="780" w:hanging="210"/>
        <w:spacing w:after="0"/>
        <w:tabs>
          <w:tab w:leader="none" w:pos="7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The date the report is submitted by the Access Person.</w:t>
      </w:r>
    </w:p>
    <w:p>
      <w:pPr>
        <w:spacing w:after="0" w:line="203" w:lineRule="exact"/>
        <w:rPr>
          <w:rFonts w:ascii="Arial" w:cs="Arial" w:eastAsia="Arial" w:hAnsi="Arial"/>
          <w:sz w:val="14"/>
          <w:szCs w:val="14"/>
          <w:color w:val="auto"/>
        </w:rPr>
      </w:pPr>
    </w:p>
    <w:p>
      <w:pPr>
        <w:ind w:left="900" w:hanging="447"/>
        <w:spacing w:after="0"/>
        <w:tabs>
          <w:tab w:leader="none" w:pos="9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163"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77" w:lineRule="exact"/>
        <w:rPr>
          <w:sz w:val="20"/>
          <w:szCs w:val="20"/>
          <w:color w:val="auto"/>
        </w:rPr>
      </w:pPr>
    </w:p>
    <w:p>
      <w:pPr>
        <w:ind w:left="900" w:hanging="447"/>
        <w:spacing w:after="0"/>
        <w:tabs>
          <w:tab w:leader="none" w:pos="9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Access Persons of the Adviser.</w:t>
      </w:r>
    </w:p>
    <w:p>
      <w:pPr>
        <w:spacing w:after="0" w:line="177"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74" w:lineRule="exact"/>
        <w:rPr>
          <w:sz w:val="20"/>
          <w:szCs w:val="20"/>
          <w:color w:val="auto"/>
        </w:rPr>
      </w:pPr>
    </w:p>
    <w:p>
      <w:pPr>
        <w:ind w:left="900" w:hanging="447"/>
        <w:spacing w:after="0"/>
        <w:tabs>
          <w:tab w:leader="none" w:pos="9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Brokerage Accounts and Statements.</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Access Persons, except Independent Directors, shall:</w:t>
      </w:r>
    </w:p>
    <w:p>
      <w:pPr>
        <w:spacing w:after="0" w:line="163" w:lineRule="exact"/>
        <w:rPr>
          <w:sz w:val="20"/>
          <w:szCs w:val="20"/>
          <w:color w:val="auto"/>
        </w:rPr>
      </w:pPr>
    </w:p>
    <w:p>
      <w:pPr>
        <w:ind w:right="20" w:firstLine="570"/>
        <w:spacing w:after="0" w:line="238" w:lineRule="auto"/>
        <w:tabs>
          <w:tab w:leader="none" w:pos="765" w:val="left"/>
        </w:tabs>
        <w:numPr>
          <w:ilvl w:val="1"/>
          <w:numId w:val="70"/>
        </w:numPr>
        <w:rPr>
          <w:rFonts w:ascii="Arial" w:cs="Arial" w:eastAsia="Arial" w:hAnsi="Arial"/>
          <w:sz w:val="14"/>
          <w:szCs w:val="14"/>
          <w:color w:val="auto"/>
        </w:rPr>
      </w:pPr>
      <w:r>
        <w:rPr>
          <w:rFonts w:ascii="Arial" w:cs="Arial" w:eastAsia="Arial" w:hAnsi="Arial"/>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55" w:lineRule="exact"/>
        <w:rPr>
          <w:rFonts w:ascii="Arial" w:cs="Arial" w:eastAsia="Arial" w:hAnsi="Arial"/>
          <w:sz w:val="14"/>
          <w:szCs w:val="14"/>
          <w:color w:val="auto"/>
        </w:rPr>
      </w:pPr>
    </w:p>
    <w:p>
      <w:pPr>
        <w:ind w:left="780" w:hanging="210"/>
        <w:spacing w:after="0"/>
        <w:tabs>
          <w:tab w:leader="none" w:pos="780" w:val="left"/>
        </w:tabs>
        <w:numPr>
          <w:ilvl w:val="1"/>
          <w:numId w:val="70"/>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163" w:lineRule="exact"/>
        <w:rPr>
          <w:rFonts w:ascii="Arial" w:cs="Arial" w:eastAsia="Arial" w:hAnsi="Arial"/>
          <w:sz w:val="14"/>
          <w:szCs w:val="14"/>
          <w:color w:val="auto"/>
        </w:rPr>
      </w:pPr>
    </w:p>
    <w:p>
      <w:pPr>
        <w:ind w:left="780" w:hanging="210"/>
        <w:spacing w:after="0"/>
        <w:tabs>
          <w:tab w:leader="none" w:pos="780" w:val="left"/>
        </w:tabs>
        <w:numPr>
          <w:ilvl w:val="1"/>
          <w:numId w:val="70"/>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203" w:lineRule="exact"/>
        <w:rPr>
          <w:rFonts w:ascii="Arial" w:cs="Arial" w:eastAsia="Arial" w:hAnsi="Arial"/>
          <w:sz w:val="14"/>
          <w:szCs w:val="14"/>
          <w:color w:val="auto"/>
        </w:rPr>
      </w:pPr>
    </w:p>
    <w:p>
      <w:pPr>
        <w:ind w:left="900" w:hanging="447"/>
        <w:spacing w:after="0"/>
        <w:tabs>
          <w:tab w:leader="none" w:pos="9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163"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74" w:lineRule="exact"/>
        <w:rPr>
          <w:sz w:val="20"/>
          <w:szCs w:val="20"/>
          <w:color w:val="auto"/>
        </w:rPr>
      </w:pPr>
    </w:p>
    <w:p>
      <w:pPr>
        <w:ind w:left="900" w:hanging="447"/>
        <w:spacing w:after="0"/>
        <w:tabs>
          <w:tab w:leader="none" w:pos="9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Responsibility to Report.</w:t>
      </w:r>
    </w:p>
    <w:p>
      <w:pPr>
        <w:spacing w:after="0" w:line="177"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83" w:lineRule="exact"/>
        <w:rPr>
          <w:sz w:val="20"/>
          <w:szCs w:val="20"/>
          <w:color w:val="auto"/>
        </w:rPr>
      </w:pPr>
    </w:p>
    <w:p>
      <w:pPr>
        <w:ind w:left="900" w:hanging="447"/>
        <w:spacing w:after="0"/>
        <w:tabs>
          <w:tab w:leader="none" w:pos="9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Where to File Reports.</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163" w:lineRule="exact"/>
        <w:rPr>
          <w:sz w:val="20"/>
          <w:szCs w:val="20"/>
          <w:color w:val="auto"/>
        </w:rPr>
      </w:pPr>
    </w:p>
    <w:p>
      <w:pPr>
        <w:ind w:left="460"/>
        <w:spacing w:after="0"/>
        <w:tabs>
          <w:tab w:leader="none" w:pos="72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3"/>
          <w:szCs w:val="13"/>
          <w:color w:val="auto"/>
        </w:rPr>
        <w:t>Disclaimers.</w:t>
      </w:r>
    </w:p>
    <w:p>
      <w:pPr>
        <w:spacing w:after="0" w:line="177" w:lineRule="exact"/>
        <w:rPr>
          <w:sz w:val="20"/>
          <w:szCs w:val="20"/>
          <w:color w:val="auto"/>
        </w:rPr>
      </w:pPr>
    </w:p>
    <w:p>
      <w:pPr>
        <w:ind w:right="620" w:firstLine="562"/>
        <w:spacing w:after="0" w:line="253" w:lineRule="auto"/>
        <w:rPr>
          <w:sz w:val="20"/>
          <w:szCs w:val="20"/>
          <w:color w:val="auto"/>
        </w:rPr>
      </w:pPr>
      <w:r>
        <w:rPr>
          <w:rFonts w:ascii="Arial" w:cs="Arial" w:eastAsia="Arial" w:hAnsi="Arial"/>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174" w:lineRule="exact"/>
        <w:rPr>
          <w:sz w:val="20"/>
          <w:szCs w:val="20"/>
          <w:color w:val="auto"/>
        </w:rPr>
      </w:pPr>
    </w:p>
    <w:p>
      <w:pPr>
        <w:ind w:left="900" w:hanging="447"/>
        <w:spacing w:after="0"/>
        <w:tabs>
          <w:tab w:leader="none" w:pos="9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Exceptions from Reporting Requirements.</w:t>
      </w:r>
    </w:p>
    <w:p>
      <w:pPr>
        <w:spacing w:after="0" w:line="163" w:lineRule="exact"/>
        <w:rPr>
          <w:sz w:val="20"/>
          <w:szCs w:val="20"/>
          <w:color w:val="auto"/>
        </w:rPr>
      </w:pPr>
    </w:p>
    <w:p>
      <w:pPr>
        <w:ind w:right="160" w:firstLine="562"/>
        <w:spacing w:after="0" w:line="231" w:lineRule="auto"/>
        <w:rPr>
          <w:sz w:val="20"/>
          <w:szCs w:val="20"/>
          <w:color w:val="auto"/>
        </w:rPr>
      </w:pPr>
      <w:r>
        <w:rPr>
          <w:rFonts w:ascii="Arial" w:cs="Arial" w:eastAsia="Arial" w:hAnsi="Arial"/>
          <w:sz w:val="14"/>
          <w:szCs w:val="14"/>
          <w:color w:val="auto"/>
        </w:rPr>
        <w:t>Reports are not required: (1) with respect to securities held in accounts over which the access person has no direct or indirect influence or control as determined by the CCO in accordance with applicable guidance, a “Third Party Managed Account”; (2) with respect to transactions effected pursuant to an automatic investment plan; or (3) which would duplicate information contained in broker trade confirmations or account statements provided the adviser receives such confirmations or statements within 30 days after the end of the applicable calendar quarter and holds them in its books and records. PennantPark allows, but does not require, Access Persons to direct their brokers to provide duplicate statements and confirmations for this purpose.</w:t>
      </w:r>
    </w:p>
    <w:p>
      <w:pPr>
        <w:spacing w:after="0" w:line="184" w:lineRule="exact"/>
        <w:rPr>
          <w:sz w:val="20"/>
          <w:szCs w:val="20"/>
          <w:color w:val="auto"/>
        </w:rPr>
      </w:pPr>
    </w:p>
    <w:p>
      <w:pPr>
        <w:ind w:left="900" w:hanging="447"/>
        <w:spacing w:after="0"/>
        <w:tabs>
          <w:tab w:leader="none" w:pos="9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Blind Trusts and other Third Party Managed Accounts.</w:t>
      </w:r>
    </w:p>
    <w:p>
      <w:pPr>
        <w:spacing w:after="0" w:line="163"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Rule 204A-1(b)(3)(i) provides that an access person is not required “to submit . . . any report [(i.e., initial and annual holdings reports and quarterly transaction reports)] with respect to securities held in accounts over which the access person has no direct or indirect influence or control.” Examples of such accounts include “Blind Trusts” where the access person has no knowledge of specific actions taken by the Trustee with respect to Trust investments and no right to intervene in the trustee’s management. Additionally,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269" w:right="339" w:bottom="1440" w:gutter="0" w:footer="0" w:header="0"/>
        </w:sectPr>
      </w:pPr>
    </w:p>
    <w:bookmarkStart w:id="85" w:name="page86"/>
    <w:bookmarkEnd w:id="85"/>
    <w:p>
      <w:pPr>
        <w:ind w:right="100"/>
        <w:spacing w:after="0" w:line="25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accounts with similar features that limit the access person’s involvement, including other types of trusts and accounts managed by an unaffiliated manager with discretionary authority. However, the mere retention of a trustee or manager to advise an access person’s account on a discretionary basis is not, by itself, sufficient to allow for a conclusion that the access person has no direct or indirect influence or control. Rather, under the Guidance, the adviser must make a reasonable determination, based on reasonably designed policies and procedures, whether “the access person actually had direct or indirect influence or control over the trust or account, rather than whether the third-party manager had discretionary or non-discretionary investment authority.”</w:t>
      </w:r>
    </w:p>
    <w:p>
      <w:pPr>
        <w:spacing w:after="0" w:line="134"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Access persons who wish to rely on this exception with respect to any account which otherwise would be reportable must register the account with the CCO who will determine, based on relevant facts and circumstances (including the terms of the account), whether the access person has direct or indirect influence or control over the account. An access person would have direct or indirect influence or control over an account where the access person (i) has the ability to suggest or direct purchases or sales; (ii) consults with the trustee or manager as to the particular allocation of investments to be made in the account; or (iii) engages in regular and substantive discussions with the trustee or manager with respect to account holdings. However, the following activities would not preclude the CCO from determining that an account is a Third Party Managed Account: (i) the access person provides information about his or her investment objectives and reasonable restrictions; (ii) the trustee or manager provides summary descriptions or explanations (whether written or oral) regarding account activity to the access person, provided that the access person does not provide suggestions or directions to the trustee or manager; and (iii) the access person is able to make contributions to and withdrawals from the account, provided that the access person may not instruct the trustee or manager as to specific securities or types of securities which should be purchased or liquidated in connection with the contribution or withdrawal.</w:t>
      </w:r>
    </w:p>
    <w:p>
      <w:pPr>
        <w:spacing w:after="0" w:line="156" w:lineRule="exact"/>
        <w:rPr>
          <w:sz w:val="20"/>
          <w:szCs w:val="20"/>
          <w:color w:val="auto"/>
        </w:rPr>
      </w:pPr>
    </w:p>
    <w:p>
      <w:pPr>
        <w:ind w:right="220" w:firstLine="562"/>
        <w:spacing w:after="0" w:line="290" w:lineRule="auto"/>
        <w:rPr>
          <w:sz w:val="20"/>
          <w:szCs w:val="20"/>
          <w:color w:val="auto"/>
        </w:rPr>
      </w:pPr>
      <w:r>
        <w:rPr>
          <w:rFonts w:ascii="Arial" w:cs="Arial" w:eastAsia="Arial" w:hAnsi="Arial"/>
          <w:sz w:val="13"/>
          <w:szCs w:val="13"/>
          <w:color w:val="auto"/>
        </w:rPr>
        <w:t>No account shall be treated as a Third Party Managed Account until the CCO determines and informs the access person that the account meets the relevant requirements. In making a determination that an account meets the requirements to be treated as a Third Party Managed Account, the CCO may consider, as he or she determines relevant under the circumstances:</w:t>
      </w:r>
    </w:p>
    <w:p>
      <w:pPr>
        <w:spacing w:after="0" w:line="152" w:lineRule="exact"/>
        <w:rPr>
          <w:sz w:val="20"/>
          <w:szCs w:val="20"/>
          <w:color w:val="auto"/>
        </w:rPr>
      </w:pPr>
    </w:p>
    <w:p>
      <w:pPr>
        <w:ind w:left="1000" w:hanging="439"/>
        <w:spacing w:after="0"/>
        <w:tabs>
          <w:tab w:leader="none" w:pos="10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terms of the account or trust documentation, including the advisory agreement;</w:t>
      </w:r>
    </w:p>
    <w:p>
      <w:pPr>
        <w:spacing w:after="0" w:line="203" w:lineRule="exact"/>
        <w:rPr>
          <w:rFonts w:ascii="Arial" w:cs="Arial" w:eastAsia="Arial" w:hAnsi="Arial"/>
          <w:sz w:val="14"/>
          <w:szCs w:val="14"/>
          <w:color w:val="auto"/>
        </w:rPr>
      </w:pPr>
    </w:p>
    <w:p>
      <w:pPr>
        <w:ind w:left="1000" w:right="240" w:hanging="439"/>
        <w:spacing w:after="0" w:line="253" w:lineRule="auto"/>
        <w:tabs>
          <w:tab w:leader="none" w:pos="10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Information obtained from the access person as to the nature of the access person’s relationship with the trustee or manager (e.g., whether the trustee or manager is a friend or relative of the access person; whether the advisory firm is affiliated with PennantPark);</w:t>
      </w:r>
    </w:p>
    <w:p>
      <w:pPr>
        <w:spacing w:after="0" w:line="173" w:lineRule="exact"/>
        <w:rPr>
          <w:rFonts w:ascii="Arial" w:cs="Arial" w:eastAsia="Arial" w:hAnsi="Arial"/>
          <w:sz w:val="14"/>
          <w:szCs w:val="14"/>
          <w:color w:val="auto"/>
        </w:rPr>
      </w:pPr>
    </w:p>
    <w:p>
      <w:pPr>
        <w:ind w:left="1000" w:right="120" w:hanging="439"/>
        <w:spacing w:after="0" w:line="253" w:lineRule="auto"/>
        <w:tabs>
          <w:tab w:leader="none" w:pos="10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Specific periodic certifications from the access person, trustee and/or manager, as to the nature of the account and whether the access person has sought to exercise influence or control over the trustee or manager;</w:t>
      </w:r>
    </w:p>
    <w:p>
      <w:pPr>
        <w:spacing w:after="0" w:line="173" w:lineRule="exact"/>
        <w:rPr>
          <w:rFonts w:ascii="Arial" w:cs="Arial" w:eastAsia="Arial" w:hAnsi="Arial"/>
          <w:sz w:val="14"/>
          <w:szCs w:val="14"/>
          <w:color w:val="auto"/>
        </w:rPr>
      </w:pPr>
    </w:p>
    <w:p>
      <w:pPr>
        <w:ind w:left="1000" w:right="780" w:hanging="439"/>
        <w:spacing w:after="0" w:line="253" w:lineRule="auto"/>
        <w:tabs>
          <w:tab w:leader="none" w:pos="10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Certification or representation from the access person that he or she has reviewed the Code, including this section defining the exception and describing the relevant determinative factors as to concluding that the access person does not exercise direct or indirect influence or control; and</w:t>
      </w:r>
    </w:p>
    <w:p>
      <w:pPr>
        <w:spacing w:after="0" w:line="173" w:lineRule="exact"/>
        <w:rPr>
          <w:rFonts w:ascii="Arial" w:cs="Arial" w:eastAsia="Arial" w:hAnsi="Arial"/>
          <w:sz w:val="14"/>
          <w:szCs w:val="14"/>
          <w:color w:val="auto"/>
        </w:rPr>
      </w:pPr>
    </w:p>
    <w:p>
      <w:pPr>
        <w:ind w:left="1000" w:hanging="439"/>
        <w:spacing w:after="0"/>
        <w:tabs>
          <w:tab w:leader="none" w:pos="10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Any other information that the CCO believes necessary or appropriate to determine whether the account meets the standards set forth herein.</w:t>
      </w:r>
    </w:p>
    <w:p>
      <w:pPr>
        <w:spacing w:after="0" w:line="163"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The CCO will document, in writing, his or her conclusion as to whether the account meets the requirements to be treated as a Third Party Managed Account to rely on the reporting exception and will periodically review such determination with the access person. The CCO may require that the access person (and, where appropriate, the manager/trustee) provide additional or renewed certifications or information about the account. Additionally, the CCO may require that the access person provide reports on a sample basis as to account holdings and/or transactions. The CCO will review any such reports to determine whether transactions in the account would have been inconsistent with this Code absent reliance on the reporting exception. The CCO will keep relevant records to document these reviews and support his or her conclusions as to the status of the relevant account(s).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208" w:lineRule="exact"/>
        <w:rPr>
          <w:sz w:val="20"/>
          <w:szCs w:val="20"/>
          <w:color w:val="auto"/>
        </w:rPr>
      </w:pPr>
    </w:p>
    <w:p>
      <w:pPr>
        <w:ind w:left="900" w:hanging="447"/>
        <w:spacing w:after="0"/>
        <w:tabs>
          <w:tab w:leader="none" w:pos="9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Confidentiality of the Corporation’s Transactions.</w:t>
      </w:r>
    </w:p>
    <w:p>
      <w:pPr>
        <w:spacing w:after="0" w:line="177" w:lineRule="exact"/>
        <w:rPr>
          <w:sz w:val="20"/>
          <w:szCs w:val="20"/>
          <w:color w:val="auto"/>
        </w:rPr>
      </w:pPr>
    </w:p>
    <w:p>
      <w:pPr>
        <w:ind w:right="240" w:firstLine="562"/>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83" w:lineRule="exact"/>
        <w:rPr>
          <w:sz w:val="20"/>
          <w:szCs w:val="20"/>
          <w:color w:val="auto"/>
        </w:rPr>
      </w:pPr>
    </w:p>
    <w:p>
      <w:pPr>
        <w:ind w:left="900" w:hanging="447"/>
        <w:spacing w:after="0"/>
        <w:tabs>
          <w:tab w:leader="none" w:pos="9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Outside Business Activities and Directorships.</w:t>
      </w:r>
    </w:p>
    <w:p>
      <w:pPr>
        <w:spacing w:after="0" w:line="163"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183" w:lineRule="exact"/>
        <w:rPr>
          <w:sz w:val="20"/>
          <w:szCs w:val="20"/>
          <w:color w:val="auto"/>
        </w:rPr>
      </w:pPr>
    </w:p>
    <w:p>
      <w:pPr>
        <w:ind w:left="900" w:hanging="447"/>
        <w:spacing w:after="0"/>
        <w:tabs>
          <w:tab w:leader="none" w:pos="9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Gratuities.</w:t>
      </w:r>
    </w:p>
    <w:p>
      <w:pPr>
        <w:spacing w:after="0" w:line="163" w:lineRule="exact"/>
        <w:rPr>
          <w:sz w:val="20"/>
          <w:szCs w:val="20"/>
          <w:color w:val="auto"/>
        </w:rPr>
      </w:pPr>
    </w:p>
    <w:p>
      <w:pPr>
        <w:jc w:val="both"/>
        <w:ind w:right="20" w:firstLine="562"/>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VIII Prohibition Against Insider Trading</w:t>
      </w:r>
    </w:p>
    <w:p>
      <w:pPr>
        <w:spacing w:after="0" w:line="167"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77" w:lineRule="exact"/>
        <w:rPr>
          <w:sz w:val="20"/>
          <w:szCs w:val="20"/>
          <w:color w:val="auto"/>
        </w:rPr>
      </w:pPr>
    </w:p>
    <w:p>
      <w:pPr>
        <w:jc w:val="both"/>
        <w:ind w:left="900" w:right="660" w:hanging="447"/>
        <w:spacing w:after="0" w:line="290" w:lineRule="auto"/>
        <w:tabs>
          <w:tab w:leader="none" w:pos="9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269" w:right="339" w:bottom="1440" w:gutter="0" w:footer="0" w:header="0"/>
        </w:sectPr>
      </w:pPr>
    </w:p>
    <w:bookmarkStart w:id="86" w:name="page87"/>
    <w:bookmarkEnd w:id="86"/>
    <w:p>
      <w:pPr>
        <w:ind w:left="900" w:right="20" w:hanging="447"/>
        <w:spacing w:after="0" w:line="228" w:lineRule="auto"/>
        <w:tabs>
          <w:tab w:leader="none" w:pos="900" w:val="left"/>
        </w:tabs>
        <w:numPr>
          <w:ilvl w:val="0"/>
          <w:numId w:val="8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9" w:lineRule="exact"/>
        <w:rPr>
          <w:rFonts w:ascii="Arial" w:cs="Arial" w:eastAsia="Arial" w:hAnsi="Arial"/>
          <w:sz w:val="14"/>
          <w:szCs w:val="14"/>
          <w:color w:val="auto"/>
        </w:rPr>
      </w:pPr>
    </w:p>
    <w:p>
      <w:pPr>
        <w:ind w:left="900" w:right="180" w:hanging="447"/>
        <w:spacing w:after="0" w:line="227" w:lineRule="auto"/>
        <w:tabs>
          <w:tab w:leader="none" w:pos="9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some other publication of general circulation, and after sufficient time has passed so that the information has been disseminated widely.</w:t>
      </w:r>
    </w:p>
    <w:p>
      <w:pPr>
        <w:ind w:left="900" w:right="120" w:hanging="447"/>
        <w:spacing w:after="0" w:line="221" w:lineRule="auto"/>
        <w:tabs>
          <w:tab w:leader="none" w:pos="9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ind w:left="1240" w:hanging="341"/>
        <w:spacing w:after="0" w:line="221" w:lineRule="auto"/>
        <w:tabs>
          <w:tab w:leader="none" w:pos="1240" w:val="left"/>
        </w:tabs>
        <w:numPr>
          <w:ilvl w:val="1"/>
          <w:numId w:val="81"/>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ind w:left="1240" w:hanging="341"/>
        <w:spacing w:after="0" w:line="221" w:lineRule="auto"/>
        <w:tabs>
          <w:tab w:leader="none" w:pos="1240" w:val="left"/>
        </w:tabs>
        <w:numPr>
          <w:ilvl w:val="1"/>
          <w:numId w:val="81"/>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ind w:left="1240" w:hanging="341"/>
        <w:spacing w:after="0"/>
        <w:tabs>
          <w:tab w:leader="none" w:pos="1240" w:val="left"/>
        </w:tabs>
        <w:numPr>
          <w:ilvl w:val="1"/>
          <w:numId w:val="81"/>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151" w:lineRule="exact"/>
        <w:rPr>
          <w:sz w:val="20"/>
          <w:szCs w:val="20"/>
          <w:color w:val="auto"/>
        </w:rPr>
      </w:pPr>
    </w:p>
    <w:p>
      <w:pPr>
        <w:jc w:val="both"/>
        <w:ind w:right="160" w:firstLine="562"/>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83" w:lineRule="exact"/>
        <w:rPr>
          <w:sz w:val="20"/>
          <w:szCs w:val="20"/>
          <w:color w:val="auto"/>
        </w:rPr>
      </w:pPr>
    </w:p>
    <w:p>
      <w:pPr>
        <w:ind w:left="900" w:hanging="447"/>
        <w:spacing w:after="0" w:line="223" w:lineRule="auto"/>
        <w:tabs>
          <w:tab w:leader="none" w:pos="9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4" w:lineRule="exact"/>
        <w:rPr>
          <w:rFonts w:ascii="Arial" w:cs="Arial" w:eastAsia="Arial" w:hAnsi="Arial"/>
          <w:sz w:val="14"/>
          <w:szCs w:val="14"/>
          <w:color w:val="auto"/>
        </w:rPr>
      </w:pPr>
    </w:p>
    <w:p>
      <w:pPr>
        <w:ind w:left="900" w:right="20" w:hanging="447"/>
        <w:spacing w:after="0" w:line="226" w:lineRule="auto"/>
        <w:tabs>
          <w:tab w:leader="none" w:pos="9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208" w:lineRule="exact"/>
        <w:rPr>
          <w:sz w:val="20"/>
          <w:szCs w:val="20"/>
          <w:color w:val="auto"/>
        </w:rPr>
      </w:pPr>
    </w:p>
    <w:p>
      <w:pPr>
        <w:ind w:left="900" w:hanging="447"/>
        <w:spacing w:after="0"/>
        <w:tabs>
          <w:tab w:leader="none" w:pos="9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Access Persons.</w:t>
      </w:r>
    </w:p>
    <w:p>
      <w:pPr>
        <w:spacing w:after="0" w:line="163" w:lineRule="exact"/>
        <w:rPr>
          <w:sz w:val="20"/>
          <w:szCs w:val="20"/>
          <w:color w:val="auto"/>
        </w:rPr>
      </w:pPr>
    </w:p>
    <w:p>
      <w:pPr>
        <w:ind w:right="280" w:firstLine="562"/>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152" w:lineRule="exact"/>
        <w:rPr>
          <w:sz w:val="20"/>
          <w:szCs w:val="20"/>
          <w:color w:val="auto"/>
        </w:rPr>
      </w:pPr>
    </w:p>
    <w:p>
      <w:pPr>
        <w:ind w:left="900" w:hanging="447"/>
        <w:spacing w:after="0"/>
        <w:tabs>
          <w:tab w:leader="none" w:pos="9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Board Review.</w:t>
      </w:r>
    </w:p>
    <w:p>
      <w:pPr>
        <w:spacing w:after="0" w:line="163"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 Sanctions</w:t>
      </w:r>
    </w:p>
    <w:p>
      <w:pPr>
        <w:spacing w:after="0" w:line="167"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XI Administration and Construction</w:t>
      </w:r>
    </w:p>
    <w:p>
      <w:pPr>
        <w:spacing w:after="0" w:line="208" w:lineRule="exact"/>
        <w:rPr>
          <w:sz w:val="20"/>
          <w:szCs w:val="20"/>
          <w:color w:val="auto"/>
        </w:rPr>
      </w:pPr>
    </w:p>
    <w:p>
      <w:pPr>
        <w:ind w:left="900" w:hanging="447"/>
        <w:spacing w:after="0"/>
        <w:tabs>
          <w:tab w:leader="none" w:pos="9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28" w:lineRule="exact"/>
        <w:rPr>
          <w:rFonts w:ascii="Arial" w:cs="Arial" w:eastAsia="Arial" w:hAnsi="Arial"/>
          <w:sz w:val="14"/>
          <w:szCs w:val="14"/>
          <w:color w:val="auto"/>
        </w:rPr>
      </w:pPr>
    </w:p>
    <w:p>
      <w:pPr>
        <w:ind w:left="900" w:hanging="447"/>
        <w:spacing w:after="0"/>
        <w:tabs>
          <w:tab w:leader="none" w:pos="9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176" w:lineRule="exact"/>
        <w:rPr>
          <w:rFonts w:ascii="Arial" w:cs="Arial" w:eastAsia="Arial" w:hAnsi="Arial"/>
          <w:sz w:val="14"/>
          <w:szCs w:val="14"/>
          <w:color w:val="auto"/>
        </w:rPr>
      </w:pPr>
    </w:p>
    <w:p>
      <w:pPr>
        <w:ind w:right="240" w:firstLine="570"/>
        <w:spacing w:after="0" w:line="290" w:lineRule="auto"/>
        <w:tabs>
          <w:tab w:leader="none" w:pos="765" w:val="left"/>
        </w:tabs>
        <w:numPr>
          <w:ilvl w:val="1"/>
          <w:numId w:val="85"/>
        </w:numPr>
        <w:rPr>
          <w:rFonts w:ascii="Arial" w:cs="Arial" w:eastAsia="Arial" w:hAnsi="Arial"/>
          <w:sz w:val="13"/>
          <w:szCs w:val="13"/>
          <w:color w:val="auto"/>
        </w:rPr>
      </w:pPr>
      <w:r>
        <w:rPr>
          <w:rFonts w:ascii="Arial" w:cs="Arial" w:eastAsia="Arial" w:hAnsi="Arial"/>
          <w:sz w:val="13"/>
          <w:szCs w:val="13"/>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11" w:lineRule="exact"/>
        <w:rPr>
          <w:rFonts w:ascii="Arial" w:cs="Arial" w:eastAsia="Arial" w:hAnsi="Arial"/>
          <w:sz w:val="13"/>
          <w:szCs w:val="13"/>
          <w:color w:val="auto"/>
        </w:rPr>
      </w:pPr>
    </w:p>
    <w:p>
      <w:pPr>
        <w:ind w:right="180" w:firstLine="570"/>
        <w:spacing w:after="0" w:line="253" w:lineRule="auto"/>
        <w:tabs>
          <w:tab w:leader="none" w:pos="765" w:val="left"/>
        </w:tabs>
        <w:numPr>
          <w:ilvl w:val="1"/>
          <w:numId w:val="85"/>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133" w:lineRule="exact"/>
        <w:rPr>
          <w:rFonts w:ascii="Arial" w:cs="Arial" w:eastAsia="Arial" w:hAnsi="Arial"/>
          <w:sz w:val="14"/>
          <w:szCs w:val="14"/>
          <w:color w:val="auto"/>
        </w:rPr>
      </w:pPr>
    </w:p>
    <w:p>
      <w:pPr>
        <w:ind w:left="780" w:hanging="210"/>
        <w:spacing w:after="0"/>
        <w:tabs>
          <w:tab w:leader="none" w:pos="780" w:val="left"/>
        </w:tabs>
        <w:numPr>
          <w:ilvl w:val="1"/>
          <w:numId w:val="85"/>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176" w:lineRule="exact"/>
        <w:rPr>
          <w:rFonts w:ascii="Arial" w:cs="Arial" w:eastAsia="Arial" w:hAnsi="Arial"/>
          <w:sz w:val="14"/>
          <w:szCs w:val="14"/>
          <w:color w:val="auto"/>
        </w:rPr>
      </w:pPr>
    </w:p>
    <w:p>
      <w:pPr>
        <w:ind w:right="140" w:firstLine="570"/>
        <w:spacing w:after="0" w:line="253" w:lineRule="auto"/>
        <w:tabs>
          <w:tab w:leader="none" w:pos="765" w:val="left"/>
        </w:tabs>
        <w:numPr>
          <w:ilvl w:val="1"/>
          <w:numId w:val="85"/>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269" w:right="339" w:bottom="1440" w:gutter="0" w:footer="0" w:header="0"/>
        </w:sectPr>
      </w:pPr>
    </w:p>
    <w:bookmarkStart w:id="87" w:name="page88"/>
    <w:bookmarkEnd w:id="87"/>
    <w:p>
      <w:pPr>
        <w:ind w:left="780" w:hanging="210"/>
        <w:spacing w:after="0"/>
        <w:tabs>
          <w:tab w:leader="none" w:pos="780" w:val="left"/>
        </w:tabs>
        <w:numPr>
          <w:ilvl w:val="1"/>
          <w:numId w:val="8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Issuance either personally or with the assistance of counsel as may be appropriate, of any interpretation of this Code that may appear consistent with the objectives of Rule 17j-1 and</w:t>
      </w:r>
    </w:p>
    <w:p>
      <w:pPr>
        <w:spacing w:after="0" w:line="2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this Code;</w:t>
      </w:r>
    </w:p>
    <w:p>
      <w:pPr>
        <w:spacing w:after="0" w:line="151" w:lineRule="exact"/>
        <w:rPr>
          <w:rFonts w:ascii="Arial" w:cs="Arial" w:eastAsia="Arial" w:hAnsi="Arial"/>
          <w:sz w:val="12"/>
          <w:szCs w:val="12"/>
          <w:color w:val="auto"/>
        </w:rPr>
      </w:pPr>
    </w:p>
    <w:p>
      <w:pPr>
        <w:ind w:right="40" w:firstLine="570"/>
        <w:spacing w:after="0" w:line="253" w:lineRule="auto"/>
        <w:tabs>
          <w:tab w:leader="none" w:pos="765" w:val="left"/>
        </w:tabs>
        <w:numPr>
          <w:ilvl w:val="1"/>
          <w:numId w:val="86"/>
        </w:numPr>
        <w:rPr>
          <w:rFonts w:ascii="Arial" w:cs="Arial" w:eastAsia="Arial" w:hAnsi="Arial"/>
          <w:sz w:val="14"/>
          <w:szCs w:val="14"/>
          <w:color w:val="auto"/>
        </w:rPr>
      </w:pPr>
      <w:r>
        <w:rPr>
          <w:rFonts w:ascii="Arial" w:cs="Arial" w:eastAsia="Arial" w:hAnsi="Arial"/>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146" w:lineRule="exact"/>
        <w:rPr>
          <w:rFonts w:ascii="Arial" w:cs="Arial" w:eastAsia="Arial" w:hAnsi="Arial"/>
          <w:sz w:val="14"/>
          <w:szCs w:val="14"/>
          <w:color w:val="auto"/>
        </w:rPr>
      </w:pPr>
    </w:p>
    <w:p>
      <w:pPr>
        <w:ind w:right="180" w:firstLine="570"/>
        <w:spacing w:after="0" w:line="253" w:lineRule="auto"/>
        <w:tabs>
          <w:tab w:leader="none" w:pos="765" w:val="left"/>
        </w:tabs>
        <w:numPr>
          <w:ilvl w:val="1"/>
          <w:numId w:val="86"/>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73" w:lineRule="exact"/>
        <w:rPr>
          <w:rFonts w:ascii="Arial" w:cs="Arial" w:eastAsia="Arial" w:hAnsi="Arial"/>
          <w:sz w:val="14"/>
          <w:szCs w:val="14"/>
          <w:color w:val="auto"/>
        </w:rPr>
      </w:pPr>
    </w:p>
    <w:p>
      <w:pPr>
        <w:ind w:left="900" w:right="360" w:hanging="447"/>
        <w:spacing w:after="0" w:line="253" w:lineRule="auto"/>
        <w:tabs>
          <w:tab w:leader="none" w:pos="9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17j-1 Organization, the following records:</w:t>
      </w:r>
    </w:p>
    <w:p>
      <w:pPr>
        <w:spacing w:after="0" w:line="133" w:lineRule="exact"/>
        <w:rPr>
          <w:rFonts w:ascii="Arial" w:cs="Arial" w:eastAsia="Arial" w:hAnsi="Arial"/>
          <w:sz w:val="14"/>
          <w:szCs w:val="14"/>
          <w:color w:val="auto"/>
        </w:rPr>
      </w:pPr>
    </w:p>
    <w:p>
      <w:pPr>
        <w:ind w:right="180" w:firstLine="570"/>
        <w:spacing w:after="0" w:line="253" w:lineRule="auto"/>
        <w:tabs>
          <w:tab w:leader="none" w:pos="765" w:val="left"/>
        </w:tabs>
        <w:numPr>
          <w:ilvl w:val="1"/>
          <w:numId w:val="87"/>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133" w:lineRule="exact"/>
        <w:rPr>
          <w:rFonts w:ascii="Arial" w:cs="Arial" w:eastAsia="Arial" w:hAnsi="Arial"/>
          <w:sz w:val="14"/>
          <w:szCs w:val="14"/>
          <w:color w:val="auto"/>
        </w:rPr>
      </w:pPr>
    </w:p>
    <w:p>
      <w:pPr>
        <w:ind w:left="780" w:hanging="210"/>
        <w:spacing w:after="0"/>
        <w:tabs>
          <w:tab w:leader="none" w:pos="780" w:val="left"/>
        </w:tabs>
        <w:numPr>
          <w:ilvl w:val="1"/>
          <w:numId w:val="87"/>
        </w:numPr>
        <w:rPr>
          <w:rFonts w:ascii="Arial" w:cs="Arial" w:eastAsia="Arial" w:hAnsi="Arial"/>
          <w:sz w:val="13"/>
          <w:szCs w:val="13"/>
          <w:color w:val="auto"/>
        </w:rPr>
      </w:pPr>
      <w:r>
        <w:rPr>
          <w:rFonts w:ascii="Arial" w:cs="Arial" w:eastAsia="Arial" w:hAnsi="Arial"/>
          <w:sz w:val="13"/>
          <w:szCs w:val="13"/>
          <w:color w:val="auto"/>
        </w:rPr>
        <w:t>A record of each violation of such codes of ethics and of any action taken as a result of such violation for at least five (5) years after the end of the fiscal year in which the violation</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occurs;</w:t>
      </w:r>
    </w:p>
    <w:p>
      <w:pPr>
        <w:spacing w:after="0" w:line="164" w:lineRule="exact"/>
        <w:rPr>
          <w:rFonts w:ascii="Arial" w:cs="Arial" w:eastAsia="Arial" w:hAnsi="Arial"/>
          <w:sz w:val="13"/>
          <w:szCs w:val="13"/>
          <w:color w:val="auto"/>
        </w:rPr>
      </w:pPr>
    </w:p>
    <w:p>
      <w:pPr>
        <w:ind w:right="80" w:firstLine="570"/>
        <w:spacing w:after="0" w:line="253" w:lineRule="auto"/>
        <w:tabs>
          <w:tab w:leader="none" w:pos="765" w:val="left"/>
        </w:tabs>
        <w:numPr>
          <w:ilvl w:val="1"/>
          <w:numId w:val="87"/>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133" w:lineRule="exact"/>
        <w:rPr>
          <w:rFonts w:ascii="Arial" w:cs="Arial" w:eastAsia="Arial" w:hAnsi="Arial"/>
          <w:sz w:val="14"/>
          <w:szCs w:val="14"/>
          <w:color w:val="auto"/>
        </w:rPr>
      </w:pPr>
    </w:p>
    <w:p>
      <w:pPr>
        <w:ind w:right="260" w:firstLine="570"/>
        <w:spacing w:after="0" w:line="253" w:lineRule="auto"/>
        <w:tabs>
          <w:tab w:leader="none" w:pos="765" w:val="left"/>
        </w:tabs>
        <w:numPr>
          <w:ilvl w:val="1"/>
          <w:numId w:val="87"/>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133" w:lineRule="exact"/>
        <w:rPr>
          <w:rFonts w:ascii="Arial" w:cs="Arial" w:eastAsia="Arial" w:hAnsi="Arial"/>
          <w:sz w:val="14"/>
          <w:szCs w:val="14"/>
          <w:color w:val="auto"/>
        </w:rPr>
      </w:pPr>
    </w:p>
    <w:p>
      <w:pPr>
        <w:ind w:right="200" w:firstLine="570"/>
        <w:spacing w:after="0" w:line="253" w:lineRule="auto"/>
        <w:tabs>
          <w:tab w:leader="none" w:pos="765" w:val="left"/>
        </w:tabs>
        <w:numPr>
          <w:ilvl w:val="1"/>
          <w:numId w:val="87"/>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146" w:lineRule="exact"/>
        <w:rPr>
          <w:rFonts w:ascii="Arial" w:cs="Arial" w:eastAsia="Arial" w:hAnsi="Arial"/>
          <w:sz w:val="14"/>
          <w:szCs w:val="14"/>
          <w:color w:val="auto"/>
        </w:rPr>
      </w:pPr>
    </w:p>
    <w:p>
      <w:pPr>
        <w:ind w:right="260" w:firstLine="570"/>
        <w:spacing w:after="0" w:line="253" w:lineRule="auto"/>
        <w:tabs>
          <w:tab w:leader="none" w:pos="765" w:val="left"/>
        </w:tabs>
        <w:numPr>
          <w:ilvl w:val="1"/>
          <w:numId w:val="87"/>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133" w:lineRule="exact"/>
        <w:rPr>
          <w:rFonts w:ascii="Arial" w:cs="Arial" w:eastAsia="Arial" w:hAnsi="Arial"/>
          <w:sz w:val="14"/>
          <w:szCs w:val="14"/>
          <w:color w:val="auto"/>
        </w:rPr>
      </w:pPr>
    </w:p>
    <w:p>
      <w:pPr>
        <w:ind w:firstLine="570"/>
        <w:spacing w:after="0" w:line="253" w:lineRule="auto"/>
        <w:tabs>
          <w:tab w:leader="none" w:pos="765" w:val="left"/>
        </w:tabs>
        <w:numPr>
          <w:ilvl w:val="1"/>
          <w:numId w:val="87"/>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73" w:lineRule="exact"/>
        <w:rPr>
          <w:rFonts w:ascii="Arial" w:cs="Arial" w:eastAsia="Arial" w:hAnsi="Arial"/>
          <w:sz w:val="14"/>
          <w:szCs w:val="14"/>
          <w:color w:val="auto"/>
        </w:rPr>
      </w:pPr>
    </w:p>
    <w:p>
      <w:pPr>
        <w:ind w:left="900" w:hanging="447"/>
        <w:spacing w:after="0"/>
        <w:tabs>
          <w:tab w:leader="none" w:pos="9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163" w:lineRule="exact"/>
        <w:rPr>
          <w:sz w:val="20"/>
          <w:szCs w:val="20"/>
          <w:color w:val="auto"/>
        </w:rPr>
      </w:pPr>
    </w:p>
    <w:p>
      <w:pPr>
        <w:ind w:right="600" w:firstLine="562"/>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18516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00"/>
          </w:cols>
          <w:pgMar w:left="320" w:top="269" w:right="3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gridSpan w:val="2"/>
          </w:tcPr>
          <w:p>
            <w:pPr>
              <w:ind w:left="600"/>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297"/>
        </w:trPr>
        <w:tc>
          <w:tcPr>
            <w:tcW w:w="4000" w:type="dxa"/>
            <w:vAlign w:val="bottom"/>
          </w:tcPr>
          <w:p>
            <w:pPr>
              <w:spacing w:after="0"/>
              <w:rPr>
                <w:sz w:val="24"/>
                <w:szCs w:val="24"/>
                <w:color w:val="auto"/>
              </w:rPr>
            </w:pPr>
          </w:p>
        </w:tc>
        <w:tc>
          <w:tcPr>
            <w:tcW w:w="7240" w:type="dxa"/>
            <w:vAlign w:val="bottom"/>
            <w:gridSpan w:val="4"/>
          </w:tcPr>
          <w:p>
            <w:pPr>
              <w:ind w:left="720"/>
              <w:spacing w:after="0"/>
              <w:rPr>
                <w:sz w:val="20"/>
                <w:szCs w:val="20"/>
                <w:color w:val="auto"/>
              </w:rPr>
            </w:pPr>
            <w:r>
              <w:rPr>
                <w:rFonts w:ascii="Arial" w:cs="Arial" w:eastAsia="Arial" w:hAnsi="Arial"/>
                <w:sz w:val="14"/>
                <w:szCs w:val="14"/>
                <w:b w:val="1"/>
                <w:bCs w:val="1"/>
                <w:color w:val="auto"/>
              </w:rPr>
              <w:t>Subsidiaries of the Registrant</w:t>
            </w:r>
          </w:p>
        </w:tc>
        <w:tc>
          <w:tcPr>
            <w:tcW w:w="0" w:type="dxa"/>
            <w:vAlign w:val="bottom"/>
          </w:tcPr>
          <w:p>
            <w:pPr>
              <w:spacing w:after="0"/>
              <w:rPr>
                <w:sz w:val="1"/>
                <w:szCs w:val="1"/>
                <w:color w:val="auto"/>
              </w:rPr>
            </w:pPr>
          </w:p>
        </w:tc>
      </w:tr>
      <w:tr>
        <w:trPr>
          <w:trHeight w:val="327"/>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4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Voting Securities</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auto"/>
            </w:tcBorders>
            <w:vMerge w:val="continue"/>
          </w:tcPr>
          <w:p>
            <w:pPr>
              <w:spacing w:after="0"/>
              <w:rPr>
                <w:sz w:val="14"/>
                <w:szCs w:val="14"/>
                <w:color w:val="auto"/>
              </w:rPr>
            </w:pPr>
          </w:p>
        </w:tc>
        <w:tc>
          <w:tcPr>
            <w:tcW w:w="4600" w:type="dxa"/>
            <w:vAlign w:val="bottom"/>
            <w:tcBorders>
              <w:bottom w:val="single" w:sz="8" w:color="auto"/>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Owned Percentage</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PennantPark Floating Rate Funding I, LLC (Delaware)</w:t>
            </w:r>
          </w:p>
        </w:tc>
        <w:tc>
          <w:tcPr>
            <w:tcW w:w="46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940"/>
              <w:spacing w:after="0" w:line="142"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PFLT Funding II, LLC (Delaware)</w:t>
            </w:r>
          </w:p>
        </w:tc>
        <w:tc>
          <w:tcPr>
            <w:tcW w:w="7240" w:type="dxa"/>
            <w:vAlign w:val="bottom"/>
            <w:gridSpan w:val="4"/>
          </w:tcPr>
          <w:p>
            <w:pPr>
              <w:ind w:left="668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PFLT Investment Holdings, LLC (Delaware)</w:t>
            </w:r>
          </w:p>
        </w:tc>
        <w:tc>
          <w:tcPr>
            <w:tcW w:w="7240" w:type="dxa"/>
            <w:vAlign w:val="bottom"/>
            <w:gridSpan w:val="4"/>
            <w:shd w:val="clear" w:color="auto" w:fill="CCEEFF"/>
          </w:tcPr>
          <w:p>
            <w:pPr>
              <w:ind w:left="668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GMC Television Broadcasting Holdings, Inc. (Delaware)</w:t>
            </w:r>
          </w:p>
        </w:tc>
        <w:tc>
          <w:tcPr>
            <w:tcW w:w="7240" w:type="dxa"/>
            <w:vAlign w:val="bottom"/>
            <w:gridSpan w:val="4"/>
          </w:tcPr>
          <w:p>
            <w:pPr>
              <w:ind w:left="6680"/>
              <w:spacing w:after="0" w:line="149" w:lineRule="exact"/>
              <w:rPr>
                <w:sz w:val="20"/>
                <w:szCs w:val="20"/>
                <w:color w:val="auto"/>
              </w:rPr>
            </w:pPr>
            <w:r>
              <w:rPr>
                <w:rFonts w:ascii="Arial" w:cs="Arial" w:eastAsia="Arial" w:hAnsi="Arial"/>
                <w:sz w:val="14"/>
                <w:szCs w:val="14"/>
                <w:color w:val="auto"/>
                <w:w w:val="99"/>
              </w:rPr>
              <w:t xml:space="preserve">100% </w:t>
            </w:r>
            <w:r>
              <w:rPr>
                <w:rFonts w:ascii="Arial" w:cs="Arial" w:eastAsia="Arial" w:hAnsi="Arial"/>
                <w:sz w:val="12"/>
                <w:szCs w:val="12"/>
                <w:color w:val="auto"/>
                <w:w w:val="99"/>
              </w:rPr>
              <w:t>(1)</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GMC Television Broadcasting, LLC (Delaware)</w:t>
            </w:r>
          </w:p>
        </w:tc>
        <w:tc>
          <w:tcPr>
            <w:tcW w:w="7240" w:type="dxa"/>
            <w:vAlign w:val="bottom"/>
            <w:gridSpan w:val="4"/>
            <w:shd w:val="clear" w:color="auto" w:fill="CCEEFF"/>
          </w:tcPr>
          <w:p>
            <w:pPr>
              <w:ind w:left="6680"/>
              <w:spacing w:after="0" w:line="149" w:lineRule="exact"/>
              <w:rPr>
                <w:sz w:val="20"/>
                <w:szCs w:val="20"/>
                <w:color w:val="auto"/>
              </w:rPr>
            </w:pPr>
            <w:r>
              <w:rPr>
                <w:rFonts w:ascii="Arial" w:cs="Arial" w:eastAsia="Arial" w:hAnsi="Arial"/>
                <w:sz w:val="14"/>
                <w:szCs w:val="14"/>
                <w:color w:val="auto"/>
                <w:w w:val="99"/>
              </w:rPr>
              <w:t xml:space="preserve">100% </w:t>
            </w:r>
            <w:r>
              <w:rPr>
                <w:rFonts w:ascii="Arial" w:cs="Arial" w:eastAsia="Arial" w:hAnsi="Arial"/>
                <w:sz w:val="12"/>
                <w:szCs w:val="12"/>
                <w:color w:val="auto"/>
                <w:w w:val="99"/>
              </w:rPr>
              <w:t>(1)</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Arial" w:cs="Arial" w:eastAsia="Arial" w:hAnsi="Arial"/>
                <w:sz w:val="14"/>
                <w:szCs w:val="14"/>
                <w:color w:val="auto"/>
              </w:rPr>
              <w:t>Solutions Capital G.P., LLC (Delaware)</w:t>
            </w:r>
          </w:p>
        </w:tc>
        <w:tc>
          <w:tcPr>
            <w:tcW w:w="7240" w:type="dxa"/>
            <w:vAlign w:val="bottom"/>
            <w:gridSpan w:val="4"/>
          </w:tcPr>
          <w:p>
            <w:pPr>
              <w:ind w:left="668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Solutions Capital I, L.P. (Delaware)</w:t>
            </w:r>
          </w:p>
        </w:tc>
        <w:tc>
          <w:tcPr>
            <w:tcW w:w="7240" w:type="dxa"/>
            <w:vAlign w:val="bottom"/>
            <w:gridSpan w:val="4"/>
            <w:shd w:val="clear" w:color="auto" w:fill="CCEEFF"/>
          </w:tcPr>
          <w:p>
            <w:pPr>
              <w:ind w:left="668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970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137" w:lineRule="exact"/>
        <w:rPr>
          <w:sz w:val="20"/>
          <w:szCs w:val="20"/>
          <w:color w:val="auto"/>
        </w:rPr>
      </w:pPr>
    </w:p>
    <w:p>
      <w:pPr>
        <w:ind w:left="560" w:hanging="552"/>
        <w:spacing w:after="0"/>
        <w:tabs>
          <w:tab w:leader="none" w:pos="560" w:val="left"/>
        </w:tabs>
        <w:numPr>
          <w:ilvl w:val="0"/>
          <w:numId w:val="88"/>
        </w:numPr>
        <w:rPr>
          <w:rFonts w:ascii="Arial" w:cs="Arial" w:eastAsia="Arial" w:hAnsi="Arial"/>
          <w:sz w:val="12"/>
          <w:szCs w:val="12"/>
          <w:color w:val="auto"/>
        </w:rPr>
      </w:pPr>
      <w:r>
        <w:rPr>
          <w:rFonts w:ascii="Arial" w:cs="Arial" w:eastAsia="Arial" w:hAnsi="Arial"/>
          <w:sz w:val="14"/>
          <w:szCs w:val="14"/>
          <w:color w:val="auto"/>
        </w:rPr>
        <w:t>The entity is directly owned by PFLT Funding II, LLC, which is wholly-owned by us.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1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4"/>
          <w:szCs w:val="14"/>
          <w:b w:val="1"/>
          <w:bCs w:val="1"/>
          <w:color w:val="auto"/>
        </w:rPr>
        <w:t>EXHIBIT 31.1</w:t>
      </w:r>
    </w:p>
    <w:p>
      <w:pPr>
        <w:spacing w:after="0" w:line="16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77" w:lineRule="exact"/>
        <w:rPr>
          <w:sz w:val="20"/>
          <w:szCs w:val="20"/>
          <w:color w:val="auto"/>
        </w:rPr>
      </w:pPr>
    </w:p>
    <w:p>
      <w:pPr>
        <w:ind w:left="720" w:hanging="150"/>
        <w:spacing w:after="0"/>
        <w:tabs>
          <w:tab w:leader="none" w:pos="7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63" w:lineRule="exact"/>
        <w:rPr>
          <w:rFonts w:ascii="Arial" w:cs="Arial" w:eastAsia="Arial" w:hAnsi="Arial"/>
          <w:sz w:val="14"/>
          <w:szCs w:val="14"/>
          <w:color w:val="auto"/>
        </w:rPr>
      </w:pPr>
    </w:p>
    <w:p>
      <w:pPr>
        <w:ind w:right="320" w:firstLine="570"/>
        <w:spacing w:after="0" w:line="253" w:lineRule="auto"/>
        <w:tabs>
          <w:tab w:leader="none" w:pos="705"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400" w:firstLine="570"/>
        <w:spacing w:after="0" w:line="253" w:lineRule="auto"/>
        <w:tabs>
          <w:tab w:leader="none" w:pos="705" w:val="left"/>
        </w:tabs>
        <w:numPr>
          <w:ilvl w:val="0"/>
          <w:numId w:val="8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4"/>
          <w:szCs w:val="14"/>
          <w:color w:val="auto"/>
        </w:rPr>
      </w:pPr>
    </w:p>
    <w:p>
      <w:pPr>
        <w:ind w:left="720" w:hanging="150"/>
        <w:spacing w:after="0"/>
        <w:tabs>
          <w:tab w:leader="none" w:pos="7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51"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8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8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4" w:lineRule="exact"/>
        <w:rPr>
          <w:rFonts w:ascii="Arial" w:cs="Arial" w:eastAsia="Arial" w:hAnsi="Arial"/>
          <w:sz w:val="13"/>
          <w:szCs w:val="13"/>
          <w:color w:val="auto"/>
        </w:rPr>
      </w:pPr>
    </w:p>
    <w:p>
      <w:pPr>
        <w:ind w:right="20" w:firstLine="794"/>
        <w:spacing w:after="0" w:line="253" w:lineRule="auto"/>
        <w:tabs>
          <w:tab w:leader="none" w:pos="934" w:val="left"/>
        </w:tabs>
        <w:numPr>
          <w:ilvl w:val="1"/>
          <w:numId w:val="8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ind w:right="20" w:firstLine="794"/>
        <w:spacing w:after="0" w:line="290" w:lineRule="auto"/>
        <w:tabs>
          <w:tab w:leader="none" w:pos="942" w:val="left"/>
        </w:tabs>
        <w:numPr>
          <w:ilvl w:val="1"/>
          <w:numId w:val="8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8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4"/>
          <w:szCs w:val="14"/>
          <w:color w:val="auto"/>
        </w:rPr>
      </w:pPr>
    </w:p>
    <w:p>
      <w:pPr>
        <w:ind w:left="940" w:hanging="146"/>
        <w:spacing w:after="0"/>
        <w:tabs>
          <w:tab w:leader="none" w:pos="940" w:val="left"/>
        </w:tabs>
        <w:numPr>
          <w:ilvl w:val="1"/>
          <w:numId w:val="8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22,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rPr>
          <w:sz w:val="20"/>
          <w:szCs w:val="20"/>
          <w:color w:val="auto"/>
        </w:rPr>
      </w:pPr>
      <w:r>
        <w:rPr>
          <w:rFonts w:ascii="Arial" w:cs="Arial" w:eastAsia="Arial" w:hAnsi="Arial"/>
          <w:sz w:val="14"/>
          <w:szCs w:val="14"/>
          <w:color w:val="auto"/>
        </w:rPr>
        <w:t>Title: Chief Executive Officer</w:t>
      </w:r>
    </w:p>
    <w:p>
      <w:pPr>
        <w:sectPr>
          <w:pgSz w:w="11900" w:h="16838" w:orient="portrait"/>
          <w:cols w:equalWidth="0" w:num="1">
            <w:col w:w="11240"/>
          </w:cols>
          <w:pgMar w:left="320" w:top="11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4"/>
          <w:szCs w:val="14"/>
          <w:b w:val="1"/>
          <w:bCs w:val="1"/>
          <w:color w:val="auto"/>
        </w:rPr>
        <w:t>EXHIBIT 31.2</w:t>
      </w:r>
    </w:p>
    <w:p>
      <w:pPr>
        <w:spacing w:after="0" w:line="16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77" w:lineRule="exact"/>
        <w:rPr>
          <w:sz w:val="20"/>
          <w:szCs w:val="20"/>
          <w:color w:val="auto"/>
        </w:rPr>
      </w:pPr>
    </w:p>
    <w:p>
      <w:pPr>
        <w:ind w:left="720" w:hanging="150"/>
        <w:spacing w:after="0"/>
        <w:tabs>
          <w:tab w:leader="none" w:pos="7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63" w:lineRule="exact"/>
        <w:rPr>
          <w:rFonts w:ascii="Arial" w:cs="Arial" w:eastAsia="Arial" w:hAnsi="Arial"/>
          <w:sz w:val="14"/>
          <w:szCs w:val="14"/>
          <w:color w:val="auto"/>
        </w:rPr>
      </w:pPr>
    </w:p>
    <w:p>
      <w:pPr>
        <w:ind w:right="320" w:firstLine="570"/>
        <w:spacing w:after="0" w:line="253" w:lineRule="auto"/>
        <w:tabs>
          <w:tab w:leader="none" w:pos="705" w:val="left"/>
        </w:tabs>
        <w:numPr>
          <w:ilvl w:val="0"/>
          <w:numId w:val="9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400" w:firstLine="570"/>
        <w:spacing w:after="0" w:line="253" w:lineRule="auto"/>
        <w:tabs>
          <w:tab w:leader="none" w:pos="705" w:val="left"/>
        </w:tabs>
        <w:numPr>
          <w:ilvl w:val="0"/>
          <w:numId w:val="9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4"/>
          <w:szCs w:val="14"/>
          <w:color w:val="auto"/>
        </w:rPr>
      </w:pPr>
    </w:p>
    <w:p>
      <w:pPr>
        <w:ind w:left="720" w:hanging="150"/>
        <w:spacing w:after="0"/>
        <w:tabs>
          <w:tab w:leader="none" w:pos="7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83" w:lineRule="exact"/>
        <w:rPr>
          <w:rFonts w:ascii="Arial" w:cs="Arial" w:eastAsia="Arial" w:hAnsi="Arial"/>
          <w:sz w:val="13"/>
          <w:szCs w:val="13"/>
          <w:color w:val="auto"/>
        </w:rPr>
      </w:pPr>
    </w:p>
    <w:p>
      <w:pPr>
        <w:ind w:right="260" w:firstLine="794"/>
        <w:spacing w:after="0" w:line="335" w:lineRule="auto"/>
        <w:tabs>
          <w:tab w:leader="none" w:pos="934" w:val="left"/>
        </w:tabs>
        <w:numPr>
          <w:ilvl w:val="1"/>
          <w:numId w:val="9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9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0" w:firstLine="794"/>
        <w:spacing w:after="0" w:line="253" w:lineRule="auto"/>
        <w:tabs>
          <w:tab w:leader="none" w:pos="934" w:val="left"/>
        </w:tabs>
        <w:numPr>
          <w:ilvl w:val="1"/>
          <w:numId w:val="9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20" w:firstLine="794"/>
        <w:spacing w:after="0" w:line="290" w:lineRule="auto"/>
        <w:tabs>
          <w:tab w:leader="none" w:pos="942" w:val="left"/>
        </w:tabs>
        <w:numPr>
          <w:ilvl w:val="1"/>
          <w:numId w:val="9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9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9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22,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11240"/>
          </w:cols>
          <w:pgMar w:left="320" w:top="118"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4"/>
          <w:szCs w:val="14"/>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connection with the Annual Report on Form 10-K of PennantPark Floating Rate Capital Ltd. (the “Company”) for the annual period ended September 30, 2016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 on the date hereof (the “Report”), I, Arthur H. Penn, as Chief Executive Officer of the Registrant hereby certify, to the best of my knowledge that:</w:t>
      </w:r>
    </w:p>
    <w:p>
      <w:pPr>
        <w:spacing w:after="0" w:line="95" w:lineRule="exact"/>
        <w:rPr>
          <w:sz w:val="20"/>
          <w:szCs w:val="20"/>
          <w:color w:val="auto"/>
        </w:rPr>
      </w:pPr>
    </w:p>
    <w:p>
      <w:pPr>
        <w:ind w:left="780" w:hanging="210"/>
        <w:spacing w:after="0"/>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5" w:lineRule="exact"/>
        <w:rPr>
          <w:rFonts w:ascii="Arial" w:cs="Arial" w:eastAsia="Arial" w:hAnsi="Arial"/>
          <w:sz w:val="14"/>
          <w:szCs w:val="14"/>
          <w:color w:val="auto"/>
        </w:rPr>
      </w:pPr>
    </w:p>
    <w:p>
      <w:pPr>
        <w:ind w:left="780" w:hanging="210"/>
        <w:spacing w:after="0"/>
        <w:tabs>
          <w:tab w:leader="none" w:pos="7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line="221" w:lineRule="auto"/>
        <w:rPr>
          <w:sz w:val="20"/>
          <w:szCs w:val="20"/>
          <w:color w:val="auto"/>
        </w:rPr>
      </w:pPr>
      <w:r>
        <w:rPr>
          <w:rFonts w:ascii="Arial" w:cs="Arial" w:eastAsia="Arial" w:hAnsi="Arial"/>
          <w:sz w:val="14"/>
          <w:szCs w:val="14"/>
          <w:color w:val="auto"/>
        </w:rPr>
        <w:t>Title: Chief Executive Officer</w:t>
      </w:r>
    </w:p>
    <w:p>
      <w:pPr>
        <w:spacing w:after="0"/>
        <w:rPr>
          <w:sz w:val="20"/>
          <w:szCs w:val="20"/>
          <w:color w:val="auto"/>
        </w:rPr>
      </w:pPr>
      <w:r>
        <w:rPr>
          <w:rFonts w:ascii="Arial" w:cs="Arial" w:eastAsia="Arial" w:hAnsi="Arial"/>
          <w:sz w:val="14"/>
          <w:szCs w:val="14"/>
          <w:color w:val="auto"/>
        </w:rPr>
        <w:t>Date: November 22, 2016</w:t>
      </w:r>
    </w:p>
    <w:p>
      <w:pPr>
        <w:sectPr>
          <w:pgSz w:w="11900" w:h="16838" w:orient="portrait"/>
          <w:cols w:equalWidth="0" w:num="1">
            <w:col w:w="11240"/>
          </w:cols>
          <w:pgMar w:left="320" w:top="118"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4"/>
          <w:szCs w:val="14"/>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connection with the Annual Report on Form 10-K of PennantPark Floating Rate Capital Ltd. (the “Company”) for the annual period ended September 30, 2016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(the “Report”), I, Aviv Efrat, as Chief Financial Officer of the Registrant hereby certify, to the best of my knowledge that:</w:t>
      </w:r>
    </w:p>
    <w:p>
      <w:pPr>
        <w:spacing w:after="0" w:line="84" w:lineRule="exact"/>
        <w:rPr>
          <w:sz w:val="20"/>
          <w:szCs w:val="20"/>
          <w:color w:val="auto"/>
        </w:rPr>
      </w:pPr>
    </w:p>
    <w:p>
      <w:pPr>
        <w:ind w:left="780" w:hanging="210"/>
        <w:spacing w:after="0"/>
        <w:tabs>
          <w:tab w:leader="none" w:pos="7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5" w:lineRule="exact"/>
        <w:rPr>
          <w:rFonts w:ascii="Arial" w:cs="Arial" w:eastAsia="Arial" w:hAnsi="Arial"/>
          <w:sz w:val="14"/>
          <w:szCs w:val="14"/>
          <w:color w:val="auto"/>
        </w:rPr>
      </w:pPr>
    </w:p>
    <w:p>
      <w:pPr>
        <w:ind w:left="780" w:hanging="210"/>
        <w:spacing w:after="0"/>
        <w:tabs>
          <w:tab w:leader="none" w:pos="7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line="221" w:lineRule="auto"/>
        <w:rPr>
          <w:sz w:val="20"/>
          <w:szCs w:val="20"/>
          <w:color w:val="auto"/>
        </w:rPr>
      </w:pPr>
      <w:r>
        <w:rPr>
          <w:rFonts w:ascii="Arial" w:cs="Arial" w:eastAsia="Arial" w:hAnsi="Arial"/>
          <w:sz w:val="14"/>
          <w:szCs w:val="14"/>
          <w:color w:val="auto"/>
        </w:rPr>
        <w:t>Title: Chief Financial Officer</w:t>
      </w:r>
    </w:p>
    <w:p>
      <w:pPr>
        <w:spacing w:after="0"/>
        <w:rPr>
          <w:sz w:val="20"/>
          <w:szCs w:val="20"/>
          <w:color w:val="auto"/>
        </w:rPr>
      </w:pPr>
      <w:r>
        <w:rPr>
          <w:rFonts w:ascii="Arial" w:cs="Arial" w:eastAsia="Arial" w:hAnsi="Arial"/>
          <w:sz w:val="14"/>
          <w:szCs w:val="14"/>
          <w:color w:val="auto"/>
        </w:rPr>
        <w:t>Date: November 22, 2016</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lvl w:ilvl="1">
      <w:lvlJc w:val="left"/>
      <w:lvlText w:val="%2)"/>
      <w:numFmt w:val="lowerLetter"/>
      <w:start w:val="3"/>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1)"/>
      <w:numFmt w:val="decimal"/>
      <w:start w:val="4"/>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lvl w:ilvl="1">
      <w:lvlJc w:val="left"/>
      <w:lvlText w:val="="/>
      <w:numFmt w:val="bullet"/>
      <w:start w:val="1"/>
    </w:lvl>
  </w:abstractNum>
  <w:abstractNum w:abstractNumId="12">
    <w:nsid w:val="12E685FB"/>
    <w:multiLevelType w:val="hybridMultilevel"/>
    <w:lvl w:ilvl="0">
      <w:lvlJc w:val="left"/>
      <w:lvlText w:val="(%1)"/>
      <w:numFmt w:val="decimal"/>
      <w:start w:val="1"/>
    </w:lvl>
  </w:abstractNum>
  <w:abstractNum w:abstractNumId="13">
    <w:nsid w:val="70C6A529"/>
    <w:multiLevelType w:val="hybridMultilevel"/>
    <w:lvl w:ilvl="0">
      <w:lvlJc w:val="left"/>
      <w:lvlText w:val="(%1)"/>
      <w:numFmt w:val="decimal"/>
      <w:start w:val="1"/>
    </w:lvl>
  </w:abstractNum>
  <w:abstractNum w:abstractNumId="14">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lvl w:ilvl="1">
      <w:lvlJc w:val="left"/>
      <w:lvlText w:val="%2)"/>
      <w:numFmt w:val="decimal"/>
      <w:start w:val="1"/>
    </w:lvl>
  </w:abstractNum>
  <w:abstractNum w:abstractNumId="17">
    <w:nsid w:val="23F9C13C"/>
    <w:multiLevelType w:val="hybridMultilevel"/>
    <w:lvl w:ilvl="0">
      <w:lvlJc w:val="left"/>
      <w:lvlText w:val="(%1)"/>
      <w:numFmt w:val="decimal"/>
      <w:start w:val="2"/>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1)"/>
      <w:numFmt w:val="decimal"/>
      <w:start w:val="1"/>
    </w:lvl>
  </w:abstractNum>
  <w:abstractNum w:abstractNumId="21">
    <w:nsid w:val="1CF10FD8"/>
    <w:multiLevelType w:val="hybridMultilevel"/>
    <w:lvl w:ilvl="0">
      <w:lvlJc w:val="left"/>
      <w:lvlText w:val="(%1)"/>
      <w:numFmt w:val="decimal"/>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1."/>
      <w:numFmt w:val="decimal"/>
      <w:start w:val="2"/>
    </w:lvl>
  </w:abstractNum>
  <w:abstractNum w:abstractNumId="25">
    <w:nsid w:val="354FE9F9"/>
    <w:multiLevelType w:val="hybridMultilevel"/>
    <w:lvl w:ilvl="0">
      <w:lvlJc w:val="left"/>
      <w:lvlText w:val="%1."/>
      <w:numFmt w:val="decimal"/>
      <w:start w:val="4"/>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1)"/>
      <w:numFmt w:val="decimal"/>
      <w:start w:val="4"/>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1)"/>
      <w:numFmt w:val="decimal"/>
      <w:start w:val="1"/>
    </w:lvl>
  </w:abstractNum>
  <w:abstractNum w:abstractNumId="46">
    <w:nsid w:val="15014ACB"/>
    <w:multiLevelType w:val="hybridMultilevel"/>
    <w:lvl w:ilvl="0">
      <w:lvlJc w:val="left"/>
      <w:lvlText w:val="%1"/>
      <w:numFmt w:val="decimal"/>
      <w:start w:val="1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1)"/>
      <w:numFmt w:val="lowerLetter"/>
      <w:start w:val="1"/>
    </w:lvl>
  </w:abstractNum>
  <w:abstractNum w:abstractNumId="49">
    <w:nsid w:val="799D0247"/>
    <w:multiLevelType w:val="hybridMultilevel"/>
    <w:lvl w:ilvl="0">
      <w:lvlJc w:val="left"/>
      <w:lvlText w:val="(%1)"/>
      <w:numFmt w:val="lowerLetter"/>
      <w:start w:val="7"/>
    </w:lvl>
  </w:abstractNum>
  <w:abstractNum w:abstractNumId="50">
    <w:nsid w:val="6B94764"/>
    <w:multiLevelType w:val="hybridMultilevel"/>
    <w:lvl w:ilvl="0">
      <w:lvlJc w:val="left"/>
      <w:lvlText w:val="(%1)"/>
      <w:numFmt w:val="lowerLetter"/>
      <w:start w:val="1"/>
    </w:lvl>
  </w:abstractNum>
  <w:abstractNum w:abstractNumId="51">
    <w:nsid w:val="42C296BD"/>
    <w:multiLevelType w:val="hybridMultilevel"/>
    <w:lvl w:ilvl="0">
      <w:lvlJc w:val="left"/>
      <w:lvlText w:val="(%1)"/>
      <w:numFmt w:val="lowerLetter"/>
      <w:start w:val="1"/>
    </w:lvl>
  </w:abstractNum>
  <w:abstractNum w:abstractNumId="52">
    <w:nsid w:val="168E121F"/>
    <w:multiLevelType w:val="hybridMultilevel"/>
    <w:lvl w:ilvl="0">
      <w:lvlJc w:val="left"/>
      <w:lvlText w:val="(%1)"/>
      <w:numFmt w:val="lowerLetter"/>
      <w:start w:val="1"/>
    </w:lvl>
    <w:lvl w:ilvl="1">
      <w:lvlJc w:val="left"/>
      <w:lvlText w:val="(%2)"/>
      <w:numFmt w:val="lowerLetter"/>
      <w:start w:val="3"/>
    </w:lvl>
  </w:abstractNum>
  <w:abstractNum w:abstractNumId="53">
    <w:nsid w:val="1EBA5D23"/>
    <w:multiLevelType w:val="hybridMultilevel"/>
    <w:lvl w:ilvl="0">
      <w:lvlJc w:val="left"/>
      <w:lvlText w:val="(%1)"/>
      <w:numFmt w:val="lowerLetter"/>
      <w:start w:val="1"/>
    </w:lvl>
  </w:abstractNum>
  <w:abstractNum w:abstractNumId="54">
    <w:nsid w:val="661E3F1E"/>
    <w:multiLevelType w:val="hybridMultilevel"/>
    <w:lvl w:ilvl="0">
      <w:lvlJc w:val="left"/>
      <w:lvlText w:val="(%1)"/>
      <w:numFmt w:val="lowerLetter"/>
      <w:start w:val="1"/>
    </w:lvl>
  </w:abstractNum>
  <w:abstractNum w:abstractNumId="55">
    <w:nsid w:val="5DC79EA8"/>
    <w:multiLevelType w:val="hybridMultilevel"/>
    <w:lvl w:ilvl="0">
      <w:lvlJc w:val="left"/>
      <w:lvlText w:val="(%1)"/>
      <w:numFmt w:val="lowerLetter"/>
      <w:start w:val="1"/>
    </w:lvl>
  </w:abstractNum>
  <w:abstractNum w:abstractNumId="56">
    <w:nsid w:val="540A471C"/>
    <w:multiLevelType w:val="hybridMultilevel"/>
    <w:lvl w:ilvl="0">
      <w:lvlJc w:val="left"/>
      <w:lvlText w:val="(%1)"/>
      <w:numFmt w:val="lowerLetter"/>
      <w:start w:val="1"/>
    </w:lvl>
  </w:abstractNum>
  <w:abstractNum w:abstractNumId="57">
    <w:nsid w:val="7BD3EE7B"/>
    <w:multiLevelType w:val="hybridMultilevel"/>
    <w:lvl w:ilvl="0">
      <w:lvlJc w:val="left"/>
      <w:lvlText w:val="(%1)"/>
      <w:numFmt w:val="lowerLetter"/>
      <w:start w:val="2"/>
    </w:lvl>
  </w:abstractNum>
  <w:abstractNum w:abstractNumId="58">
    <w:nsid w:val="51D9C564"/>
    <w:multiLevelType w:val="hybridMultilevel"/>
    <w:lvl w:ilvl="0">
      <w:lvlJc w:val="left"/>
      <w:lvlText w:val="1"/>
      <w:numFmt w:val="bullet"/>
      <w:start w:val="1"/>
    </w:lvl>
  </w:abstractNum>
  <w:abstractNum w:abstractNumId="59">
    <w:nsid w:val="613EFDC5"/>
    <w:multiLevelType w:val="hybridMultilevel"/>
    <w:lvl w:ilvl="0">
      <w:lvlJc w:val="left"/>
      <w:lvlText w:val="(%1)"/>
      <w:numFmt w:val="upperLetter"/>
      <w:start w:val="1"/>
    </w:lvl>
  </w:abstractNum>
  <w:abstractNum w:abstractNumId="60">
    <w:nsid w:val="BF72B14"/>
    <w:multiLevelType w:val="hybridMultilevel"/>
    <w:lvl w:ilvl="0">
      <w:lvlJc w:val="left"/>
      <w:lvlText w:val="(%1)"/>
      <w:numFmt w:val="upperLetter"/>
      <w:start w:val="11"/>
    </w:lvl>
  </w:abstractNum>
  <w:abstractNum w:abstractNumId="61">
    <w:nsid w:val="11447B73"/>
    <w:multiLevelType w:val="hybridMultilevel"/>
    <w:lvl w:ilvl="0">
      <w:lvlJc w:val="left"/>
      <w:lvlText w:val="(%1)"/>
      <w:numFmt w:val="lowerRoman"/>
      <w:start w:val="1"/>
    </w:lvl>
  </w:abstractNum>
  <w:abstractNum w:abstractNumId="62">
    <w:nsid w:val="42963E5A"/>
    <w:multiLevelType w:val="hybridMultilevel"/>
    <w:lvl w:ilvl="0">
      <w:lvlJc w:val="left"/>
      <w:lvlText w:val="(%1)"/>
      <w:numFmt w:val="upperLetter"/>
      <w:start w:val="1"/>
    </w:lvl>
  </w:abstractNum>
  <w:abstractNum w:abstractNumId="63">
    <w:nsid w:val="A0382C5"/>
    <w:multiLevelType w:val="hybridMultilevel"/>
    <w:lvl w:ilvl="0">
      <w:lvlJc w:val="left"/>
      <w:lvlText w:val="(%1)"/>
      <w:numFmt w:val="upperLetter"/>
      <w:start w:val="1"/>
    </w:lvl>
  </w:abstractNum>
  <w:abstractNum w:abstractNumId="64">
    <w:nsid w:val="8F2B15E"/>
    <w:multiLevelType w:val="hybridMultilevel"/>
    <w:lvl w:ilvl="0">
      <w:lvlJc w:val="left"/>
      <w:lvlText w:val="(%1)"/>
      <w:numFmt w:val="upperLetter"/>
      <w:start w:val="2"/>
    </w:lvl>
  </w:abstractNum>
  <w:abstractNum w:abstractNumId="65">
    <w:nsid w:val="1A32234B"/>
    <w:multiLevelType w:val="hybridMultilevel"/>
    <w:lvl w:ilvl="0">
      <w:lvlJc w:val="left"/>
      <w:lvlText w:val="%1"/>
      <w:numFmt w:val="upperLetter"/>
      <w:start w:val="1"/>
    </w:lvl>
    <w:lvl w:ilvl="1">
      <w:lvlJc w:val="left"/>
      <w:lvlText w:val="(%2)"/>
      <w:numFmt w:val="decimal"/>
      <w:start w:val="1"/>
    </w:lvl>
  </w:abstractNum>
  <w:abstractNum w:abstractNumId="66">
    <w:nsid w:val="3B0FD379"/>
    <w:multiLevelType w:val="hybridMultilevel"/>
    <w:lvl w:ilvl="0">
      <w:lvlJc w:val="left"/>
      <w:lvlText w:val="(%1)"/>
      <w:numFmt w:val="upperLetter"/>
      <w:start w:val="3"/>
    </w:lvl>
    <w:lvl w:ilvl="1">
      <w:lvlJc w:val="left"/>
      <w:lvlText w:val="%2"/>
      <w:numFmt w:val="decimal"/>
      <w:start w:val="1"/>
    </w:lvl>
  </w:abstractNum>
  <w:abstractNum w:abstractNumId="67">
    <w:nsid w:val="68EB2F63"/>
    <w:multiLevelType w:val="hybridMultilevel"/>
    <w:lvl w:ilvl="0">
      <w:lvlJc w:val="left"/>
      <w:lvlText w:val="(%1)"/>
      <w:numFmt w:val="upperLetter"/>
      <w:start w:val="4"/>
    </w:lvl>
  </w:abstractNum>
  <w:abstractNum w:abstractNumId="68">
    <w:nsid w:val="4962813B"/>
    <w:multiLevelType w:val="hybridMultilevel"/>
    <w:lvl w:ilvl="0">
      <w:lvlJc w:val="left"/>
      <w:lvlText w:val="(%1)"/>
      <w:numFmt w:val="upperLetter"/>
      <w:start w:val="5"/>
    </w:lvl>
  </w:abstractNum>
  <w:abstractNum w:abstractNumId="69">
    <w:nsid w:val="60B6DF70"/>
    <w:multiLevelType w:val="hybridMultilevel"/>
    <w:lvl w:ilvl="0">
      <w:lvlJc w:val="left"/>
      <w:lvlText w:val="%1"/>
      <w:numFmt w:val="upperLetter"/>
      <w:start w:val="1"/>
    </w:lvl>
    <w:lvl w:ilvl="1">
      <w:lvlJc w:val="left"/>
      <w:lvlText w:val="(%2)"/>
      <w:numFmt w:val="decimal"/>
      <w:start w:val="1"/>
    </w:lvl>
  </w:abstractNum>
  <w:abstractNum w:abstractNumId="70">
    <w:nsid w:val="6A5EE64"/>
    <w:multiLevelType w:val="hybridMultilevel"/>
    <w:lvl w:ilvl="0">
      <w:lvlJc w:val="left"/>
      <w:lvlText w:val="(%1)"/>
      <w:numFmt w:val="upperLetter"/>
      <w:start w:val="6"/>
    </w:lvl>
    <w:lvl w:ilvl="1">
      <w:lvlJc w:val="left"/>
      <w:lvlText w:val="%2"/>
      <w:numFmt w:val="decimal"/>
      <w:start w:val="1"/>
    </w:lvl>
  </w:abstractNum>
  <w:abstractNum w:abstractNumId="71">
    <w:nsid w:val="14330624"/>
    <w:multiLevelType w:val="hybridMultilevel"/>
    <w:lvl w:ilvl="0">
      <w:lvlJc w:val="left"/>
      <w:lvlText w:val="(%1)"/>
      <w:numFmt w:val="upperLetter"/>
      <w:start w:val="7"/>
    </w:lvl>
  </w:abstractNum>
  <w:abstractNum w:abstractNumId="72">
    <w:nsid w:val="7FFFCA11"/>
    <w:multiLevelType w:val="hybridMultilevel"/>
    <w:lvl w:ilvl="0">
      <w:lvlJc w:val="left"/>
      <w:lvlText w:val="(%1)"/>
      <w:numFmt w:val="upperLetter"/>
      <w:start w:val="8"/>
    </w:lvl>
  </w:abstractNum>
  <w:abstractNum w:abstractNumId="73">
    <w:nsid w:val="1A27709E"/>
    <w:multiLevelType w:val="hybridMultilevel"/>
    <w:lvl w:ilvl="0">
      <w:lvlJc w:val="left"/>
      <w:lvlText w:val="(%1)"/>
      <w:numFmt w:val="upperLetter"/>
      <w:start w:val="10"/>
    </w:lvl>
  </w:abstractNum>
  <w:abstractNum w:abstractNumId="74">
    <w:nsid w:val="71EA1109"/>
    <w:multiLevelType w:val="hybridMultilevel"/>
    <w:lvl w:ilvl="0">
      <w:lvlJc w:val="left"/>
      <w:lvlText w:val="(%1)"/>
      <w:numFmt w:val="upperLetter"/>
      <w:start w:val="11"/>
    </w:lvl>
  </w:abstractNum>
  <w:abstractNum w:abstractNumId="75">
    <w:nsid w:val="100F59DC"/>
    <w:multiLevelType w:val="hybridMultilevel"/>
    <w:lvl w:ilvl="0">
      <w:lvlJc w:val="left"/>
      <w:lvlText w:val="(%1)"/>
      <w:numFmt w:val="decimal"/>
      <w:start w:val="1"/>
    </w:lvl>
  </w:abstractNum>
  <w:abstractNum w:abstractNumId="76">
    <w:nsid w:val="7FB7E0AA"/>
    <w:multiLevelType w:val="hybridMultilevel"/>
    <w:lvl w:ilvl="0">
      <w:lvlJc w:val="left"/>
      <w:lvlText w:val="(%1)"/>
      <w:numFmt w:val="upperLetter"/>
      <w:start w:val="1"/>
    </w:lvl>
  </w:abstractNum>
  <w:abstractNum w:abstractNumId="77">
    <w:nsid w:val="6EB5BD4"/>
    <w:multiLevelType w:val="hybridMultilevel"/>
    <w:lvl w:ilvl="0">
      <w:lvlJc w:val="left"/>
      <w:lvlText w:val="(%1)"/>
      <w:numFmt w:val="upperLetter"/>
      <w:start w:val="2"/>
    </w:lvl>
  </w:abstractNum>
  <w:abstractNum w:abstractNumId="78">
    <w:nsid w:val="6F6DD9AC"/>
    <w:multiLevelType w:val="hybridMultilevel"/>
    <w:lvl w:ilvl="0">
      <w:lvlJc w:val="left"/>
      <w:lvlText w:val="(%1)"/>
      <w:numFmt w:val="upperLetter"/>
      <w:start w:val="3"/>
    </w:lvl>
  </w:abstractNum>
  <w:abstractNum w:abstractNumId="79">
    <w:nsid w:val="94211F2"/>
    <w:multiLevelType w:val="hybridMultilevel"/>
    <w:lvl w:ilvl="0">
      <w:lvlJc w:val="left"/>
      <w:lvlText w:val="(%1)"/>
      <w:numFmt w:val="upperLetter"/>
      <w:start w:val="1"/>
    </w:lvl>
  </w:abstractNum>
  <w:abstractNum w:abstractNumId="80">
    <w:nsid w:val="885E1B"/>
    <w:multiLevelType w:val="hybridMultilevel"/>
    <w:lvl w:ilvl="0">
      <w:lvlJc w:val="left"/>
      <w:lvlText w:val="(%1)"/>
      <w:numFmt w:val="upperLetter"/>
      <w:start w:val="2"/>
    </w:lvl>
    <w:lvl w:ilvl="1">
      <w:lvlJc w:val="left"/>
      <w:lvlText w:val="(%2)"/>
      <w:numFmt w:val="decimal"/>
      <w:start w:val="1"/>
    </w:lvl>
  </w:abstractNum>
  <w:abstractNum w:abstractNumId="81">
    <w:nsid w:val="76272110"/>
    <w:multiLevelType w:val="hybridMultilevel"/>
    <w:lvl w:ilvl="0">
      <w:lvlJc w:val="left"/>
      <w:lvlText w:val="(%1)"/>
      <w:numFmt w:val="upperLetter"/>
      <w:start w:val="5"/>
    </w:lvl>
  </w:abstractNum>
  <w:abstractNum w:abstractNumId="82">
    <w:nsid w:val="4C04A8AF"/>
    <w:multiLevelType w:val="hybridMultilevel"/>
    <w:lvl w:ilvl="0">
      <w:lvlJc w:val="left"/>
      <w:lvlText w:val="(%1)"/>
      <w:numFmt w:val="upperLetter"/>
      <w:start w:val="1"/>
    </w:lvl>
  </w:abstractNum>
  <w:abstractNum w:abstractNumId="83">
    <w:nsid w:val="1716703B"/>
    <w:multiLevelType w:val="hybridMultilevel"/>
    <w:lvl w:ilvl="0">
      <w:lvlJc w:val="left"/>
      <w:lvlText w:val="(%1)"/>
      <w:numFmt w:val="upperLetter"/>
      <w:start w:val="2"/>
    </w:lvl>
  </w:abstractNum>
  <w:abstractNum w:abstractNumId="84">
    <w:nsid w:val="14E17E33"/>
    <w:multiLevelType w:val="hybridMultilevel"/>
    <w:lvl w:ilvl="0">
      <w:lvlJc w:val="left"/>
      <w:lvlText w:val="(%1)"/>
      <w:numFmt w:val="upperLetter"/>
      <w:start w:val="1"/>
    </w:lvl>
    <w:lvl w:ilvl="1">
      <w:lvlJc w:val="left"/>
      <w:lvlText w:val="(%2)"/>
      <w:numFmt w:val="decimal"/>
      <w:start w:val="1"/>
    </w:lvl>
  </w:abstractNum>
  <w:abstractNum w:abstractNumId="85">
    <w:nsid w:val="3222E7CD"/>
    <w:multiLevelType w:val="hybridMultilevel"/>
    <w:lvl w:ilvl="0">
      <w:lvlJc w:val="left"/>
      <w:lvlText w:val="%1"/>
      <w:numFmt w:val="upperLetter"/>
      <w:start w:val="1"/>
    </w:lvl>
    <w:lvl w:ilvl="1">
      <w:lvlJc w:val="left"/>
      <w:lvlText w:val="(%2)"/>
      <w:numFmt w:val="decimal"/>
      <w:start w:val="5"/>
    </w:lvl>
  </w:abstractNum>
  <w:abstractNum w:abstractNumId="86">
    <w:nsid w:val="74DE0EE3"/>
    <w:multiLevelType w:val="hybridMultilevel"/>
    <w:lvl w:ilvl="0">
      <w:lvlJc w:val="left"/>
      <w:lvlText w:val="(%1)"/>
      <w:numFmt w:val="upperLetter"/>
      <w:start w:val="3"/>
    </w:lvl>
    <w:lvl w:ilvl="1">
      <w:lvlJc w:val="left"/>
      <w:lvlText w:val="(%2)"/>
      <w:numFmt w:val="decimal"/>
      <w:start w:val="1"/>
    </w:lvl>
  </w:abstractNum>
  <w:abstractNum w:abstractNumId="87">
    <w:nsid w:val="68EBC550"/>
    <w:multiLevelType w:val="hybridMultilevel"/>
    <w:lvl w:ilvl="0">
      <w:lvlJc w:val="left"/>
      <w:lvlText w:val="(%1)"/>
      <w:numFmt w:val="decimal"/>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2020-05-05T12:07:36Z</dcterms:created>
  <dcterms:modified xsi:type="dcterms:W3CDTF">2020-05-05T12:07:36Z</dcterms:modified>
</cp:coreProperties>
</file>