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August 06, 2015</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x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spacing w:after="0"/>
        <w:rPr>
          <w:sz w:val="20"/>
          <w:szCs w:val="20"/>
          <w:color w:val="auto"/>
        </w:rPr>
      </w:pPr>
      <w:r>
        <w:rPr>
          <w:rFonts w:ascii="Arial" w:cs="Arial" w:eastAsia="Arial" w:hAnsi="Arial"/>
          <w:sz w:val="22"/>
          <w:szCs w:val="22"/>
          <w:color w:val="auto"/>
        </w:rPr>
        <w:t>On August 6, 2015, PennantPark Floating Rate Capital Ltd. issued a press release announcing financial results for the third fiscal quarter ended June 30, 2015.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80"/>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ectPr>
          <w:pgSz w:w="11900" w:h="16884" w:orient="portrait"/>
          <w:cols w:equalWidth="0" w:num="1">
            <w:col w:w="11200"/>
          </w:cols>
          <w:pgMar w:left="320" w:top="828" w:right="379" w:bottom="0" w:gutter="0" w:footer="0" w:header="0"/>
        </w:sectPr>
      </w:pPr>
    </w:p>
    <w:bookmarkStart w:id="1" w:name="page2"/>
    <w:bookmarkEnd w:id="1"/>
    <w:p>
      <w:pPr>
        <w:ind w:right="100"/>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August 06,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40" w:type="dxa"/>
            <w:vAlign w:val="bottom"/>
          </w:tcPr>
          <w:p>
            <w:pPr>
              <w:spacing w:after="0"/>
              <w:rPr>
                <w:sz w:val="20"/>
                <w:szCs w:val="20"/>
                <w:color w:val="auto"/>
              </w:rPr>
            </w:pPr>
            <w:r>
              <w:rPr>
                <w:rFonts w:ascii="Arial" w:cs="Arial" w:eastAsia="Arial" w:hAnsi="Arial"/>
                <w:sz w:val="22"/>
                <w:szCs w:val="22"/>
                <w:color w:val="auto"/>
              </w:rPr>
              <w:t>Dated: August 06, 2015</w:t>
            </w:r>
          </w:p>
        </w:tc>
        <w:tc>
          <w:tcPr>
            <w:tcW w:w="6780" w:type="dxa"/>
            <w:vAlign w:val="bottom"/>
            <w:gridSpan w:val="3"/>
          </w:tcPr>
          <w:p>
            <w:pPr>
              <w:ind w:left="178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40" w:type="dxa"/>
            <w:vAlign w:val="bottom"/>
          </w:tcPr>
          <w:p>
            <w:pPr>
              <w:spacing w:after="0"/>
              <w:rPr>
                <w:sz w:val="24"/>
                <w:szCs w:val="24"/>
                <w:color w:val="auto"/>
              </w:rPr>
            </w:pPr>
          </w:p>
        </w:tc>
        <w:tc>
          <w:tcPr>
            <w:tcW w:w="6780" w:type="dxa"/>
            <w:vAlign w:val="bottom"/>
            <w:gridSpan w:val="3"/>
          </w:tcPr>
          <w:p>
            <w:pPr>
              <w:ind w:left="1780"/>
              <w:spacing w:after="0"/>
              <w:rPr>
                <w:sz w:val="20"/>
                <w:szCs w:val="20"/>
                <w:color w:val="auto"/>
              </w:rPr>
            </w:pPr>
            <w:r>
              <w:rPr>
                <w:rFonts w:ascii="Arial" w:cs="Arial" w:eastAsia="Arial" w:hAnsi="Arial"/>
                <w:sz w:val="22"/>
                <w:szCs w:val="22"/>
                <w:color w:val="auto"/>
              </w:rPr>
              <w:t>By: /s/ Aviv Efrat</w:t>
            </w:r>
          </w:p>
        </w:tc>
      </w:tr>
      <w:tr>
        <w:trPr>
          <w:trHeight w:val="20"/>
        </w:trPr>
        <w:tc>
          <w:tcPr>
            <w:tcW w:w="3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40" w:type="dxa"/>
            <w:vAlign w:val="bottom"/>
          </w:tcPr>
          <w:p>
            <w:pPr>
              <w:spacing w:after="0"/>
              <w:rPr>
                <w:sz w:val="21"/>
                <w:szCs w:val="21"/>
                <w:color w:val="auto"/>
              </w:rPr>
            </w:pPr>
          </w:p>
        </w:tc>
        <w:tc>
          <w:tcPr>
            <w:tcW w:w="6780" w:type="dxa"/>
            <w:vAlign w:val="bottom"/>
            <w:gridSpan w:val="3"/>
          </w:tcPr>
          <w:p>
            <w:pPr>
              <w:ind w:left="202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40" w:type="dxa"/>
            <w:vAlign w:val="bottom"/>
          </w:tcPr>
          <w:p>
            <w:pPr>
              <w:spacing w:after="0"/>
              <w:rPr>
                <w:sz w:val="23"/>
                <w:szCs w:val="23"/>
                <w:color w:val="auto"/>
              </w:rPr>
            </w:pPr>
          </w:p>
        </w:tc>
        <w:tc>
          <w:tcPr>
            <w:tcW w:w="6780" w:type="dxa"/>
            <w:vAlign w:val="bottom"/>
            <w:gridSpan w:val="3"/>
          </w:tcPr>
          <w:p>
            <w:pPr>
              <w:ind w:left="204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August 06,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36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Financial Results for the Quarter Ended June 30, 2015</w:t>
      </w:r>
    </w:p>
    <w:p>
      <w:pPr>
        <w:spacing w:after="0" w:line="213"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NEW YORK, NY -- (Marketwired - August 06, 2015) - PennantPark Floating Rate Capital Ltd. (NASDAQ: PFLT) announced today financial results for the third fiscal quarter ended June 30, 2015.</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20"/>
                <w:szCs w:val="20"/>
                <w:color w:val="auto"/>
              </w:rPr>
            </w:pPr>
            <w:r>
              <w:rPr>
                <w:rFonts w:ascii="Courier New" w:cs="Courier New" w:eastAsia="Courier New" w:hAnsi="Courier New"/>
                <w:sz w:val="18"/>
                <w:szCs w:val="18"/>
                <w:color w:val="auto"/>
              </w:rPr>
              <w:t>HIGHLIGHTS</w:t>
            </w: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Quarter ended June 30, 2015</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 in millions, except per share amounts)</w:t>
            </w: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358.8</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213.5</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14.33</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140.0</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1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8.3%</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0.285</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75.6</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investments</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53.2</w:t>
            </w:r>
          </w:p>
        </w:tc>
      </w:tr>
      <w:tr>
        <w:trPr>
          <w:trHeight w:val="405"/>
        </w:trPr>
        <w:tc>
          <w:tcPr>
            <w:tcW w:w="6020" w:type="dxa"/>
            <w:vAlign w:val="bottom"/>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114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11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portfolio companies</w:t>
            </w:r>
          </w:p>
        </w:tc>
        <w:tc>
          <w:tcPr>
            <w:tcW w:w="11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AUGUST 7, 2015</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PennantPark Floating Rate Capital Ltd. ("we," "our," "us" or "Company") will host a conference call at 10:00 a.m. (Eastern Time) on Friday, August 7, 2015 to discuss its financial results. All interested parties are welcome to participate. You can access the conference call by dialing (888) 516-2446 approximately 5-10 minutes prior to the call. International callers should dial (719)</w:t>
      </w:r>
    </w:p>
    <w:p>
      <w:pPr>
        <w:spacing w:after="0" w:line="1" w:lineRule="exact"/>
        <w:rPr>
          <w:sz w:val="20"/>
          <w:szCs w:val="20"/>
          <w:color w:val="auto"/>
        </w:rPr>
      </w:pPr>
    </w:p>
    <w:p>
      <w:pPr>
        <w:ind w:right="340"/>
        <w:spacing w:after="0" w:line="234" w:lineRule="auto"/>
        <w:rPr>
          <w:sz w:val="20"/>
          <w:szCs w:val="20"/>
          <w:color w:val="auto"/>
        </w:rPr>
      </w:pPr>
      <w:r>
        <w:rPr>
          <w:rFonts w:ascii="Arial" w:cs="Arial" w:eastAsia="Arial" w:hAnsi="Arial"/>
          <w:sz w:val="22"/>
          <w:szCs w:val="22"/>
          <w:color w:val="auto"/>
        </w:rPr>
        <w:t>325-2444. All callers should reference PennantPark Floating Rate Capital Ltd. An archived replay of the call will be available through August 21, 2015 by calling (888) 203-1112. International callers please dial (719) 457-0820. For all phone replays, please reference conference ID #9510199.</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ind w:right="140"/>
        <w:spacing w:after="0" w:line="234" w:lineRule="auto"/>
        <w:rPr>
          <w:sz w:val="20"/>
          <w:szCs w:val="20"/>
          <w:color w:val="auto"/>
        </w:rPr>
      </w:pPr>
      <w:r>
        <w:rPr>
          <w:rFonts w:ascii="Arial" w:cs="Arial" w:eastAsia="Arial" w:hAnsi="Arial"/>
          <w:sz w:val="22"/>
          <w:szCs w:val="22"/>
          <w:color w:val="auto"/>
        </w:rPr>
        <w:t>As of June 30, 2015, our portfolio totaled $358.8 million and consisted of $304.1 million of senior secured loans, $46.3 million of second lien secured debt and $8.4 million of subordinated debt, preferred and common equity. Our debt portfolio consisted of 97% variable-rate investments (including 93% with a London Interbank Offered Rate, or LIBOR, or prime floor) and 3% fixed-rate investments. Overall, the portfolio had net unrealized depreciation of $3.3 million. Our overall portfolio consisted of 72 companies with an average investment size of $5.0 million, had a weighted average yield on debt investments of 8.3%, and was invested 85% in senior secured loans, 13% in second lien secured debt and 2% in subordinated debt, preferred and common equity.</w:t>
      </w:r>
    </w:p>
    <w:p>
      <w:pPr>
        <w:spacing w:after="0" w:line="191"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As of September 30, 2014, our portfolio totaled $348.4 million and consisted of $302.5 million of senior secured loans, $36.5 million of second lien secured debt and $9.4 million of subordinated debt, preferred and common equity. Our debt portfolio consisted of 95% variable-rate investments (including 92% with a LIBOR or prime floor) and 5% fixed-rate investments. As of September 30, 2014, we had one non-accrual debt investment, representing 0.6% of our overall portfolio on a cost basis. Overall, the portfolio had net unrealized appreciation of $0.1 million. Our overall portfolio consisted of 72 companies with an average investment size of $4.8 million, had a weighted average yield on debt investments of 8.2%, and was invested 87% in senior secured loans, 10% in second lien secured debt and 3% in subordinated debt, preferred and common equity.</w:t>
      </w:r>
    </w:p>
    <w:p>
      <w:pPr>
        <w:spacing w:after="0" w:line="152" w:lineRule="exact"/>
        <w:rPr>
          <w:sz w:val="20"/>
          <w:szCs w:val="20"/>
          <w:color w:val="auto"/>
        </w:rPr>
      </w:pPr>
    </w:p>
    <w:p>
      <w:pPr>
        <w:ind w:right="260"/>
        <w:spacing w:after="0" w:line="249" w:lineRule="auto"/>
        <w:rPr>
          <w:sz w:val="20"/>
          <w:szCs w:val="20"/>
          <w:color w:val="auto"/>
        </w:rPr>
      </w:pPr>
      <w:r>
        <w:rPr>
          <w:rFonts w:ascii="Arial" w:cs="Arial" w:eastAsia="Arial" w:hAnsi="Arial"/>
          <w:sz w:val="21"/>
          <w:szCs w:val="21"/>
          <w:color w:val="auto"/>
        </w:rPr>
        <w:t>For the three months ended June 30, 2015, we invested $75.6 million in 12 new and 12 existing portfolio companies with a weighted average yield on debt investments of 6.9%. Sales and repayments of investments for the three months ended June 30, 2015 totaled $53.2 million. For the nine months ended June 30, 2015, we invested $161.0 million in 26 new and 26 existing portfolio companies with a weighted average yield on debt investments of 7.4%. Sales and repayments of investments for the nine months ended June 30, 2015 totaled $146.2 million.</w:t>
      </w:r>
    </w:p>
    <w:p>
      <w:pPr>
        <w:spacing w:after="0" w:line="178" w:lineRule="exact"/>
        <w:rPr>
          <w:sz w:val="20"/>
          <w:szCs w:val="20"/>
          <w:color w:val="auto"/>
        </w:rPr>
      </w:pPr>
    </w:p>
    <w:p>
      <w:pPr>
        <w:ind w:right="180"/>
        <w:spacing w:after="0" w:line="249" w:lineRule="auto"/>
        <w:rPr>
          <w:sz w:val="20"/>
          <w:szCs w:val="20"/>
          <w:color w:val="auto"/>
        </w:rPr>
      </w:pPr>
      <w:r>
        <w:rPr>
          <w:rFonts w:ascii="Arial" w:cs="Arial" w:eastAsia="Arial" w:hAnsi="Arial"/>
          <w:sz w:val="21"/>
          <w:szCs w:val="21"/>
          <w:color w:val="auto"/>
        </w:rPr>
        <w:t>For the three months ended June 30, 2014, we invested $30.6 million in four new and seven existing portfolio companies with a weighted average yield on debt investments of 7.1%. Sales and repayments of investments for the three months ended June 30, 2014 totaled $55.6 million. For the nine months ended June 30, 2014, we invested $185.0 million in 29 new and 25 existing portfolio companies with a weighted average yield on debt investments of 7.8%. Sales and repayments of investments for the nine months ended June 30, 2014 totaled $146.8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ectPr>
          <w:pgSz w:w="11900" w:h="16838" w:orient="portrait"/>
          <w:cols w:equalWidth="0" w:num="1">
            <w:col w:w="11240"/>
          </w:cols>
          <w:pgMar w:left="320" w:top="111" w:right="339" w:bottom="0" w:gutter="0" w:footer="0" w:header="0"/>
        </w:sectPr>
      </w:pPr>
    </w:p>
    <w:bookmarkStart w:id="3" w:name="page4"/>
    <w:bookmarkEnd w:id="3"/>
    <w:p>
      <w:pPr>
        <w:ind w:right="2140"/>
        <w:spacing w:after="0" w:line="435" w:lineRule="auto"/>
        <w:rPr>
          <w:sz w:val="20"/>
          <w:szCs w:val="20"/>
          <w:color w:val="auto"/>
        </w:rPr>
      </w:pPr>
      <w:r>
        <w:rPr>
          <w:rFonts w:ascii="Arial" w:cs="Arial" w:eastAsia="Arial" w:hAnsi="Arial"/>
          <w:sz w:val="22"/>
          <w:szCs w:val="22"/>
          <w:color w:val="auto"/>
        </w:rPr>
        <w:t xml:space="preserve">Set forth below are the results of operations for the three and nine months ended June 30, 2015 and 2014. </w:t>
      </w:r>
      <w:r>
        <w:rPr>
          <w:rFonts w:ascii="Arial" w:cs="Arial" w:eastAsia="Arial" w:hAnsi="Arial"/>
          <w:sz w:val="22"/>
          <w:szCs w:val="22"/>
          <w:b w:val="1"/>
          <w:bCs w:val="1"/>
          <w:color w:val="auto"/>
        </w:rPr>
        <w:t>Investment Income</w:t>
      </w:r>
    </w:p>
    <w:p>
      <w:pPr>
        <w:spacing w:after="0" w:line="2"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Investment income for the three and nine months ended June 30, 2015 was $7.1 million and $22.6 million, respectively, and was attributable to $5.4 million and $17.4 million from senior secured loans and $1.7 million and $5.2 million from second lien secured debt and subordinated debt. This compares to investment income for the three and nine months ended June 30, 2014, which was $7.7 million and $22.1 million, respectively, and was attributable to $6.2 million and $17.9 million from senior secured loans and $1.5 million and $4.2 million from second lien secured debt and subordinated debt. The decrease in investment income for the three months ended June 30, 2015 as compared to the same period in the prior year was due to the timing of deployment of capital during the quarter. The increase in investment income for the nine months ended June 30, 2015 compared to the same period over the prior year was primarily due to a higher yielding portfolio.</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Expenses for the three and nine months ended June 30, 2015 totaled $3.0 million and $8.5 million, respectively. Base management fee for the same periods totaled $0.9 million and $2.6 million, incentive fee totaled $0.6 million (including zero on net realized gains and $0.1 million on net unrealized gains accrued but not payable) and $1.7 million (including $(0.4) million on net realized gains and $(0.2) million on net unrealized gains accrued but not payable), our multi-currency, senior secured revolving credit facility, as amended and restated, or the Credit Facility, expenses totaled $1.0 million (including $0.2 million of Credit Facility amendment expenses) and $2.6 million (including $0.2 million of Credit Facility amendment expenses), general and administrative expenses totaled $0.4 million and $1.3 million and excise taxes were $0.1 million and $0.3 million, respectively. This compares to expenses for the three and nine months ended June 30, 2014, which totaled $3.3 million and $10.8 million, respectively. Base management fee for the same periods totaled $1.0 million and $2.8 million, incentive fee totaled $0.8 million (including $0.1 million on net unrealized gains accrued but not payable) and $2.9 million (including $0.6 million on net unrealized gains accrued but not payable), Credit Facility expenses totaled $0.9 million and $3.3 million (including $0.7 million of Credit Facility amendment expenses), general and administrative expenses totaled $0.5 million and $1.4 million and excise taxes were $0.1 million and $0.4 million, respectively. The decrease in expenses compared to the same periods in the prior year was primarily due to a reduction in the accrual of incentive fees on realized and unrealized gains on the portfolio.</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Net investment income totaled $4.1 million and $14.0 million, or $0.28 and $0.94 per share, for the three and nine months ended June 30, 2015, respectively. Net investment income totaled $4.4 million and $11.3 million, or $0.29 and $0.76 per share, for the three and nine months ended June 30, 2014, respectively. For the three months ended June 30, 2015, net investment income decreased over the same period in the prior year as a result of changes in the yield environment, whereas, for the nine months ended June 30, 2015, net investment income increased over the same period in the prior year due to a higher yielding portfolio, and a reduction in incentive fees on net realized and net unrealized gains on the portfolio.</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Sales and repayments of investments for the three and nine months ended June 30, 2015 totaled $53.2 million and $146.2 million and net realized gains totaled zero and $0.4 million, respectively. Sales and repayments of investments totaled $55.6 million and $146.8 million and realized gains totaled $0.7 million and $1.8 million for the three and nine months ended June 30, 2014, respectively. The change in realized gains compared to the same periods in the prior year was primarily driven by changes in market conditions for our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For the three and nine months ended June 30, 2015, we reported net unrealized appreciation (depreciation) on investments of $0.7 million and $(3.4) million, respectively. For the three and nine months ended June 30, 2014, we reported net unrealized (depreciation) appreciation on investments of $(0.1) million and $5.1 million, respectively. As of June 30, 2015 and September 30, 2014, net unrealized (depreciation) appreciation on investments totaled $(3.3) million and $0.1 million, respectively. The change in net unrealized appreciation (depreciation) compared to the same periods in the prior year was primarily the result of the overall variation in the leveraged finance markets.</w:t>
      </w:r>
    </w:p>
    <w:p>
      <w:pPr>
        <w:spacing w:after="0" w:line="188"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For the three and nine months ended June 30, 2015, our Credit Facility had an unrealized depreciation of zero and $0.2 million, respectively. For each of the three and nine months ended June 30, 2014, our Credit Facility had an unrealized appreciation of zero. As of June 30, 2015 and September 30, 2014, net unrealized appreciation on our Credit Facility totaled $0.3 million and $0.5 million, respectively. The change in net unrealized appreciation compared to the same period in the prior year was primarily due to changes in the capital markets.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Net change in net assets resulting from operations totaled $4.7 million and $11.3 million, or $0.32 and $0.76 per share, respectively, for the three and nine months ended June 30, 2015. This compares to a net change in net assets resulting from operations which totaled $4.9 million and $18.2 million, or $0.33 and $1.22 per share, respectively, for the three and nine months ended June 30, 2014. The decrease in the net change in net assets from operations compared to the same periods in the prior year reflects the change in portfolio investment valuation during the reporting period.</w:t>
      </w:r>
    </w:p>
    <w:p>
      <w:pPr>
        <w:sectPr>
          <w:pgSz w:w="11900" w:h="16838" w:orient="portrait"/>
          <w:cols w:equalWidth="0" w:num="1">
            <w:col w:w="11240"/>
          </w:cols>
          <w:pgMar w:left="320" w:top="118" w:right="339" w:bottom="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3"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7"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As of June 30, 2015 and September 30, 2014, we had $139.7 million and $146.4 million of outstanding borrowings under the Credit Facility, respectively, and carried an interest rate of 2.19% and 2.16%, respectively, excluding the 0.375% undrawn commitment fee. The annualized weighted average cost of debt for the nine months ended June 30, 2015 and 2014, inclusive of the fee on the undrawn commitment on the Credit Facility but excluding amendment costs, was 2.48% and 2.36%, respectively.</w:t>
      </w:r>
    </w:p>
    <w:p>
      <w:pPr>
        <w:spacing w:after="0" w:line="143" w:lineRule="exact"/>
        <w:rPr>
          <w:sz w:val="20"/>
          <w:szCs w:val="20"/>
          <w:color w:val="auto"/>
        </w:rPr>
      </w:pPr>
    </w:p>
    <w:p>
      <w:pPr>
        <w:ind w:right="20"/>
        <w:spacing w:after="0" w:line="274" w:lineRule="auto"/>
        <w:rPr>
          <w:sz w:val="20"/>
          <w:szCs w:val="20"/>
          <w:color w:val="auto"/>
        </w:rPr>
      </w:pPr>
      <w:r>
        <w:rPr>
          <w:rFonts w:ascii="Arial" w:cs="Arial" w:eastAsia="Arial" w:hAnsi="Arial"/>
          <w:sz w:val="21"/>
          <w:szCs w:val="21"/>
          <w:color w:val="auto"/>
        </w:rPr>
        <w:t>As of June 30, 2015 and September 30, 2014, we had $60.3 million and $53.6 million of unused borrowing capacity, respectively, subject to the regulatory restrictions that the 1940 Act imposes on us as a business development company.</w:t>
      </w:r>
    </w:p>
    <w:p>
      <w:pPr>
        <w:spacing w:after="0" w:line="151" w:lineRule="exact"/>
        <w:rPr>
          <w:sz w:val="20"/>
          <w:szCs w:val="20"/>
          <w:color w:val="auto"/>
        </w:rPr>
      </w:pPr>
    </w:p>
    <w:p>
      <w:pPr>
        <w:jc w:val="both"/>
        <w:ind w:right="300"/>
        <w:spacing w:after="0"/>
        <w:rPr>
          <w:sz w:val="20"/>
          <w:szCs w:val="20"/>
          <w:color w:val="auto"/>
        </w:rPr>
      </w:pPr>
      <w:r>
        <w:rPr>
          <w:rFonts w:ascii="Arial" w:cs="Arial" w:eastAsia="Arial" w:hAnsi="Arial"/>
          <w:sz w:val="22"/>
          <w:szCs w:val="22"/>
          <w:color w:val="auto"/>
        </w:rPr>
        <w:t>On June 30, 2015 and September 30, 2014, we had cash equivalents of $10.5 million and $13.1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ind w:right="320"/>
        <w:spacing w:after="0" w:line="297" w:lineRule="auto"/>
        <w:rPr>
          <w:sz w:val="20"/>
          <w:szCs w:val="20"/>
          <w:color w:val="auto"/>
        </w:rPr>
      </w:pPr>
      <w:r>
        <w:rPr>
          <w:rFonts w:ascii="Arial" w:cs="Arial" w:eastAsia="Arial" w:hAnsi="Arial"/>
          <w:sz w:val="19"/>
          <w:szCs w:val="19"/>
          <w:color w:val="auto"/>
        </w:rPr>
        <w:t>Our operating activities provided cash of $16.4 million for the nine months ended June 30, 2015, and our financing activities used cash of $19.0 million for the same period. Our operating activities provided cash primarily from sales and repayments on our investment activities and our financing activities used cash primarily from net repayments under the Credit Facility.</w:t>
      </w:r>
    </w:p>
    <w:p>
      <w:pPr>
        <w:spacing w:after="0" w:line="134"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Our operating activities used cash of $37.9 million for the nine months ended June 30, 2014, and our financing activities provided cash of $43.3 million for the same period. Our operating activities used cash primarily for our investment activities and our financing activities provided cash primarily from net draws under the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 OF MCG CAPITAL CORPORATION</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On April 29, 2015, PFLT and MCG Capital Corporation (NASDAQ: MCGC), or MCG, announced that we have entered into a definitive agreement, under which we, through our wholly owned subsidiaries, PFLT Panama, LLC and PFLT Funding II, LLC, will acquire MCG in a stock and cash transaction valued at approximately $175 million, or approximately $4.75 per MCG share at closing. MCG stockholders will have the right to receive, per each share of MCG common stock, a number of shares of our common stock equal to $4.521 and $0.226 in cash (subject to an upward adjustment) paid by PennantPark Investment Advisers, LLC. At a special meeting of our stockholders to be held on August 14, 2015, our stockholders of record at the close of business on July 13, 2015 will be asked to vote on the approval of issuance of our common stock pursuant to the merger. The transaction is expected to close during the third calendar quarter of 2015.</w:t>
      </w:r>
    </w:p>
    <w:p>
      <w:pPr>
        <w:spacing w:after="0" w:line="180"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The boards of directors of PFLT and MCG have each unanimously approved the transaction. Our board of directors unanimously recommends that our stockholders vote "FOR" approval of the issuance of our common stock to be issued pursuant to the merger agreement.</w:t>
      </w:r>
    </w:p>
    <w:p>
      <w:pPr>
        <w:spacing w:after="0" w:line="186"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The merger will be accounted for by us under the asset acquisition method of accounting in accordance with ASC 805-50, Business Combinations-Related Issues. Under the asset acquisition method of accounting, the acquiring entity is required to fair value the assets and liabilities transferred. The cost of the group of assets acquired in an asset acquisition is allocated to the individual assets acquired or liabilities assumed based on their relative fair values other than "non-qualifying" assets (for example cash or marketable securities) and does not give rise to goodwill. Furthermore, the cost of assets recognized by the acquiring entity generally includes transaction costs incurred as part of the asset acquisition, and no gain or loss is recognized in connection with such transfer.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During the three and nine months ended June 30, 2015, we declared distributions of $0.285 and $0.830 per share, respectively, for total distributions of $4.2 million and $12.3 million, respectively. For the same periods in the prior year, we declared distributions of $0.270 and $0.808 per share, respectively, for total distributions of $4.0 million and $12.0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distributions will be reported to stockholders on Form 1099-DIV after the end of the calendar year and in our periodic reports filed with the Securities and Exchange Commission, or the SEC.</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its website at www.pennantpark.com.</w:t>
      </w:r>
    </w:p>
    <w:p>
      <w:pPr>
        <w:sectPr>
          <w:pgSz w:w="11900" w:h="16838" w:orient="portrait"/>
          <w:cols w:equalWidth="0" w:num="1">
            <w:col w:w="11240"/>
          </w:cols>
          <w:pgMar w:left="320" w:top="112"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PENNANTPARK FLOATING RATE CAPITAL LTD. AND SUBSIDIARIES</w:t>
      </w:r>
    </w:p>
    <w:p>
      <w:pPr>
        <w:sectPr>
          <w:pgSz w:w="11900" w:h="16838" w:orient="portrait"/>
          <w:cols w:equalWidth="0" w:num="1">
            <w:col w:w="11240"/>
          </w:cols>
          <w:pgMar w:left="320" w:top="112" w:right="33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6540" w:type="dxa"/>
            <w:vAlign w:val="bottom"/>
            <w:gridSpan w:val="4"/>
          </w:tcPr>
          <w:p>
            <w:pPr>
              <w:ind w:left="1380"/>
              <w:spacing w:after="0"/>
              <w:rPr>
                <w:sz w:val="20"/>
                <w:szCs w:val="20"/>
                <w:color w:val="auto"/>
              </w:rPr>
            </w:pPr>
            <w:r>
              <w:rPr>
                <w:rFonts w:ascii="Courier New" w:cs="Courier New" w:eastAsia="Courier New" w:hAnsi="Courier New"/>
                <w:sz w:val="18"/>
                <w:szCs w:val="18"/>
                <w:color w:val="auto"/>
                <w:w w:val="97"/>
              </w:rPr>
              <w:t>CONSOLIDATED STATEMENTS OF ASSETS AND LIABILITIES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2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4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June 30, 2015</w:t>
            </w:r>
          </w:p>
        </w:tc>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2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(unaudited)</w:t>
            </w:r>
          </w:p>
        </w:tc>
        <w:tc>
          <w:tcPr>
            <w:tcW w:w="160" w:type="dxa"/>
            <w:vAlign w:val="bottom"/>
          </w:tcPr>
          <w:p>
            <w:pPr>
              <w:spacing w:after="0"/>
              <w:rPr>
                <w:sz w:val="17"/>
                <w:szCs w:val="17"/>
                <w:color w:val="auto"/>
              </w:rPr>
            </w:pP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2014</w:t>
            </w:r>
          </w:p>
        </w:tc>
      </w:tr>
      <w:tr>
        <w:trPr>
          <w:trHeight w:val="203"/>
        </w:trPr>
        <w:tc>
          <w:tcPr>
            <w:tcW w:w="2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Investments at fair value</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 investments</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51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(cost--$362,124,910 and $348,354,295,</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360" w:type="dxa"/>
            <w:vAlign w:val="bottom"/>
          </w:tcPr>
          <w:p>
            <w:pPr>
              <w:spacing w:after="0"/>
              <w:rPr>
                <w:sz w:val="17"/>
                <w:szCs w:val="17"/>
                <w:color w:val="auto"/>
              </w:rPr>
            </w:pPr>
          </w:p>
        </w:tc>
        <w:tc>
          <w:tcPr>
            <w:tcW w:w="2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$ 358,819,617</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$ 348,428,492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10,475,621</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13,113,817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1,983,723</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1,773,870</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Receivable for investments sold</w:t>
            </w: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1,003,750</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9,001,938</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1,155,816</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556,359</w:t>
            </w:r>
          </w:p>
        </w:tc>
      </w:tr>
      <w:tr>
        <w:trPr>
          <w:trHeight w:val="203"/>
        </w:trPr>
        <w:tc>
          <w:tcPr>
            <w:tcW w:w="2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373,438,527</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372,874,476</w:t>
            </w:r>
          </w:p>
        </w:tc>
      </w:tr>
      <w:tr>
        <w:trPr>
          <w:trHeight w:val="203"/>
        </w:trPr>
        <w:tc>
          <w:tcPr>
            <w:tcW w:w="2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1,415,315</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1,340,825</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16,081,850</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3,162,000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2,705,882</w:t>
            </w:r>
          </w:p>
        </w:tc>
      </w:tr>
      <w:tr>
        <w:trPr>
          <w:trHeight w:val="203"/>
        </w:trPr>
        <w:tc>
          <w:tcPr>
            <w:tcW w:w="5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Credit Facility payable (cost--$139,700,000 and</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0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$146,400,000, respectively)</w:t>
            </w: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140,015,250</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146,949,000</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w:t>
            </w: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262,251</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284,906</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881,953</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914,978</w:t>
            </w:r>
          </w:p>
        </w:tc>
      </w:tr>
      <w:tr>
        <w:trPr>
          <w:trHeight w:val="203"/>
        </w:trPr>
        <w:tc>
          <w:tcPr>
            <w:tcW w:w="5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1,051,174</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2,180,604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278,944</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808,571</w:t>
            </w:r>
          </w:p>
        </w:tc>
      </w:tr>
      <w:tr>
        <w:trPr>
          <w:trHeight w:val="203"/>
        </w:trPr>
        <w:tc>
          <w:tcPr>
            <w:tcW w:w="2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159,986,737</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158,346,766</w:t>
            </w:r>
          </w:p>
        </w:tc>
      </w:tr>
      <w:tr>
        <w:trPr>
          <w:trHeight w:val="203"/>
        </w:trPr>
        <w:tc>
          <w:tcPr>
            <w:tcW w:w="2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Common stock, 14,898,056 shares issued and</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Par value $0.001 per share and 100,000,000</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14,898</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14,898</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Paid-in capital in excess of par value</w:t>
            </w: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207,226,615</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207,226,615</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Undistributed net investment income</w:t>
            </w: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6,534,376</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4,878,091</w:t>
            </w:r>
          </w:p>
        </w:tc>
      </w:tr>
      <w:tr>
        <w:trPr>
          <w:trHeight w:val="203"/>
        </w:trPr>
        <w:tc>
          <w:tcPr>
            <w:tcW w:w="5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Accumulated net realized gain on investments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3,296,444</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2,882,909</w:t>
            </w:r>
          </w:p>
        </w:tc>
      </w:tr>
      <w:tr>
        <w:trPr>
          <w:trHeight w:val="203"/>
        </w:trPr>
        <w:tc>
          <w:tcPr>
            <w:tcW w:w="5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Net unrealized (depreciation) appreciation on</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(3,305,293)</w:t>
            </w:r>
          </w:p>
        </w:tc>
        <w:tc>
          <w:tcPr>
            <w:tcW w:w="1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74,197</w:t>
            </w:r>
          </w:p>
        </w:tc>
      </w:tr>
      <w:tr>
        <w:trPr>
          <w:trHeight w:val="203"/>
        </w:trPr>
        <w:tc>
          <w:tcPr>
            <w:tcW w:w="5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Net unrealized appreciation on Credit Facility</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(315,250)</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(549,000)</w:t>
            </w:r>
          </w:p>
        </w:tc>
      </w:tr>
      <w:tr>
        <w:trPr>
          <w:trHeight w:val="203"/>
        </w:trPr>
        <w:tc>
          <w:tcPr>
            <w:tcW w:w="2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360" w:type="dxa"/>
            <w:vAlign w:val="bottom"/>
          </w:tcPr>
          <w:p>
            <w:pPr>
              <w:spacing w:after="0"/>
              <w:rPr>
                <w:sz w:val="17"/>
                <w:szCs w:val="17"/>
                <w:color w:val="auto"/>
              </w:rPr>
            </w:pPr>
          </w:p>
        </w:tc>
        <w:tc>
          <w:tcPr>
            <w:tcW w:w="2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$ 213,451,790</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$ 214,527,710</w:t>
            </w:r>
          </w:p>
        </w:tc>
      </w:tr>
      <w:tr>
        <w:trPr>
          <w:trHeight w:val="203"/>
        </w:trPr>
        <w:tc>
          <w:tcPr>
            <w:tcW w:w="2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2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$ 373,438,527</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$ 372,874,476</w:t>
            </w:r>
          </w:p>
        </w:tc>
      </w:tr>
      <w:tr>
        <w:trPr>
          <w:trHeight w:val="203"/>
        </w:trPr>
        <w:tc>
          <w:tcPr>
            <w:tcW w:w="2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Net asset value per share</w:t>
            </w:r>
          </w:p>
        </w:tc>
        <w:tc>
          <w:tcPr>
            <w:tcW w:w="1360" w:type="dxa"/>
            <w:vAlign w:val="bottom"/>
          </w:tcPr>
          <w:p>
            <w:pPr>
              <w:spacing w:after="0"/>
              <w:rPr>
                <w:sz w:val="17"/>
                <w:szCs w:val="17"/>
                <w:color w:val="auto"/>
              </w:rPr>
            </w:pPr>
          </w:p>
        </w:tc>
        <w:tc>
          <w:tcPr>
            <w:tcW w:w="11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14.33</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14.40</w:t>
            </w:r>
          </w:p>
        </w:tc>
      </w:tr>
      <w:tr>
        <w:trPr>
          <w:trHeight w:val="202"/>
        </w:trPr>
        <w:tc>
          <w:tcPr>
            <w:tcW w:w="2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810"/>
        </w:trPr>
        <w:tc>
          <w:tcPr>
            <w:tcW w:w="8020" w:type="dxa"/>
            <w:vAlign w:val="bottom"/>
            <w:gridSpan w:val="6"/>
          </w:tcPr>
          <w:p>
            <w:pPr>
              <w:jc w:val="center"/>
              <w:ind w:left="12"/>
              <w:spacing w:after="0"/>
              <w:rPr>
                <w:sz w:val="20"/>
                <w:szCs w:val="20"/>
                <w:color w:val="auto"/>
              </w:rPr>
            </w:pPr>
            <w:r>
              <w:rPr>
                <w:rFonts w:ascii="Courier New" w:cs="Courier New" w:eastAsia="Courier New" w:hAnsi="Courier New"/>
                <w:sz w:val="18"/>
                <w:szCs w:val="18"/>
                <w:color w:val="auto"/>
                <w:w w:val="97"/>
              </w:rPr>
              <w:t>PENNANTPARK FLOATING RATE CAPITAL LTD. AND SUBSIDIARIES</w:t>
            </w:r>
          </w:p>
        </w:tc>
      </w:tr>
      <w:tr>
        <w:trPr>
          <w:trHeight w:val="203"/>
        </w:trPr>
        <w:tc>
          <w:tcPr>
            <w:tcW w:w="6540" w:type="dxa"/>
            <w:vAlign w:val="bottom"/>
            <w:gridSpan w:val="4"/>
          </w:tcPr>
          <w:p>
            <w:pPr>
              <w:jc w:val="center"/>
              <w:ind w:left="1512"/>
              <w:spacing w:after="0" w:line="203" w:lineRule="exact"/>
              <w:rPr>
                <w:sz w:val="20"/>
                <w:szCs w:val="20"/>
                <w:color w:val="auto"/>
              </w:rPr>
            </w:pPr>
            <w:r>
              <w:rPr>
                <w:rFonts w:ascii="Courier New" w:cs="Courier New" w:eastAsia="Courier New" w:hAnsi="Courier New"/>
                <w:sz w:val="18"/>
                <w:szCs w:val="18"/>
                <w:color w:val="auto"/>
                <w:w w:val="97"/>
              </w:rPr>
              <w:t>CONSOLIDATED STATEMENTS OF OPERATIONS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520" w:type="dxa"/>
            <w:vAlign w:val="bottom"/>
            <w:gridSpan w:val="2"/>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2640" w:type="dxa"/>
            <w:vAlign w:val="bottom"/>
          </w:tcPr>
          <w:p>
            <w:pPr>
              <w:spacing w:after="0"/>
              <w:rPr>
                <w:sz w:val="24"/>
                <w:szCs w:val="24"/>
                <w:color w:val="auto"/>
              </w:rPr>
            </w:pPr>
          </w:p>
        </w:tc>
        <w:tc>
          <w:tcPr>
            <w:tcW w:w="252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Three Months Ended</w:t>
            </w:r>
          </w:p>
        </w:tc>
        <w:tc>
          <w:tcPr>
            <w:tcW w:w="2860" w:type="dxa"/>
            <w:vAlign w:val="bottom"/>
            <w:gridSpan w:val="3"/>
          </w:tcPr>
          <w:p>
            <w:pPr>
              <w:jc w:val="right"/>
              <w:ind w:right="3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2640" w:type="dxa"/>
            <w:vAlign w:val="bottom"/>
          </w:tcPr>
          <w:p>
            <w:pPr>
              <w:spacing w:after="0"/>
              <w:rPr>
                <w:sz w:val="17"/>
                <w:szCs w:val="17"/>
                <w:color w:val="auto"/>
              </w:rPr>
            </w:pPr>
          </w:p>
        </w:tc>
        <w:tc>
          <w:tcPr>
            <w:tcW w:w="25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June 30,</w:t>
            </w:r>
          </w:p>
        </w:tc>
        <w:tc>
          <w:tcPr>
            <w:tcW w:w="2860" w:type="dxa"/>
            <w:vAlign w:val="bottom"/>
            <w:gridSpan w:val="3"/>
          </w:tcPr>
          <w:p>
            <w:pPr>
              <w:jc w:val="right"/>
              <w:ind w:right="77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2640" w:type="dxa"/>
            <w:vAlign w:val="bottom"/>
          </w:tcPr>
          <w:p>
            <w:pPr>
              <w:spacing w:after="0"/>
              <w:rPr>
                <w:sz w:val="17"/>
                <w:szCs w:val="17"/>
                <w:color w:val="auto"/>
              </w:rPr>
            </w:pPr>
          </w:p>
        </w:tc>
        <w:tc>
          <w:tcPr>
            <w:tcW w:w="2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28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2015</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2014</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2015</w:t>
            </w:r>
          </w:p>
        </w:tc>
        <w:tc>
          <w:tcPr>
            <w:tcW w:w="160" w:type="dxa"/>
            <w:vAlign w:val="bottom"/>
          </w:tcPr>
          <w:p>
            <w:pPr>
              <w:spacing w:after="0"/>
              <w:rPr>
                <w:sz w:val="17"/>
                <w:szCs w:val="17"/>
                <w:color w:val="auto"/>
              </w:rPr>
            </w:pP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2014</w:t>
            </w:r>
          </w:p>
        </w:tc>
      </w:tr>
      <w:tr>
        <w:trPr>
          <w:trHeight w:val="203"/>
        </w:trPr>
        <w:tc>
          <w:tcPr>
            <w:tcW w:w="264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non-affiliated</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$ 6,940,910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$ 7,524,629</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$21,457,084</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$ 21,808,074</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163,377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143,904</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1,107,182</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327,828</w:t>
            </w:r>
          </w:p>
        </w:tc>
      </w:tr>
      <w:tr>
        <w:trPr>
          <w:trHeight w:val="203"/>
        </w:trPr>
        <w:tc>
          <w:tcPr>
            <w:tcW w:w="264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7,104,287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7,668,533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22,564,266</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22,135,902</w:t>
            </w:r>
          </w:p>
        </w:tc>
      </w:tr>
      <w:tr>
        <w:trPr>
          <w:trHeight w:val="203"/>
        </w:trPr>
        <w:tc>
          <w:tcPr>
            <w:tcW w:w="264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881,953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953,096</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2,616,499</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2,787,848</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incentive fee</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630,806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825,796</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1,662,731</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2,926,261</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expenses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on the Credit</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Facility</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785,899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888,718</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2,447,632</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2,588,843</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services expenses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223,500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673,000</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678,000</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ectPr>
          <w:pgSz w:w="11900" w:h="16838" w:orient="portrait"/>
          <w:cols w:equalWidth="0" w:num="1">
            <w:col w:w="10139"/>
          </w:cols>
          <w:pgMar w:left="32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ind w:left="320"/>
              <w:spacing w:after="0"/>
              <w:rPr>
                <w:sz w:val="20"/>
                <w:szCs w:val="20"/>
                <w:color w:val="auto"/>
              </w:rPr>
            </w:pPr>
            <w:r>
              <w:rPr>
                <w:rFonts w:ascii="Courier New" w:cs="Courier New" w:eastAsia="Courier New" w:hAnsi="Courier New"/>
                <w:sz w:val="18"/>
                <w:szCs w:val="18"/>
                <w:color w:val="auto"/>
              </w:rPr>
              <w:t>administrative</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2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212,672</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241,985</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650,422</w:t>
            </w:r>
          </w:p>
        </w:tc>
        <w:tc>
          <w:tcPr>
            <w:tcW w:w="2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766,639</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Expenses before excise</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 and amendment</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costs</w:t>
            </w:r>
          </w:p>
        </w:tc>
        <w:tc>
          <w:tcPr>
            <w:tcW w:w="2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2,734,830</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3,185,595</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8,050,284</w:t>
            </w:r>
          </w:p>
        </w:tc>
        <w:tc>
          <w:tcPr>
            <w:tcW w:w="2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9,747,591</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Excise tax</w:t>
            </w:r>
          </w:p>
        </w:tc>
        <w:tc>
          <w:tcPr>
            <w:tcW w:w="2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110,000</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120,000</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330,000</w:t>
            </w:r>
          </w:p>
        </w:tc>
        <w:tc>
          <w:tcPr>
            <w:tcW w:w="2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360,000</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amendment costs</w:t>
            </w:r>
          </w:p>
        </w:tc>
        <w:tc>
          <w:tcPr>
            <w:tcW w:w="2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162,311</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162,311</w:t>
            </w:r>
          </w:p>
        </w:tc>
        <w:tc>
          <w:tcPr>
            <w:tcW w:w="2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712,930</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2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3,007,141</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3,305,595</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8,542,595</w:t>
            </w:r>
          </w:p>
        </w:tc>
        <w:tc>
          <w:tcPr>
            <w:tcW w:w="2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10,820,521</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2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4,097,146</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4,362,938</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14,021,671</w:t>
            </w:r>
          </w:p>
        </w:tc>
        <w:tc>
          <w:tcPr>
            <w:tcW w:w="2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11,315,381</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gain (loss) on</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Facility:</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realized (loss) gain</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on non-controlled, non-</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 investments</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(11,319)</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697,831</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413,535</w:t>
            </w:r>
          </w:p>
        </w:tc>
        <w:tc>
          <w:tcPr>
            <w:tcW w:w="2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1,774,685</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change in unrealized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appreciation</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on:</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affiliated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2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662,950</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(118,995)</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(3,379,490)</w:t>
            </w:r>
          </w:p>
        </w:tc>
        <w:tc>
          <w:tcPr>
            <w:tcW w:w="2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5,145,786</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(22,000)</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233,750</w:t>
            </w:r>
          </w:p>
        </w:tc>
        <w:tc>
          <w:tcPr>
            <w:tcW w:w="2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unrealized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on</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and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Credit Facility</w:t>
            </w:r>
          </w:p>
        </w:tc>
        <w:tc>
          <w:tcPr>
            <w:tcW w:w="2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640,950</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(118,995)</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(3,145,740)</w:t>
            </w:r>
          </w:p>
        </w:tc>
        <w:tc>
          <w:tcPr>
            <w:tcW w:w="2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5,145,786</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realized and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unrealized gain</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(loss) from</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and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Credit Facility</w:t>
            </w:r>
          </w:p>
        </w:tc>
        <w:tc>
          <w:tcPr>
            <w:tcW w:w="2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629,631</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578,836</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(2,732,205)</w:t>
            </w:r>
          </w:p>
        </w:tc>
        <w:tc>
          <w:tcPr>
            <w:tcW w:w="2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6,920,471</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resulting from</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$ 4,726,777</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$ 4,941,774</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$11,289,466</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$ 18,235,852</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resulting from</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2"/>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per common</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0.76</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common share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0.28</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0.94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0.76</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8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ectPr>
          <w:pgSz w:w="11900" w:h="16838" w:orient="portrait"/>
          <w:cols w:equalWidth="0" w:num="1">
            <w:col w:w="11180"/>
          </w:cols>
          <w:pgMar w:left="320" w:top="136" w:right="399" w:bottom="0" w:gutter="0" w:footer="0" w:header="0"/>
        </w:sectPr>
      </w:pPr>
    </w:p>
    <w:bookmarkStart w:id="7" w:name="page8"/>
    <w:bookmarkEnd w:id="7"/>
    <w:p>
      <w:pPr>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00"/>
      </w:cols>
      <w:pgMar w:left="32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2020-05-05T12:04:32Z</dcterms:created>
  <dcterms:modified xsi:type="dcterms:W3CDTF">2020-05-05T12:04:32Z</dcterms:modified>
</cp:coreProperties>
</file>