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5"/>
          <w:szCs w:val="25"/>
          <w:color w:val="auto"/>
        </w:rPr>
        <w:t>_____________________</w:t>
      </w:r>
    </w:p>
    <w:p>
      <w:pPr>
        <w:spacing w:after="0" w:line="19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4"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5"/>
          <w:szCs w:val="25"/>
          <w:color w:val="auto"/>
        </w:rPr>
        <w:t>_____________________</w:t>
      </w:r>
    </w:p>
    <w:p>
      <w:pPr>
        <w:spacing w:after="0" w:line="18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2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Report (Date of earliest event Reported): July 6, 2022</w:t>
      </w:r>
    </w:p>
    <w:p>
      <w:pPr>
        <w:spacing w:after="0" w:line="21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w:t>
      </w:r>
    </w:p>
    <w:p>
      <w:pPr>
        <w:spacing w:after="0" w:line="2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ectPr>
          <w:pgSz w:w="11900" w:h="16838" w:orient="portrait"/>
          <w:cols w:equalWidth="0" w:num="1">
            <w:col w:w="11100"/>
          </w:cols>
          <w:pgMar w:left="320" w:top="718" w:right="47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814-00891</w:t>
      </w:r>
    </w:p>
    <w:p>
      <w:pPr>
        <w:spacing w:after="0" w:line="3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27-3794690</w:t>
      </w:r>
    </w:p>
    <w:p>
      <w:pPr>
        <w:spacing w:after="0" w:line="3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(I.R.S. Employer Identification Number)</w:t>
      </w:r>
    </w:p>
    <w:p>
      <w:pPr>
        <w:spacing w:after="0" w:line="211" w:lineRule="exact"/>
        <w:rPr>
          <w:sz w:val="24"/>
          <w:szCs w:val="24"/>
          <w:color w:val="auto"/>
        </w:rPr>
      </w:pPr>
    </w:p>
    <w:p>
      <w:pPr>
        <w:sectPr>
          <w:pgSz w:w="11900" w:h="16838" w:orient="portrait"/>
          <w:cols w:equalWidth="0" w:num="3">
            <w:col w:w="3920" w:space="720"/>
            <w:col w:w="2560" w:space="720"/>
            <w:col w:w="3180"/>
          </w:cols>
          <w:pgMar w:left="320" w:top="718" w:right="479" w:bottom="1440" w:gutter="0" w:footer="0" w:header="0"/>
          <w:type w:val="continuous"/>
        </w:sectPr>
      </w:pPr>
    </w:p>
    <w:p>
      <w:pPr>
        <w:spacing w:after="0" w:line="200" w:lineRule="exact"/>
        <w:rPr>
          <w:sz w:val="24"/>
          <w:szCs w:val="24"/>
          <w:color w:val="auto"/>
        </w:rPr>
      </w:pPr>
    </w:p>
    <w:p>
      <w:pPr>
        <w:spacing w:after="0" w:line="23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1691 Michigan Avenue, Miami Beach, Florida 33139</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212-905-1000</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tc>
      </w:tr>
      <w:tr>
        <w:trPr>
          <w:trHeight w:val="234"/>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Pre-commencement communications pursuant to Rule 14d-2(b) under the Exchange Act (17 CFR 240.14d-2(b))</w:t>
            </w:r>
          </w:p>
        </w:tc>
      </w:tr>
    </w:tbl>
    <w:p>
      <w:pPr>
        <w:ind w:right="2140" w:firstLine="291"/>
        <w:spacing w:after="0" w:line="487" w:lineRule="auto"/>
        <w:tabs>
          <w:tab w:leader="none" w:pos="47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18" w:right="479" w:bottom="1440" w:gutter="0" w:footer="0" w:header="0"/>
          <w:type w:val="continuous"/>
        </w:sectPr>
      </w:pPr>
    </w:p>
    <w:p>
      <w:pPr>
        <w:spacing w:after="0" w:line="2" w:lineRule="exact"/>
        <w:rPr>
          <w:sz w:val="24"/>
          <w:szCs w:val="24"/>
          <w:color w:val="auto"/>
        </w:rPr>
      </w:pPr>
    </w:p>
    <w:p>
      <w:pPr>
        <w:jc w:val="center"/>
        <w:ind w:left="32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left="320"/>
        <w:spacing w:after="0"/>
        <w:rPr>
          <w:sz w:val="20"/>
          <w:szCs w:val="20"/>
          <w:color w:val="auto"/>
        </w:rPr>
      </w:pPr>
      <w:r>
        <w:rPr>
          <w:rFonts w:ascii="Times New Roman" w:cs="Times New Roman" w:eastAsia="Times New Roman" w:hAnsi="Times New Roman"/>
          <w:sz w:val="17"/>
          <w:szCs w:val="17"/>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The New York Stock Exchange</w:t>
      </w:r>
    </w:p>
    <w:p>
      <w:pPr>
        <w:spacing w:after="0" w:line="200" w:lineRule="exact"/>
        <w:rPr>
          <w:sz w:val="24"/>
          <w:szCs w:val="24"/>
          <w:color w:val="auto"/>
        </w:rPr>
      </w:pPr>
    </w:p>
    <w:p>
      <w:pPr>
        <w:sectPr>
          <w:pgSz w:w="11900" w:h="16838" w:orient="portrait"/>
          <w:cols w:equalWidth="0" w:num="3">
            <w:col w:w="4200" w:space="720"/>
            <w:col w:w="1600" w:space="720"/>
            <w:col w:w="3860"/>
          </w:cols>
          <w:pgMar w:left="320" w:top="718" w:right="479" w:bottom="1440" w:gutter="0" w:footer="0" w:header="0"/>
          <w:type w:val="continuous"/>
        </w:sectPr>
      </w:pPr>
    </w:p>
    <w:p>
      <w:pPr>
        <w:spacing w:after="0" w:line="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6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18"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July 6, 2022, PennantPark Floating Rate Capital Ltd. issued a press release announcing its scheduled earnings release for the third fiscal quarter ended June 30, 2022. A copy of the press release is furnished as Exhibit 99.1 to this report, pursuant to Item 7.01 and Regulation FD.</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600" w:right="9320" w:hanging="592"/>
        <w:spacing w:after="0" w:line="278" w:lineRule="auto"/>
        <w:tabs>
          <w:tab w:leader="none" w:pos="27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Financial statements: </w:t>
      </w:r>
      <w:r>
        <w:rPr>
          <w:rFonts w:ascii="Times New Roman" w:cs="Times New Roman" w:eastAsia="Times New Roman" w:hAnsi="Times New Roman"/>
          <w:sz w:val="17"/>
          <w:szCs w:val="17"/>
          <w:color w:val="auto"/>
        </w:rPr>
        <w:t>None</w:t>
      </w:r>
    </w:p>
    <w:p>
      <w:pPr>
        <w:spacing w:after="0" w:line="1" w:lineRule="exact"/>
        <w:rPr>
          <w:rFonts w:ascii="Times New Roman" w:cs="Times New Roman" w:eastAsia="Times New Roman" w:hAnsi="Times New Roman"/>
          <w:sz w:val="17"/>
          <w:szCs w:val="17"/>
          <w:b w:val="1"/>
          <w:bCs w:val="1"/>
          <w:color w:val="auto"/>
        </w:rPr>
      </w:pPr>
    </w:p>
    <w:p>
      <w:pPr>
        <w:ind w:left="600" w:right="8420" w:hanging="592"/>
        <w:spacing w:after="0" w:line="250" w:lineRule="auto"/>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 forma financial information: </w:t>
      </w:r>
      <w:r>
        <w:rPr>
          <w:rFonts w:ascii="Times New Roman" w:cs="Times New Roman" w:eastAsia="Times New Roman" w:hAnsi="Times New Roman"/>
          <w:sz w:val="18"/>
          <w:szCs w:val="18"/>
          <w:color w:val="auto"/>
        </w:rPr>
        <w:t>None</w:t>
      </w:r>
    </w:p>
    <w:p>
      <w:pPr>
        <w:ind w:left="600" w:right="8800" w:hanging="592"/>
        <w:spacing w:after="0" w:line="250" w:lineRule="auto"/>
        <w:tabs>
          <w:tab w:leader="none" w:pos="2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Shell company transactions: </w:t>
      </w:r>
      <w:r>
        <w:rPr>
          <w:rFonts w:ascii="Times New Roman" w:cs="Times New Roman" w:eastAsia="Times New Roman" w:hAnsi="Times New Roman"/>
          <w:sz w:val="18"/>
          <w:szCs w:val="18"/>
          <w:color w:val="auto"/>
        </w:rPr>
        <w:t>None</w:t>
      </w:r>
    </w:p>
    <w:p>
      <w:pPr>
        <w:ind w:left="280" w:hanging="272"/>
        <w:spacing w:after="0"/>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of PennantPark Floating Rate Capital Ltd. dated July 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7840" w:type="dxa"/>
            <w:vAlign w:val="bottom"/>
            <w:gridSpan w:val="3"/>
          </w:tcPr>
          <w:p>
            <w:pPr>
              <w:ind w:left="2060"/>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tc>
      </w:tr>
      <w:tr>
        <w:trPr>
          <w:trHeight w:val="60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July 6, 2022</w:t>
            </w:r>
          </w:p>
        </w:tc>
        <w:tc>
          <w:tcPr>
            <w:tcW w:w="7840" w:type="dxa"/>
            <w:vAlign w:val="bottom"/>
            <w:gridSpan w:val="3"/>
          </w:tcPr>
          <w:p>
            <w:pPr>
              <w:ind w:left="206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18"/>
        </w:trPr>
        <w:tc>
          <w:tcPr>
            <w:tcW w:w="34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3320" w:type="dxa"/>
            <w:vAlign w:val="bottom"/>
          </w:tcPr>
          <w:p>
            <w:pPr>
              <w:spacing w:after="0"/>
              <w:rPr>
                <w:sz w:val="18"/>
                <w:szCs w:val="18"/>
                <w:color w:val="auto"/>
              </w:rPr>
            </w:pPr>
          </w:p>
        </w:tc>
      </w:tr>
      <w:tr>
        <w:trPr>
          <w:trHeight w:val="234"/>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r>
        <w:trPr>
          <w:trHeight w:val="442"/>
        </w:trPr>
        <w:tc>
          <w:tcPr>
            <w:tcW w:w="3400" w:type="dxa"/>
            <w:vAlign w:val="bottom"/>
            <w:tcBorders>
              <w:bottom w:val="single" w:sz="8" w:color="808080"/>
            </w:tcBorders>
          </w:tcPr>
          <w:p>
            <w:pPr>
              <w:spacing w:after="0"/>
              <w:rPr>
                <w:sz w:val="24"/>
                <w:szCs w:val="24"/>
                <w:color w:val="auto"/>
              </w:rPr>
            </w:pPr>
          </w:p>
        </w:tc>
        <w:tc>
          <w:tcPr>
            <w:tcW w:w="2380" w:type="dxa"/>
            <w:vAlign w:val="bottom"/>
            <w:tcBorders>
              <w:bottom w:val="single" w:sz="8" w:color="808080"/>
            </w:tcBorders>
          </w:tcPr>
          <w:p>
            <w:pPr>
              <w:spacing w:after="0"/>
              <w:rPr>
                <w:sz w:val="24"/>
                <w:szCs w:val="24"/>
                <w:color w:val="auto"/>
              </w:rPr>
            </w:pPr>
          </w:p>
        </w:tc>
        <w:tc>
          <w:tcPr>
            <w:tcW w:w="2140" w:type="dxa"/>
            <w:vAlign w:val="bottom"/>
            <w:tcBorders>
              <w:bottom w:val="single" w:sz="8" w:color="808080"/>
            </w:tcBorders>
          </w:tcPr>
          <w:p>
            <w:pPr>
              <w:spacing w:after="0"/>
              <w:rPr>
                <w:sz w:val="24"/>
                <w:szCs w:val="24"/>
                <w:color w:val="auto"/>
              </w:rPr>
            </w:pPr>
          </w:p>
        </w:tc>
        <w:tc>
          <w:tcPr>
            <w:tcW w:w="33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ind w:left="490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7"/>
          <w:szCs w:val="17"/>
          <w:b w:val="1"/>
          <w:bCs w:val="1"/>
          <w:u w:val="single" w:color="auto"/>
          <w:color w:val="auto"/>
        </w:rPr>
        <w:t>Description</w:t>
      </w:r>
    </w:p>
    <w:p>
      <w:pPr>
        <w:spacing w:after="0" w:line="310"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of PennantPark Floating Rate Capital Ltd. dated July 6, 2022</w:t>
      </w:r>
    </w:p>
    <w:p>
      <w:pPr>
        <w:sectPr>
          <w:pgSz w:w="11900" w:h="16838" w:orient="portrait"/>
          <w:cols w:equalWidth="0" w:num="1">
            <w:col w:w="10119"/>
          </w:cols>
          <w:pgMar w:left="340" w:top="333"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3003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 Schedules Earnings Release of Third Fiscal Quarter 2022 Results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MIAMI, July 06, 2022 (GLOBE NEWSWIRE) -- PennantPark Floating Rate Capital Ltd. (the "Company") (NYSE: PFLT) (TASE:PFLT) announced that it will report results for the third fiscal quarter ended June 30, 2022 on Wednesday, August 3, 2022 after the close of the financial markets.</w:t>
      </w:r>
    </w:p>
    <w:p>
      <w:pPr>
        <w:spacing w:after="0" w:line="17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Company will also host a conference call at 9:00 a.m. (Eastern Time) on Thursday August 4, 2022 to discuss its financial results. All interested parties are welcome to participate. You can access the conference call by dialing toll-free (800) 289-0720 approximately 5-10 minutes prior to the call. International callers should dial (646) 828-8073. All callers should reference conference ID #1561290 or PennantPark Floating Rate Capital Ltd. An archived replay of the call will be available through August 18, 2022, by calling toll-free (888) 203-1112. International callers please dial (719) 457-0820. For all phone replays, please reference conference ID #1561290.</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FLOATING RATE CAPITAL LTD.</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PennantPark Investment Advisers, LLC is a leading middle market credit platform, managing $6.0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Chicago, Houston, New York and Los Angeles.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PennantPark Floating Rate Capital Ltd.</w:t>
      </w:r>
    </w:p>
    <w:p>
      <w:pPr>
        <w:ind w:right="9240" w:firstLine="8"/>
        <w:spacing w:after="0" w:line="258" w:lineRule="auto"/>
        <w:tabs>
          <w:tab w:leader="none" w:pos="52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2022-07-07T05:10:07Z</dcterms:created>
  <dcterms:modified xsi:type="dcterms:W3CDTF">2022-07-07T05:10:07Z</dcterms:modified>
</cp:coreProperties>
</file>