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May 5,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May 5, 2021, PennantPark Floating Rate Capital Ltd., or the Company, issued a press release announcing its financial results for the second fiscal quarter ended March 31, 2021. A copy of the press release is furnished as Exhibit 99.1 to this report pursuant to Item 2.02 on Form 8-K and Regulation FD.</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potential impact on the Company’s business and operating results, see the Company’s Quarterly Report on Form 10-Q for the quarter ended March 31, 2021, including “Item 2. Management's Discussion and Analysis of Financial Condition and Results of Operations – COVID-19 Developments”.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4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May 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May 5, 2021</w:t>
            </w:r>
          </w:p>
        </w:tc>
        <w:tc>
          <w:tcPr>
            <w:tcW w:w="516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spacing w:after="0" w:line="4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Financial Results for the Quarter Ended March 31, 2021</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NEW YORK, May 05, 2021 (GLOBE NEWSWIRE) -- PennantPark Floating Rate Capital Ltd. (NASDAQ: PFLT) (TASE: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PFLT) announced today financial results for the second fiscal quarter ended March 31, 2021.</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HIGHLIGHTS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Quarter ended March 31, 2021</w:t>
      </w:r>
    </w:p>
    <w:p>
      <w:pPr>
        <w:ind w:left="20"/>
        <w:spacing w:after="0"/>
        <w:rPr>
          <w:sz w:val="20"/>
          <w:szCs w:val="20"/>
          <w:color w:val="auto"/>
        </w:rPr>
      </w:pPr>
      <w:r>
        <w:rPr>
          <w:rFonts w:ascii="Arial" w:cs="Arial" w:eastAsia="Arial" w:hAnsi="Arial"/>
          <w:sz w:val="22"/>
          <w:szCs w:val="22"/>
          <w:color w:val="auto"/>
        </w:rPr>
        <w:t>($ in millions, except per share amounts)</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6180" w:type="dxa"/>
            <w:vAlign w:val="bottom"/>
          </w:tcPr>
          <w:p>
            <w:pPr>
              <w:spacing w:after="0"/>
              <w:rPr>
                <w:sz w:val="20"/>
                <w:szCs w:val="20"/>
                <w:color w:val="auto"/>
              </w:rPr>
            </w:pPr>
            <w:r>
              <w:rPr>
                <w:rFonts w:ascii="Arial" w:cs="Arial" w:eastAsia="Arial" w:hAnsi="Arial"/>
                <w:sz w:val="22"/>
                <w:szCs w:val="22"/>
                <w:color w:val="auto"/>
              </w:rPr>
              <w:t>Assets and Liabilities:</w:t>
            </w:r>
          </w:p>
        </w:tc>
        <w:tc>
          <w:tcPr>
            <w:tcW w:w="1640" w:type="dxa"/>
            <w:vAlign w:val="bottom"/>
            <w:vMerge w:val="restart"/>
          </w:tcPr>
          <w:p>
            <w:pPr>
              <w:jc w:val="right"/>
              <w:ind w:right="412"/>
              <w:spacing w:after="0"/>
              <w:rPr>
                <w:sz w:val="20"/>
                <w:szCs w:val="20"/>
                <w:color w:val="auto"/>
              </w:rPr>
            </w:pPr>
            <w:r>
              <w:rPr>
                <w:rFonts w:ascii="Arial" w:cs="Arial" w:eastAsia="Arial" w:hAnsi="Arial"/>
                <w:sz w:val="22"/>
                <w:szCs w:val="22"/>
                <w:color w:val="auto"/>
              </w:rPr>
              <w:t>$</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0"/>
        </w:trPr>
        <w:tc>
          <w:tcPr>
            <w:tcW w:w="6180" w:type="dxa"/>
            <w:vAlign w:val="bottom"/>
          </w:tcPr>
          <w:p>
            <w:pPr>
              <w:ind w:left="20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1640" w:type="dxa"/>
            <w:vAlign w:val="bottom"/>
            <w:vMerge w:val="continue"/>
          </w:tcPr>
          <w:p>
            <w:pPr>
              <w:spacing w:after="0"/>
              <w:rPr>
                <w:sz w:val="24"/>
                <w:szCs w:val="24"/>
                <w:color w:val="auto"/>
              </w:rPr>
            </w:pPr>
          </w:p>
        </w:tc>
        <w:tc>
          <w:tcPr>
            <w:tcW w:w="1340" w:type="dxa"/>
            <w:vAlign w:val="bottom"/>
          </w:tcPr>
          <w:p>
            <w:pPr>
              <w:jc w:val="right"/>
              <w:ind w:right="72"/>
              <w:spacing w:after="0"/>
              <w:rPr>
                <w:sz w:val="20"/>
                <w:szCs w:val="20"/>
                <w:color w:val="auto"/>
              </w:rPr>
            </w:pPr>
            <w:r>
              <w:rPr>
                <w:rFonts w:ascii="Arial" w:cs="Arial" w:eastAsia="Arial" w:hAnsi="Arial"/>
                <w:sz w:val="22"/>
                <w:szCs w:val="22"/>
                <w:color w:val="auto"/>
              </w:rPr>
              <w:t>1,069.1</w:t>
            </w:r>
          </w:p>
        </w:tc>
        <w:tc>
          <w:tcPr>
            <w:tcW w:w="0" w:type="dxa"/>
            <w:vAlign w:val="bottom"/>
          </w:tcPr>
          <w:p>
            <w:pPr>
              <w:spacing w:after="0"/>
              <w:rPr>
                <w:sz w:val="1"/>
                <w:szCs w:val="1"/>
                <w:color w:val="auto"/>
              </w:rPr>
            </w:pPr>
          </w:p>
        </w:tc>
      </w:tr>
      <w:tr>
        <w:trPr>
          <w:trHeight w:val="270"/>
        </w:trPr>
        <w:tc>
          <w:tcPr>
            <w:tcW w:w="6180" w:type="dxa"/>
            <w:vAlign w:val="bottom"/>
          </w:tcPr>
          <w:p>
            <w:pPr>
              <w:ind w:left="200"/>
              <w:spacing w:after="0"/>
              <w:rPr>
                <w:sz w:val="20"/>
                <w:szCs w:val="20"/>
                <w:color w:val="auto"/>
              </w:rPr>
            </w:pPr>
            <w:r>
              <w:rPr>
                <w:rFonts w:ascii="Arial" w:cs="Arial" w:eastAsia="Arial" w:hAnsi="Arial"/>
                <w:sz w:val="22"/>
                <w:szCs w:val="22"/>
                <w:color w:val="auto"/>
              </w:rPr>
              <w:t>PSSL investment portfolio</w:t>
            </w:r>
          </w:p>
        </w:tc>
        <w:tc>
          <w:tcPr>
            <w:tcW w:w="164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72"/>
              <w:spacing w:after="0"/>
              <w:rPr>
                <w:sz w:val="20"/>
                <w:szCs w:val="20"/>
                <w:color w:val="auto"/>
              </w:rPr>
            </w:pPr>
            <w:r>
              <w:rPr>
                <w:rFonts w:ascii="Arial" w:cs="Arial" w:eastAsia="Arial" w:hAnsi="Arial"/>
                <w:sz w:val="22"/>
                <w:szCs w:val="22"/>
                <w:color w:val="auto"/>
              </w:rPr>
              <w:t>485.1</w:t>
            </w:r>
          </w:p>
        </w:tc>
        <w:tc>
          <w:tcPr>
            <w:tcW w:w="0" w:type="dxa"/>
            <w:vAlign w:val="bottom"/>
          </w:tcPr>
          <w:p>
            <w:pPr>
              <w:spacing w:after="0"/>
              <w:rPr>
                <w:sz w:val="1"/>
                <w:szCs w:val="1"/>
                <w:color w:val="auto"/>
              </w:rPr>
            </w:pPr>
          </w:p>
        </w:tc>
      </w:tr>
      <w:tr>
        <w:trPr>
          <w:trHeight w:val="270"/>
        </w:trPr>
        <w:tc>
          <w:tcPr>
            <w:tcW w:w="6180" w:type="dxa"/>
            <w:vAlign w:val="bottom"/>
          </w:tcPr>
          <w:p>
            <w:pPr>
              <w:ind w:left="200"/>
              <w:spacing w:after="0"/>
              <w:rPr>
                <w:sz w:val="20"/>
                <w:szCs w:val="20"/>
                <w:color w:val="auto"/>
              </w:rPr>
            </w:pPr>
            <w:r>
              <w:rPr>
                <w:rFonts w:ascii="Arial" w:cs="Arial" w:eastAsia="Arial" w:hAnsi="Arial"/>
                <w:sz w:val="22"/>
                <w:szCs w:val="22"/>
                <w:color w:val="auto"/>
              </w:rPr>
              <w:t>Net assets</w:t>
            </w:r>
          </w:p>
        </w:tc>
        <w:tc>
          <w:tcPr>
            <w:tcW w:w="164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72"/>
              <w:spacing w:after="0"/>
              <w:rPr>
                <w:sz w:val="20"/>
                <w:szCs w:val="20"/>
                <w:color w:val="auto"/>
              </w:rPr>
            </w:pPr>
            <w:r>
              <w:rPr>
                <w:rFonts w:ascii="Arial" w:cs="Arial" w:eastAsia="Arial" w:hAnsi="Arial"/>
                <w:sz w:val="22"/>
                <w:szCs w:val="22"/>
                <w:color w:val="auto"/>
              </w:rPr>
              <w:t>493.0</w:t>
            </w:r>
          </w:p>
        </w:tc>
        <w:tc>
          <w:tcPr>
            <w:tcW w:w="0" w:type="dxa"/>
            <w:vAlign w:val="bottom"/>
          </w:tcPr>
          <w:p>
            <w:pPr>
              <w:spacing w:after="0"/>
              <w:rPr>
                <w:sz w:val="1"/>
                <w:szCs w:val="1"/>
                <w:color w:val="auto"/>
              </w:rPr>
            </w:pPr>
          </w:p>
        </w:tc>
      </w:tr>
      <w:tr>
        <w:trPr>
          <w:trHeight w:val="270"/>
        </w:trPr>
        <w:tc>
          <w:tcPr>
            <w:tcW w:w="6180" w:type="dxa"/>
            <w:vAlign w:val="bottom"/>
          </w:tcPr>
          <w:p>
            <w:pPr>
              <w:ind w:left="200"/>
              <w:spacing w:after="0"/>
              <w:rPr>
                <w:sz w:val="20"/>
                <w:szCs w:val="20"/>
                <w:color w:val="auto"/>
              </w:rPr>
            </w:pPr>
            <w:r>
              <w:rPr>
                <w:rFonts w:ascii="Arial" w:cs="Arial" w:eastAsia="Arial" w:hAnsi="Arial"/>
                <w:sz w:val="22"/>
                <w:szCs w:val="22"/>
                <w:color w:val="auto"/>
              </w:rPr>
              <w:t>GAAP net asset value per share</w:t>
            </w:r>
          </w:p>
        </w:tc>
        <w:tc>
          <w:tcPr>
            <w:tcW w:w="164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72"/>
              <w:spacing w:after="0"/>
              <w:rPr>
                <w:sz w:val="20"/>
                <w:szCs w:val="20"/>
                <w:color w:val="auto"/>
              </w:rPr>
            </w:pPr>
            <w:r>
              <w:rPr>
                <w:rFonts w:ascii="Arial" w:cs="Arial" w:eastAsia="Arial" w:hAnsi="Arial"/>
                <w:sz w:val="22"/>
                <w:szCs w:val="22"/>
                <w:color w:val="auto"/>
              </w:rPr>
              <w:t>12.71</w:t>
            </w:r>
          </w:p>
        </w:tc>
        <w:tc>
          <w:tcPr>
            <w:tcW w:w="0" w:type="dxa"/>
            <w:vAlign w:val="bottom"/>
          </w:tcPr>
          <w:p>
            <w:pPr>
              <w:spacing w:after="0"/>
              <w:rPr>
                <w:sz w:val="1"/>
                <w:szCs w:val="1"/>
                <w:color w:val="auto"/>
              </w:rPr>
            </w:pPr>
          </w:p>
        </w:tc>
      </w:tr>
      <w:tr>
        <w:trPr>
          <w:trHeight w:val="274"/>
        </w:trPr>
        <w:tc>
          <w:tcPr>
            <w:tcW w:w="6180" w:type="dxa"/>
            <w:vAlign w:val="bottom"/>
          </w:tcPr>
          <w:p>
            <w:pPr>
              <w:ind w:left="200"/>
              <w:spacing w:after="0"/>
              <w:rPr>
                <w:sz w:val="20"/>
                <w:szCs w:val="20"/>
                <w:color w:val="auto"/>
              </w:rPr>
            </w:pPr>
            <w:r>
              <w:rPr>
                <w:rFonts w:ascii="Arial" w:cs="Arial" w:eastAsia="Arial" w:hAnsi="Arial"/>
                <w:sz w:val="22"/>
                <w:szCs w:val="22"/>
                <w:color w:val="auto"/>
              </w:rPr>
              <w:t>Quarterly increase GAAP net asset value per share</w:t>
            </w:r>
          </w:p>
        </w:tc>
        <w:tc>
          <w:tcPr>
            <w:tcW w:w="1640" w:type="dxa"/>
            <w:vAlign w:val="bottom"/>
            <w:vMerge w:val="restart"/>
          </w:tcPr>
          <w:p>
            <w:pPr>
              <w:jc w:val="right"/>
              <w:ind w:right="412"/>
              <w:spacing w:after="0"/>
              <w:rPr>
                <w:sz w:val="20"/>
                <w:szCs w:val="20"/>
                <w:color w:val="auto"/>
              </w:rPr>
            </w:pPr>
            <w:r>
              <w:rPr>
                <w:rFonts w:ascii="Arial" w:cs="Arial" w:eastAsia="Arial" w:hAnsi="Arial"/>
                <w:sz w:val="22"/>
                <w:szCs w:val="22"/>
                <w:color w:val="auto"/>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0.1%</w:t>
            </w:r>
          </w:p>
        </w:tc>
        <w:tc>
          <w:tcPr>
            <w:tcW w:w="0" w:type="dxa"/>
            <w:vAlign w:val="bottom"/>
          </w:tcPr>
          <w:p>
            <w:pPr>
              <w:spacing w:after="0"/>
              <w:rPr>
                <w:sz w:val="1"/>
                <w:szCs w:val="1"/>
                <w:color w:val="auto"/>
              </w:rPr>
            </w:pPr>
          </w:p>
        </w:tc>
      </w:tr>
      <w:tr>
        <w:trPr>
          <w:trHeight w:val="327"/>
        </w:trPr>
        <w:tc>
          <w:tcPr>
            <w:tcW w:w="6180" w:type="dxa"/>
            <w:vAlign w:val="bottom"/>
          </w:tcPr>
          <w:p>
            <w:pPr>
              <w:ind w:left="200"/>
              <w:spacing w:after="0" w:line="326" w:lineRule="exact"/>
              <w:rPr>
                <w:sz w:val="20"/>
                <w:szCs w:val="20"/>
                <w:color w:val="auto"/>
              </w:rPr>
            </w:pPr>
            <w:r>
              <w:rPr>
                <w:rFonts w:ascii="Arial" w:cs="Arial" w:eastAsia="Arial" w:hAnsi="Arial"/>
                <w:sz w:val="22"/>
                <w:szCs w:val="22"/>
                <w:color w:val="auto"/>
              </w:rPr>
              <w:t xml:space="preserve">Adjusted net asset value per share </w:t>
            </w:r>
            <w:r>
              <w:rPr>
                <w:rFonts w:ascii="Arial" w:cs="Arial" w:eastAsia="Arial" w:hAnsi="Arial"/>
                <w:sz w:val="35"/>
                <w:szCs w:val="35"/>
                <w:color w:val="auto"/>
                <w:vertAlign w:val="superscript"/>
              </w:rPr>
              <w:t>(2)</w:t>
            </w:r>
          </w:p>
        </w:tc>
        <w:tc>
          <w:tcPr>
            <w:tcW w:w="1640" w:type="dxa"/>
            <w:vAlign w:val="bottom"/>
            <w:vMerge w:val="continue"/>
          </w:tcPr>
          <w:p>
            <w:pPr>
              <w:spacing w:after="0"/>
              <w:rPr>
                <w:sz w:val="24"/>
                <w:szCs w:val="24"/>
                <w:color w:val="auto"/>
              </w:rPr>
            </w:pPr>
          </w:p>
        </w:tc>
        <w:tc>
          <w:tcPr>
            <w:tcW w:w="1340" w:type="dxa"/>
            <w:vAlign w:val="bottom"/>
          </w:tcPr>
          <w:p>
            <w:pPr>
              <w:jc w:val="right"/>
              <w:ind w:right="72"/>
              <w:spacing w:after="0"/>
              <w:rPr>
                <w:sz w:val="20"/>
                <w:szCs w:val="20"/>
                <w:color w:val="auto"/>
              </w:rPr>
            </w:pPr>
            <w:r>
              <w:rPr>
                <w:rFonts w:ascii="Arial" w:cs="Arial" w:eastAsia="Arial" w:hAnsi="Arial"/>
                <w:sz w:val="22"/>
                <w:szCs w:val="22"/>
                <w:color w:val="auto"/>
              </w:rPr>
              <w:t>12.60</w:t>
            </w:r>
          </w:p>
        </w:tc>
        <w:tc>
          <w:tcPr>
            <w:tcW w:w="0" w:type="dxa"/>
            <w:vAlign w:val="bottom"/>
          </w:tcPr>
          <w:p>
            <w:pPr>
              <w:spacing w:after="0"/>
              <w:rPr>
                <w:sz w:val="1"/>
                <w:szCs w:val="1"/>
                <w:color w:val="auto"/>
              </w:rPr>
            </w:pPr>
          </w:p>
        </w:tc>
      </w:tr>
      <w:tr>
        <w:trPr>
          <w:trHeight w:val="471"/>
        </w:trPr>
        <w:tc>
          <w:tcPr>
            <w:tcW w:w="6180" w:type="dxa"/>
            <w:vAlign w:val="bottom"/>
          </w:tcPr>
          <w:p>
            <w:pPr>
              <w:ind w:left="200"/>
              <w:spacing w:after="0"/>
              <w:rPr>
                <w:sz w:val="20"/>
                <w:szCs w:val="20"/>
                <w:color w:val="auto"/>
              </w:rPr>
            </w:pPr>
            <w:r>
              <w:rPr>
                <w:rFonts w:ascii="Arial" w:cs="Arial" w:eastAsia="Arial" w:hAnsi="Arial"/>
                <w:sz w:val="22"/>
                <w:szCs w:val="22"/>
                <w:color w:val="auto"/>
              </w:rPr>
              <w:t xml:space="preserve">Quarterly increase in adjusted net asset value per share </w:t>
            </w:r>
            <w:r>
              <w:rPr>
                <w:rFonts w:ascii="Arial" w:cs="Arial" w:eastAsia="Arial" w:hAnsi="Arial"/>
                <w:sz w:val="35"/>
                <w:szCs w:val="35"/>
                <w:color w:val="auto"/>
                <w:vertAlign w:val="superscript"/>
              </w:rPr>
              <w:t>(2)</w:t>
            </w:r>
          </w:p>
        </w:tc>
        <w:tc>
          <w:tcPr>
            <w:tcW w:w="16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386"/>
        </w:trPr>
        <w:tc>
          <w:tcPr>
            <w:tcW w:w="6180" w:type="dxa"/>
            <w:vAlign w:val="bottom"/>
          </w:tcPr>
          <w:p>
            <w:pPr>
              <w:ind w:left="200"/>
              <w:spacing w:after="0"/>
              <w:rPr>
                <w:sz w:val="20"/>
                <w:szCs w:val="20"/>
                <w:color w:val="auto"/>
              </w:rPr>
            </w:pPr>
            <w:r>
              <w:rPr>
                <w:rFonts w:ascii="Arial" w:cs="Arial" w:eastAsia="Arial" w:hAnsi="Arial"/>
                <w:sz w:val="22"/>
                <w:szCs w:val="22"/>
                <w:color w:val="auto"/>
              </w:rPr>
              <w:t>Credit Facility</w:t>
            </w:r>
          </w:p>
        </w:tc>
        <w:tc>
          <w:tcPr>
            <w:tcW w:w="164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72"/>
              <w:spacing w:after="0"/>
              <w:rPr>
                <w:sz w:val="20"/>
                <w:szCs w:val="20"/>
                <w:color w:val="auto"/>
              </w:rPr>
            </w:pPr>
            <w:r>
              <w:rPr>
                <w:rFonts w:ascii="Arial" w:cs="Arial" w:eastAsia="Arial" w:hAnsi="Arial"/>
                <w:sz w:val="22"/>
                <w:szCs w:val="22"/>
                <w:color w:val="auto"/>
              </w:rPr>
              <w:t>146.2</w:t>
            </w:r>
          </w:p>
        </w:tc>
        <w:tc>
          <w:tcPr>
            <w:tcW w:w="0" w:type="dxa"/>
            <w:vAlign w:val="bottom"/>
          </w:tcPr>
          <w:p>
            <w:pPr>
              <w:spacing w:after="0"/>
              <w:rPr>
                <w:sz w:val="1"/>
                <w:szCs w:val="1"/>
                <w:color w:val="auto"/>
              </w:rPr>
            </w:pPr>
          </w:p>
        </w:tc>
      </w:tr>
      <w:tr>
        <w:trPr>
          <w:trHeight w:val="270"/>
        </w:trPr>
        <w:tc>
          <w:tcPr>
            <w:tcW w:w="6180" w:type="dxa"/>
            <w:vAlign w:val="bottom"/>
          </w:tcPr>
          <w:p>
            <w:pPr>
              <w:ind w:left="200"/>
              <w:spacing w:after="0"/>
              <w:rPr>
                <w:sz w:val="20"/>
                <w:szCs w:val="20"/>
                <w:color w:val="auto"/>
              </w:rPr>
            </w:pPr>
            <w:r>
              <w:rPr>
                <w:rFonts w:ascii="Arial" w:cs="Arial" w:eastAsia="Arial" w:hAnsi="Arial"/>
                <w:sz w:val="22"/>
                <w:szCs w:val="22"/>
                <w:color w:val="auto"/>
              </w:rPr>
              <w:t>2023 Notes</w:t>
            </w:r>
          </w:p>
        </w:tc>
        <w:tc>
          <w:tcPr>
            <w:tcW w:w="164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72"/>
              <w:spacing w:after="0"/>
              <w:rPr>
                <w:sz w:val="20"/>
                <w:szCs w:val="20"/>
                <w:color w:val="auto"/>
              </w:rPr>
            </w:pPr>
            <w:r>
              <w:rPr>
                <w:rFonts w:ascii="Arial" w:cs="Arial" w:eastAsia="Arial" w:hAnsi="Arial"/>
                <w:sz w:val="22"/>
                <w:szCs w:val="22"/>
                <w:color w:val="auto"/>
              </w:rPr>
              <w:t>114.2</w:t>
            </w:r>
          </w:p>
        </w:tc>
        <w:tc>
          <w:tcPr>
            <w:tcW w:w="0" w:type="dxa"/>
            <w:vAlign w:val="bottom"/>
          </w:tcPr>
          <w:p>
            <w:pPr>
              <w:spacing w:after="0"/>
              <w:rPr>
                <w:sz w:val="1"/>
                <w:szCs w:val="1"/>
                <w:color w:val="auto"/>
              </w:rPr>
            </w:pPr>
          </w:p>
        </w:tc>
      </w:tr>
      <w:tr>
        <w:trPr>
          <w:trHeight w:val="270"/>
        </w:trPr>
        <w:tc>
          <w:tcPr>
            <w:tcW w:w="6180" w:type="dxa"/>
            <w:vAlign w:val="bottom"/>
          </w:tcPr>
          <w:p>
            <w:pPr>
              <w:ind w:left="200"/>
              <w:spacing w:after="0"/>
              <w:rPr>
                <w:sz w:val="20"/>
                <w:szCs w:val="20"/>
                <w:color w:val="auto"/>
              </w:rPr>
            </w:pPr>
            <w:r>
              <w:rPr>
                <w:rFonts w:ascii="Arial" w:cs="Arial" w:eastAsia="Arial" w:hAnsi="Arial"/>
                <w:sz w:val="22"/>
                <w:szCs w:val="22"/>
                <w:color w:val="auto"/>
              </w:rPr>
              <w:t>2026 Notes</w:t>
            </w:r>
          </w:p>
        </w:tc>
        <w:tc>
          <w:tcPr>
            <w:tcW w:w="164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72"/>
              <w:spacing w:after="0"/>
              <w:rPr>
                <w:sz w:val="20"/>
                <w:szCs w:val="20"/>
                <w:color w:val="auto"/>
              </w:rPr>
            </w:pPr>
            <w:r>
              <w:rPr>
                <w:rFonts w:ascii="Arial" w:cs="Arial" w:eastAsia="Arial" w:hAnsi="Arial"/>
                <w:sz w:val="22"/>
                <w:szCs w:val="22"/>
                <w:color w:val="auto"/>
              </w:rPr>
              <w:t>96.9</w:t>
            </w:r>
          </w:p>
        </w:tc>
        <w:tc>
          <w:tcPr>
            <w:tcW w:w="0" w:type="dxa"/>
            <w:vAlign w:val="bottom"/>
          </w:tcPr>
          <w:p>
            <w:pPr>
              <w:spacing w:after="0"/>
              <w:rPr>
                <w:sz w:val="1"/>
                <w:szCs w:val="1"/>
                <w:color w:val="auto"/>
              </w:rPr>
            </w:pPr>
          </w:p>
        </w:tc>
      </w:tr>
      <w:tr>
        <w:trPr>
          <w:trHeight w:val="270"/>
        </w:trPr>
        <w:tc>
          <w:tcPr>
            <w:tcW w:w="6180" w:type="dxa"/>
            <w:vAlign w:val="bottom"/>
          </w:tcPr>
          <w:p>
            <w:pPr>
              <w:ind w:left="200"/>
              <w:spacing w:after="0"/>
              <w:rPr>
                <w:sz w:val="20"/>
                <w:szCs w:val="20"/>
                <w:color w:val="auto"/>
              </w:rPr>
            </w:pPr>
            <w:r>
              <w:rPr>
                <w:rFonts w:ascii="Arial" w:cs="Arial" w:eastAsia="Arial" w:hAnsi="Arial"/>
                <w:sz w:val="22"/>
                <w:szCs w:val="22"/>
                <w:color w:val="auto"/>
              </w:rPr>
              <w:t>2031 Asset-Backed Debt</w:t>
            </w:r>
          </w:p>
        </w:tc>
        <w:tc>
          <w:tcPr>
            <w:tcW w:w="164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72"/>
              <w:spacing w:after="0"/>
              <w:rPr>
                <w:sz w:val="20"/>
                <w:szCs w:val="20"/>
                <w:color w:val="auto"/>
              </w:rPr>
            </w:pPr>
            <w:r>
              <w:rPr>
                <w:rFonts w:ascii="Arial" w:cs="Arial" w:eastAsia="Arial" w:hAnsi="Arial"/>
                <w:sz w:val="22"/>
                <w:szCs w:val="22"/>
                <w:color w:val="auto"/>
              </w:rPr>
              <w:t>225.2</w:t>
            </w:r>
          </w:p>
        </w:tc>
        <w:tc>
          <w:tcPr>
            <w:tcW w:w="0" w:type="dxa"/>
            <w:vAlign w:val="bottom"/>
          </w:tcPr>
          <w:p>
            <w:pPr>
              <w:spacing w:after="0"/>
              <w:rPr>
                <w:sz w:val="1"/>
                <w:szCs w:val="1"/>
                <w:color w:val="auto"/>
              </w:rPr>
            </w:pPr>
          </w:p>
        </w:tc>
      </w:tr>
      <w:tr>
        <w:trPr>
          <w:trHeight w:val="274"/>
        </w:trPr>
        <w:tc>
          <w:tcPr>
            <w:tcW w:w="6180" w:type="dxa"/>
            <w:vAlign w:val="bottom"/>
          </w:tcPr>
          <w:p>
            <w:pPr>
              <w:ind w:left="200"/>
              <w:spacing w:after="0"/>
              <w:rPr>
                <w:sz w:val="20"/>
                <w:szCs w:val="20"/>
                <w:color w:val="auto"/>
              </w:rPr>
            </w:pPr>
            <w:r>
              <w:rPr>
                <w:rFonts w:ascii="Arial" w:cs="Arial" w:eastAsia="Arial" w:hAnsi="Arial"/>
                <w:sz w:val="22"/>
                <w:szCs w:val="22"/>
                <w:color w:val="auto"/>
              </w:rPr>
              <w:t>Regulatory Debt to Equity</w:t>
            </w:r>
          </w:p>
        </w:tc>
        <w:tc>
          <w:tcPr>
            <w:tcW w:w="164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Arial" w:cs="Arial" w:eastAsia="Arial" w:hAnsi="Arial"/>
                <w:sz w:val="22"/>
                <w:szCs w:val="22"/>
                <w:color w:val="auto"/>
              </w:rPr>
              <w:t>1.21x</w:t>
            </w:r>
          </w:p>
        </w:tc>
        <w:tc>
          <w:tcPr>
            <w:tcW w:w="0" w:type="dxa"/>
            <w:vAlign w:val="bottom"/>
          </w:tcPr>
          <w:p>
            <w:pPr>
              <w:spacing w:after="0"/>
              <w:rPr>
                <w:sz w:val="1"/>
                <w:szCs w:val="1"/>
                <w:color w:val="auto"/>
              </w:rPr>
            </w:pPr>
          </w:p>
        </w:tc>
      </w:tr>
      <w:tr>
        <w:trPr>
          <w:trHeight w:val="327"/>
        </w:trPr>
        <w:tc>
          <w:tcPr>
            <w:tcW w:w="6180" w:type="dxa"/>
            <w:vAlign w:val="bottom"/>
          </w:tcPr>
          <w:p>
            <w:pPr>
              <w:ind w:left="200"/>
              <w:spacing w:after="0" w:line="326" w:lineRule="exact"/>
              <w:rPr>
                <w:sz w:val="20"/>
                <w:szCs w:val="20"/>
                <w:color w:val="auto"/>
              </w:rPr>
            </w:pPr>
            <w:r>
              <w:rPr>
                <w:rFonts w:ascii="Arial" w:cs="Arial" w:eastAsia="Arial" w:hAnsi="Arial"/>
                <w:sz w:val="22"/>
                <w:szCs w:val="22"/>
                <w:color w:val="auto"/>
              </w:rPr>
              <w:t xml:space="preserve">Regulatory Net Debt to Equity </w:t>
            </w:r>
            <w:r>
              <w:rPr>
                <w:rFonts w:ascii="Arial" w:cs="Arial" w:eastAsia="Arial" w:hAnsi="Arial"/>
                <w:sz w:val="35"/>
                <w:szCs w:val="35"/>
                <w:color w:val="auto"/>
                <w:vertAlign w:val="superscript"/>
              </w:rPr>
              <w:t>(3)</w:t>
            </w:r>
          </w:p>
        </w:tc>
        <w:tc>
          <w:tcPr>
            <w:tcW w:w="1640" w:type="dxa"/>
            <w:vAlign w:val="bottom"/>
          </w:tcPr>
          <w:p>
            <w:pPr>
              <w:spacing w:after="0"/>
              <w:rPr>
                <w:sz w:val="24"/>
                <w:szCs w:val="24"/>
                <w:color w:val="auto"/>
              </w:rPr>
            </w:pPr>
          </w:p>
        </w:tc>
        <w:tc>
          <w:tcPr>
            <w:tcW w:w="1340" w:type="dxa"/>
            <w:vAlign w:val="bottom"/>
          </w:tcPr>
          <w:p>
            <w:pPr>
              <w:jc w:val="right"/>
              <w:ind w:right="92"/>
              <w:spacing w:after="0"/>
              <w:rPr>
                <w:sz w:val="20"/>
                <w:szCs w:val="20"/>
                <w:color w:val="auto"/>
              </w:rPr>
            </w:pPr>
            <w:r>
              <w:rPr>
                <w:rFonts w:ascii="Arial" w:cs="Arial" w:eastAsia="Arial" w:hAnsi="Arial"/>
                <w:sz w:val="22"/>
                <w:szCs w:val="22"/>
                <w:color w:val="auto"/>
              </w:rPr>
              <w:t>1.08x</w:t>
            </w:r>
          </w:p>
        </w:tc>
        <w:tc>
          <w:tcPr>
            <w:tcW w:w="0" w:type="dxa"/>
            <w:vAlign w:val="bottom"/>
          </w:tcPr>
          <w:p>
            <w:pPr>
              <w:spacing w:after="0"/>
              <w:rPr>
                <w:sz w:val="1"/>
                <w:szCs w:val="1"/>
                <w:color w:val="auto"/>
              </w:rPr>
            </w:pPr>
          </w:p>
        </w:tc>
      </w:tr>
      <w:tr>
        <w:trPr>
          <w:trHeight w:val="471"/>
        </w:trPr>
        <w:tc>
          <w:tcPr>
            <w:tcW w:w="6180" w:type="dxa"/>
            <w:vAlign w:val="bottom"/>
          </w:tcPr>
          <w:p>
            <w:pPr>
              <w:ind w:left="200"/>
              <w:spacing w:after="0"/>
              <w:rPr>
                <w:sz w:val="20"/>
                <w:szCs w:val="20"/>
                <w:color w:val="auto"/>
              </w:rPr>
            </w:pPr>
            <w:r>
              <w:rPr>
                <w:rFonts w:ascii="Arial" w:cs="Arial" w:eastAsia="Arial" w:hAnsi="Arial"/>
                <w:sz w:val="22"/>
                <w:szCs w:val="22"/>
                <w:color w:val="auto"/>
              </w:rPr>
              <w:t xml:space="preserve">GAAP Net Debt to Equity </w:t>
            </w:r>
            <w:r>
              <w:rPr>
                <w:rFonts w:ascii="Arial" w:cs="Arial" w:eastAsia="Arial" w:hAnsi="Arial"/>
                <w:sz w:val="35"/>
                <w:szCs w:val="35"/>
                <w:color w:val="auto"/>
                <w:vertAlign w:val="superscript"/>
              </w:rPr>
              <w:t>(4)</w:t>
            </w:r>
          </w:p>
        </w:tc>
        <w:tc>
          <w:tcPr>
            <w:tcW w:w="1640" w:type="dxa"/>
            <w:vAlign w:val="bottom"/>
          </w:tcPr>
          <w:p>
            <w:pPr>
              <w:spacing w:after="0"/>
              <w:rPr>
                <w:sz w:val="24"/>
                <w:szCs w:val="24"/>
                <w:color w:val="auto"/>
              </w:rPr>
            </w:pPr>
          </w:p>
        </w:tc>
        <w:tc>
          <w:tcPr>
            <w:tcW w:w="1340" w:type="dxa"/>
            <w:vAlign w:val="bottom"/>
          </w:tcPr>
          <w:p>
            <w:pPr>
              <w:jc w:val="right"/>
              <w:ind w:right="92"/>
              <w:spacing w:after="0"/>
              <w:rPr>
                <w:sz w:val="20"/>
                <w:szCs w:val="20"/>
                <w:color w:val="auto"/>
              </w:rPr>
            </w:pPr>
            <w:r>
              <w:rPr>
                <w:rFonts w:ascii="Arial" w:cs="Arial" w:eastAsia="Arial" w:hAnsi="Arial"/>
                <w:sz w:val="22"/>
                <w:szCs w:val="22"/>
                <w:color w:val="auto"/>
              </w:rPr>
              <w:t>1.05x</w:t>
            </w:r>
          </w:p>
        </w:tc>
        <w:tc>
          <w:tcPr>
            <w:tcW w:w="0" w:type="dxa"/>
            <w:vAlign w:val="bottom"/>
          </w:tcPr>
          <w:p>
            <w:pPr>
              <w:spacing w:after="0"/>
              <w:rPr>
                <w:sz w:val="1"/>
                <w:szCs w:val="1"/>
                <w:color w:val="auto"/>
              </w:rPr>
            </w:pPr>
          </w:p>
        </w:tc>
      </w:tr>
      <w:tr>
        <w:trPr>
          <w:trHeight w:val="390"/>
        </w:trPr>
        <w:tc>
          <w:tcPr>
            <w:tcW w:w="6180" w:type="dxa"/>
            <w:vAlign w:val="bottom"/>
          </w:tcPr>
          <w:p>
            <w:pPr>
              <w:ind w:left="200"/>
              <w:spacing w:after="0"/>
              <w:rPr>
                <w:sz w:val="20"/>
                <w:szCs w:val="20"/>
                <w:color w:val="auto"/>
              </w:rPr>
            </w:pPr>
            <w:r>
              <w:rPr>
                <w:rFonts w:ascii="Arial" w:cs="Arial" w:eastAsia="Arial" w:hAnsi="Arial"/>
                <w:sz w:val="22"/>
                <w:szCs w:val="22"/>
                <w:color w:val="auto"/>
              </w:rPr>
              <w:t>Yield on debt investments at quarter-end</w:t>
            </w:r>
          </w:p>
        </w:tc>
        <w:tc>
          <w:tcPr>
            <w:tcW w:w="16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r>
        <w:trPr>
          <w:trHeight w:val="941"/>
        </w:trPr>
        <w:tc>
          <w:tcPr>
            <w:tcW w:w="6180" w:type="dxa"/>
            <w:vAlign w:val="bottom"/>
          </w:tcPr>
          <w:p>
            <w:pPr>
              <w:spacing w:after="0"/>
              <w:rPr>
                <w:sz w:val="20"/>
                <w:szCs w:val="20"/>
                <w:color w:val="auto"/>
              </w:rPr>
            </w:pPr>
            <w:r>
              <w:rPr>
                <w:rFonts w:ascii="Arial" w:cs="Arial" w:eastAsia="Arial" w:hAnsi="Arial"/>
                <w:sz w:val="22"/>
                <w:szCs w:val="22"/>
                <w:color w:val="auto"/>
              </w:rPr>
              <w:t>Operating Results:</w:t>
            </w: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200"/>
              <w:spacing w:after="0"/>
              <w:rPr>
                <w:sz w:val="20"/>
                <w:szCs w:val="20"/>
                <w:color w:val="auto"/>
              </w:rPr>
            </w:pPr>
            <w:r>
              <w:rPr>
                <w:rFonts w:ascii="Arial" w:cs="Arial" w:eastAsia="Arial" w:hAnsi="Arial"/>
                <w:sz w:val="22"/>
                <w:szCs w:val="22"/>
                <w:color w:val="auto"/>
              </w:rPr>
              <w:t>Net investment income</w:t>
            </w:r>
          </w:p>
        </w:tc>
        <w:tc>
          <w:tcPr>
            <w:tcW w:w="164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92"/>
              <w:spacing w:after="0"/>
              <w:rPr>
                <w:sz w:val="20"/>
                <w:szCs w:val="20"/>
                <w:color w:val="auto"/>
              </w:rPr>
            </w:pPr>
            <w:r>
              <w:rPr>
                <w:rFonts w:ascii="Arial" w:cs="Arial" w:eastAsia="Arial" w:hAnsi="Arial"/>
                <w:sz w:val="22"/>
                <w:szCs w:val="22"/>
                <w:color w:val="auto"/>
              </w:rPr>
              <w:t>9.9</w:t>
            </w:r>
          </w:p>
        </w:tc>
        <w:tc>
          <w:tcPr>
            <w:tcW w:w="0" w:type="dxa"/>
            <w:vAlign w:val="bottom"/>
          </w:tcPr>
          <w:p>
            <w:pPr>
              <w:spacing w:after="0"/>
              <w:rPr>
                <w:sz w:val="1"/>
                <w:szCs w:val="1"/>
                <w:color w:val="auto"/>
              </w:rPr>
            </w:pPr>
          </w:p>
        </w:tc>
      </w:tr>
      <w:tr>
        <w:trPr>
          <w:trHeight w:val="270"/>
        </w:trPr>
        <w:tc>
          <w:tcPr>
            <w:tcW w:w="6180" w:type="dxa"/>
            <w:vAlign w:val="bottom"/>
          </w:tcPr>
          <w:p>
            <w:pPr>
              <w:ind w:left="200"/>
              <w:spacing w:after="0"/>
              <w:rPr>
                <w:sz w:val="20"/>
                <w:szCs w:val="20"/>
                <w:color w:val="auto"/>
              </w:rPr>
            </w:pPr>
            <w:r>
              <w:rPr>
                <w:rFonts w:ascii="Arial" w:cs="Arial" w:eastAsia="Arial" w:hAnsi="Arial"/>
                <w:sz w:val="22"/>
                <w:szCs w:val="22"/>
                <w:color w:val="auto"/>
              </w:rPr>
              <w:t>Net investment income per share</w:t>
            </w:r>
          </w:p>
        </w:tc>
        <w:tc>
          <w:tcPr>
            <w:tcW w:w="164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92"/>
              <w:spacing w:after="0"/>
              <w:rPr>
                <w:sz w:val="20"/>
                <w:szCs w:val="20"/>
                <w:color w:val="auto"/>
              </w:rPr>
            </w:pPr>
            <w:r>
              <w:rPr>
                <w:rFonts w:ascii="Arial" w:cs="Arial" w:eastAsia="Arial" w:hAnsi="Arial"/>
                <w:sz w:val="22"/>
                <w:szCs w:val="22"/>
                <w:color w:val="auto"/>
              </w:rPr>
              <w:t>0.26</w:t>
            </w:r>
          </w:p>
        </w:tc>
        <w:tc>
          <w:tcPr>
            <w:tcW w:w="0" w:type="dxa"/>
            <w:vAlign w:val="bottom"/>
          </w:tcPr>
          <w:p>
            <w:pPr>
              <w:spacing w:after="0"/>
              <w:rPr>
                <w:sz w:val="1"/>
                <w:szCs w:val="1"/>
                <w:color w:val="auto"/>
              </w:rPr>
            </w:pPr>
          </w:p>
        </w:tc>
      </w:tr>
      <w:tr>
        <w:trPr>
          <w:trHeight w:val="274"/>
        </w:trPr>
        <w:tc>
          <w:tcPr>
            <w:tcW w:w="6180" w:type="dxa"/>
            <w:vAlign w:val="bottom"/>
          </w:tcPr>
          <w:p>
            <w:pPr>
              <w:ind w:left="200"/>
              <w:spacing w:after="0"/>
              <w:rPr>
                <w:sz w:val="20"/>
                <w:szCs w:val="20"/>
                <w:color w:val="auto"/>
              </w:rPr>
            </w:pPr>
            <w:r>
              <w:rPr>
                <w:rFonts w:ascii="Arial" w:cs="Arial" w:eastAsia="Arial" w:hAnsi="Arial"/>
                <w:sz w:val="22"/>
                <w:szCs w:val="22"/>
                <w:color w:val="auto"/>
              </w:rPr>
              <w:t>Distributions declared per share</w:t>
            </w:r>
          </w:p>
        </w:tc>
        <w:tc>
          <w:tcPr>
            <w:tcW w:w="164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92"/>
              <w:spacing w:after="0"/>
              <w:rPr>
                <w:sz w:val="20"/>
                <w:szCs w:val="20"/>
                <w:color w:val="auto"/>
              </w:rPr>
            </w:pPr>
            <w:r>
              <w:rPr>
                <w:rFonts w:ascii="Arial" w:cs="Arial" w:eastAsia="Arial" w:hAnsi="Arial"/>
                <w:sz w:val="22"/>
                <w:szCs w:val="22"/>
                <w:color w:val="auto"/>
              </w:rPr>
              <w:t>0.285</w:t>
            </w:r>
          </w:p>
        </w:tc>
        <w:tc>
          <w:tcPr>
            <w:tcW w:w="0" w:type="dxa"/>
            <w:vAlign w:val="bottom"/>
          </w:tcPr>
          <w:p>
            <w:pPr>
              <w:spacing w:after="0"/>
              <w:rPr>
                <w:sz w:val="1"/>
                <w:szCs w:val="1"/>
                <w:color w:val="auto"/>
              </w:rPr>
            </w:pPr>
          </w:p>
        </w:tc>
      </w:tr>
      <w:tr>
        <w:trPr>
          <w:trHeight w:val="536"/>
        </w:trPr>
        <w:tc>
          <w:tcPr>
            <w:tcW w:w="6180" w:type="dxa"/>
            <w:vAlign w:val="bottom"/>
          </w:tcPr>
          <w:p>
            <w:pPr>
              <w:spacing w:after="0"/>
              <w:rPr>
                <w:sz w:val="20"/>
                <w:szCs w:val="20"/>
                <w:color w:val="auto"/>
              </w:rPr>
            </w:pPr>
            <w:r>
              <w:rPr>
                <w:rFonts w:ascii="Arial" w:cs="Arial" w:eastAsia="Arial" w:hAnsi="Arial"/>
                <w:sz w:val="22"/>
                <w:szCs w:val="22"/>
                <w:color w:val="auto"/>
              </w:rPr>
              <w:t>PFLT Portfolio Activity:</w:t>
            </w: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200"/>
              <w:spacing w:after="0"/>
              <w:rPr>
                <w:sz w:val="20"/>
                <w:szCs w:val="20"/>
                <w:color w:val="auto"/>
              </w:rPr>
            </w:pPr>
            <w:r>
              <w:rPr>
                <w:rFonts w:ascii="Arial" w:cs="Arial" w:eastAsia="Arial" w:hAnsi="Arial"/>
                <w:sz w:val="22"/>
                <w:szCs w:val="22"/>
                <w:color w:val="auto"/>
              </w:rPr>
              <w:t>Purchases of investments</w:t>
            </w:r>
          </w:p>
        </w:tc>
        <w:tc>
          <w:tcPr>
            <w:tcW w:w="164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92"/>
              <w:spacing w:after="0"/>
              <w:rPr>
                <w:sz w:val="20"/>
                <w:szCs w:val="20"/>
                <w:color w:val="auto"/>
              </w:rPr>
            </w:pPr>
            <w:r>
              <w:rPr>
                <w:rFonts w:ascii="Arial" w:cs="Arial" w:eastAsia="Arial" w:hAnsi="Arial"/>
                <w:sz w:val="22"/>
                <w:szCs w:val="22"/>
                <w:color w:val="auto"/>
              </w:rPr>
              <w:t>160.2</w:t>
            </w:r>
          </w:p>
        </w:tc>
        <w:tc>
          <w:tcPr>
            <w:tcW w:w="0" w:type="dxa"/>
            <w:vAlign w:val="bottom"/>
          </w:tcPr>
          <w:p>
            <w:pPr>
              <w:spacing w:after="0"/>
              <w:rPr>
                <w:sz w:val="1"/>
                <w:szCs w:val="1"/>
                <w:color w:val="auto"/>
              </w:rPr>
            </w:pPr>
          </w:p>
        </w:tc>
      </w:tr>
      <w:tr>
        <w:trPr>
          <w:trHeight w:val="274"/>
        </w:trPr>
        <w:tc>
          <w:tcPr>
            <w:tcW w:w="6180" w:type="dxa"/>
            <w:vAlign w:val="bottom"/>
          </w:tcPr>
          <w:p>
            <w:pPr>
              <w:ind w:left="200"/>
              <w:spacing w:after="0"/>
              <w:rPr>
                <w:sz w:val="20"/>
                <w:szCs w:val="20"/>
                <w:color w:val="auto"/>
              </w:rPr>
            </w:pPr>
            <w:r>
              <w:rPr>
                <w:rFonts w:ascii="Arial" w:cs="Arial" w:eastAsia="Arial" w:hAnsi="Arial"/>
                <w:sz w:val="22"/>
                <w:szCs w:val="22"/>
                <w:color w:val="auto"/>
              </w:rPr>
              <w:t>Sales and repayments of investments</w:t>
            </w:r>
          </w:p>
        </w:tc>
        <w:tc>
          <w:tcPr>
            <w:tcW w:w="164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92"/>
              <w:spacing w:after="0"/>
              <w:rPr>
                <w:sz w:val="20"/>
                <w:szCs w:val="20"/>
                <w:color w:val="auto"/>
              </w:rPr>
            </w:pPr>
            <w:r>
              <w:rPr>
                <w:rFonts w:ascii="Arial" w:cs="Arial" w:eastAsia="Arial" w:hAnsi="Arial"/>
                <w:sz w:val="22"/>
                <w:szCs w:val="22"/>
                <w:color w:val="auto"/>
              </w:rPr>
              <w:t>172.1</w:t>
            </w:r>
          </w:p>
        </w:tc>
        <w:tc>
          <w:tcPr>
            <w:tcW w:w="0" w:type="dxa"/>
            <w:vAlign w:val="bottom"/>
          </w:tcPr>
          <w:p>
            <w:pPr>
              <w:spacing w:after="0"/>
              <w:rPr>
                <w:sz w:val="1"/>
                <w:szCs w:val="1"/>
                <w:color w:val="auto"/>
              </w:rPr>
            </w:pPr>
          </w:p>
        </w:tc>
      </w:tr>
      <w:tr>
        <w:trPr>
          <w:trHeight w:val="536"/>
        </w:trPr>
        <w:tc>
          <w:tcPr>
            <w:tcW w:w="6180" w:type="dxa"/>
            <w:vAlign w:val="bottom"/>
          </w:tcPr>
          <w:p>
            <w:pPr>
              <w:ind w:left="200"/>
              <w:spacing w:after="0"/>
              <w:rPr>
                <w:sz w:val="20"/>
                <w:szCs w:val="20"/>
                <w:color w:val="auto"/>
              </w:rPr>
            </w:pPr>
            <w:r>
              <w:rPr>
                <w:rFonts w:ascii="Arial" w:cs="Arial" w:eastAsia="Arial" w:hAnsi="Arial"/>
                <w:sz w:val="22"/>
                <w:szCs w:val="22"/>
                <w:color w:val="auto"/>
              </w:rPr>
              <w:t>Number of new portfolio companies invested</w:t>
            </w:r>
          </w:p>
        </w:tc>
        <w:tc>
          <w:tcPr>
            <w:tcW w:w="1640" w:type="dxa"/>
            <w:vAlign w:val="bottom"/>
          </w:tcPr>
          <w:p>
            <w:pPr>
              <w:spacing w:after="0"/>
              <w:rPr>
                <w:sz w:val="24"/>
                <w:szCs w:val="24"/>
                <w:color w:val="auto"/>
              </w:rPr>
            </w:pPr>
          </w:p>
        </w:tc>
        <w:tc>
          <w:tcPr>
            <w:tcW w:w="1340" w:type="dxa"/>
            <w:vAlign w:val="bottom"/>
          </w:tcPr>
          <w:p>
            <w:pPr>
              <w:jc w:val="right"/>
              <w:ind w:right="92"/>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70"/>
        </w:trPr>
        <w:tc>
          <w:tcPr>
            <w:tcW w:w="6180" w:type="dxa"/>
            <w:vAlign w:val="bottom"/>
          </w:tcPr>
          <w:p>
            <w:pPr>
              <w:ind w:left="200"/>
              <w:spacing w:after="0"/>
              <w:rPr>
                <w:sz w:val="20"/>
                <w:szCs w:val="20"/>
                <w:color w:val="auto"/>
              </w:rPr>
            </w:pPr>
            <w:r>
              <w:rPr>
                <w:rFonts w:ascii="Arial" w:cs="Arial" w:eastAsia="Arial" w:hAnsi="Arial"/>
                <w:sz w:val="22"/>
                <w:szCs w:val="22"/>
                <w:color w:val="auto"/>
              </w:rPr>
              <w:t>Number of existing portfolio companies invested</w:t>
            </w:r>
          </w:p>
        </w:tc>
        <w:tc>
          <w:tcPr>
            <w:tcW w:w="164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74"/>
        </w:trPr>
        <w:tc>
          <w:tcPr>
            <w:tcW w:w="6180" w:type="dxa"/>
            <w:vAlign w:val="bottom"/>
          </w:tcPr>
          <w:p>
            <w:pPr>
              <w:ind w:left="200"/>
              <w:spacing w:after="0"/>
              <w:rPr>
                <w:sz w:val="20"/>
                <w:szCs w:val="20"/>
                <w:color w:val="auto"/>
              </w:rPr>
            </w:pPr>
            <w:r>
              <w:rPr>
                <w:rFonts w:ascii="Arial" w:cs="Arial" w:eastAsia="Arial" w:hAnsi="Arial"/>
                <w:sz w:val="22"/>
                <w:szCs w:val="22"/>
                <w:color w:val="auto"/>
              </w:rPr>
              <w:t>Number of ending portfolio companies</w:t>
            </w:r>
          </w:p>
        </w:tc>
        <w:tc>
          <w:tcPr>
            <w:tcW w:w="164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Arial" w:cs="Arial" w:eastAsia="Arial" w:hAnsi="Arial"/>
                <w:sz w:val="22"/>
                <w:szCs w:val="22"/>
                <w:color w:val="auto"/>
              </w:rPr>
              <w:t>100</w:t>
            </w:r>
          </w:p>
        </w:tc>
        <w:tc>
          <w:tcPr>
            <w:tcW w:w="0" w:type="dxa"/>
            <w:vAlign w:val="bottom"/>
          </w:tcPr>
          <w:p>
            <w:pPr>
              <w:spacing w:after="0"/>
              <w:rPr>
                <w:sz w:val="1"/>
                <w:szCs w:val="1"/>
                <w:color w:val="auto"/>
              </w:rPr>
            </w:pPr>
          </w:p>
        </w:tc>
      </w:tr>
      <w:tr>
        <w:trPr>
          <w:trHeight w:val="536"/>
        </w:trPr>
        <w:tc>
          <w:tcPr>
            <w:tcW w:w="6180" w:type="dxa"/>
            <w:vAlign w:val="bottom"/>
          </w:tcPr>
          <w:p>
            <w:pPr>
              <w:spacing w:after="0"/>
              <w:rPr>
                <w:sz w:val="20"/>
                <w:szCs w:val="20"/>
                <w:color w:val="auto"/>
              </w:rPr>
            </w:pPr>
            <w:r>
              <w:rPr>
                <w:rFonts w:ascii="Arial" w:cs="Arial" w:eastAsia="Arial" w:hAnsi="Arial"/>
                <w:sz w:val="22"/>
                <w:szCs w:val="22"/>
                <w:color w:val="auto"/>
              </w:rPr>
              <w:t>PSSL Portfolio Activity:</w:t>
            </w: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200"/>
              <w:spacing w:after="0"/>
              <w:rPr>
                <w:sz w:val="20"/>
                <w:szCs w:val="20"/>
                <w:color w:val="auto"/>
              </w:rPr>
            </w:pPr>
            <w:r>
              <w:rPr>
                <w:rFonts w:ascii="Arial" w:cs="Arial" w:eastAsia="Arial" w:hAnsi="Arial"/>
                <w:sz w:val="22"/>
                <w:szCs w:val="22"/>
                <w:color w:val="auto"/>
              </w:rPr>
              <w:t>Purchases of investments</w:t>
            </w:r>
          </w:p>
        </w:tc>
        <w:tc>
          <w:tcPr>
            <w:tcW w:w="164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92"/>
              <w:spacing w:after="0"/>
              <w:rPr>
                <w:sz w:val="20"/>
                <w:szCs w:val="20"/>
                <w:color w:val="auto"/>
              </w:rPr>
            </w:pPr>
            <w:r>
              <w:rPr>
                <w:rFonts w:ascii="Arial" w:cs="Arial" w:eastAsia="Arial" w:hAnsi="Arial"/>
                <w:sz w:val="22"/>
                <w:szCs w:val="22"/>
                <w:color w:val="auto"/>
              </w:rPr>
              <w:t>128.7</w:t>
            </w:r>
          </w:p>
        </w:tc>
        <w:tc>
          <w:tcPr>
            <w:tcW w:w="0" w:type="dxa"/>
            <w:vAlign w:val="bottom"/>
          </w:tcPr>
          <w:p>
            <w:pPr>
              <w:spacing w:after="0"/>
              <w:rPr>
                <w:sz w:val="1"/>
                <w:szCs w:val="1"/>
                <w:color w:val="auto"/>
              </w:rPr>
            </w:pPr>
          </w:p>
        </w:tc>
      </w:tr>
      <w:tr>
        <w:trPr>
          <w:trHeight w:val="274"/>
        </w:trPr>
        <w:tc>
          <w:tcPr>
            <w:tcW w:w="6180" w:type="dxa"/>
            <w:vAlign w:val="bottom"/>
          </w:tcPr>
          <w:p>
            <w:pPr>
              <w:ind w:left="200"/>
              <w:spacing w:after="0"/>
              <w:rPr>
                <w:sz w:val="20"/>
                <w:szCs w:val="20"/>
                <w:color w:val="auto"/>
              </w:rPr>
            </w:pPr>
            <w:r>
              <w:rPr>
                <w:rFonts w:ascii="Arial" w:cs="Arial" w:eastAsia="Arial" w:hAnsi="Arial"/>
                <w:sz w:val="22"/>
                <w:szCs w:val="22"/>
                <w:color w:val="auto"/>
              </w:rPr>
              <w:t>Sales and repayments of investments</w:t>
            </w:r>
          </w:p>
        </w:tc>
        <w:tc>
          <w:tcPr>
            <w:tcW w:w="164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92"/>
              <w:spacing w:after="0"/>
              <w:rPr>
                <w:sz w:val="20"/>
                <w:szCs w:val="20"/>
                <w:color w:val="auto"/>
              </w:rPr>
            </w:pPr>
            <w:r>
              <w:rPr>
                <w:rFonts w:ascii="Arial" w:cs="Arial" w:eastAsia="Arial" w:hAnsi="Arial"/>
                <w:sz w:val="22"/>
                <w:szCs w:val="22"/>
                <w:color w:val="auto"/>
              </w:rPr>
              <w:t>29.6</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0" w:firstLine="8"/>
        <w:spacing w:after="0" w:line="196" w:lineRule="auto"/>
        <w:tabs>
          <w:tab w:leader="none" w:pos="287" w:val="left"/>
        </w:tabs>
        <w:numPr>
          <w:ilvl w:val="0"/>
          <w:numId w:val="3"/>
        </w:numPr>
        <w:rPr>
          <w:rFonts w:ascii="Arial" w:cs="Arial" w:eastAsia="Arial" w:hAnsi="Arial"/>
          <w:sz w:val="34"/>
          <w:szCs w:val="34"/>
          <w:color w:val="auto"/>
          <w:vertAlign w:val="superscript"/>
        </w:rPr>
      </w:pPr>
      <w:r>
        <w:rPr>
          <w:rFonts w:ascii="Arial" w:cs="Arial" w:eastAsia="Arial" w:hAnsi="Arial"/>
          <w:sz w:val="21"/>
          <w:szCs w:val="21"/>
          <w:color w:val="auto"/>
        </w:rPr>
        <w:t>Includes investments in PennantPark Senior Secured Loan Fund I LLC, or PSSL, an unconsolidated joint venture, totaling $172.0 million, at fair value.</w:t>
      </w:r>
    </w:p>
    <w:p>
      <w:pPr>
        <w:spacing w:after="0" w:line="23" w:lineRule="exact"/>
        <w:rPr>
          <w:rFonts w:ascii="Arial" w:cs="Arial" w:eastAsia="Arial" w:hAnsi="Arial"/>
          <w:sz w:val="34"/>
          <w:szCs w:val="34"/>
          <w:color w:val="auto"/>
          <w:vertAlign w:val="superscript"/>
        </w:rPr>
      </w:pPr>
    </w:p>
    <w:p>
      <w:pPr>
        <w:jc w:val="both"/>
        <w:ind w:firstLine="8"/>
        <w:spacing w:after="0" w:line="235" w:lineRule="auto"/>
        <w:tabs>
          <w:tab w:leader="none" w:pos="270" w:val="left"/>
        </w:tabs>
        <w:numPr>
          <w:ilvl w:val="0"/>
          <w:numId w:val="3"/>
        </w:numPr>
        <w:rPr>
          <w:rFonts w:ascii="Arial" w:cs="Arial" w:eastAsia="Arial" w:hAnsi="Arial"/>
          <w:sz w:val="32"/>
          <w:szCs w:val="32"/>
          <w:color w:val="auto"/>
          <w:vertAlign w:val="superscript"/>
        </w:rPr>
      </w:pPr>
      <w:r>
        <w:rPr>
          <w:rFonts w:ascii="Arial" w:cs="Arial" w:eastAsia="Arial" w:hAnsi="Arial"/>
          <w:sz w:val="20"/>
          <w:szCs w:val="20"/>
          <w:color w:val="auto"/>
        </w:rPr>
        <w:t>This is a non-GAAP financial measure. The Company believes that this number provides useful information to investors and management because it reflects the Company’s financial performance excluding the impact of the $4.3 million unrealized loss on our multi-currency senior secured revolving credit facility, as amended and restated, with Truist Bank (formerly SunTrust Bank) and other lenders, or the Credit Facility, and our 4.3% Series A notes due 2023, or the 2023 Notes. The presentation of this additional information is not meant to be considered in isolation or as a substitute for financial results prepared in accordance with GAAP.</w:t>
      </w:r>
    </w:p>
    <w:p>
      <w:pPr>
        <w:spacing w:after="0" w:line="25" w:lineRule="exact"/>
        <w:rPr>
          <w:rFonts w:ascii="Arial" w:cs="Arial" w:eastAsia="Arial" w:hAnsi="Arial"/>
          <w:sz w:val="32"/>
          <w:szCs w:val="32"/>
          <w:color w:val="auto"/>
          <w:vertAlign w:val="superscript"/>
        </w:rPr>
      </w:pPr>
    </w:p>
    <w:p>
      <w:pPr>
        <w:jc w:val="both"/>
        <w:ind w:firstLine="8"/>
        <w:spacing w:after="0" w:line="207" w:lineRule="auto"/>
        <w:tabs>
          <w:tab w:leader="none" w:pos="270" w:val="left"/>
        </w:tabs>
        <w:numPr>
          <w:ilvl w:val="0"/>
          <w:numId w:val="3"/>
        </w:numPr>
        <w:rPr>
          <w:rFonts w:ascii="Arial" w:cs="Arial" w:eastAsia="Arial" w:hAnsi="Arial"/>
          <w:sz w:val="32"/>
          <w:szCs w:val="32"/>
          <w:color w:val="auto"/>
          <w:vertAlign w:val="superscript"/>
        </w:rPr>
      </w:pPr>
      <w:r>
        <w:rPr>
          <w:rFonts w:ascii="Arial" w:cs="Arial" w:eastAsia="Arial" w:hAnsi="Arial"/>
          <w:sz w:val="20"/>
          <w:szCs w:val="20"/>
          <w:color w:val="auto"/>
        </w:rPr>
        <w:t>This is a non-GAAP financial measure. The Company believes that this number provides useful information to investors and management because it reflects the Company’s financial performance net of $66.6 million of cash and cash equivalents. The</w:t>
      </w:r>
    </w:p>
    <w:p>
      <w:pPr>
        <w:sectPr>
          <w:pgSz w:w="11900" w:h="16886" w:orient="portrait"/>
          <w:cols w:equalWidth="0" w:num="1">
            <w:col w:w="11240"/>
          </w:cols>
          <w:pgMar w:left="320" w:top="112" w:right="339" w:bottom="0" w:gutter="0" w:footer="0" w:header="0"/>
        </w:sectPr>
      </w:pPr>
    </w:p>
    <w:bookmarkStart w:id="4" w:name="page5"/>
    <w:bookmarkEnd w:id="4"/>
    <w:p>
      <w:pPr>
        <w:spacing w:after="0" w:line="241" w:lineRule="auto"/>
        <w:rPr>
          <w:sz w:val="20"/>
          <w:szCs w:val="20"/>
          <w:color w:val="auto"/>
        </w:rPr>
      </w:pPr>
      <w:r>
        <w:rPr>
          <w:rFonts w:ascii="Arial" w:cs="Arial" w:eastAsia="Arial" w:hAnsi="Arial"/>
          <w:sz w:val="22"/>
          <w:szCs w:val="22"/>
          <w:color w:val="auto"/>
        </w:rPr>
        <w:t>presentation of this additional information is not meant to be considered in isolation or as a substitute for financial results prepared in accordance with GAAP.</w:t>
      </w:r>
    </w:p>
    <w:p>
      <w:pPr>
        <w:spacing w:after="0" w:line="33" w:lineRule="exact"/>
        <w:rPr>
          <w:sz w:val="20"/>
          <w:szCs w:val="20"/>
          <w:color w:val="auto"/>
        </w:rPr>
      </w:pPr>
    </w:p>
    <w:p>
      <w:pPr>
        <w:jc w:val="both"/>
        <w:ind w:firstLine="8"/>
        <w:spacing w:after="0" w:line="227" w:lineRule="auto"/>
        <w:tabs>
          <w:tab w:leader="none" w:pos="270" w:val="left"/>
        </w:tabs>
        <w:numPr>
          <w:ilvl w:val="0"/>
          <w:numId w:val="4"/>
        </w:numPr>
        <w:rPr>
          <w:rFonts w:ascii="Arial" w:cs="Arial" w:eastAsia="Arial" w:hAnsi="Arial"/>
          <w:sz w:val="32"/>
          <w:szCs w:val="32"/>
          <w:color w:val="auto"/>
          <w:vertAlign w:val="superscript"/>
        </w:rPr>
      </w:pPr>
      <w:r>
        <w:rPr>
          <w:rFonts w:ascii="Arial" w:cs="Arial" w:eastAsia="Arial" w:hAnsi="Arial"/>
          <w:sz w:val="20"/>
          <w:szCs w:val="20"/>
          <w:color w:val="auto"/>
        </w:rPr>
        <w:t>This is a non-GAAP financial measure. The Company believes that this number provides useful information to investors and management because it reflects the Company’s financial performance including the impact of the $4.3 million unrealized loss on the Credit Facility and the 2023 Notes net of $66.6 million of cash and cash equivalents. The presentation of this additional information is not meant to be considered in isolation or as a substitute for financial results prepared in accordance with GAAP.</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9:00 A.M. ET ON MAY 6, 2021</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PennantPark Floating Rate Capital Ltd. (“we,” “our,” “us” or the “Company”) will host a conference call at 9:00 a.m. (Eastern Time) on Thursday, May 6, 2021 to discuss its financial results. All interested parties are welcome to participate. You can access the conference call by dialing toll-free (866) 548-4713 approximately 5-10 minutes prior to the call. International callers should dial (323) 794-2093. All callers should reference conference ID #5638110 or PennantPark Floating Rate Capital Ltd. An archived replay of the call will be available through May 20, 2021 by calling toll-free (888) 203-1112. International callers please dial (719) 457-0820. For all phone replays, please reference conference ID #5638110.</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are pleased with the strong performance of our portfolio this past quarter including our increase in net asset value,” said Arthur Penn, Chairman and CEO. “Our PSSL joint venture saw significant growth. We believe that the combination of a growing PSSL, the rotation of equity positions into yield generating debt instruments and a growing, more optimized PFLT balance sheet should position the Company well for increased income over time.”</w:t>
      </w:r>
    </w:p>
    <w:p>
      <w:pPr>
        <w:spacing w:after="0" w:line="18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As of March 31, 2021, our portfolio totaled $1,069.1 million and consisted of $916.0 million of first lien secured debt (including $126.5 million in PSSL), $30.2 million of second lien secured debt and $123.0 million of preferred and common equity (including $45.5 million in PSSL). Our debt portfolio consisted of 98% variable-rate investments. As of March 31, 2021, we had two portfolio companies on non-accrual, representing 3.1% and 2.3% of our overall portfolio on a cost and fair value basis, respectively. Overall, the portfolio had net unrealized appreciation of $4.7 million. Our overall portfolio consisted of 100 companies with an average investment size of $10.7 million, had a weighted average yield on debt investments of 7.6%, and was invested 86% in first lien secured debt (including 12% in PSSL), 3% in second lien secured debt and 11% in preferred and common equity (including 4% in PSSL). As of March 31, 2021, 97% of the investments held by PSSL were first lien secured debt.</w:t>
      </w:r>
    </w:p>
    <w:p>
      <w:pPr>
        <w:spacing w:after="0" w:line="19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of September 30, 2020, our portfolio totaled $1,086.9 million, which consisted of $968.6 million of first lien secured debt (including $125.4 million in PSSL), $29.9 million of second lien secured debt and $88.4 million of preferred and common equity (including $39.9 million in PSSL). Our debt portfolio consisted of 99% variable-rate investments. As of September 30, 2020, we had three portfolio companies on non-accrual, representing 2.1% and 1.8% of our overall portfolio on a cost and fair value basis, respectively. Overall, the portfolio had net unrealized depreciation of $29.9 million. Our overall portfolio consisted of 102 companies with an average investment size of $10.7 million, had a weighted average yield on debt investments of 7.3%, and was invested 89% in first lien secured debt (including 12% in PSSL), 3% in second lien secured debt and 8% in preferred and common equity (including 4% in PSSL). As of September 30, 2020, 97% of the investments held by PSSL were first lien secured debt.</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March 31, 2021, we invested $160.2 million in four new and 17 existing portfolio companies with a weighted average yield on debt investments of 7.4%. Sales and repayments of investments for the three months ended March 31, 2021 totaled $172.1 million. For the six months ended March 31, 2021, we invested $227.2 million in nine new and 34 existing portfolio companies with a weighted average yield on debt investments of 7.4%. Sales and repayments of investments for the six months ended March 31, 2021 totaled $281.7 million.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March 31, 2020, we invested $167.5 million in seven new and 37 existing portfolio companies with a weighted average yield on debt investments of 7.5%. Sales and repayments of investments for the three months ended March 31, 2020 totaled $99.4 million. For the six months ended March 31, 2020, we invested $407.0 million in 17 new and 68 existing portfolio companies with a weighted average yield on debt investments of 8.0%. Sales and repayments of investments for the six months ended March 31, 2020 totaled $243.1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Secured Loan Fund I LLC</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March 31, 2021, PSSL’s portfolio totaled $485.1 million, consisted of 64 companies with an average investment size of $7.6 million and had a weighted average yield on debt investments of 7.2%. As of September 30, 2020, PSSL’s portfolio totaled $393.0 million, consisted of 45 companies with an average investment size of $8.7 million and had a weighted average yield on debt investments of 6.8%.</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For the three months ended March 31, 2021, PSSL invested $128.7 million (including $125.2 million purchased from the Company) in 24 new and six existing portfolio companies with a weighted average yield on debt investments of 7.3%. Sales and repayments of investments for the three months ended March 31, 2021 totaled $29.6 million. For the six months ended March 31, 2021, PSSL invested $144.1 million (including $125.2 million purchased from the Company) in 24 new and 11 existing portfolio companies with a weighted average yield on debt investments of 7.4%. Sales and repayments of investments for the six months ended March 31, 2021 totaled $60.2 million.</w:t>
      </w:r>
    </w:p>
    <w:p>
      <w:pPr>
        <w:sectPr>
          <w:pgSz w:w="11900" w:h="16838" w:orient="portrait"/>
          <w:cols w:equalWidth="0" w:num="1">
            <w:col w:w="11240"/>
          </w:cols>
          <w:pgMar w:left="320" w:top="118" w:right="339" w:bottom="0" w:gutter="0" w:footer="0" w:header="0"/>
        </w:sectPr>
      </w:pPr>
    </w:p>
    <w:bookmarkStart w:id="5" w:name="page6"/>
    <w:bookmarkEnd w:id="5"/>
    <w:p>
      <w:pPr>
        <w:jc w:val="both"/>
        <w:spacing w:after="0" w:line="248" w:lineRule="auto"/>
        <w:rPr>
          <w:sz w:val="20"/>
          <w:szCs w:val="20"/>
          <w:color w:val="auto"/>
        </w:rPr>
      </w:pPr>
      <w:r>
        <w:rPr>
          <w:rFonts w:ascii="Arial" w:cs="Arial" w:eastAsia="Arial" w:hAnsi="Arial"/>
          <w:sz w:val="21"/>
          <w:szCs w:val="21"/>
          <w:color w:val="auto"/>
        </w:rPr>
        <w:t>For the three months ended March 31, 2020, PSSL invested $17.9 million (including $17.8 million purchased from the Company) in three new and one existing portfolio companies with a weighted average yield on debt investments of 7.4%. Sales and repayments of investments for the three months ended March 31, 2020 totaled $7.9 million. For the six months ended March 31, 2020, PSSL invested $87.1 million (including $86.7 million purchased from the Company) in 11 new and two existing portfolio companies with a weighted average yield on debt investments of 7.4%. Sales and repayments of investments for the six months ended March 31, 2020 totaled $74.3 million.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six months ended March 31, 2021 and 2020.</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Investment income for the three and six months ended March 31, 2021 was $19.4 million and $40.2 million, respectively, which was attributable to $16.6 million and $35.3 million from first lien secured debt and $2.9 million and $4.9 million from other investments, respectively. This compares to investment income for the three and six months ended March 31, 2020, which was $26.3 million and $51.0 million, respectively, and was attributable to $24.1 million and $46.5 million from first lien secured debt and $2.2 million and $4.5 million from other investments, respectively. The decrease in investment income compared to the same periods in the prior year was primarily due to a decrease in the size of our portfolio and the London Interbank Offered Rate..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Expenses for the three and six months ended March 31, 2021 totaled $9.5 million and $20.1 million, respectively. Base management fee for the same periods totaled $2.6 million and $5.3 million, incentive fee totaled $1.3 million and $3.1 million, debt related interest and expenses totaled $4.8 million and $10.1 million and general and administrative expenses totaled $0.7 million and $1.4 million, respectively. This compares to expenses for the three and six months ended March 31, 2020 which totaled $14.6 million and $28.1 million, respectively. Base management fee for the same periods totaled $2.9 million and $5.8 million, incentive fee totaled $2.9 million and $5.3 million, debt related interest and expenses totaled $7.6 million and $14.9 million and general and administrative expenses totaled $1.0 million and $1.9 million, respectively. The decrease in expenses for the three and six months ended March 31, 2021 compared to the same periods in the prior year was primarily due to a decrease in management fees, incentive fees and debt related interest and expenses.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Net investment income totaled $9.9 million and $20.0 million, or $0.26 and $0.52 per share, for the three and six months ended March 31, 2021, respectively. Net investment income totaled $11.7 million and $22.9 million, or $0.30 and $0.59 per share, for the three and six months ended March 31,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Sales and repayments of investments for the three and six months ended March 31, 2021 totaled $172.1 million and $281.7 million, respectively, and net realized gains (losses) totaled $0.5 million and ($2.3) million, respectively. Sales and repayments of investments for the three and six months ended March 31, 2020 totaled $99.4 million and $243.1 million, respectively, and net realized losses totaled $1.6 million and $0.6 million, respectively. The change in realized gains/losses was primarily due to changes in the market conditions of our investments and the values at which they were realized.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the Credit Facility and the 2023 Notes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 the three and six months ended March 31, 2021, we reported net change in unrealized appreciation on investments of $11.8 million and $34.6 million, respectively. For the three and six months ended March 31, 2020, we reported net change in unrealized depreciation on investments of $64.8 million and $68.3 million, respectively. As of March 31, 2021 and September 30, 2020, our net unrealized depreciation on investments totaled $4.7 million and $29.9 million, respectively. The net change in unrealized appreciation on our investments compared to the same period in the prior year was primarily due to unrealized gains in our equity co-investment program, including ITC Rumba, LLC (Cano Health, LLC).</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For the three and six months ended March 31, 2021, the Credit Facility and the 2023 Notes had a net change in unrealized appreciation of $10.5 million and $14.5 million, respectively. For the three and six months ended March 31, 2020, the Credit Facility and the 2023 Notes had a net change in unrealized depreciation of $33.5 million and $34.9 million, respectively. As of March 31, 2021 and September 30, 2020, the net unrealized depreciation on the Credit Facility and the 2023 Notes totaled $4.3 million and $18.8 million, respectively. The net change in net unrealized depreciation compared to the same period in the prior year was primarily due to changes in the capital markets.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Net increase in net assets resulting from operations totaled $11.7 million and $37.8 million, or $0.30 and $0.98 per share, respectively, for the three and six months ended March 31, 2021. This compares to a net decrease in net assets resulting from operations of $21.1 million and $11.1 million, or $0.54 and $0.29 per share, respectively, for the three and six months ended March 31, 2020. The increase in the net change in net assets from operations for the three and six months ended March 31, 2021</w:t>
      </w:r>
    </w:p>
    <w:p>
      <w:pPr>
        <w:sectPr>
          <w:pgSz w:w="11900" w:h="16838" w:orient="portrait"/>
          <w:cols w:equalWidth="0" w:num="1">
            <w:col w:w="11240"/>
          </w:cols>
          <w:pgMar w:left="320" w:top="118" w:right="339" w:bottom="0" w:gutter="0" w:footer="0" w:header="0"/>
        </w:sectPr>
      </w:pPr>
    </w:p>
    <w:bookmarkStart w:id="6" w:name="page7"/>
    <w:bookmarkEnd w:id="6"/>
    <w:p>
      <w:pPr>
        <w:spacing w:after="0" w:line="4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compared to the same periods in the prior year was primarily due to unrealized gains in our equity co-investment program, including ITC Rumba, LLC (Cano Health, LLC).</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For more information on how the COVID-19 pandemic may impact our ability to comply with the covenants of the Credit Facility, see our Quarterly Report on Form 10-Q for the quarter ended March 31, 2021, including “Item 7. Management's Discussion and Analysis of Financial Condition and Results of Operations – COVID-19 Developments”.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annualized weighted average cost of debt for the six months ended March 31, 2021 and 2020, inclusive of the fee on the undrawn commitment on the Credit Facility, amendment costs and debt issuance costs, was 3.4% and 4.1%, respectively. As of March 31, 2021 and September 30, 2020, we had $253.1 million and $211.4 million of unused borrowing capacity under the Credit Facility, respectively, subject to leverage and borrowing base restrictions.</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March 31, 2021 and September 30, 2020, our wholly owned subsidiary, PennantPark Floating Rate Funding I, LLC, borrowed $146.9 million and $308.6 million under the Credit Facility, respectively. The Credit Facility had a weighted average interest rate of 2.2% and 2.2%, exclusive of the fee on undrawn commitments as of March 31, 2021 and September 30, 2020, respectively.</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March 31, 2021 and September 30, 2020, we had cash equivalents of $66.6 million and $57.5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provided cash of $117.8 million for the six months ended March 31, 2021, and our financing activities used cash of $107.7 million for the same period. Our operating activities provided cash primarily from our investment activities and our financing activities used cash primarily to pay down our Credit Facility, partially offset by the 2026 Notes issuance.</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operating activities used cash of $158.9 million for the six months ended March 31, 2020, and our financing activities provided cash of $125.9 million for the same period. Our operating activities used cash primarily for our investment activities and our financing activities provided cash primarily from draws on our Credit Facility, partially offset by distributions paid to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During the three and six months ended March 31, 2021 and 2020, we declared distributions of $0.285 and $0.57 per share, respectively, for total distributions of $11.1 and $22.1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 xml:space="preserve">The Company makes available on its website its Quarterly Report on Form 10-Q filed with the SEC, and stockholders may find such report on its website at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020" w:type="dxa"/>
            <w:vAlign w:val="bottom"/>
          </w:tcPr>
          <w:p>
            <w:pPr>
              <w:spacing w:after="0"/>
              <w:rPr>
                <w:sz w:val="21"/>
                <w:szCs w:val="21"/>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22"/>
                <w:szCs w:val="22"/>
                <w:b w:val="1"/>
                <w:bCs w:val="1"/>
                <w:color w:val="auto"/>
                <w:w w:val="92"/>
              </w:rPr>
              <w:t>March 31,</w:t>
            </w:r>
          </w:p>
        </w:tc>
        <w:tc>
          <w:tcPr>
            <w:tcW w:w="1520" w:type="dxa"/>
            <w:vAlign w:val="bottom"/>
          </w:tcPr>
          <w:p>
            <w:pPr>
              <w:jc w:val="right"/>
              <w:spacing w:after="0"/>
              <w:rPr>
                <w:sz w:val="20"/>
                <w:szCs w:val="20"/>
                <w:color w:val="auto"/>
              </w:rPr>
            </w:pPr>
            <w:r>
              <w:rPr>
                <w:rFonts w:ascii="Arial" w:cs="Arial" w:eastAsia="Arial" w:hAnsi="Arial"/>
                <w:sz w:val="22"/>
                <w:szCs w:val="22"/>
                <w:b w:val="1"/>
                <w:bCs w:val="1"/>
                <w:color w:val="auto"/>
                <w:w w:val="93"/>
              </w:rPr>
              <w:t>September 30,</w:t>
            </w:r>
          </w:p>
        </w:tc>
        <w:tc>
          <w:tcPr>
            <w:tcW w:w="0" w:type="dxa"/>
            <w:vAlign w:val="bottom"/>
          </w:tcPr>
          <w:p>
            <w:pPr>
              <w:spacing w:after="0"/>
              <w:rPr>
                <w:sz w:val="1"/>
                <w:szCs w:val="1"/>
                <w:color w:val="auto"/>
              </w:rPr>
            </w:pPr>
          </w:p>
        </w:tc>
      </w:tr>
      <w:tr>
        <w:trPr>
          <w:trHeight w:val="270"/>
        </w:trPr>
        <w:tc>
          <w:tcPr>
            <w:tcW w:w="8020" w:type="dxa"/>
            <w:vAlign w:val="bottom"/>
          </w:tcPr>
          <w:p>
            <w:pPr>
              <w:spacing w:after="0"/>
              <w:rPr>
                <w:sz w:val="23"/>
                <w:szCs w:val="23"/>
                <w:color w:val="auto"/>
              </w:rPr>
            </w:pPr>
          </w:p>
        </w:tc>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2021</w:t>
            </w:r>
          </w:p>
        </w:tc>
        <w:tc>
          <w:tcPr>
            <w:tcW w:w="180" w:type="dxa"/>
            <w:vAlign w:val="bottom"/>
          </w:tcPr>
          <w:p>
            <w:pPr>
              <w:spacing w:after="0"/>
              <w:rPr>
                <w:sz w:val="23"/>
                <w:szCs w:val="23"/>
                <w:color w:val="auto"/>
              </w:rPr>
            </w:pPr>
          </w:p>
        </w:tc>
        <w:tc>
          <w:tcPr>
            <w:tcW w:w="1520" w:type="dxa"/>
            <w:vAlign w:val="bottom"/>
          </w:tcPr>
          <w:p>
            <w:pPr>
              <w:jc w:val="right"/>
              <w:ind w:right="432"/>
              <w:spacing w:after="0"/>
              <w:rPr>
                <w:sz w:val="20"/>
                <w:szCs w:val="20"/>
                <w:color w:val="auto"/>
              </w:rPr>
            </w:pPr>
            <w:r>
              <w:rPr>
                <w:rFonts w:ascii="Arial" w:cs="Arial" w:eastAsia="Arial" w:hAnsi="Arial"/>
                <w:sz w:val="22"/>
                <w:szCs w:val="22"/>
                <w:b w:val="1"/>
                <w:bCs w:val="1"/>
                <w:color w:val="auto"/>
              </w:rPr>
              <w:t>2020</w:t>
            </w:r>
          </w:p>
        </w:tc>
        <w:tc>
          <w:tcPr>
            <w:tcW w:w="0" w:type="dxa"/>
            <w:vAlign w:val="bottom"/>
          </w:tcPr>
          <w:p>
            <w:pPr>
              <w:spacing w:after="0"/>
              <w:rPr>
                <w:sz w:val="1"/>
                <w:szCs w:val="1"/>
                <w:color w:val="auto"/>
              </w:rPr>
            </w:pPr>
          </w:p>
        </w:tc>
      </w:tr>
      <w:tr>
        <w:trPr>
          <w:trHeight w:val="282"/>
        </w:trPr>
        <w:tc>
          <w:tcPr>
            <w:tcW w:w="802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1580" w:type="dxa"/>
            <w:vAlign w:val="bottom"/>
            <w:gridSpan w:val="2"/>
          </w:tcPr>
          <w:p>
            <w:pPr>
              <w:jc w:val="center"/>
              <w:ind w:right="180"/>
              <w:spacing w:after="0"/>
              <w:rPr>
                <w:sz w:val="20"/>
                <w:szCs w:val="20"/>
                <w:color w:val="auto"/>
              </w:rPr>
            </w:pPr>
            <w:r>
              <w:rPr>
                <w:rFonts w:ascii="Arial" w:cs="Arial" w:eastAsia="Arial" w:hAnsi="Arial"/>
                <w:sz w:val="22"/>
                <w:szCs w:val="22"/>
                <w:b w:val="1"/>
                <w:bCs w:val="1"/>
                <w:color w:val="auto"/>
                <w:w w:val="90"/>
              </w:rPr>
              <w:t>(unaudited)</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8020" w:type="dxa"/>
            <w:vAlign w:val="bottom"/>
            <w:vMerge w:val="continue"/>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802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60"/>
              <w:spacing w:after="0" w:line="243" w:lineRule="exact"/>
              <w:rPr>
                <w:sz w:val="20"/>
                <w:szCs w:val="20"/>
                <w:color w:val="auto"/>
              </w:rPr>
            </w:pPr>
            <w:r>
              <w:rPr>
                <w:rFonts w:ascii="Arial" w:cs="Arial" w:eastAsia="Arial" w:hAnsi="Arial"/>
                <w:sz w:val="22"/>
                <w:szCs w:val="22"/>
                <w:color w:val="auto"/>
                <w:w w:val="96"/>
              </w:rPr>
              <w:t>Non-controlled, non-affiliated investments (cost—$835,250,686 and $915,874,757,</w:t>
            </w: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2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0" w:type="dxa"/>
            <w:vAlign w:val="bottom"/>
          </w:tcPr>
          <w:p>
            <w:pPr>
              <w:jc w:val="right"/>
              <w:spacing w:after="0"/>
              <w:rPr>
                <w:sz w:val="20"/>
                <w:szCs w:val="20"/>
                <w:color w:val="auto"/>
              </w:rPr>
            </w:pPr>
            <w:r>
              <w:rPr>
                <w:rFonts w:ascii="Arial" w:cs="Arial" w:eastAsia="Arial" w:hAnsi="Arial"/>
                <w:sz w:val="22"/>
                <w:szCs w:val="22"/>
                <w:color w:val="auto"/>
                <w:w w:val="93"/>
              </w:rPr>
              <w:t>$  866,861,275</w:t>
            </w: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w w:val="98"/>
              </w:rPr>
              <w:t>$   910,552,309</w:t>
            </w:r>
          </w:p>
        </w:tc>
        <w:tc>
          <w:tcPr>
            <w:tcW w:w="0" w:type="dxa"/>
            <w:vAlign w:val="bottom"/>
          </w:tcPr>
          <w:p>
            <w:pPr>
              <w:spacing w:after="0"/>
              <w:rPr>
                <w:sz w:val="1"/>
                <w:szCs w:val="1"/>
                <w:color w:val="auto"/>
              </w:rPr>
            </w:pPr>
          </w:p>
        </w:tc>
      </w:tr>
      <w:tr>
        <w:trPr>
          <w:trHeight w:val="243"/>
        </w:trPr>
        <w:tc>
          <w:tcPr>
            <w:tcW w:w="8020" w:type="dxa"/>
            <w:vAlign w:val="bottom"/>
          </w:tcPr>
          <w:p>
            <w:pPr>
              <w:ind w:left="260"/>
              <w:spacing w:after="0" w:line="243" w:lineRule="exact"/>
              <w:rPr>
                <w:sz w:val="20"/>
                <w:szCs w:val="20"/>
                <w:color w:val="auto"/>
              </w:rPr>
            </w:pPr>
            <w:r>
              <w:rPr>
                <w:rFonts w:ascii="Arial" w:cs="Arial" w:eastAsia="Arial" w:hAnsi="Arial"/>
                <w:sz w:val="22"/>
                <w:szCs w:val="22"/>
                <w:color w:val="auto"/>
              </w:rPr>
              <w:t>Non-controlled, affiliated investments (cost—$26,156,024 and $21,964,181,</w:t>
            </w: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2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0" w:type="dxa"/>
            <w:vAlign w:val="bottom"/>
          </w:tcPr>
          <w:p>
            <w:pPr>
              <w:jc w:val="right"/>
              <w:spacing w:after="0"/>
              <w:rPr>
                <w:sz w:val="20"/>
                <w:szCs w:val="20"/>
                <w:color w:val="auto"/>
              </w:rPr>
            </w:pPr>
            <w:r>
              <w:rPr>
                <w:rFonts w:ascii="Arial" w:cs="Arial" w:eastAsia="Arial" w:hAnsi="Arial"/>
                <w:sz w:val="22"/>
                <w:szCs w:val="22"/>
                <w:color w:val="auto"/>
              </w:rPr>
              <w:t>6,841,460</w:t>
            </w: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11,086,834</w:t>
            </w:r>
          </w:p>
        </w:tc>
        <w:tc>
          <w:tcPr>
            <w:tcW w:w="0" w:type="dxa"/>
            <w:vAlign w:val="bottom"/>
          </w:tcPr>
          <w:p>
            <w:pPr>
              <w:spacing w:after="0"/>
              <w:rPr>
                <w:sz w:val="1"/>
                <w:szCs w:val="1"/>
                <w:color w:val="auto"/>
              </w:rPr>
            </w:pPr>
          </w:p>
        </w:tc>
      </w:tr>
      <w:tr>
        <w:trPr>
          <w:trHeight w:val="274"/>
        </w:trPr>
        <w:tc>
          <w:tcPr>
            <w:tcW w:w="8020" w:type="dxa"/>
            <w:vAlign w:val="bottom"/>
          </w:tcPr>
          <w:p>
            <w:pPr>
              <w:ind w:left="260"/>
              <w:spacing w:after="0"/>
              <w:rPr>
                <w:sz w:val="20"/>
                <w:szCs w:val="20"/>
                <w:color w:val="auto"/>
              </w:rPr>
            </w:pPr>
            <w:r>
              <w:rPr>
                <w:rFonts w:ascii="Arial" w:cs="Arial" w:eastAsia="Arial" w:hAnsi="Arial"/>
                <w:sz w:val="22"/>
                <w:szCs w:val="22"/>
                <w:color w:val="auto"/>
                <w:w w:val="91"/>
              </w:rPr>
              <w:t>Controlled, affiliated investments (cost—$203,046,955 and $179,112,500, respectively)</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195,434,406</w:t>
            </w:r>
          </w:p>
        </w:tc>
        <w:tc>
          <w:tcPr>
            <w:tcW w:w="180" w:type="dxa"/>
            <w:vAlign w:val="bottom"/>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165,289,324</w:t>
            </w:r>
          </w:p>
        </w:tc>
        <w:tc>
          <w:tcPr>
            <w:tcW w:w="0" w:type="dxa"/>
            <w:vAlign w:val="bottom"/>
          </w:tcPr>
          <w:p>
            <w:pPr>
              <w:spacing w:after="0"/>
              <w:rPr>
                <w:sz w:val="1"/>
                <w:szCs w:val="1"/>
                <w:color w:val="auto"/>
              </w:rPr>
            </w:pPr>
          </w:p>
        </w:tc>
      </w:tr>
      <w:tr>
        <w:trPr>
          <w:trHeight w:val="259"/>
        </w:trPr>
        <w:tc>
          <w:tcPr>
            <w:tcW w:w="8020" w:type="dxa"/>
            <w:vAlign w:val="bottom"/>
          </w:tcPr>
          <w:p>
            <w:pPr>
              <w:ind w:left="260"/>
              <w:spacing w:after="0"/>
              <w:rPr>
                <w:sz w:val="20"/>
                <w:szCs w:val="20"/>
                <w:color w:val="auto"/>
              </w:rPr>
            </w:pPr>
            <w:r>
              <w:rPr>
                <w:rFonts w:ascii="Arial" w:cs="Arial" w:eastAsia="Arial" w:hAnsi="Arial"/>
                <w:sz w:val="22"/>
                <w:szCs w:val="22"/>
                <w:color w:val="auto"/>
              </w:rPr>
              <w:t>Total of investments (cost—$1,064,453,665 and $1,116,951,438, respectively)</w:t>
            </w:r>
          </w:p>
        </w:tc>
        <w:tc>
          <w:tcPr>
            <w:tcW w:w="1400" w:type="dxa"/>
            <w:vAlign w:val="bottom"/>
          </w:tcPr>
          <w:p>
            <w:pPr>
              <w:jc w:val="right"/>
              <w:spacing w:after="0"/>
              <w:rPr>
                <w:sz w:val="20"/>
                <w:szCs w:val="20"/>
                <w:color w:val="auto"/>
              </w:rPr>
            </w:pPr>
            <w:r>
              <w:rPr>
                <w:rFonts w:ascii="Arial" w:cs="Arial" w:eastAsia="Arial" w:hAnsi="Arial"/>
                <w:sz w:val="22"/>
                <w:szCs w:val="22"/>
                <w:color w:val="auto"/>
                <w:w w:val="98"/>
              </w:rPr>
              <w:t>1,069,137,141</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1,086,928,467</w:t>
            </w:r>
          </w:p>
        </w:tc>
        <w:tc>
          <w:tcPr>
            <w:tcW w:w="0" w:type="dxa"/>
            <w:vAlign w:val="bottom"/>
          </w:tcPr>
          <w:p>
            <w:pPr>
              <w:spacing w:after="0"/>
              <w:rPr>
                <w:sz w:val="1"/>
                <w:szCs w:val="1"/>
                <w:color w:val="auto"/>
              </w:rPr>
            </w:pPr>
          </w:p>
        </w:tc>
      </w:tr>
      <w:tr>
        <w:trPr>
          <w:trHeight w:val="274"/>
        </w:trPr>
        <w:tc>
          <w:tcPr>
            <w:tcW w:w="8020" w:type="dxa"/>
            <w:vAlign w:val="bottom"/>
          </w:tcPr>
          <w:p>
            <w:pPr>
              <w:spacing w:after="0"/>
              <w:rPr>
                <w:sz w:val="20"/>
                <w:szCs w:val="20"/>
                <w:color w:val="auto"/>
              </w:rPr>
            </w:pPr>
            <w:r>
              <w:rPr>
                <w:rFonts w:ascii="Arial" w:cs="Arial" w:eastAsia="Arial" w:hAnsi="Arial"/>
                <w:sz w:val="22"/>
                <w:szCs w:val="22"/>
                <w:color w:val="auto"/>
              </w:rPr>
              <w:t>Cash and cash equivalents (cost—$66,572,341 and $57,534,421, respectively)</w:t>
            </w:r>
          </w:p>
        </w:tc>
        <w:tc>
          <w:tcPr>
            <w:tcW w:w="1400" w:type="dxa"/>
            <w:vAlign w:val="bottom"/>
          </w:tcPr>
          <w:p>
            <w:pPr>
              <w:jc w:val="right"/>
              <w:spacing w:after="0"/>
              <w:rPr>
                <w:sz w:val="20"/>
                <w:szCs w:val="20"/>
                <w:color w:val="auto"/>
              </w:rPr>
            </w:pPr>
            <w:r>
              <w:rPr>
                <w:rFonts w:ascii="Arial" w:cs="Arial" w:eastAsia="Arial" w:hAnsi="Arial"/>
                <w:sz w:val="22"/>
                <w:szCs w:val="22"/>
                <w:color w:val="auto"/>
              </w:rPr>
              <w:t>66,572,811</w:t>
            </w: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57,511,928</w:t>
            </w:r>
          </w:p>
        </w:tc>
        <w:tc>
          <w:tcPr>
            <w:tcW w:w="0" w:type="dxa"/>
            <w:vAlign w:val="bottom"/>
          </w:tcPr>
          <w:p>
            <w:pPr>
              <w:spacing w:after="0"/>
              <w:rPr>
                <w:sz w:val="1"/>
                <w:szCs w:val="1"/>
                <w:color w:val="auto"/>
              </w:rPr>
            </w:pPr>
          </w:p>
        </w:tc>
      </w:tr>
    </w:tbl>
    <w:p>
      <w:pPr>
        <w:sectPr>
          <w:pgSz w:w="11900" w:h="16887" w:orient="portrait"/>
          <w:cols w:equalWidth="0" w:num="1">
            <w:col w:w="11240"/>
          </w:cols>
          <w:pgMar w:left="320" w:top="118"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8020" w:type="dxa"/>
            <w:vAlign w:val="bottom"/>
          </w:tcPr>
          <w:p>
            <w:pPr>
              <w:spacing w:after="0"/>
              <w:rPr>
                <w:sz w:val="20"/>
                <w:szCs w:val="20"/>
                <w:color w:val="auto"/>
              </w:rPr>
            </w:pPr>
            <w:r>
              <w:rPr>
                <w:rFonts w:ascii="Arial" w:cs="Arial" w:eastAsia="Arial" w:hAnsi="Arial"/>
                <w:sz w:val="22"/>
                <w:szCs w:val="22"/>
                <w:color w:val="auto"/>
              </w:rPr>
              <w:t>Interest receivable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2,818,433</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3,673,502</w:t>
            </w:r>
          </w:p>
        </w:tc>
        <w:tc>
          <w:tcPr>
            <w:tcW w:w="80" w:type="dxa"/>
            <w:vAlign w:val="bottom"/>
          </w:tcPr>
          <w:p>
            <w:pPr>
              <w:spacing w:after="0"/>
              <w:rPr>
                <w:sz w:val="23"/>
                <w:szCs w:val="23"/>
                <w:color w:val="auto"/>
              </w:rPr>
            </w:pPr>
          </w:p>
        </w:tc>
      </w:tr>
      <w:tr>
        <w:trPr>
          <w:trHeight w:val="274"/>
        </w:trPr>
        <w:tc>
          <w:tcPr>
            <w:tcW w:w="802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40" w:type="dxa"/>
            <w:vAlign w:val="bottom"/>
          </w:tcPr>
          <w:p>
            <w:pPr>
              <w:spacing w:after="0"/>
              <w:rPr>
                <w:sz w:val="23"/>
                <w:szCs w:val="23"/>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173,318</w:t>
            </w:r>
          </w:p>
        </w:tc>
        <w:tc>
          <w:tcPr>
            <w:tcW w:w="80" w:type="dxa"/>
            <w:vAlign w:val="bottom"/>
          </w:tcPr>
          <w:p>
            <w:pPr>
              <w:spacing w:after="0"/>
              <w:rPr>
                <w:sz w:val="23"/>
                <w:szCs w:val="23"/>
                <w:color w:val="auto"/>
              </w:rPr>
            </w:pPr>
          </w:p>
        </w:tc>
      </w:tr>
      <w:tr>
        <w:trPr>
          <w:trHeight w:val="267"/>
        </w:trPr>
        <w:tc>
          <w:tcPr>
            <w:tcW w:w="802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4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1,138,528,385</w:t>
            </w:r>
          </w:p>
        </w:tc>
        <w:tc>
          <w:tcPr>
            <w:tcW w:w="18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2"/>
              </w:rPr>
              <w:t>1,148,287,215</w:t>
            </w:r>
          </w:p>
        </w:tc>
        <w:tc>
          <w:tcPr>
            <w:tcW w:w="80" w:type="dxa"/>
            <w:vAlign w:val="bottom"/>
          </w:tcPr>
          <w:p>
            <w:pPr>
              <w:spacing w:after="0"/>
              <w:rPr>
                <w:sz w:val="23"/>
                <w:szCs w:val="23"/>
                <w:color w:val="auto"/>
              </w:rPr>
            </w:pPr>
          </w:p>
        </w:tc>
      </w:tr>
      <w:tr>
        <w:trPr>
          <w:trHeight w:val="256"/>
        </w:trPr>
        <w:tc>
          <w:tcPr>
            <w:tcW w:w="802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8020" w:type="dxa"/>
            <w:vAlign w:val="bottom"/>
          </w:tcPr>
          <w:p>
            <w:pPr>
              <w:spacing w:after="0"/>
              <w:rPr>
                <w:sz w:val="20"/>
                <w:szCs w:val="20"/>
                <w:color w:val="auto"/>
              </w:rPr>
            </w:pPr>
            <w:r>
              <w:rPr>
                <w:rFonts w:ascii="Arial" w:cs="Arial" w:eastAsia="Arial" w:hAnsi="Arial"/>
                <w:sz w:val="22"/>
                <w:szCs w:val="22"/>
                <w:color w:val="auto"/>
              </w:rPr>
              <w:t>Distributions payable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3,683,347</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3,683,347</w:t>
            </w:r>
          </w:p>
        </w:tc>
        <w:tc>
          <w:tcPr>
            <w:tcW w:w="80" w:type="dxa"/>
            <w:vAlign w:val="bottom"/>
          </w:tcPr>
          <w:p>
            <w:pPr>
              <w:spacing w:after="0"/>
              <w:rPr>
                <w:sz w:val="23"/>
                <w:szCs w:val="23"/>
                <w:color w:val="auto"/>
              </w:rPr>
            </w:pPr>
          </w:p>
        </w:tc>
      </w:tr>
      <w:tr>
        <w:trPr>
          <w:trHeight w:val="270"/>
        </w:trPr>
        <w:tc>
          <w:tcPr>
            <w:tcW w:w="802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50,469,362</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3,800,000</w:t>
            </w:r>
          </w:p>
        </w:tc>
        <w:tc>
          <w:tcPr>
            <w:tcW w:w="80" w:type="dxa"/>
            <w:vAlign w:val="bottom"/>
          </w:tcPr>
          <w:p>
            <w:pPr>
              <w:spacing w:after="0"/>
              <w:rPr>
                <w:sz w:val="23"/>
                <w:szCs w:val="23"/>
                <w:color w:val="auto"/>
              </w:rPr>
            </w:pPr>
          </w:p>
        </w:tc>
      </w:tr>
      <w:tr>
        <w:trPr>
          <w:trHeight w:val="270"/>
        </w:trPr>
        <w:tc>
          <w:tcPr>
            <w:tcW w:w="8020" w:type="dxa"/>
            <w:vAlign w:val="bottom"/>
          </w:tcPr>
          <w:p>
            <w:pPr>
              <w:spacing w:after="0"/>
              <w:rPr>
                <w:sz w:val="20"/>
                <w:szCs w:val="20"/>
                <w:color w:val="auto"/>
              </w:rPr>
            </w:pPr>
            <w:r>
              <w:rPr>
                <w:rFonts w:ascii="Arial" w:cs="Arial" w:eastAsia="Arial" w:hAnsi="Arial"/>
                <w:sz w:val="22"/>
                <w:szCs w:val="22"/>
                <w:color w:val="auto"/>
                <w:w w:val="91"/>
              </w:rPr>
              <w:t>Credit Facility payable, at fair value (cost—$146,900,000 and $308,598,500, respectively)</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146,205,500</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299,047,275</w:t>
            </w:r>
          </w:p>
        </w:tc>
        <w:tc>
          <w:tcPr>
            <w:tcW w:w="80" w:type="dxa"/>
            <w:vAlign w:val="bottom"/>
          </w:tcPr>
          <w:p>
            <w:pPr>
              <w:spacing w:after="0"/>
              <w:rPr>
                <w:sz w:val="23"/>
                <w:szCs w:val="23"/>
                <w:color w:val="auto"/>
              </w:rPr>
            </w:pPr>
          </w:p>
        </w:tc>
      </w:tr>
      <w:tr>
        <w:trPr>
          <w:trHeight w:val="270"/>
        </w:trPr>
        <w:tc>
          <w:tcPr>
            <w:tcW w:w="8020" w:type="dxa"/>
            <w:vAlign w:val="bottom"/>
          </w:tcPr>
          <w:p>
            <w:pPr>
              <w:spacing w:after="0"/>
              <w:rPr>
                <w:sz w:val="20"/>
                <w:szCs w:val="20"/>
                <w:color w:val="auto"/>
              </w:rPr>
            </w:pPr>
            <w:r>
              <w:rPr>
                <w:rFonts w:ascii="Arial" w:cs="Arial" w:eastAsia="Arial" w:hAnsi="Arial"/>
                <w:sz w:val="22"/>
                <w:szCs w:val="22"/>
                <w:color w:val="auto"/>
                <w:w w:val="94"/>
              </w:rPr>
              <w:t>2023 Notes payable, at fair value (par—$117,792,879 and $138,579,858, respectively)</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114,200,197</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129,295,008</w:t>
            </w:r>
          </w:p>
        </w:tc>
        <w:tc>
          <w:tcPr>
            <w:tcW w:w="80" w:type="dxa"/>
            <w:vAlign w:val="bottom"/>
          </w:tcPr>
          <w:p>
            <w:pPr>
              <w:spacing w:after="0"/>
              <w:rPr>
                <w:sz w:val="23"/>
                <w:szCs w:val="23"/>
                <w:color w:val="auto"/>
              </w:rPr>
            </w:pPr>
          </w:p>
        </w:tc>
      </w:tr>
      <w:tr>
        <w:trPr>
          <w:trHeight w:val="270"/>
        </w:trPr>
        <w:tc>
          <w:tcPr>
            <w:tcW w:w="8020" w:type="dxa"/>
            <w:vAlign w:val="bottom"/>
          </w:tcPr>
          <w:p>
            <w:pPr>
              <w:spacing w:after="0"/>
              <w:rPr>
                <w:sz w:val="20"/>
                <w:szCs w:val="20"/>
                <w:color w:val="auto"/>
              </w:rPr>
            </w:pPr>
            <w:r>
              <w:rPr>
                <w:rFonts w:ascii="Arial" w:cs="Arial" w:eastAsia="Arial" w:hAnsi="Arial"/>
                <w:sz w:val="22"/>
                <w:szCs w:val="22"/>
                <w:color w:val="auto"/>
              </w:rPr>
              <w:t>2026 Notes payable, net (par—$100,000,000)</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96,856,485</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r>
      <w:tr>
        <w:trPr>
          <w:trHeight w:val="270"/>
        </w:trPr>
        <w:tc>
          <w:tcPr>
            <w:tcW w:w="8020" w:type="dxa"/>
            <w:vAlign w:val="bottom"/>
          </w:tcPr>
          <w:p>
            <w:pPr>
              <w:spacing w:after="0"/>
              <w:rPr>
                <w:sz w:val="20"/>
                <w:szCs w:val="20"/>
                <w:color w:val="auto"/>
              </w:rPr>
            </w:pPr>
            <w:r>
              <w:rPr>
                <w:rFonts w:ascii="Arial" w:cs="Arial" w:eastAsia="Arial" w:hAnsi="Arial"/>
                <w:sz w:val="22"/>
                <w:szCs w:val="22"/>
                <w:color w:val="auto"/>
              </w:rPr>
              <w:t>2031 Asset-Backed Debt, net (par—$228,000,000)</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225,181,755</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224,866,334</w:t>
            </w:r>
          </w:p>
        </w:tc>
        <w:tc>
          <w:tcPr>
            <w:tcW w:w="80" w:type="dxa"/>
            <w:vAlign w:val="bottom"/>
          </w:tcPr>
          <w:p>
            <w:pPr>
              <w:spacing w:after="0"/>
              <w:rPr>
                <w:sz w:val="23"/>
                <w:szCs w:val="23"/>
                <w:color w:val="auto"/>
              </w:rPr>
            </w:pPr>
          </w:p>
        </w:tc>
      </w:tr>
      <w:tr>
        <w:trPr>
          <w:trHeight w:val="270"/>
        </w:trPr>
        <w:tc>
          <w:tcPr>
            <w:tcW w:w="802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3,026,964</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3,601,479</w:t>
            </w:r>
          </w:p>
        </w:tc>
        <w:tc>
          <w:tcPr>
            <w:tcW w:w="80" w:type="dxa"/>
            <w:vAlign w:val="bottom"/>
          </w:tcPr>
          <w:p>
            <w:pPr>
              <w:spacing w:after="0"/>
              <w:rPr>
                <w:sz w:val="23"/>
                <w:szCs w:val="23"/>
                <w:color w:val="auto"/>
              </w:rPr>
            </w:pPr>
          </w:p>
        </w:tc>
      </w:tr>
      <w:tr>
        <w:trPr>
          <w:trHeight w:val="270"/>
        </w:trPr>
        <w:tc>
          <w:tcPr>
            <w:tcW w:w="8020" w:type="dxa"/>
            <w:vAlign w:val="bottom"/>
          </w:tcPr>
          <w:p>
            <w:pPr>
              <w:spacing w:after="0"/>
              <w:rPr>
                <w:sz w:val="20"/>
                <w:szCs w:val="20"/>
                <w:color w:val="auto"/>
              </w:rPr>
            </w:pPr>
            <w:r>
              <w:rPr>
                <w:rFonts w:ascii="Arial" w:cs="Arial" w:eastAsia="Arial" w:hAnsi="Arial"/>
                <w:sz w:val="22"/>
                <w:szCs w:val="22"/>
                <w:color w:val="auto"/>
              </w:rPr>
              <w:t>Base management fee payable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2,633,715</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2,776,477</w:t>
            </w:r>
          </w:p>
        </w:tc>
        <w:tc>
          <w:tcPr>
            <w:tcW w:w="80" w:type="dxa"/>
            <w:vAlign w:val="bottom"/>
          </w:tcPr>
          <w:p>
            <w:pPr>
              <w:spacing w:after="0"/>
              <w:rPr>
                <w:sz w:val="23"/>
                <w:szCs w:val="23"/>
                <w:color w:val="auto"/>
              </w:rPr>
            </w:pPr>
          </w:p>
        </w:tc>
      </w:tr>
      <w:tr>
        <w:trPr>
          <w:trHeight w:val="270"/>
        </w:trPr>
        <w:tc>
          <w:tcPr>
            <w:tcW w:w="8020" w:type="dxa"/>
            <w:vAlign w:val="bottom"/>
          </w:tcPr>
          <w:p>
            <w:pPr>
              <w:spacing w:after="0"/>
              <w:rPr>
                <w:sz w:val="20"/>
                <w:szCs w:val="20"/>
                <w:color w:val="auto"/>
              </w:rPr>
            </w:pPr>
            <w:r>
              <w:rPr>
                <w:rFonts w:ascii="Arial" w:cs="Arial" w:eastAsia="Arial" w:hAnsi="Arial"/>
                <w:sz w:val="22"/>
                <w:szCs w:val="22"/>
                <w:color w:val="auto"/>
              </w:rPr>
              <w:t>Performance-based incentive fee payable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1,302,025</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2,071,622</w:t>
            </w:r>
          </w:p>
        </w:tc>
        <w:tc>
          <w:tcPr>
            <w:tcW w:w="80" w:type="dxa"/>
            <w:vAlign w:val="bottom"/>
          </w:tcPr>
          <w:p>
            <w:pPr>
              <w:spacing w:after="0"/>
              <w:rPr>
                <w:sz w:val="23"/>
                <w:szCs w:val="23"/>
                <w:color w:val="auto"/>
              </w:rPr>
            </w:pPr>
          </w:p>
        </w:tc>
      </w:tr>
      <w:tr>
        <w:trPr>
          <w:trHeight w:val="274"/>
        </w:trPr>
        <w:tc>
          <w:tcPr>
            <w:tcW w:w="802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1,994,792</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1,875,281</w:t>
            </w:r>
          </w:p>
        </w:tc>
        <w:tc>
          <w:tcPr>
            <w:tcW w:w="80" w:type="dxa"/>
            <w:vAlign w:val="bottom"/>
          </w:tcPr>
          <w:p>
            <w:pPr>
              <w:spacing w:after="0"/>
              <w:rPr>
                <w:sz w:val="23"/>
                <w:szCs w:val="23"/>
                <w:color w:val="auto"/>
              </w:rPr>
            </w:pPr>
          </w:p>
        </w:tc>
      </w:tr>
      <w:tr>
        <w:trPr>
          <w:trHeight w:val="267"/>
        </w:trPr>
        <w:tc>
          <w:tcPr>
            <w:tcW w:w="802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645,554,142</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671,016,823</w:t>
            </w:r>
          </w:p>
        </w:tc>
        <w:tc>
          <w:tcPr>
            <w:tcW w:w="80" w:type="dxa"/>
            <w:vAlign w:val="bottom"/>
          </w:tcPr>
          <w:p>
            <w:pPr>
              <w:spacing w:after="0"/>
              <w:rPr>
                <w:sz w:val="23"/>
                <w:szCs w:val="23"/>
                <w:color w:val="auto"/>
              </w:rPr>
            </w:pPr>
          </w:p>
        </w:tc>
      </w:tr>
      <w:tr>
        <w:trPr>
          <w:trHeight w:val="250"/>
        </w:trPr>
        <w:tc>
          <w:tcPr>
            <w:tcW w:w="802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802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8020" w:type="dxa"/>
            <w:vAlign w:val="bottom"/>
          </w:tcPr>
          <w:p>
            <w:pPr>
              <w:spacing w:after="0" w:line="243" w:lineRule="exact"/>
              <w:rPr>
                <w:sz w:val="20"/>
                <w:szCs w:val="20"/>
                <w:color w:val="auto"/>
              </w:rPr>
            </w:pPr>
            <w:r>
              <w:rPr>
                <w:rFonts w:ascii="Arial" w:cs="Arial" w:eastAsia="Arial" w:hAnsi="Arial"/>
                <w:sz w:val="22"/>
                <w:szCs w:val="22"/>
                <w:color w:val="auto"/>
                <w:w w:val="90"/>
              </w:rPr>
              <w:t>Common stock, 38,772,074 shares issued and outstanding Par value $0.001 per share and</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8020" w:type="dxa"/>
            <w:vAlign w:val="bottom"/>
          </w:tcPr>
          <w:p>
            <w:pPr>
              <w:spacing w:after="0" w:line="243" w:lineRule="exact"/>
              <w:rPr>
                <w:sz w:val="20"/>
                <w:szCs w:val="20"/>
                <w:color w:val="auto"/>
              </w:rPr>
            </w:pPr>
            <w:r>
              <w:rPr>
                <w:rFonts w:ascii="Arial" w:cs="Arial" w:eastAsia="Arial" w:hAnsi="Arial"/>
                <w:sz w:val="22"/>
                <w:szCs w:val="22"/>
                <w:color w:val="auto"/>
              </w:rPr>
              <w:t>100,000,000</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8020" w:type="dxa"/>
            <w:vAlign w:val="bottom"/>
          </w:tcPr>
          <w:p>
            <w:pPr>
              <w:spacing w:after="0"/>
              <w:rPr>
                <w:sz w:val="20"/>
                <w:szCs w:val="20"/>
                <w:color w:val="auto"/>
              </w:rPr>
            </w:pPr>
            <w:r>
              <w:rPr>
                <w:rFonts w:ascii="Arial" w:cs="Arial" w:eastAsia="Arial" w:hAnsi="Arial"/>
                <w:sz w:val="22"/>
                <w:szCs w:val="22"/>
                <w:color w:val="auto"/>
              </w:rPr>
              <w:t>shares authorized</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38,772</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38,772</w:t>
            </w:r>
          </w:p>
        </w:tc>
        <w:tc>
          <w:tcPr>
            <w:tcW w:w="80" w:type="dxa"/>
            <w:vAlign w:val="bottom"/>
          </w:tcPr>
          <w:p>
            <w:pPr>
              <w:spacing w:after="0"/>
              <w:rPr>
                <w:sz w:val="23"/>
                <w:szCs w:val="23"/>
                <w:color w:val="auto"/>
              </w:rPr>
            </w:pPr>
          </w:p>
        </w:tc>
      </w:tr>
      <w:tr>
        <w:trPr>
          <w:trHeight w:val="270"/>
        </w:trPr>
        <w:tc>
          <w:tcPr>
            <w:tcW w:w="802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538,151,528</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538,151,528</w:t>
            </w:r>
          </w:p>
        </w:tc>
        <w:tc>
          <w:tcPr>
            <w:tcW w:w="80" w:type="dxa"/>
            <w:vAlign w:val="bottom"/>
          </w:tcPr>
          <w:p>
            <w:pPr>
              <w:spacing w:after="0"/>
              <w:rPr>
                <w:sz w:val="23"/>
                <w:szCs w:val="23"/>
                <w:color w:val="auto"/>
              </w:rPr>
            </w:pPr>
          </w:p>
        </w:tc>
      </w:tr>
      <w:tr>
        <w:trPr>
          <w:trHeight w:val="274"/>
        </w:trPr>
        <w:tc>
          <w:tcPr>
            <w:tcW w:w="8020" w:type="dxa"/>
            <w:vAlign w:val="bottom"/>
          </w:tcPr>
          <w:p>
            <w:pPr>
              <w:spacing w:after="0"/>
              <w:rPr>
                <w:sz w:val="20"/>
                <w:szCs w:val="20"/>
                <w:color w:val="auto"/>
              </w:rPr>
            </w:pPr>
            <w:r>
              <w:rPr>
                <w:rFonts w:ascii="Arial" w:cs="Arial" w:eastAsia="Arial" w:hAnsi="Arial"/>
                <w:sz w:val="22"/>
                <w:szCs w:val="22"/>
                <w:color w:val="auto"/>
              </w:rPr>
              <w:t>Accumulated distributable net loss</w:t>
            </w:r>
          </w:p>
        </w:tc>
        <w:tc>
          <w:tcPr>
            <w:tcW w:w="140" w:type="dxa"/>
            <w:vAlign w:val="bottom"/>
          </w:tcPr>
          <w:p>
            <w:pPr>
              <w:spacing w:after="0"/>
              <w:rPr>
                <w:sz w:val="23"/>
                <w:szCs w:val="23"/>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22"/>
                <w:szCs w:val="22"/>
                <w:color w:val="auto"/>
              </w:rPr>
              <w:t>(45,216,057)</w:t>
            </w:r>
          </w:p>
        </w:tc>
        <w:tc>
          <w:tcPr>
            <w:tcW w:w="200" w:type="dxa"/>
            <w:vAlign w:val="bottom"/>
          </w:tcPr>
          <w:p>
            <w:pPr>
              <w:spacing w:after="0"/>
              <w:rPr>
                <w:sz w:val="23"/>
                <w:szCs w:val="23"/>
                <w:color w:val="auto"/>
              </w:rPr>
            </w:pP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(60,919,908)</w:t>
            </w:r>
          </w:p>
        </w:tc>
      </w:tr>
      <w:tr>
        <w:trPr>
          <w:trHeight w:val="267"/>
        </w:trPr>
        <w:tc>
          <w:tcPr>
            <w:tcW w:w="802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492,974,243</w:t>
            </w:r>
          </w:p>
        </w:tc>
        <w:tc>
          <w:tcPr>
            <w:tcW w:w="18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477,270,392</w:t>
            </w:r>
          </w:p>
        </w:tc>
        <w:tc>
          <w:tcPr>
            <w:tcW w:w="80" w:type="dxa"/>
            <w:vAlign w:val="bottom"/>
          </w:tcPr>
          <w:p>
            <w:pPr>
              <w:spacing w:after="0"/>
              <w:rPr>
                <w:sz w:val="23"/>
                <w:szCs w:val="23"/>
                <w:color w:val="auto"/>
              </w:rPr>
            </w:pPr>
          </w:p>
        </w:tc>
      </w:tr>
      <w:tr>
        <w:trPr>
          <w:trHeight w:val="263"/>
        </w:trPr>
        <w:tc>
          <w:tcPr>
            <w:tcW w:w="802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1,138,528,385</w:t>
            </w:r>
          </w:p>
        </w:tc>
        <w:tc>
          <w:tcPr>
            <w:tcW w:w="1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2"/>
              </w:rPr>
              <w:t>1,148,287,215</w:t>
            </w:r>
          </w:p>
        </w:tc>
        <w:tc>
          <w:tcPr>
            <w:tcW w:w="80" w:type="dxa"/>
            <w:vAlign w:val="bottom"/>
          </w:tcPr>
          <w:p>
            <w:pPr>
              <w:spacing w:after="0"/>
              <w:rPr>
                <w:sz w:val="22"/>
                <w:szCs w:val="22"/>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802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12.71</w:t>
            </w:r>
          </w:p>
        </w:tc>
        <w:tc>
          <w:tcPr>
            <w:tcW w:w="1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12.31</w:t>
            </w:r>
          </w:p>
        </w:tc>
        <w:tc>
          <w:tcPr>
            <w:tcW w:w="80" w:type="dxa"/>
            <w:vAlign w:val="bottom"/>
          </w:tcPr>
          <w:p>
            <w:pPr>
              <w:spacing w:after="0"/>
              <w:rPr>
                <w:sz w:val="22"/>
                <w:szCs w:val="22"/>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PENNANTPARK FLOATING RATE CAPITAL LTD. AND SUBSIDIARIES CONSOLIDATED STATEMENTS OF OPERATIONS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tcPr>
          <w:p>
            <w:pPr>
              <w:spacing w:after="0"/>
              <w:rPr>
                <w:sz w:val="21"/>
                <w:szCs w:val="21"/>
                <w:color w:val="auto"/>
              </w:rPr>
            </w:pPr>
          </w:p>
        </w:tc>
        <w:tc>
          <w:tcPr>
            <w:tcW w:w="2780" w:type="dxa"/>
            <w:vAlign w:val="bottom"/>
            <w:gridSpan w:val="4"/>
          </w:tcPr>
          <w:p>
            <w:pPr>
              <w:jc w:val="right"/>
              <w:ind w:right="500"/>
              <w:spacing w:after="0"/>
              <w:rPr>
                <w:sz w:val="20"/>
                <w:szCs w:val="20"/>
                <w:color w:val="auto"/>
              </w:rPr>
            </w:pPr>
            <w:r>
              <w:rPr>
                <w:rFonts w:ascii="Arial" w:cs="Arial" w:eastAsia="Arial" w:hAnsi="Arial"/>
                <w:sz w:val="22"/>
                <w:szCs w:val="22"/>
                <w:b w:val="1"/>
                <w:bCs w:val="1"/>
                <w:color w:val="auto"/>
              </w:rPr>
              <w:t>Three Months Ended</w:t>
            </w:r>
          </w:p>
        </w:tc>
        <w:tc>
          <w:tcPr>
            <w:tcW w:w="2680" w:type="dxa"/>
            <w:vAlign w:val="bottom"/>
            <w:gridSpan w:val="5"/>
          </w:tcPr>
          <w:p>
            <w:pPr>
              <w:jc w:val="center"/>
              <w:ind w:right="60"/>
              <w:spacing w:after="0"/>
              <w:rPr>
                <w:sz w:val="20"/>
                <w:szCs w:val="20"/>
                <w:color w:val="auto"/>
              </w:rPr>
            </w:pPr>
            <w:r>
              <w:rPr>
                <w:rFonts w:ascii="Arial" w:cs="Arial" w:eastAsia="Arial" w:hAnsi="Arial"/>
                <w:sz w:val="22"/>
                <w:szCs w:val="22"/>
                <w:b w:val="1"/>
                <w:bCs w:val="1"/>
                <w:color w:val="auto"/>
                <w:w w:val="90"/>
              </w:rPr>
              <w:t>Six Months Ended March</w:t>
            </w:r>
          </w:p>
        </w:tc>
        <w:tc>
          <w:tcPr>
            <w:tcW w:w="0" w:type="dxa"/>
            <w:vAlign w:val="bottom"/>
          </w:tcPr>
          <w:p>
            <w:pPr>
              <w:spacing w:after="0"/>
              <w:rPr>
                <w:sz w:val="1"/>
                <w:szCs w:val="1"/>
                <w:color w:val="auto"/>
              </w:rPr>
            </w:pPr>
          </w:p>
        </w:tc>
      </w:tr>
      <w:tr>
        <w:trPr>
          <w:trHeight w:val="282"/>
        </w:trPr>
        <w:tc>
          <w:tcPr>
            <w:tcW w:w="5740" w:type="dxa"/>
            <w:vAlign w:val="bottom"/>
          </w:tcPr>
          <w:p>
            <w:pPr>
              <w:spacing w:after="0"/>
              <w:rPr>
                <w:sz w:val="24"/>
                <w:szCs w:val="24"/>
                <w:color w:val="auto"/>
              </w:rPr>
            </w:pPr>
          </w:p>
        </w:tc>
        <w:tc>
          <w:tcPr>
            <w:tcW w:w="2780" w:type="dxa"/>
            <w:vAlign w:val="bottom"/>
            <w:gridSpan w:val="4"/>
          </w:tcPr>
          <w:p>
            <w:pPr>
              <w:jc w:val="right"/>
              <w:ind w:right="1000"/>
              <w:spacing w:after="0"/>
              <w:rPr>
                <w:sz w:val="20"/>
                <w:szCs w:val="20"/>
                <w:color w:val="auto"/>
              </w:rPr>
            </w:pPr>
            <w:r>
              <w:rPr>
                <w:rFonts w:ascii="Arial" w:cs="Arial" w:eastAsia="Arial" w:hAnsi="Arial"/>
                <w:sz w:val="22"/>
                <w:szCs w:val="22"/>
                <w:b w:val="1"/>
                <w:bCs w:val="1"/>
                <w:color w:val="auto"/>
              </w:rPr>
              <w:t>March 31,</w:t>
            </w:r>
          </w:p>
        </w:tc>
        <w:tc>
          <w:tcPr>
            <w:tcW w:w="1560" w:type="dxa"/>
            <w:vAlign w:val="bottom"/>
            <w:gridSpan w:val="3"/>
          </w:tcPr>
          <w:p>
            <w:pPr>
              <w:jc w:val="right"/>
              <w:ind w:right="12"/>
              <w:spacing w:after="0"/>
              <w:rPr>
                <w:sz w:val="20"/>
                <w:szCs w:val="20"/>
                <w:color w:val="auto"/>
              </w:rPr>
            </w:pPr>
            <w:r>
              <w:rPr>
                <w:rFonts w:ascii="Arial" w:cs="Arial" w:eastAsia="Arial" w:hAnsi="Arial"/>
                <w:sz w:val="22"/>
                <w:szCs w:val="22"/>
                <w:b w:val="1"/>
                <w:bCs w:val="1"/>
                <w:color w:val="auto"/>
              </w:rPr>
              <w:t>31,</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740" w:type="dxa"/>
            <w:vAlign w:val="bottom"/>
            <w:vMerge w:val="restart"/>
          </w:tcPr>
          <w:p>
            <w:pPr>
              <w:spacing w:after="0"/>
              <w:rPr>
                <w:sz w:val="20"/>
                <w:szCs w:val="20"/>
                <w:color w:val="auto"/>
              </w:rPr>
            </w:pPr>
            <w:r>
              <w:rPr>
                <w:rFonts w:ascii="Arial" w:cs="Arial" w:eastAsia="Arial" w:hAnsi="Arial"/>
                <w:sz w:val="22"/>
                <w:szCs w:val="22"/>
                <w:b w:val="1"/>
                <w:bCs w:val="1"/>
                <w:color w:val="auto"/>
              </w:rPr>
              <w:t>Investment income:</w:t>
            </w:r>
          </w:p>
        </w:tc>
        <w:tc>
          <w:tcPr>
            <w:tcW w:w="12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2021</w:t>
            </w:r>
          </w:p>
        </w:tc>
        <w:tc>
          <w:tcPr>
            <w:tcW w:w="160" w:type="dxa"/>
            <w:vAlign w:val="bottom"/>
            <w:tcBorders>
              <w:top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2020</w:t>
            </w:r>
          </w:p>
        </w:tc>
        <w:tc>
          <w:tcPr>
            <w:tcW w:w="180" w:type="dxa"/>
            <w:vAlign w:val="bottom"/>
          </w:tcPr>
          <w:p>
            <w:pPr>
              <w:spacing w:after="0"/>
              <w:rPr>
                <w:sz w:val="23"/>
                <w:szCs w:val="23"/>
                <w:color w:val="auto"/>
              </w:rPr>
            </w:pPr>
          </w:p>
        </w:tc>
        <w:tc>
          <w:tcPr>
            <w:tcW w:w="12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2021</w:t>
            </w:r>
          </w:p>
        </w:tc>
        <w:tc>
          <w:tcPr>
            <w:tcW w:w="180" w:type="dxa"/>
            <w:vAlign w:val="bottom"/>
            <w:tcBorders>
              <w:top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2020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5740" w:type="dxa"/>
            <w:vAlign w:val="bottom"/>
            <w:vMerge w:val="continue"/>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574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220" w:type="dxa"/>
            <w:vAlign w:val="bottom"/>
          </w:tcPr>
          <w:p>
            <w:pPr>
              <w:jc w:val="right"/>
              <w:spacing w:after="0"/>
              <w:rPr>
                <w:sz w:val="20"/>
                <w:szCs w:val="20"/>
                <w:color w:val="auto"/>
              </w:rPr>
            </w:pPr>
            <w:r>
              <w:rPr>
                <w:rFonts w:ascii="Arial" w:cs="Arial" w:eastAsia="Arial" w:hAnsi="Arial"/>
                <w:sz w:val="22"/>
                <w:szCs w:val="22"/>
                <w:color w:val="auto"/>
                <w:w w:val="91"/>
              </w:rPr>
              <w:t>$ 13,724,538</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w w:val="93"/>
              </w:rPr>
              <w:t>$ 20,307,380</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w w:val="91"/>
              </w:rPr>
              <w:t>$ 29,025,969</w:t>
            </w:r>
          </w:p>
        </w:tc>
        <w:tc>
          <w:tcPr>
            <w:tcW w:w="1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spacing w:after="0"/>
              <w:rPr>
                <w:sz w:val="20"/>
                <w:szCs w:val="20"/>
                <w:color w:val="auto"/>
              </w:rPr>
            </w:pPr>
            <w:r>
              <w:rPr>
                <w:rFonts w:ascii="Arial" w:cs="Arial" w:eastAsia="Arial" w:hAnsi="Arial"/>
                <w:sz w:val="22"/>
                <w:szCs w:val="22"/>
                <w:color w:val="auto"/>
                <w:w w:val="92"/>
              </w:rPr>
              <w:t>39,217,274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220" w:type="dxa"/>
            <w:vAlign w:val="bottom"/>
          </w:tcPr>
          <w:p>
            <w:pPr>
              <w:jc w:val="right"/>
              <w:spacing w:after="0"/>
              <w:rPr>
                <w:sz w:val="20"/>
                <w:szCs w:val="20"/>
                <w:color w:val="auto"/>
              </w:rPr>
            </w:pPr>
            <w:r>
              <w:rPr>
                <w:rFonts w:ascii="Arial" w:cs="Arial" w:eastAsia="Arial" w:hAnsi="Arial"/>
                <w:sz w:val="22"/>
                <w:szCs w:val="22"/>
                <w:color w:val="auto"/>
              </w:rPr>
              <w:t>490,763</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1,140,500</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1,372,548</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1,913,603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220" w:type="dxa"/>
            <w:vAlign w:val="bottom"/>
          </w:tcPr>
          <w:p>
            <w:pPr>
              <w:jc w:val="right"/>
              <w:spacing w:after="0"/>
              <w:rPr>
                <w:sz w:val="20"/>
                <w:szCs w:val="20"/>
                <w:color w:val="auto"/>
              </w:rPr>
            </w:pPr>
            <w:r>
              <w:rPr>
                <w:rFonts w:ascii="Arial" w:cs="Arial" w:eastAsia="Arial" w:hAnsi="Arial"/>
                <w:sz w:val="22"/>
                <w:szCs w:val="22"/>
                <w:color w:val="auto"/>
              </w:rPr>
              <w:t>183,438</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233,772</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279,900</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459,125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220" w:type="dxa"/>
            <w:vAlign w:val="bottom"/>
          </w:tcPr>
          <w:p>
            <w:pPr>
              <w:jc w:val="right"/>
              <w:spacing w:after="0"/>
              <w:rPr>
                <w:sz w:val="20"/>
                <w:szCs w:val="20"/>
                <w:color w:val="auto"/>
              </w:rPr>
            </w:pPr>
            <w:r>
              <w:rPr>
                <w:rFonts w:ascii="Arial" w:cs="Arial" w:eastAsia="Arial" w:hAnsi="Arial"/>
                <w:sz w:val="22"/>
                <w:szCs w:val="22"/>
                <w:color w:val="auto"/>
              </w:rPr>
              <w:t>102,263</w:t>
            </w:r>
          </w:p>
        </w:tc>
        <w:tc>
          <w:tcPr>
            <w:tcW w:w="160" w:type="dxa"/>
            <w:vAlign w:val="bottom"/>
          </w:tcPr>
          <w:p>
            <w:pPr>
              <w:spacing w:after="0"/>
              <w:rPr>
                <w:sz w:val="23"/>
                <w:szCs w:val="23"/>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2"/>
                <w:szCs w:val="22"/>
                <w:color w:val="auto"/>
              </w:rPr>
              <w:t>—</w:t>
            </w:r>
          </w:p>
        </w:tc>
        <w:tc>
          <w:tcPr>
            <w:tcW w:w="1220" w:type="dxa"/>
            <w:vAlign w:val="bottom"/>
          </w:tcPr>
          <w:p>
            <w:pPr>
              <w:jc w:val="right"/>
              <w:spacing w:after="0"/>
              <w:rPr>
                <w:sz w:val="20"/>
                <w:szCs w:val="20"/>
                <w:color w:val="auto"/>
              </w:rPr>
            </w:pPr>
            <w:r>
              <w:rPr>
                <w:rFonts w:ascii="Arial" w:cs="Arial" w:eastAsia="Arial" w:hAnsi="Arial"/>
                <w:sz w:val="22"/>
                <w:szCs w:val="22"/>
                <w:color w:val="auto"/>
              </w:rPr>
              <w:t>122,570</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574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220" w:type="dxa"/>
            <w:vAlign w:val="bottom"/>
          </w:tcPr>
          <w:p>
            <w:pPr>
              <w:jc w:val="right"/>
              <w:spacing w:after="0"/>
              <w:rPr>
                <w:sz w:val="20"/>
                <w:szCs w:val="20"/>
                <w:color w:val="auto"/>
              </w:rPr>
            </w:pPr>
            <w:r>
              <w:rPr>
                <w:rFonts w:ascii="Arial" w:cs="Arial" w:eastAsia="Arial" w:hAnsi="Arial"/>
                <w:sz w:val="22"/>
                <w:szCs w:val="22"/>
                <w:color w:val="auto"/>
              </w:rPr>
              <w:t>2,659,019</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3,069,785</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5,321,895</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6,225,109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60"/>
              <w:spacing w:after="0"/>
              <w:rPr>
                <w:sz w:val="20"/>
                <w:szCs w:val="20"/>
                <w:color w:val="auto"/>
              </w:rPr>
            </w:pPr>
            <w:r>
              <w:rPr>
                <w:rFonts w:ascii="Arial" w:cs="Arial" w:eastAsia="Arial" w:hAnsi="Arial"/>
                <w:sz w:val="22"/>
                <w:szCs w:val="22"/>
                <w:color w:val="auto"/>
              </w:rPr>
              <w:t>Dividend</w:t>
            </w:r>
          </w:p>
        </w:tc>
        <w:tc>
          <w:tcPr>
            <w:tcW w:w="1220" w:type="dxa"/>
            <w:vAlign w:val="bottom"/>
          </w:tcPr>
          <w:p>
            <w:pPr>
              <w:jc w:val="right"/>
              <w:spacing w:after="0"/>
              <w:rPr>
                <w:sz w:val="20"/>
                <w:szCs w:val="20"/>
                <w:color w:val="auto"/>
              </w:rPr>
            </w:pPr>
            <w:r>
              <w:rPr>
                <w:rFonts w:ascii="Arial" w:cs="Arial" w:eastAsia="Arial" w:hAnsi="Arial"/>
                <w:sz w:val="22"/>
                <w:szCs w:val="22"/>
                <w:color w:val="auto"/>
              </w:rPr>
              <w:t>2,275,000</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1,575,000</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3,850,000</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3,150,000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74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380" w:type="dxa"/>
            <w:vAlign w:val="bottom"/>
            <w:gridSpan w:val="2"/>
          </w:tcPr>
          <w:p>
            <w:pPr>
              <w:jc w:val="right"/>
              <w:ind w:right="180"/>
              <w:spacing w:after="0"/>
              <w:rPr>
                <w:sz w:val="20"/>
                <w:szCs w:val="20"/>
                <w:color w:val="auto"/>
              </w:rPr>
            </w:pPr>
            <w:r>
              <w:rPr>
                <w:rFonts w:ascii="Arial" w:cs="Arial" w:eastAsia="Arial" w:hAnsi="Arial"/>
                <w:sz w:val="22"/>
                <w:szCs w:val="22"/>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22"/>
                <w:szCs w:val="22"/>
                <w:color w:val="auto"/>
              </w:rPr>
              <w:t>—</w:t>
            </w:r>
          </w:p>
        </w:tc>
        <w:tc>
          <w:tcPr>
            <w:tcW w:w="1220" w:type="dxa"/>
            <w:vAlign w:val="bottom"/>
          </w:tcPr>
          <w:p>
            <w:pPr>
              <w:jc w:val="right"/>
              <w:spacing w:after="0"/>
              <w:rPr>
                <w:sz w:val="20"/>
                <w:szCs w:val="20"/>
                <w:color w:val="auto"/>
              </w:rPr>
            </w:pPr>
            <w:r>
              <w:rPr>
                <w:rFonts w:ascii="Arial" w:cs="Arial" w:eastAsia="Arial" w:hAnsi="Arial"/>
                <w:sz w:val="22"/>
                <w:szCs w:val="22"/>
                <w:color w:val="auto"/>
              </w:rPr>
              <w:t>195,630</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7"/>
        </w:trPr>
        <w:tc>
          <w:tcPr>
            <w:tcW w:w="574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19,435,021</w:t>
            </w:r>
          </w:p>
        </w:tc>
        <w:tc>
          <w:tcPr>
            <w:tcW w:w="160" w:type="dxa"/>
            <w:vAlign w:val="bottom"/>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26,326,437</w:t>
            </w:r>
          </w:p>
        </w:tc>
        <w:tc>
          <w:tcPr>
            <w:tcW w:w="180" w:type="dxa"/>
            <w:vAlign w:val="bottom"/>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40,168,512</w:t>
            </w:r>
          </w:p>
        </w:tc>
        <w:tc>
          <w:tcPr>
            <w:tcW w:w="18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2"/>
              </w:rPr>
              <w:t>50,965,111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74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1220" w:type="dxa"/>
            <w:vAlign w:val="bottom"/>
          </w:tcPr>
          <w:p>
            <w:pPr>
              <w:jc w:val="right"/>
              <w:spacing w:after="0"/>
              <w:rPr>
                <w:sz w:val="20"/>
                <w:szCs w:val="20"/>
                <w:color w:val="auto"/>
              </w:rPr>
            </w:pPr>
            <w:r>
              <w:rPr>
                <w:rFonts w:ascii="Arial" w:cs="Arial" w:eastAsia="Arial" w:hAnsi="Arial"/>
                <w:sz w:val="22"/>
                <w:szCs w:val="22"/>
                <w:color w:val="auto"/>
              </w:rPr>
              <w:t>2,633,715</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2,948,941</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5,349,887</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5,779,100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1220" w:type="dxa"/>
            <w:vAlign w:val="bottom"/>
          </w:tcPr>
          <w:p>
            <w:pPr>
              <w:jc w:val="right"/>
              <w:spacing w:after="0"/>
              <w:rPr>
                <w:sz w:val="20"/>
                <w:szCs w:val="20"/>
                <w:color w:val="auto"/>
              </w:rPr>
            </w:pPr>
            <w:r>
              <w:rPr>
                <w:rFonts w:ascii="Arial" w:cs="Arial" w:eastAsia="Arial" w:hAnsi="Arial"/>
                <w:sz w:val="22"/>
                <w:szCs w:val="22"/>
                <w:color w:val="auto"/>
              </w:rPr>
              <w:t>1,302,025</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2,937,024</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3,063,899</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5,252,859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1220" w:type="dxa"/>
            <w:vAlign w:val="bottom"/>
          </w:tcPr>
          <w:p>
            <w:pPr>
              <w:jc w:val="right"/>
              <w:spacing w:after="0"/>
              <w:rPr>
                <w:sz w:val="20"/>
                <w:szCs w:val="20"/>
                <w:color w:val="auto"/>
              </w:rPr>
            </w:pPr>
            <w:r>
              <w:rPr>
                <w:rFonts w:ascii="Arial" w:cs="Arial" w:eastAsia="Arial" w:hAnsi="Arial"/>
                <w:sz w:val="22"/>
                <w:szCs w:val="22"/>
                <w:color w:val="auto"/>
              </w:rPr>
              <w:t>4,781,114</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7,626,550</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10,122,455</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w w:val="92"/>
              </w:rPr>
              <w:t>14,933,814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1220" w:type="dxa"/>
            <w:vAlign w:val="bottom"/>
          </w:tcPr>
          <w:p>
            <w:pPr>
              <w:jc w:val="right"/>
              <w:spacing w:after="0"/>
              <w:rPr>
                <w:sz w:val="20"/>
                <w:szCs w:val="20"/>
                <w:color w:val="auto"/>
              </w:rPr>
            </w:pPr>
            <w:r>
              <w:rPr>
                <w:rFonts w:ascii="Arial" w:cs="Arial" w:eastAsia="Arial" w:hAnsi="Arial"/>
                <w:sz w:val="22"/>
                <w:szCs w:val="22"/>
                <w:color w:val="auto"/>
              </w:rPr>
              <w:t>300,000</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350,000</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600,000</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700,000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74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400,000</w:t>
            </w:r>
          </w:p>
        </w:tc>
        <w:tc>
          <w:tcPr>
            <w:tcW w:w="160" w:type="dxa"/>
            <w:vAlign w:val="bottom"/>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616,077</w:t>
            </w:r>
          </w:p>
        </w:tc>
        <w:tc>
          <w:tcPr>
            <w:tcW w:w="180" w:type="dxa"/>
            <w:vAlign w:val="bottom"/>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800,000</w:t>
            </w:r>
          </w:p>
        </w:tc>
        <w:tc>
          <w:tcPr>
            <w:tcW w:w="1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1,232,153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5740" w:type="dxa"/>
            <w:vAlign w:val="bottom"/>
          </w:tcPr>
          <w:p>
            <w:pPr>
              <w:ind w:left="260"/>
              <w:spacing w:after="0"/>
              <w:rPr>
                <w:sz w:val="20"/>
                <w:szCs w:val="20"/>
                <w:color w:val="auto"/>
              </w:rPr>
            </w:pPr>
            <w:r>
              <w:rPr>
                <w:rFonts w:ascii="Arial" w:cs="Arial" w:eastAsia="Arial" w:hAnsi="Arial"/>
                <w:sz w:val="22"/>
                <w:szCs w:val="22"/>
                <w:b w:val="1"/>
                <w:bCs w:val="1"/>
                <w:color w:val="auto"/>
              </w:rPr>
              <w:t>Expenses before provision for taxes:</w:t>
            </w:r>
          </w:p>
        </w:tc>
        <w:tc>
          <w:tcPr>
            <w:tcW w:w="1220" w:type="dxa"/>
            <w:vAlign w:val="bottom"/>
          </w:tcPr>
          <w:p>
            <w:pPr>
              <w:jc w:val="right"/>
              <w:spacing w:after="0"/>
              <w:rPr>
                <w:sz w:val="20"/>
                <w:szCs w:val="20"/>
                <w:color w:val="auto"/>
              </w:rPr>
            </w:pPr>
            <w:r>
              <w:rPr>
                <w:rFonts w:ascii="Arial" w:cs="Arial" w:eastAsia="Arial" w:hAnsi="Arial"/>
                <w:sz w:val="22"/>
                <w:szCs w:val="22"/>
                <w:color w:val="auto"/>
              </w:rPr>
              <w:t>9,416,854</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14,478,592</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19,936,241</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w w:val="92"/>
              </w:rPr>
              <w:t>27,897,926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74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100,000</w:t>
            </w:r>
          </w:p>
        </w:tc>
        <w:tc>
          <w:tcPr>
            <w:tcW w:w="160" w:type="dxa"/>
            <w:vAlign w:val="bottom"/>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100,000</w:t>
            </w:r>
          </w:p>
        </w:tc>
        <w:tc>
          <w:tcPr>
            <w:tcW w:w="180" w:type="dxa"/>
            <w:vAlign w:val="bottom"/>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200,000</w:t>
            </w:r>
          </w:p>
        </w:tc>
        <w:tc>
          <w:tcPr>
            <w:tcW w:w="1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740" w:type="dxa"/>
            <w:vAlign w:val="bottom"/>
          </w:tcPr>
          <w:p>
            <w:pPr>
              <w:ind w:left="260"/>
              <w:spacing w:after="0"/>
              <w:rPr>
                <w:sz w:val="20"/>
                <w:szCs w:val="20"/>
                <w:color w:val="auto"/>
              </w:rPr>
            </w:pPr>
            <w:r>
              <w:rPr>
                <w:rFonts w:ascii="Arial" w:cs="Arial" w:eastAsia="Arial" w:hAnsi="Arial"/>
                <w:sz w:val="22"/>
                <w:szCs w:val="22"/>
                <w:b w:val="1"/>
                <w:bCs w:val="1"/>
                <w:color w:val="auto"/>
              </w:rPr>
              <w:t>Total expenses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9,516,854</w:t>
            </w:r>
          </w:p>
        </w:tc>
        <w:tc>
          <w:tcPr>
            <w:tcW w:w="160" w:type="dxa"/>
            <w:vAlign w:val="bottom"/>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14,578,592</w:t>
            </w:r>
          </w:p>
        </w:tc>
        <w:tc>
          <w:tcPr>
            <w:tcW w:w="180" w:type="dxa"/>
            <w:vAlign w:val="bottom"/>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20,136,241</w:t>
            </w:r>
          </w:p>
        </w:tc>
        <w:tc>
          <w:tcPr>
            <w:tcW w:w="1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2"/>
              </w:rPr>
              <w:t>28,097,926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74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9,918,167</w:t>
            </w:r>
          </w:p>
        </w:tc>
        <w:tc>
          <w:tcPr>
            <w:tcW w:w="160" w:type="dxa"/>
            <w:vAlign w:val="bottom"/>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11,747,845</w:t>
            </w:r>
          </w:p>
        </w:tc>
        <w:tc>
          <w:tcPr>
            <w:tcW w:w="180" w:type="dxa"/>
            <w:vAlign w:val="bottom"/>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20,032,271</w:t>
            </w: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2"/>
              </w:rPr>
              <w:t>22,867,185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40" w:type="dxa"/>
            <w:vAlign w:val="bottom"/>
          </w:tcPr>
          <w:p>
            <w:pPr>
              <w:spacing w:after="0"/>
              <w:rPr>
                <w:sz w:val="20"/>
                <w:szCs w:val="20"/>
                <w:color w:val="auto"/>
              </w:rPr>
            </w:pPr>
            <w:r>
              <w:rPr>
                <w:rFonts w:ascii="Arial" w:cs="Arial" w:eastAsia="Arial" w:hAnsi="Arial"/>
                <w:sz w:val="22"/>
                <w:szCs w:val="22"/>
                <w:b w:val="1"/>
                <w:bCs w:val="1"/>
                <w:color w:val="auto"/>
                <w:w w:val="89"/>
              </w:rPr>
              <w:t>Realized and unrealized gain (loss) on investments and debt:</w:t>
            </w: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40" w:type="dxa"/>
            <w:vAlign w:val="bottom"/>
          </w:tcPr>
          <w:p>
            <w:pPr>
              <w:spacing w:after="0"/>
              <w:rPr>
                <w:sz w:val="20"/>
                <w:szCs w:val="20"/>
                <w:color w:val="auto"/>
              </w:rPr>
            </w:pPr>
            <w:r>
              <w:rPr>
                <w:rFonts w:ascii="Arial" w:cs="Arial" w:eastAsia="Arial" w:hAnsi="Arial"/>
                <w:sz w:val="22"/>
                <w:szCs w:val="22"/>
                <w:color w:val="auto"/>
              </w:rPr>
              <w:t>Net realized gain (loss) on investments:</w:t>
            </w: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74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220" w:type="dxa"/>
            <w:vAlign w:val="bottom"/>
          </w:tcPr>
          <w:p>
            <w:pPr>
              <w:jc w:val="right"/>
              <w:spacing w:after="0"/>
              <w:rPr>
                <w:sz w:val="20"/>
                <w:szCs w:val="20"/>
                <w:color w:val="auto"/>
              </w:rPr>
            </w:pPr>
            <w:r>
              <w:rPr>
                <w:rFonts w:ascii="Arial" w:cs="Arial" w:eastAsia="Arial" w:hAnsi="Arial"/>
                <w:sz w:val="22"/>
                <w:szCs w:val="22"/>
                <w:color w:val="auto"/>
              </w:rPr>
              <w:t>473,661</w:t>
            </w:r>
          </w:p>
        </w:tc>
        <w:tc>
          <w:tcPr>
            <w:tcW w:w="160" w:type="dxa"/>
            <w:vAlign w:val="bottom"/>
          </w:tcPr>
          <w:p>
            <w:pPr>
              <w:spacing w:after="0"/>
              <w:rPr>
                <w:sz w:val="23"/>
                <w:szCs w:val="2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(1,599,285)</w:t>
            </w:r>
          </w:p>
        </w:tc>
        <w:tc>
          <w:tcPr>
            <w:tcW w:w="1400" w:type="dxa"/>
            <w:vAlign w:val="bottom"/>
            <w:gridSpan w:val="2"/>
          </w:tcPr>
          <w:p>
            <w:pPr>
              <w:jc w:val="right"/>
              <w:ind w:right="120"/>
              <w:spacing w:after="0"/>
              <w:rPr>
                <w:sz w:val="20"/>
                <w:szCs w:val="20"/>
                <w:color w:val="auto"/>
              </w:rPr>
            </w:pPr>
            <w:r>
              <w:rPr>
                <w:rFonts w:ascii="Arial" w:cs="Arial" w:eastAsia="Arial" w:hAnsi="Arial"/>
                <w:sz w:val="22"/>
                <w:szCs w:val="22"/>
                <w:color w:val="auto"/>
              </w:rPr>
              <w:t>(1,234,038)</w:t>
            </w:r>
          </w:p>
        </w:tc>
        <w:tc>
          <w:tcPr>
            <w:tcW w:w="16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(586,972)</w:t>
            </w:r>
          </w:p>
        </w:tc>
        <w:tc>
          <w:tcPr>
            <w:tcW w:w="0" w:type="dxa"/>
            <w:vAlign w:val="bottom"/>
          </w:tcPr>
          <w:p>
            <w:pPr>
              <w:spacing w:after="0"/>
              <w:rPr>
                <w:sz w:val="1"/>
                <w:szCs w:val="1"/>
                <w:color w:val="auto"/>
              </w:rPr>
            </w:pPr>
          </w:p>
        </w:tc>
      </w:tr>
    </w:tbl>
    <w:p>
      <w:pPr>
        <w:sectPr>
          <w:pgSz w:w="11900" w:h="16838" w:orient="portrait"/>
          <w:cols w:equalWidth="0" w:num="1">
            <w:col w:w="11200"/>
          </w:cols>
          <w:pgMar w:left="340" w:top="118" w:right="35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74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140" w:type="dxa"/>
            <w:vAlign w:val="bottom"/>
          </w:tcPr>
          <w:p>
            <w:pPr>
              <w:spacing w:after="0"/>
              <w:rPr>
                <w:sz w:val="23"/>
                <w:szCs w:val="2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260" w:type="dxa"/>
            <w:vAlign w:val="bottom"/>
            <w:gridSpan w:val="2"/>
          </w:tcPr>
          <w:p>
            <w:pPr>
              <w:jc w:val="right"/>
              <w:ind w:right="7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22"/>
                <w:szCs w:val="22"/>
                <w:color w:val="auto"/>
                <w:w w:val="99"/>
              </w:rPr>
              <w:t>(1,052,048)</w:t>
            </w:r>
          </w:p>
        </w:tc>
        <w:tc>
          <w:tcPr>
            <w:tcW w:w="14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7"/>
        </w:trPr>
        <w:tc>
          <w:tcPr>
            <w:tcW w:w="5740" w:type="dxa"/>
            <w:vAlign w:val="bottom"/>
          </w:tcPr>
          <w:p>
            <w:pPr>
              <w:ind w:left="260"/>
              <w:spacing w:after="0"/>
              <w:rPr>
                <w:sz w:val="20"/>
                <w:szCs w:val="20"/>
                <w:color w:val="auto"/>
              </w:rPr>
            </w:pPr>
            <w:r>
              <w:rPr>
                <w:rFonts w:ascii="Arial" w:cs="Arial" w:eastAsia="Arial" w:hAnsi="Arial"/>
                <w:sz w:val="22"/>
                <w:szCs w:val="22"/>
                <w:b w:val="1"/>
                <w:bCs w:val="1"/>
                <w:color w:val="auto"/>
              </w:rPr>
              <w:t>Net realized gain (loss) on investments</w:t>
            </w: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473,661</w:t>
            </w:r>
          </w:p>
        </w:tc>
        <w:tc>
          <w:tcPr>
            <w:tcW w:w="16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(1,599,285</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8"/>
              </w:rPr>
              <w:t>(2,286,086</w:t>
            </w:r>
          </w:p>
        </w:tc>
        <w:tc>
          <w:tcPr>
            <w:tcW w:w="180" w:type="dxa"/>
            <w:vAlign w:val="bottom"/>
          </w:tcPr>
          <w:p>
            <w:pPr>
              <w:jc w:val="right"/>
              <w:ind w:right="39"/>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(586,972</w:t>
            </w:r>
          </w:p>
        </w:tc>
        <w:tc>
          <w:tcPr>
            <w:tcW w:w="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0" w:type="dxa"/>
            <w:vAlign w:val="bottom"/>
          </w:tcPr>
          <w:p>
            <w:pPr>
              <w:spacing w:after="0"/>
              <w:rPr>
                <w:sz w:val="1"/>
                <w:szCs w:val="1"/>
                <w:color w:val="auto"/>
              </w:rPr>
            </w:pPr>
          </w:p>
        </w:tc>
      </w:tr>
      <w:tr>
        <w:trPr>
          <w:trHeight w:val="254"/>
        </w:trPr>
        <w:tc>
          <w:tcPr>
            <w:tcW w:w="5740" w:type="dxa"/>
            <w:vAlign w:val="bottom"/>
          </w:tcPr>
          <w:p>
            <w:pPr>
              <w:spacing w:after="0"/>
              <w:rPr>
                <w:sz w:val="20"/>
                <w:szCs w:val="20"/>
                <w:color w:val="auto"/>
              </w:rPr>
            </w:pPr>
            <w:r>
              <w:rPr>
                <w:rFonts w:ascii="Arial" w:cs="Arial" w:eastAsia="Arial" w:hAnsi="Arial"/>
                <w:sz w:val="22"/>
                <w:szCs w:val="22"/>
                <w:color w:val="auto"/>
              </w:rPr>
              <w:t>Net change in unrealized appreciation (depreciation) on:</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74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12,150,548</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w w:val="91"/>
              </w:rPr>
              <w:t>(40,004,484)</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34,687,828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w w:val="89"/>
              </w:rPr>
              <w:t>(37,625,126)</w:t>
            </w:r>
          </w:p>
        </w:tc>
        <w:tc>
          <w:tcPr>
            <w:tcW w:w="0" w:type="dxa"/>
            <w:vAlign w:val="bottom"/>
          </w:tcPr>
          <w:p>
            <w:pPr>
              <w:spacing w:after="0"/>
              <w:rPr>
                <w:sz w:val="1"/>
                <w:szCs w:val="1"/>
                <w:color w:val="auto"/>
              </w:rPr>
            </w:pPr>
          </w:p>
        </w:tc>
      </w:tr>
      <w:tr>
        <w:trPr>
          <w:trHeight w:val="270"/>
        </w:trPr>
        <w:tc>
          <w:tcPr>
            <w:tcW w:w="5740" w:type="dxa"/>
            <w:vAlign w:val="bottom"/>
          </w:tcPr>
          <w:p>
            <w:pPr>
              <w:ind w:left="260"/>
              <w:spacing w:after="0"/>
              <w:rPr>
                <w:sz w:val="20"/>
                <w:szCs w:val="20"/>
                <w:color w:val="auto"/>
              </w:rPr>
            </w:pPr>
            <w:r>
              <w:rPr>
                <w:rFonts w:ascii="Arial" w:cs="Arial" w:eastAsia="Arial" w:hAnsi="Arial"/>
                <w:sz w:val="22"/>
                <w:szCs w:val="22"/>
                <w:color w:val="auto"/>
              </w:rPr>
              <w:t>Controlled and non-controlled, affiliated investments</w:t>
            </w:r>
          </w:p>
        </w:tc>
        <w:tc>
          <w:tcPr>
            <w:tcW w:w="14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2"/>
                <w:szCs w:val="22"/>
                <w:color w:val="auto"/>
              </w:rPr>
              <w:t>(333,952)</w:t>
            </w:r>
          </w:p>
        </w:tc>
        <w:tc>
          <w:tcPr>
            <w:tcW w:w="14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w w:val="91"/>
              </w:rPr>
              <w:t>(24,782,772)</w:t>
            </w:r>
          </w:p>
        </w:tc>
        <w:tc>
          <w:tcPr>
            <w:tcW w:w="140" w:type="dxa"/>
            <w:vAlign w:val="bottom"/>
          </w:tcPr>
          <w:p>
            <w:pPr>
              <w:spacing w:after="0"/>
              <w:rPr>
                <w:sz w:val="23"/>
                <w:szCs w:val="23"/>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22"/>
                <w:szCs w:val="22"/>
                <w:color w:val="auto"/>
              </w:rPr>
              <w:t>(81,186)</w:t>
            </w:r>
          </w:p>
        </w:tc>
        <w:tc>
          <w:tcPr>
            <w:tcW w:w="14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w w:val="89"/>
              </w:rPr>
              <w:t>(30,682,477)</w:t>
            </w:r>
          </w:p>
        </w:tc>
        <w:tc>
          <w:tcPr>
            <w:tcW w:w="0" w:type="dxa"/>
            <w:vAlign w:val="bottom"/>
          </w:tcPr>
          <w:p>
            <w:pPr>
              <w:spacing w:after="0"/>
              <w:rPr>
                <w:sz w:val="1"/>
                <w:szCs w:val="1"/>
                <w:color w:val="auto"/>
              </w:rPr>
            </w:pPr>
          </w:p>
        </w:tc>
      </w:tr>
      <w:tr>
        <w:trPr>
          <w:trHeight w:val="274"/>
        </w:trPr>
        <w:tc>
          <w:tcPr>
            <w:tcW w:w="5740" w:type="dxa"/>
            <w:vAlign w:val="bottom"/>
          </w:tcPr>
          <w:p>
            <w:pPr>
              <w:ind w:left="260"/>
              <w:spacing w:after="0"/>
              <w:rPr>
                <w:sz w:val="20"/>
                <w:szCs w:val="20"/>
                <w:color w:val="auto"/>
              </w:rPr>
            </w:pPr>
            <w:r>
              <w:rPr>
                <w:rFonts w:ascii="Arial" w:cs="Arial" w:eastAsia="Arial" w:hAnsi="Arial"/>
                <w:sz w:val="22"/>
                <w:szCs w:val="22"/>
                <w:color w:val="auto"/>
              </w:rPr>
              <w:t>Debt (appreciation) depreciation</w:t>
            </w:r>
          </w:p>
        </w:tc>
        <w:tc>
          <w:tcPr>
            <w:tcW w:w="14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2"/>
                <w:szCs w:val="22"/>
                <w:color w:val="auto"/>
                <w:w w:val="89"/>
              </w:rPr>
              <w:t>(10,535,079)</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6"/>
              </w:rPr>
              <w:t>33,537,647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22"/>
                <w:szCs w:val="22"/>
                <w:color w:val="auto"/>
                <w:w w:val="89"/>
              </w:rPr>
              <w:t>(14,548,894)</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34,899,235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4"/>
              </w:rPr>
              <w:t>Net change in unrealized appreciation (depreciation) on</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740" w:type="dxa"/>
            <w:vAlign w:val="bottom"/>
          </w:tcPr>
          <w:p>
            <w:pPr>
              <w:ind w:left="260"/>
              <w:spacing w:after="0"/>
              <w:rPr>
                <w:sz w:val="20"/>
                <w:szCs w:val="20"/>
                <w:color w:val="auto"/>
              </w:rPr>
            </w:pPr>
            <w:r>
              <w:rPr>
                <w:rFonts w:ascii="Arial" w:cs="Arial" w:eastAsia="Arial" w:hAnsi="Arial"/>
                <w:sz w:val="22"/>
                <w:szCs w:val="22"/>
                <w:b w:val="1"/>
                <w:bCs w:val="1"/>
                <w:color w:val="auto"/>
              </w:rPr>
              <w:t>investments and debt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1,281,517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w w:val="91"/>
              </w:rPr>
              <w:t>(31,249,609)</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20,057,748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w w:val="89"/>
              </w:rPr>
              <w:t>(33,408,368)</w:t>
            </w:r>
          </w:p>
        </w:tc>
        <w:tc>
          <w:tcPr>
            <w:tcW w:w="0" w:type="dxa"/>
            <w:vAlign w:val="bottom"/>
          </w:tcPr>
          <w:p>
            <w:pPr>
              <w:spacing w:after="0"/>
              <w:rPr>
                <w:sz w:val="1"/>
                <w:szCs w:val="1"/>
                <w:color w:val="auto"/>
              </w:rPr>
            </w:pPr>
          </w:p>
        </w:tc>
      </w:tr>
      <w:tr>
        <w:trPr>
          <w:trHeight w:val="213"/>
        </w:trPr>
        <w:tc>
          <w:tcPr>
            <w:tcW w:w="5740" w:type="dxa"/>
            <w:vAlign w:val="bottom"/>
          </w:tcPr>
          <w:p>
            <w:pPr>
              <w:spacing w:after="0" w:line="212" w:lineRule="exact"/>
              <w:rPr>
                <w:sz w:val="20"/>
                <w:szCs w:val="20"/>
                <w:color w:val="auto"/>
              </w:rPr>
            </w:pPr>
            <w:r>
              <w:rPr>
                <w:rFonts w:ascii="Arial" w:cs="Arial" w:eastAsia="Arial" w:hAnsi="Arial"/>
                <w:sz w:val="22"/>
                <w:szCs w:val="22"/>
                <w:b w:val="1"/>
                <w:bCs w:val="1"/>
                <w:color w:val="auto"/>
                <w:w w:val="90"/>
              </w:rPr>
              <w:t>Net realized and unrealized gain (loss) from investments and</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740" w:type="dxa"/>
            <w:vAlign w:val="bottom"/>
          </w:tcPr>
          <w:p>
            <w:pPr>
              <w:spacing w:after="0"/>
              <w:rPr>
                <w:sz w:val="20"/>
                <w:szCs w:val="20"/>
                <w:color w:val="auto"/>
              </w:rPr>
            </w:pPr>
            <w:r>
              <w:rPr>
                <w:rFonts w:ascii="Arial" w:cs="Arial" w:eastAsia="Arial" w:hAnsi="Arial"/>
                <w:sz w:val="22"/>
                <w:szCs w:val="22"/>
                <w:b w:val="1"/>
                <w:bCs w:val="1"/>
                <w:color w:val="auto"/>
              </w:rPr>
              <w:t>debt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1,755,178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w w:val="91"/>
              </w:rPr>
              <w:t>(32,848,894)</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17,771,662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w w:val="89"/>
              </w:rPr>
              <w:t>(33,995,340)</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line="232" w:lineRule="exact"/>
              <w:rPr>
                <w:sz w:val="20"/>
                <w:szCs w:val="20"/>
                <w:color w:val="auto"/>
              </w:rPr>
            </w:pPr>
            <w:r>
              <w:rPr>
                <w:rFonts w:ascii="Arial" w:cs="Arial" w:eastAsia="Arial" w:hAnsi="Arial"/>
                <w:sz w:val="22"/>
                <w:szCs w:val="22"/>
                <w:b w:val="1"/>
                <w:bCs w:val="1"/>
                <w:color w:val="auto"/>
              </w:rPr>
              <w:t>Net increase (decrease) in net assets resulting from</w:t>
            </w: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740" w:type="dxa"/>
            <w:vAlign w:val="bottom"/>
            <w:vMerge w:val="continue"/>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w w:val="94"/>
              </w:rPr>
              <w:t>11,673,345</w:t>
            </w:r>
          </w:p>
        </w:tc>
        <w:tc>
          <w:tcPr>
            <w:tcW w:w="16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1260" w:type="dxa"/>
            <w:vAlign w:val="bottom"/>
            <w:gridSpan w:val="2"/>
            <w:vMerge w:val="restart"/>
          </w:tcPr>
          <w:p>
            <w:pPr>
              <w:jc w:val="right"/>
              <w:spacing w:after="0"/>
              <w:rPr>
                <w:sz w:val="20"/>
                <w:szCs w:val="20"/>
                <w:color w:val="auto"/>
              </w:rPr>
            </w:pPr>
            <w:r>
              <w:rPr>
                <w:rFonts w:ascii="Arial" w:cs="Arial" w:eastAsia="Arial" w:hAnsi="Arial"/>
                <w:sz w:val="22"/>
                <w:szCs w:val="22"/>
                <w:color w:val="auto"/>
                <w:w w:val="91"/>
              </w:rPr>
              <w:t>(21,101,049)</w:t>
            </w: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w w:val="94"/>
              </w:rPr>
              <w:t>37,803,933</w:t>
            </w:r>
          </w:p>
        </w:tc>
        <w:tc>
          <w:tcPr>
            <w:tcW w:w="18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140" w:type="dxa"/>
            <w:vAlign w:val="bottom"/>
            <w:gridSpan w:val="2"/>
            <w:vMerge w:val="restart"/>
          </w:tcPr>
          <w:p>
            <w:pPr>
              <w:jc w:val="right"/>
              <w:spacing w:after="0"/>
              <w:rPr>
                <w:sz w:val="20"/>
                <w:szCs w:val="20"/>
                <w:color w:val="auto"/>
              </w:rPr>
            </w:pPr>
            <w:r>
              <w:rPr>
                <w:rFonts w:ascii="Arial" w:cs="Arial" w:eastAsia="Arial" w:hAnsi="Arial"/>
                <w:sz w:val="22"/>
                <w:szCs w:val="22"/>
                <w:color w:val="auto"/>
                <w:w w:val="89"/>
              </w:rPr>
              <w:t>(11,128,155)</w:t>
            </w:r>
          </w:p>
        </w:tc>
        <w:tc>
          <w:tcPr>
            <w:tcW w:w="0" w:type="dxa"/>
            <w:vAlign w:val="bottom"/>
          </w:tcPr>
          <w:p>
            <w:pPr>
              <w:spacing w:after="0"/>
              <w:rPr>
                <w:sz w:val="1"/>
                <w:szCs w:val="1"/>
                <w:color w:val="auto"/>
              </w:rPr>
            </w:pPr>
          </w:p>
        </w:tc>
      </w:tr>
      <w:tr>
        <w:trPr>
          <w:trHeight w:val="257"/>
        </w:trPr>
        <w:tc>
          <w:tcPr>
            <w:tcW w:w="5740" w:type="dxa"/>
            <w:vAlign w:val="bottom"/>
          </w:tcPr>
          <w:p>
            <w:pPr>
              <w:spacing w:after="0"/>
              <w:rPr>
                <w:sz w:val="20"/>
                <w:szCs w:val="20"/>
                <w:color w:val="auto"/>
              </w:rPr>
            </w:pPr>
            <w:r>
              <w:rPr>
                <w:rFonts w:ascii="Arial" w:cs="Arial" w:eastAsia="Arial" w:hAnsi="Arial"/>
                <w:sz w:val="22"/>
                <w:szCs w:val="22"/>
                <w:b w:val="1"/>
                <w:bCs w:val="1"/>
                <w:color w:val="auto"/>
              </w:rPr>
              <w:t>operations</w:t>
            </w:r>
          </w:p>
        </w:tc>
        <w:tc>
          <w:tcPr>
            <w:tcW w:w="1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1260" w:type="dxa"/>
            <w:vAlign w:val="bottom"/>
            <w:gridSpan w:val="2"/>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line="242" w:lineRule="exact"/>
              <w:rPr>
                <w:sz w:val="20"/>
                <w:szCs w:val="20"/>
                <w:color w:val="auto"/>
              </w:rPr>
            </w:pPr>
            <w:r>
              <w:rPr>
                <w:rFonts w:ascii="Arial" w:cs="Arial" w:eastAsia="Arial" w:hAnsi="Arial"/>
                <w:sz w:val="22"/>
                <w:szCs w:val="22"/>
                <w:color w:val="auto"/>
                <w:w w:val="93"/>
              </w:rPr>
              <w:t>Net increase (decrease) in net assets resulting from operations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740" w:type="dxa"/>
            <w:vAlign w:val="bottom"/>
            <w:vMerge w:val="continue"/>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0.30</w:t>
            </w:r>
          </w:p>
        </w:tc>
        <w:tc>
          <w:tcPr>
            <w:tcW w:w="16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1260" w:type="dxa"/>
            <w:vAlign w:val="bottom"/>
            <w:gridSpan w:val="2"/>
            <w:vMerge w:val="restart"/>
          </w:tcPr>
          <w:p>
            <w:pPr>
              <w:jc w:val="right"/>
              <w:spacing w:after="0"/>
              <w:rPr>
                <w:sz w:val="20"/>
                <w:szCs w:val="20"/>
                <w:color w:val="auto"/>
              </w:rPr>
            </w:pPr>
            <w:r>
              <w:rPr>
                <w:rFonts w:ascii="Arial" w:cs="Arial" w:eastAsia="Arial" w:hAnsi="Arial"/>
                <w:sz w:val="22"/>
                <w:szCs w:val="22"/>
                <w:color w:val="auto"/>
              </w:rPr>
              <w:t>(0.54)</w:t>
            </w: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0.98</w:t>
            </w:r>
          </w:p>
        </w:tc>
        <w:tc>
          <w:tcPr>
            <w:tcW w:w="18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140" w:type="dxa"/>
            <w:vAlign w:val="bottom"/>
            <w:gridSpan w:val="2"/>
            <w:vMerge w:val="restart"/>
          </w:tcPr>
          <w:p>
            <w:pPr>
              <w:jc w:val="right"/>
              <w:spacing w:after="0"/>
              <w:rPr>
                <w:sz w:val="20"/>
                <w:szCs w:val="20"/>
                <w:color w:val="auto"/>
              </w:rPr>
            </w:pPr>
            <w:r>
              <w:rPr>
                <w:rFonts w:ascii="Arial" w:cs="Arial" w:eastAsia="Arial" w:hAnsi="Arial"/>
                <w:sz w:val="22"/>
                <w:szCs w:val="22"/>
                <w:color w:val="auto"/>
              </w:rPr>
              <w:t>(0.29)</w:t>
            </w:r>
          </w:p>
        </w:tc>
        <w:tc>
          <w:tcPr>
            <w:tcW w:w="0" w:type="dxa"/>
            <w:vAlign w:val="bottom"/>
          </w:tcPr>
          <w:p>
            <w:pPr>
              <w:spacing w:after="0"/>
              <w:rPr>
                <w:sz w:val="1"/>
                <w:szCs w:val="1"/>
                <w:color w:val="auto"/>
              </w:rPr>
            </w:pPr>
          </w:p>
        </w:tc>
      </w:tr>
      <w:tr>
        <w:trPr>
          <w:trHeight w:val="251"/>
        </w:trPr>
        <w:tc>
          <w:tcPr>
            <w:tcW w:w="5740" w:type="dxa"/>
            <w:vAlign w:val="bottom"/>
          </w:tcPr>
          <w:p>
            <w:pPr>
              <w:spacing w:after="0" w:line="251" w:lineRule="exact"/>
              <w:rPr>
                <w:sz w:val="20"/>
                <w:szCs w:val="20"/>
                <w:color w:val="auto"/>
              </w:rPr>
            </w:pPr>
            <w:r>
              <w:rPr>
                <w:rFonts w:ascii="Arial" w:cs="Arial" w:eastAsia="Arial" w:hAnsi="Arial"/>
                <w:sz w:val="22"/>
                <w:szCs w:val="22"/>
                <w:color w:val="auto"/>
              </w:rPr>
              <w:t>per common share</w:t>
            </w:r>
          </w:p>
        </w:tc>
        <w:tc>
          <w:tcPr>
            <w:tcW w:w="1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spacing w:after="0"/>
              <w:rPr>
                <w:sz w:val="20"/>
                <w:szCs w:val="20"/>
                <w:color w:val="auto"/>
              </w:rPr>
            </w:pPr>
            <w:r>
              <w:rPr>
                <w:rFonts w:ascii="Arial" w:cs="Arial" w:eastAsia="Arial" w:hAnsi="Arial"/>
                <w:sz w:val="22"/>
                <w:szCs w:val="22"/>
                <w:color w:val="auto"/>
              </w:rPr>
              <w:t>Net investment income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740" w:type="dxa"/>
            <w:vAlign w:val="bottom"/>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0.26</w:t>
            </w:r>
          </w:p>
        </w:tc>
        <w:tc>
          <w:tcPr>
            <w:tcW w:w="1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0.30</w:t>
            </w:r>
          </w:p>
        </w:tc>
        <w:tc>
          <w:tcPr>
            <w:tcW w:w="1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0.52</w:t>
            </w:r>
          </w:p>
        </w:tc>
        <w:tc>
          <w:tcPr>
            <w:tcW w:w="1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0.59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middle-market credit platform, managing $4.7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CONTACT: Aviv Efrat</w:t>
      </w:r>
    </w:p>
    <w:p>
      <w:pPr>
        <w:ind w:left="1200"/>
        <w:spacing w:after="0" w:line="238" w:lineRule="auto"/>
        <w:rPr>
          <w:sz w:val="20"/>
          <w:szCs w:val="20"/>
          <w:color w:val="auto"/>
        </w:rPr>
      </w:pPr>
      <w:r>
        <w:rPr>
          <w:rFonts w:ascii="Arial" w:cs="Arial" w:eastAsia="Arial" w:hAnsi="Arial"/>
          <w:sz w:val="22"/>
          <w:szCs w:val="22"/>
          <w:color w:val="auto"/>
        </w:rPr>
        <w:t>PennantPark Floating Rate Capital Ltd.</w:t>
      </w:r>
    </w:p>
    <w:p>
      <w:pPr>
        <w:ind w:left="1200" w:right="8040" w:hanging="4"/>
        <w:spacing w:after="0" w:line="308" w:lineRule="auto"/>
        <w:tabs>
          <w:tab w:leader="none" w:pos="1722"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2021-05-05T15:15:44Z</dcterms:created>
  <dcterms:modified xsi:type="dcterms:W3CDTF">2021-05-05T15:15:44Z</dcterms:modified>
</cp:coreProperties>
</file>