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3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7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CURRENT REPORT</w:t>
      </w:r>
    </w:p>
    <w:p>
      <w:pPr>
        <w:spacing w:after="0" w:line="17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15, 2022</w:t>
      </w:r>
    </w:p>
    <w:p>
      <w:pPr>
        <w:spacing w:after="0" w:line="25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30"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6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5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814-00891</w:t>
            </w:r>
          </w:p>
        </w:tc>
        <w:tc>
          <w:tcPr>
            <w:tcW w:w="31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27-3794690</w:t>
            </w:r>
          </w:p>
        </w:tc>
        <w:tc>
          <w:tcPr>
            <w:tcW w:w="0" w:type="dxa"/>
            <w:vAlign w:val="bottom"/>
          </w:tcPr>
          <w:p>
            <w:pPr>
              <w:spacing w:after="0"/>
              <w:rPr>
                <w:sz w:val="1"/>
                <w:szCs w:val="1"/>
                <w:color w:val="auto"/>
              </w:rPr>
            </w:pPr>
          </w:p>
        </w:tc>
      </w:tr>
      <w:tr>
        <w:trPr>
          <w:trHeight w:val="234"/>
        </w:trPr>
        <w:tc>
          <w:tcPr>
            <w:tcW w:w="36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369"/>
        </w:trPr>
        <w:tc>
          <w:tcPr>
            <w:tcW w:w="36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1691 Michigan Avenue, Suite 500</w:t>
            </w:r>
          </w:p>
        </w:tc>
        <w:tc>
          <w:tcPr>
            <w:tcW w:w="2560" w:type="dxa"/>
            <w:vAlign w:val="bottom"/>
          </w:tcPr>
          <w:p>
            <w:pPr>
              <w:spacing w:after="0"/>
              <w:rPr>
                <w:sz w:val="24"/>
                <w:szCs w:val="24"/>
                <w:color w:val="auto"/>
              </w:rPr>
            </w:pPr>
          </w:p>
        </w:tc>
        <w:tc>
          <w:tcPr>
            <w:tcW w:w="316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98"/>
        </w:trPr>
        <w:tc>
          <w:tcPr>
            <w:tcW w:w="3660" w:type="dxa"/>
            <w:vAlign w:val="bottom"/>
            <w:vMerge w:val="restart"/>
          </w:tcPr>
          <w:p>
            <w:pPr>
              <w:jc w:val="center"/>
              <w:ind w:left="2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25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31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40"/>
        </w:trPr>
        <w:tc>
          <w:tcPr>
            <w:tcW w:w="366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6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820" w:hanging="799"/>
        <w:spacing w:after="0"/>
        <w:tabs>
          <w:tab w:leader="none" w:pos="8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820" w:hanging="799"/>
        <w:spacing w:after="0"/>
        <w:tabs>
          <w:tab w:leader="none" w:pos="8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380" w:firstLine="21"/>
        <w:spacing w:after="0" w:line="532" w:lineRule="auto"/>
        <w:tabs>
          <w:tab w:leader="none" w:pos="8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PFLT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533"/>
        </w:trPr>
        <w:tc>
          <w:tcPr>
            <w:tcW w:w="4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3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27"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September 15, 2022, PennantPark Floating Rate Funding I, LLC, a wholly-owned subsidiary of PennantPark Floating Rate Capital Ltd., entered into the First Amendment (the “First Amendment”) to its Revolving Credit and Security Agreement (the “Credit Facility”) with Truist Bank, as administrative agent, and the other lenders and parties thereto. In connection with the First Amendment, the size of the Credit Facility was upsized from $300 million to $366 million. The First Amendment amended certain provisions of the Credit Facility to, among other things, replace the LIBOR benchmark provisions with SOFR benchmark provisions, including the applicable credit adjustment spread. Except as amended by the First Amendment, the Credit Facility remains in full force and effect.</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First Amendment does not purport to be complete and is qualified in its entirety by reference to the full text of the First Amendment, which is filed as Exhibit 10.1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21, 2022, PennantPark Floating Rate Capital Ltd. issued a press release. A copy of the press release is furnished as Exhibit 99.1 to this Form 8-K.</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jc w:val="both"/>
        <w:ind w:left="700" w:right="120" w:hanging="674"/>
        <w:spacing w:after="0" w:line="226" w:lineRule="auto"/>
        <w:tabs>
          <w:tab w:leader="none" w:pos="6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First Amendment to Revolving Credit and Security Agreement, dated September 15, 2022, among PennantPark Floating Rate Funding I, LLC, PennantPark Investment Advisers, LLC, the lenders from time to time party thereto, Truist Bank, as administrative agent and swingline lender, U.S. Bank National Association, as collateral agent, custodian, collateral administrator and backup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-247650</wp:posOffset>
            </wp:positionV>
            <wp:extent cx="6621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178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-127635</wp:posOffset>
            </wp:positionV>
            <wp:extent cx="6613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3525"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-7620</wp:posOffset>
            </wp:positionV>
            <wp:extent cx="538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7340" cy="8255"/>
                    </a:xfrm>
                    <a:prstGeom prst="rect">
                      <a:avLst/>
                    </a:prstGeom>
                    <a:noFill/>
                  </pic:spPr>
                </pic:pic>
              </a:graphicData>
            </a:graphic>
          </wp:anchor>
        </w:drawing>
      </w:r>
    </w:p>
    <w:p>
      <w:pPr>
        <w:ind w:left="20"/>
        <w:spacing w:after="0" w:line="234" w:lineRule="auto"/>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PennantPark Floating Rate Capital Ltd. dated September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-8255</wp:posOffset>
            </wp:positionV>
            <wp:extent cx="3797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97935"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ind w:left="20"/>
        <w:spacing w:after="0"/>
        <w:tabs>
          <w:tab w:leader="none" w:pos="4740" w:val="left"/>
        </w:tabs>
        <w:rPr>
          <w:sz w:val="20"/>
          <w:szCs w:val="20"/>
          <w:color w:val="auto"/>
        </w:rPr>
      </w:pPr>
      <w:r>
        <w:rPr>
          <w:rFonts w:ascii="Times New Roman" w:cs="Times New Roman" w:eastAsia="Times New Roman" w:hAnsi="Times New Roman"/>
          <w:sz w:val="18"/>
          <w:szCs w:val="18"/>
          <w:color w:val="auto"/>
        </w:rPr>
        <w:t>Dated: September 21, 2022</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3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ind w:left="4760"/>
        <w:spacing w:after="0" w:line="221" w:lineRule="auto"/>
        <w:rPr>
          <w:sz w:val="20"/>
          <w:szCs w:val="20"/>
          <w:color w:val="auto"/>
        </w:rPr>
      </w:pPr>
      <w:r>
        <w:rPr>
          <w:rFonts w:ascii="Times New Roman" w:cs="Times New Roman" w:eastAsia="Times New Roman" w:hAnsi="Times New Roman"/>
          <w:sz w:val="18"/>
          <w:szCs w:val="18"/>
          <w:color w:val="auto"/>
        </w:rPr>
        <w:t>Name: Richard T. Allorto, Jr.</w:t>
      </w:r>
    </w:p>
    <w:p>
      <w:pPr>
        <w:ind w:left="47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17"/>
          <w:szCs w:val="17"/>
          <w:color w:val="auto"/>
        </w:rPr>
        <w:t>Exhibit 10.1</w:t>
      </w:r>
    </w:p>
    <w:p>
      <w:pPr>
        <w:spacing w:after="0" w:line="26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7"/>
          <w:szCs w:val="17"/>
          <w:b w:val="1"/>
          <w:bCs w:val="1"/>
          <w:color w:val="auto"/>
        </w:rPr>
        <w:t>IRST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MENDMENT TO</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EVOLVING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REDIT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HIS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7"/>
          <w:szCs w:val="17"/>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MENDMENT TO</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EVOLVING</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7"/>
          <w:szCs w:val="17"/>
          <w:color w:val="auto"/>
        </w:rPr>
        <w:t>ECURITY</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 dated as of September 15th, 2022 (the</w:t>
      </w:r>
    </w:p>
    <w:p>
      <w:pPr>
        <w:spacing w:after="0" w:line="28"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is made pursuant to that certain Revolving Credit and Security Agreement dated as of August 12, 2021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renewed, amended or restated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among P</w:t>
      </w:r>
      <w:r>
        <w:rPr>
          <w:rFonts w:ascii="Times New Roman" w:cs="Times New Roman" w:eastAsia="Times New Roman" w:hAnsi="Times New Roman"/>
          <w:sz w:val="17"/>
          <w:szCs w:val="17"/>
          <w:color w:val="auto"/>
        </w:rPr>
        <w:t>ENNANT</w:t>
      </w:r>
      <w:r>
        <w:rPr>
          <w:rFonts w:ascii="Times New Roman" w:cs="Times New Roman" w:eastAsia="Times New Roman" w:hAnsi="Times New Roman"/>
          <w:sz w:val="22"/>
          <w:szCs w:val="22"/>
          <w:color w:val="auto"/>
        </w:rPr>
        <w:t>P</w:t>
      </w:r>
      <w:r>
        <w:rPr>
          <w:rFonts w:ascii="Times New Roman" w:cs="Times New Roman" w:eastAsia="Times New Roman" w:hAnsi="Times New Roman"/>
          <w:sz w:val="17"/>
          <w:szCs w:val="17"/>
          <w:color w:val="auto"/>
        </w:rPr>
        <w:t>ARK</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7"/>
          <w:szCs w:val="17"/>
          <w:color w:val="auto"/>
        </w:rPr>
        <w:t>LOATING</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7"/>
          <w:szCs w:val="17"/>
          <w:color w:val="auto"/>
        </w:rPr>
        <w:t>UNDING</w:t>
      </w:r>
      <w:r>
        <w:rPr>
          <w:rFonts w:ascii="Times New Roman" w:cs="Times New Roman" w:eastAsia="Times New Roman" w:hAnsi="Times New Roman"/>
          <w:sz w:val="22"/>
          <w:szCs w:val="22"/>
          <w:color w:val="auto"/>
        </w:rPr>
        <w:t xml:space="preserve"> I, LLC, a Delaware limited liability company, as borrower (together with its permitted successors and assigns,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P</w:t>
      </w:r>
      <w:r>
        <w:rPr>
          <w:rFonts w:ascii="Times New Roman" w:cs="Times New Roman" w:eastAsia="Times New Roman" w:hAnsi="Times New Roman"/>
          <w:sz w:val="17"/>
          <w:szCs w:val="17"/>
          <w:color w:val="auto"/>
        </w:rPr>
        <w:t>ENNANT</w:t>
      </w:r>
      <w:r>
        <w:rPr>
          <w:rFonts w:ascii="Times New Roman" w:cs="Times New Roman" w:eastAsia="Times New Roman" w:hAnsi="Times New Roman"/>
          <w:sz w:val="22"/>
          <w:szCs w:val="22"/>
          <w:color w:val="auto"/>
        </w:rPr>
        <w:t>P</w:t>
      </w:r>
      <w:r>
        <w:rPr>
          <w:rFonts w:ascii="Times New Roman" w:cs="Times New Roman" w:eastAsia="Times New Roman" w:hAnsi="Times New Roman"/>
          <w:sz w:val="17"/>
          <w:szCs w:val="17"/>
          <w:color w:val="auto"/>
        </w:rPr>
        <w:t>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DVISERS</w:t>
      </w:r>
      <w:r>
        <w:rPr>
          <w:rFonts w:ascii="Times New Roman" w:cs="Times New Roman" w:eastAsia="Times New Roman" w:hAnsi="Times New Roman"/>
          <w:sz w:val="22"/>
          <w:szCs w:val="22"/>
          <w:color w:val="auto"/>
        </w:rPr>
        <w:t>, LLC, a Delaware limited liability company, as the collateral manager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(together with its permitted successors and assigns, the </w:t>
      </w:r>
      <w:r>
        <w:rPr>
          <w:rFonts w:ascii="Times New Roman" w:cs="Times New Roman" w:eastAsia="Times New Roman" w:hAnsi="Times New Roman"/>
          <w:sz w:val="22"/>
          <w:szCs w:val="22"/>
          <w:i w:val="1"/>
          <w:iCs w:val="1"/>
          <w:color w:val="auto"/>
        </w:rPr>
        <w:t>“Collateral Manager”</w:t>
      </w:r>
      <w:r>
        <w:rPr>
          <w:rFonts w:ascii="Times New Roman" w:cs="Times New Roman" w:eastAsia="Times New Roman" w:hAnsi="Times New Roman"/>
          <w:sz w:val="22"/>
          <w:szCs w:val="22"/>
          <w:color w:val="auto"/>
        </w:rPr>
        <w:t>), the L</w:t>
      </w:r>
      <w:r>
        <w:rPr>
          <w:rFonts w:ascii="Times New Roman" w:cs="Times New Roman" w:eastAsia="Times New Roman" w:hAnsi="Times New Roman"/>
          <w:sz w:val="17"/>
          <w:szCs w:val="17"/>
          <w:color w:val="auto"/>
        </w:rPr>
        <w:t>ENDERS</w:t>
      </w:r>
      <w:r>
        <w:rPr>
          <w:rFonts w:ascii="Times New Roman" w:cs="Times New Roman" w:eastAsia="Times New Roman" w:hAnsi="Times New Roman"/>
          <w:sz w:val="22"/>
          <w:szCs w:val="22"/>
          <w:color w:val="auto"/>
        </w:rPr>
        <w:t xml:space="preserve"> from time to time party hereto; T</w:t>
      </w:r>
      <w:r>
        <w:rPr>
          <w:rFonts w:ascii="Times New Roman" w:cs="Times New Roman" w:eastAsia="Times New Roman" w:hAnsi="Times New Roman"/>
          <w:sz w:val="17"/>
          <w:szCs w:val="17"/>
          <w:color w:val="auto"/>
        </w:rPr>
        <w:t>RUIST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as administrative agent for the Secured Parties (as hereinafter defined)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T</w:t>
      </w:r>
      <w:r>
        <w:rPr>
          <w:rFonts w:ascii="Times New Roman" w:cs="Times New Roman" w:eastAsia="Times New Roman" w:hAnsi="Times New Roman"/>
          <w:sz w:val="17"/>
          <w:szCs w:val="17"/>
          <w:color w:val="auto"/>
        </w:rPr>
        <w:t>RUIST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as the swingline lender (the “</w:t>
      </w:r>
      <w:r>
        <w:rPr>
          <w:rFonts w:ascii="Times New Roman" w:cs="Times New Roman" w:eastAsia="Times New Roman" w:hAnsi="Times New Roman"/>
          <w:sz w:val="22"/>
          <w:szCs w:val="22"/>
          <w:i w:val="1"/>
          <w:iCs w:val="1"/>
          <w:color w:val="auto"/>
        </w:rPr>
        <w:t>Swingline Lender</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collateral agent for the Secured Parties (as hereinafter defined) (in such capacity, together with its successors and assigns, the </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custodian (in such capacity, together with its successors and assigns, the </w:t>
      </w:r>
      <w:r>
        <w:rPr>
          <w:rFonts w:ascii="Times New Roman" w:cs="Times New Roman" w:eastAsia="Times New Roman" w:hAnsi="Times New Roman"/>
          <w:sz w:val="22"/>
          <w:szCs w:val="22"/>
          <w:i w:val="1"/>
          <w:iCs w:val="1"/>
          <w:color w:val="auto"/>
        </w:rPr>
        <w:t>“Custodian”</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collateral administrator (in such capacity, together with its successors and assigns, the </w:t>
      </w:r>
      <w:r>
        <w:rPr>
          <w:rFonts w:ascii="Times New Roman" w:cs="Times New Roman" w:eastAsia="Times New Roman" w:hAnsi="Times New Roman"/>
          <w:sz w:val="22"/>
          <w:szCs w:val="22"/>
          <w:i w:val="1"/>
          <w:iCs w:val="1"/>
          <w:color w:val="auto"/>
        </w:rPr>
        <w:t>“Collateral Administrator”</w:t>
      </w:r>
      <w:r>
        <w:rPr>
          <w:rFonts w:ascii="Times New Roman" w:cs="Times New Roman" w:eastAsia="Times New Roman" w:hAnsi="Times New Roman"/>
          <w:sz w:val="22"/>
          <w:szCs w:val="22"/>
          <w:color w:val="auto"/>
        </w:rPr>
        <w:t>); and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backup collateral manager (in such capacity, together with its successors and assigns, the </w:t>
      </w:r>
      <w:r>
        <w:rPr>
          <w:rFonts w:ascii="Times New Roman" w:cs="Times New Roman" w:eastAsia="Times New Roman" w:hAnsi="Times New Roman"/>
          <w:sz w:val="22"/>
          <w:szCs w:val="22"/>
          <w:i w:val="1"/>
          <w:iCs w:val="1"/>
          <w:color w:val="auto"/>
        </w:rPr>
        <w:t>“Backup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Collateral Manager”</w:t>
      </w:r>
      <w:r>
        <w:rPr>
          <w:rFonts w:ascii="Times New Roman" w:cs="Times New Roman" w:eastAsia="Times New Roman" w:hAnsi="Times New Roman"/>
          <w:sz w:val="22"/>
          <w:szCs w:val="22"/>
          <w:color w:val="auto"/>
        </w:rPr>
        <w:t>).</w:t>
      </w:r>
    </w:p>
    <w:p>
      <w:pPr>
        <w:spacing w:after="0" w:line="288" w:lineRule="exact"/>
        <w:rPr>
          <w:sz w:val="20"/>
          <w:szCs w:val="20"/>
          <w:color w:val="auto"/>
        </w:rPr>
      </w:pPr>
    </w:p>
    <w:p>
      <w:pPr>
        <w:ind w:left="4940" w:hanging="278"/>
        <w:spacing w:after="0"/>
        <w:tabs>
          <w:tab w:leader="none" w:pos="49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7"/>
          <w:szCs w:val="17"/>
          <w:b w:val="1"/>
          <w:bCs w:val="1"/>
          <w:color w:val="auto"/>
        </w:rPr>
        <w:t xml:space="preserve">I T N E S S E T H </w:t>
      </w:r>
      <w:r>
        <w:rPr>
          <w:rFonts w:ascii="Times New Roman" w:cs="Times New Roman" w:eastAsia="Times New Roman" w:hAnsi="Times New Roman"/>
          <w:sz w:val="21"/>
          <w:szCs w:val="21"/>
          <w:b w:val="1"/>
          <w:bCs w:val="1"/>
          <w:color w:val="auto"/>
        </w:rPr>
        <w:t>:</w:t>
      </w:r>
    </w:p>
    <w:p>
      <w:pPr>
        <w:spacing w:after="0" w:line="264" w:lineRule="exact"/>
        <w:rPr>
          <w:sz w:val="20"/>
          <w:szCs w:val="20"/>
          <w:color w:val="auto"/>
        </w:rPr>
      </w:pPr>
    </w:p>
    <w:p>
      <w:pPr>
        <w:jc w:val="both"/>
        <w:ind w:right="60" w:firstLine="749"/>
        <w:spacing w:after="0" w:line="257"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16"/>
          <w:szCs w:val="16"/>
          <w:color w:val="auto"/>
        </w:rPr>
        <w:t>HEREAS</w:t>
      </w:r>
      <w:r>
        <w:rPr>
          <w:rFonts w:ascii="Times New Roman" w:cs="Times New Roman" w:eastAsia="Times New Roman" w:hAnsi="Times New Roman"/>
          <w:sz w:val="21"/>
          <w:szCs w:val="21"/>
          <w:color w:val="auto"/>
        </w:rPr>
        <w:t>, prior to the date hereof, the Administrative Agent notified each of the parties to the Credit Agreement that at least five currently outstanding syndicated credit facilities denominated in Dollars contain a SOFR-based rate as a benchmark rate, and the Administrative Agent and the Borrower have jointly elected to replace the Eurocurrency Rate for Eurocurrency Borrowings denominated in Dollars, which is currently based on the ICE Benchmark Administration Limited London interbank offered rate, with a SOFR-based rate in accordance with clause (1) of the definition of Benchmark Replacement (such election, the “</w:t>
      </w:r>
      <w:r>
        <w:rPr>
          <w:rFonts w:ascii="Times New Roman" w:cs="Times New Roman" w:eastAsia="Times New Roman" w:hAnsi="Times New Roman"/>
          <w:sz w:val="21"/>
          <w:szCs w:val="21"/>
          <w:i w:val="1"/>
          <w:iCs w:val="1"/>
          <w:color w:val="auto"/>
        </w:rPr>
        <w:t>SOFR Early Opt-in Election</w:t>
      </w:r>
      <w:r>
        <w:rPr>
          <w:rFonts w:ascii="Times New Roman" w:cs="Times New Roman" w:eastAsia="Times New Roman" w:hAnsi="Times New Roman"/>
          <w:sz w:val="21"/>
          <w:szCs w:val="21"/>
          <w:color w:val="auto"/>
        </w:rPr>
        <w:t>” and such SOFR-based rate, the “</w:t>
      </w:r>
      <w:r>
        <w:rPr>
          <w:rFonts w:ascii="Times New Roman" w:cs="Times New Roman" w:eastAsia="Times New Roman" w:hAnsi="Times New Roman"/>
          <w:sz w:val="21"/>
          <w:szCs w:val="21"/>
          <w:i w:val="1"/>
          <w:iCs w:val="1"/>
          <w:color w:val="auto"/>
        </w:rPr>
        <w:t>SOFR Benchmark Replacement</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ind w:right="60" w:firstLine="749"/>
        <w:spacing w:after="0" w:line="257"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the Administrative Agent has delivered written notice of the SOFR Early Opt- in Election as well as the SOFR Benchmark Replacement to the Lenders and the Benchmark Replacement Date has occurred with respect to such SOFR Early Opt-in Election;</w:t>
      </w:r>
    </w:p>
    <w:p>
      <w:pPr>
        <w:spacing w:after="0" w:line="200" w:lineRule="exact"/>
        <w:rPr>
          <w:sz w:val="20"/>
          <w:szCs w:val="20"/>
          <w:color w:val="auto"/>
        </w:rPr>
      </w:pPr>
    </w:p>
    <w:p>
      <w:pPr>
        <w:jc w:val="both"/>
        <w:ind w:right="60" w:firstLine="749"/>
        <w:spacing w:after="0" w:line="271"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in connection with the implementation of such Benchmark Replacement, the Administrative Agent desires to make certain Benchmark Replacement Conforming Changes pursuant to the terms and conditions set forth herein.</w:t>
      </w:r>
    </w:p>
    <w:p>
      <w:pPr>
        <w:spacing w:after="0" w:line="185"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7"/>
          <w:szCs w:val="17"/>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7"/>
          <w:szCs w:val="17"/>
          <w:color w:val="auto"/>
        </w:rPr>
        <w:t>HEREFORE</w:t>
      </w:r>
      <w:r>
        <w:rPr>
          <w:rFonts w:ascii="Times New Roman" w:cs="Times New Roman" w:eastAsia="Times New Roman" w:hAnsi="Times New Roman"/>
          <w:sz w:val="22"/>
          <w:szCs w:val="22"/>
          <w:color w:val="auto"/>
        </w:rPr>
        <w:t>, for good and valuable consideration, the receipt and sufficiency of which are hereby acknowledged, and subject to the terms hereof, the Credit Agreement is hereby amended as follows: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Amendment to RCSA (PennantPark) 4863-1075-7680 v3.docx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4359360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339090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4" w:name="page5"/>
    <w:bookmarkEnd w:id="4"/>
    <w:p>
      <w:pPr>
        <w:jc w:val="both"/>
        <w:ind w:firstLine="77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Section 1. Defined Terms. </w:t>
      </w:r>
      <w:r>
        <w:rPr>
          <w:rFonts w:ascii="Times New Roman" w:cs="Times New Roman" w:eastAsia="Times New Roman" w:hAnsi="Times New Roman"/>
          <w:sz w:val="22"/>
          <w:szCs w:val="22"/>
          <w:color w:val="auto"/>
        </w:rPr>
        <w:t>Unless otherwise amended by the terms of this Amendment, terms used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shall have the meanings assigned in the Credit Agreement.</w:t>
      </w:r>
    </w:p>
    <w:p>
      <w:pPr>
        <w:spacing w:after="0" w:line="190" w:lineRule="exact"/>
        <w:rPr>
          <w:sz w:val="20"/>
          <w:szCs w:val="20"/>
          <w:color w:val="auto"/>
        </w:rPr>
      </w:pPr>
    </w:p>
    <w:p>
      <w:pPr>
        <w:jc w:val="both"/>
        <w:ind w:firstLine="783"/>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2. </w:t>
      </w:r>
      <w:r>
        <w:rPr>
          <w:rFonts w:ascii="Times New Roman" w:cs="Times New Roman" w:eastAsia="Times New Roman" w:hAnsi="Times New Roman"/>
          <w:sz w:val="22"/>
          <w:szCs w:val="22"/>
          <w:color w:val="auto"/>
        </w:rPr>
        <w:t>Subject to the satisfaction of the conditions precedent set forth in Section 3 below, the Credit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be amended with text marked in underline (e.g., </w:t>
      </w:r>
      <w:r>
        <w:rPr>
          <w:rFonts w:ascii="Times New Roman" w:cs="Times New Roman" w:eastAsia="Times New Roman" w:hAnsi="Times New Roman"/>
          <w:sz w:val="22"/>
          <w:szCs w:val="22"/>
          <w:u w:val="single" w:color="auto"/>
          <w:color w:val="2F5496"/>
        </w:rPr>
        <w:t>addition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70AD47"/>
        </w:rPr>
        <w:t>addition</w:t>
      </w:r>
      <w:r>
        <w:rPr>
          <w:rFonts w:ascii="Times New Roman" w:cs="Times New Roman" w:eastAsia="Times New Roman" w:hAnsi="Times New Roman"/>
          <w:sz w:val="22"/>
          <w:szCs w:val="22"/>
          <w:color w:val="auto"/>
        </w:rPr>
        <w:t xml:space="preserve">) indicating additions to the Credit Agreement and with text marked in strikethrough (e.g., </w:t>
      </w:r>
      <w:r>
        <w:rPr>
          <w:rFonts w:ascii="Times New Roman" w:cs="Times New Roman" w:eastAsia="Times New Roman" w:hAnsi="Times New Roman"/>
          <w:sz w:val="22"/>
          <w:szCs w:val="22"/>
          <w:color w:val="FF0000"/>
          <w:strike w:val="1"/>
        </w:rPr>
        <w:t>deletion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color w:val="70AD47"/>
          <w:strike w:val="1"/>
        </w:rPr>
        <w:t>deletion</w:t>
      </w:r>
      <w:r>
        <w:rPr>
          <w:rFonts w:ascii="Times New Roman" w:cs="Times New Roman" w:eastAsia="Times New Roman" w:hAnsi="Times New Roman"/>
          <w:sz w:val="22"/>
          <w:szCs w:val="22"/>
          <w:color w:val="auto"/>
        </w:rPr>
        <w:t>) indicating deletions to the Credit Agreement as set forth in Exhibit A attached hereto.</w:t>
      </w:r>
    </w:p>
    <w:p>
      <w:pPr>
        <w:spacing w:after="0" w:line="206" w:lineRule="exact"/>
        <w:rPr>
          <w:sz w:val="20"/>
          <w:szCs w:val="20"/>
          <w:color w:val="auto"/>
        </w:rPr>
      </w:pPr>
    </w:p>
    <w:p>
      <w:pPr>
        <w:jc w:val="both"/>
        <w:ind w:firstLine="84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Section 3 Conditions Precedent. </w:t>
      </w:r>
      <w:r>
        <w:rPr>
          <w:rFonts w:ascii="Times New Roman" w:cs="Times New Roman" w:eastAsia="Times New Roman" w:hAnsi="Times New Roman"/>
          <w:sz w:val="22"/>
          <w:szCs w:val="22"/>
          <w:color w:val="auto"/>
        </w:rPr>
        <w:t>This Amendment shall become effective upon execution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and no other further action or consent by any other party to the Credit Agreement or any other Facility Document is required.</w:t>
      </w:r>
    </w:p>
    <w:p>
      <w:pPr>
        <w:spacing w:after="0" w:line="202" w:lineRule="exact"/>
        <w:rPr>
          <w:sz w:val="20"/>
          <w:szCs w:val="20"/>
          <w:color w:val="auto"/>
        </w:rPr>
      </w:pPr>
    </w:p>
    <w:p>
      <w:pPr>
        <w:jc w:val="both"/>
        <w:ind w:firstLine="783"/>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Section 4. Agreement in Full Force and Effect. </w:t>
      </w:r>
      <w:r>
        <w:rPr>
          <w:rFonts w:ascii="Times New Roman" w:cs="Times New Roman" w:eastAsia="Times New Roman" w:hAnsi="Times New Roman"/>
          <w:sz w:val="21"/>
          <w:szCs w:val="21"/>
          <w:color w:val="auto"/>
        </w:rPr>
        <w:t>Except as specifically amended herein, the Credit Agreement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continue in full force and effect in accordance with its original terms, and the Liens created and provided for by the Facility Documents remain in full force and effect and continue to secure, among other things, the performance of all of the Borrower’s Obligations under the Facility Documents and the Credit Agreement as amended hereby.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201" w:lineRule="exact"/>
        <w:rPr>
          <w:sz w:val="20"/>
          <w:szCs w:val="20"/>
          <w:color w:val="auto"/>
        </w:rPr>
      </w:pPr>
    </w:p>
    <w:p>
      <w:pPr>
        <w:jc w:val="both"/>
        <w:ind w:firstLine="783"/>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Section 5. Execution in Counterparts. </w:t>
      </w:r>
      <w:r>
        <w:rPr>
          <w:rFonts w:ascii="Times New Roman" w:cs="Times New Roman" w:eastAsia="Times New Roman" w:hAnsi="Times New Roman"/>
          <w:sz w:val="22"/>
          <w:szCs w:val="22"/>
          <w:color w:val="auto"/>
        </w:rPr>
        <w:t>Delivery of an executed counterpart hereof by facsimile transmission or by e-mail transmission of an 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Sign, or DocuSign) shall be effective as delivery of a manually executed counterpart hereof.</w:t>
      </w:r>
    </w:p>
    <w:p>
      <w:pPr>
        <w:spacing w:after="0" w:line="205" w:lineRule="exact"/>
        <w:rPr>
          <w:sz w:val="20"/>
          <w:szCs w:val="20"/>
          <w:color w:val="auto"/>
        </w:rPr>
      </w:pPr>
    </w:p>
    <w:p>
      <w:pPr>
        <w:jc w:val="both"/>
        <w:ind w:firstLine="783"/>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Section 6. Governing Law. </w:t>
      </w: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MENDMENT AND THE RIGHTS AND OBLIGATIONS OF THE PARTIES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MENDMENT AND ANY 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CONTROVERSY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DISPUTE OR CAUSE OF 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WHETHER IN CONTRACT OR TORT OR OTHERWISE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BASED UPON</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ARISING OUT OF OR RELATING TO THIS </w:t>
      </w:r>
      <w:r>
        <w:rPr>
          <w:rFonts w:ascii="Times New Roman" w:cs="Times New Roman" w:eastAsia="Times New Roman" w:hAnsi="Times New Roman"/>
          <w:sz w:val="21"/>
          <w:szCs w:val="21"/>
          <w:color w:val="auto"/>
        </w:rPr>
        <w:t>A</w:t>
      </w:r>
      <w:r>
        <w:rPr>
          <w:rFonts w:ascii="Times New Roman" w:cs="Times New Roman" w:eastAsia="Times New Roman" w:hAnsi="Times New Roman"/>
          <w:sz w:val="17"/>
          <w:szCs w:val="17"/>
          <w:color w:val="auto"/>
        </w:rPr>
        <w:t xml:space="preserve">MENDMENT OR ANY OTHER FACILITY DOCUMENT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EXCEPT</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AS TO ANY OTHER FACILITY DOCUMENT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AS EXPRESSLY SET FORTH THEREIN</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AND THE TRANSACTIONS CONTEMPLATED</w:t>
      </w: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HEREBY AND THEREBY SHALL BE GOVERNED BY AND CONSTRUED IN ACCORDANCE WITH THE LAW OF THE </w:t>
      </w:r>
      <w:r>
        <w:rPr>
          <w:rFonts w:ascii="Times New Roman" w:cs="Times New Roman" w:eastAsia="Times New Roman" w:hAnsi="Times New Roman"/>
          <w:sz w:val="21"/>
          <w:szCs w:val="21"/>
          <w:color w:val="auto"/>
        </w:rPr>
        <w:t>S</w:t>
      </w:r>
      <w:r>
        <w:rPr>
          <w:rFonts w:ascii="Times New Roman" w:cs="Times New Roman" w:eastAsia="Times New Roman" w:hAnsi="Times New Roman"/>
          <w:sz w:val="17"/>
          <w:szCs w:val="17"/>
          <w:color w:val="auto"/>
        </w:rPr>
        <w:t xml:space="preserve">TATE OF </w:t>
      </w:r>
      <w:r>
        <w:rPr>
          <w:rFonts w:ascii="Times New Roman" w:cs="Times New Roman" w:eastAsia="Times New Roman" w:hAnsi="Times New Roman"/>
          <w:sz w:val="21"/>
          <w:szCs w:val="21"/>
          <w:color w:val="auto"/>
        </w:rPr>
        <w:t>N</w:t>
      </w:r>
      <w:r>
        <w:rPr>
          <w:rFonts w:ascii="Times New Roman" w:cs="Times New Roman" w:eastAsia="Times New Roman" w:hAnsi="Times New Roman"/>
          <w:sz w:val="17"/>
          <w:szCs w:val="17"/>
          <w:color w:val="auto"/>
        </w:rPr>
        <w:t xml:space="preserve">EW </w:t>
      </w:r>
      <w:r>
        <w:rPr>
          <w:rFonts w:ascii="Times New Roman" w:cs="Times New Roman" w:eastAsia="Times New Roman" w:hAnsi="Times New Roman"/>
          <w:sz w:val="21"/>
          <w:szCs w:val="21"/>
          <w:color w:val="auto"/>
        </w:rPr>
        <w:t>Y</w:t>
      </w:r>
      <w:r>
        <w:rPr>
          <w:rFonts w:ascii="Times New Roman" w:cs="Times New Roman" w:eastAsia="Times New Roman" w:hAnsi="Times New Roman"/>
          <w:sz w:val="17"/>
          <w:szCs w:val="17"/>
          <w:color w:val="auto"/>
        </w:rPr>
        <w:t>ORK</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xml:space="preserve"> EXCEPT THE CONFLICT OF LAW PRINCIPLES THEREOF WHICH WOULD HAVE THE EFFECT OF APPLYING THE LAW OF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75565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51" w:right="399" w:bottom="1440" w:gutter="0" w:footer="0" w:header="0"/>
        </w:sectPr>
      </w:pPr>
    </w:p>
    <w:bookmarkStart w:id="5" w:name="page6"/>
    <w:bookmarkEnd w:id="5"/>
    <w:p>
      <w:pPr>
        <w:ind w:right="80" w:firstLine="749"/>
        <w:spacing w:after="0" w:line="271"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HEREOF</w:t>
      </w:r>
      <w:r>
        <w:rPr>
          <w:rFonts w:ascii="Times New Roman" w:cs="Times New Roman" w:eastAsia="Times New Roman" w:hAnsi="Times New Roman"/>
          <w:sz w:val="22"/>
          <w:szCs w:val="22"/>
          <w:color w:val="auto"/>
        </w:rPr>
        <w:t>, the Administrative Agent has caused this First Amendment to Revolving Credit and Security Agreement to be executed and delivered by its duly authorized officers as of the date set forth above.</w:t>
      </w:r>
    </w:p>
    <w:p>
      <w:pPr>
        <w:spacing w:after="0" w:line="1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RUIST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as Administrative Agent</w:t>
      </w:r>
    </w:p>
    <w:p>
      <w:pPr>
        <w:spacing w:after="0" w:line="274" w:lineRule="exact"/>
        <w:rPr>
          <w:sz w:val="20"/>
          <w:szCs w:val="20"/>
          <w:color w:val="auto"/>
        </w:rPr>
      </w:pPr>
    </w:p>
    <w:tbl>
      <w:tblPr>
        <w:tblLayout w:type="fixed"/>
        <w:tblInd w:w="508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/s/Jason Meyer</w:t>
            </w:r>
          </w:p>
        </w:tc>
      </w:tr>
      <w:tr>
        <w:trPr>
          <w:trHeight w:val="196"/>
        </w:trPr>
        <w:tc>
          <w:tcPr>
            <w:tcW w:w="880" w:type="dxa"/>
            <w:vAlign w:val="bottom"/>
          </w:tcPr>
          <w:p>
            <w:pPr>
              <w:spacing w:after="0"/>
              <w:rPr>
                <w:sz w:val="17"/>
                <w:szCs w:val="17"/>
                <w:color w:val="auto"/>
              </w:rPr>
            </w:pPr>
          </w:p>
        </w:tc>
        <w:tc>
          <w:tcPr>
            <w:tcW w:w="516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Name: Jason Meyer</w:t>
            </w:r>
          </w:p>
        </w:tc>
      </w:tr>
      <w:tr>
        <w:trPr>
          <w:trHeight w:val="282"/>
        </w:trPr>
        <w:tc>
          <w:tcPr>
            <w:tcW w:w="88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6"/>
          <w:szCs w:val="16"/>
          <w:color w:val="auto"/>
        </w:rPr>
        <w:t>[Signature Page to First Amendment to Revolving Credit and Security Agreement (PennantPark)]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376555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369"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7"/>
          <w:szCs w:val="17"/>
          <w:color w:val="auto"/>
        </w:rPr>
        <w:t>XHIBIT</w:t>
      </w:r>
      <w:r>
        <w:rPr>
          <w:rFonts w:ascii="Times New Roman" w:cs="Times New Roman" w:eastAsia="Times New Roman" w:hAnsi="Times New Roman"/>
          <w:sz w:val="22"/>
          <w:szCs w:val="22"/>
          <w:color w:val="auto"/>
        </w:rPr>
        <w:t xml:space="preserve"> A</w:t>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 w:name="page8"/>
    <w:bookmarkEnd w:id="7"/>
    <w:p>
      <w:pPr>
        <w:ind w:left="3180" w:right="39" w:firstLine="1260"/>
        <w:spacing w:after="0" w:line="295" w:lineRule="auto"/>
        <w:rPr>
          <w:sz w:val="20"/>
          <w:szCs w:val="20"/>
          <w:color w:val="auto"/>
        </w:rPr>
      </w:pPr>
      <w:r>
        <w:rPr>
          <w:rFonts w:ascii="Times New Roman" w:cs="Times New Roman" w:eastAsia="Times New Roman" w:hAnsi="Times New Roman"/>
          <w:sz w:val="21"/>
          <w:szCs w:val="21"/>
          <w:color w:val="FF0000"/>
          <w:strike w:val="1"/>
        </w:rPr>
        <w:t>E</w:t>
      </w:r>
      <w:r>
        <w:rPr>
          <w:rFonts w:ascii="Times New Roman" w:cs="Times New Roman" w:eastAsia="Times New Roman" w:hAnsi="Times New Roman"/>
          <w:sz w:val="16"/>
          <w:szCs w:val="16"/>
          <w:color w:val="FF0000"/>
          <w:strike w:val="1"/>
        </w:rPr>
        <w:t>XECUTION</w:t>
      </w:r>
      <w:r>
        <w:rPr>
          <w:rFonts w:ascii="Times New Roman" w:cs="Times New Roman" w:eastAsia="Times New Roman" w:hAnsi="Times New Roman"/>
          <w:sz w:val="21"/>
          <w:szCs w:val="21"/>
          <w:color w:val="FF0000"/>
          <w:strike w:val="1"/>
        </w:rPr>
        <w:t xml:space="preserve"> V</w:t>
      </w:r>
      <w:r>
        <w:rPr>
          <w:rFonts w:ascii="Times New Roman" w:cs="Times New Roman" w:eastAsia="Times New Roman" w:hAnsi="Times New Roman"/>
          <w:sz w:val="16"/>
          <w:szCs w:val="16"/>
          <w:color w:val="FF0000"/>
          <w:strike w:val="1"/>
        </w:rPr>
        <w:t>ERSION</w:t>
      </w:r>
      <w:r>
        <w:rPr>
          <w:rFonts w:ascii="Times New Roman" w:cs="Times New Roman" w:eastAsia="Times New Roman" w:hAnsi="Times New Roman"/>
          <w:sz w:val="21"/>
          <w:szCs w:val="21"/>
          <w:u w:val="single" w:color="auto"/>
          <w:color w:val="0000FF"/>
          <w:strike w:val="1"/>
        </w:rPr>
        <w:t>C</w:t>
      </w:r>
      <w:r>
        <w:rPr>
          <w:rFonts w:ascii="Times New Roman" w:cs="Times New Roman" w:eastAsia="Times New Roman" w:hAnsi="Times New Roman"/>
          <w:sz w:val="16"/>
          <w:szCs w:val="16"/>
          <w:u w:val="single" w:color="auto"/>
          <w:color w:val="0000FF"/>
          <w:strike w:val="1"/>
        </w:rPr>
        <w:t>HAPMAN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D</w:t>
      </w:r>
      <w:r>
        <w:rPr>
          <w:rFonts w:ascii="Times New Roman" w:cs="Times New Roman" w:eastAsia="Times New Roman" w:hAnsi="Times New Roman"/>
          <w:sz w:val="16"/>
          <w:szCs w:val="16"/>
          <w:u w:val="single" w:color="auto"/>
          <w:color w:val="0000FF"/>
          <w:strike w:val="1"/>
        </w:rPr>
        <w:t>RAFT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D</w:t>
      </w:r>
      <w:r>
        <w:rPr>
          <w:rFonts w:ascii="Times New Roman" w:cs="Times New Roman" w:eastAsia="Times New Roman" w:hAnsi="Times New Roman"/>
          <w:sz w:val="16"/>
          <w:szCs w:val="16"/>
          <w:u w:val="single" w:color="auto"/>
          <w:color w:val="0000FF"/>
          <w:strike w:val="1"/>
        </w:rPr>
        <w:t>ATED</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A</w:t>
      </w:r>
      <w:r>
        <w:rPr>
          <w:rFonts w:ascii="Times New Roman" w:cs="Times New Roman" w:eastAsia="Times New Roman" w:hAnsi="Times New Roman"/>
          <w:sz w:val="16"/>
          <w:szCs w:val="16"/>
          <w:u w:val="single" w:color="auto"/>
          <w:color w:val="0000FF"/>
          <w:strike w:val="1"/>
        </w:rPr>
        <w:t>UGUST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31, 2022</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C</w:t>
      </w:r>
      <w:r>
        <w:rPr>
          <w:rFonts w:ascii="Times New Roman" w:cs="Times New Roman" w:eastAsia="Times New Roman" w:hAnsi="Times New Roman"/>
          <w:sz w:val="16"/>
          <w:szCs w:val="16"/>
          <w:u w:val="single" w:color="auto"/>
          <w:color w:val="0000FF"/>
          <w:strike w:val="1"/>
        </w:rPr>
        <w:t>ONFORMED THROUGH</w:t>
      </w:r>
      <w:r>
        <w:rPr>
          <w:rFonts w:ascii="Times New Roman" w:cs="Times New Roman" w:eastAsia="Times New Roman" w:hAnsi="Times New Roman"/>
          <w:sz w:val="21"/>
          <w:szCs w:val="21"/>
          <w:u w:val="single" w:color="auto"/>
          <w:color w:val="0000FF"/>
          <w:strike w:val="1"/>
        </w:rPr>
        <w:t xml:space="preserve"> F</w:t>
      </w:r>
      <w:r>
        <w:rPr>
          <w:rFonts w:ascii="Times New Roman" w:cs="Times New Roman" w:eastAsia="Times New Roman" w:hAnsi="Times New Roman"/>
          <w:sz w:val="16"/>
          <w:szCs w:val="16"/>
          <w:u w:val="single" w:color="auto"/>
          <w:color w:val="0000FF"/>
          <w:strike w:val="1"/>
        </w:rPr>
        <w:t>IRST</w:t>
      </w:r>
      <w:r>
        <w:rPr>
          <w:rFonts w:ascii="Times New Roman" w:cs="Times New Roman" w:eastAsia="Times New Roman" w:hAnsi="Times New Roman"/>
          <w:sz w:val="21"/>
          <w:szCs w:val="21"/>
          <w:u w:val="single" w:color="auto"/>
          <w:color w:val="0000FF"/>
          <w:strike w:val="1"/>
        </w:rPr>
        <w:t xml:space="preserve"> A</w:t>
      </w:r>
      <w:r>
        <w:rPr>
          <w:rFonts w:ascii="Times New Roman" w:cs="Times New Roman" w:eastAsia="Times New Roman" w:hAnsi="Times New Roman"/>
          <w:sz w:val="16"/>
          <w:szCs w:val="16"/>
          <w:u w:val="single" w:color="auto"/>
          <w:color w:val="0000FF"/>
          <w:strike w:val="1"/>
        </w:rPr>
        <w:t>MENDMENT</w:t>
      </w:r>
      <w:r>
        <w:rPr>
          <w:rFonts w:ascii="Times New Roman" w:cs="Times New Roman" w:eastAsia="Times New Roman" w:hAnsi="Times New Roman"/>
          <w:sz w:val="21"/>
          <w:szCs w:val="21"/>
          <w:u w:val="single" w:color="auto"/>
          <w:color w:val="0000FF"/>
          <w:strike w:val="1"/>
        </w:rPr>
        <w:t xml:space="preserve"> D</w:t>
      </w:r>
      <w:r>
        <w:rPr>
          <w:rFonts w:ascii="Times New Roman" w:cs="Times New Roman" w:eastAsia="Times New Roman" w:hAnsi="Times New Roman"/>
          <w:sz w:val="16"/>
          <w:szCs w:val="16"/>
          <w:u w:val="single" w:color="auto"/>
          <w:color w:val="0000FF"/>
          <w:strike w:val="1"/>
        </w:rPr>
        <w:t>ATED AS OF</w:t>
      </w:r>
      <w:r>
        <w:rPr>
          <w:rFonts w:ascii="Times New Roman" w:cs="Times New Roman" w:eastAsia="Times New Roman" w:hAnsi="Times New Roman"/>
          <w:sz w:val="21"/>
          <w:szCs w:val="21"/>
          <w:u w:val="single" w:color="auto"/>
          <w:color w:val="0000FF"/>
          <w:strike w:val="1"/>
        </w:rPr>
        <w:t xml:space="preserve"> S</w:t>
      </w:r>
      <w:r>
        <w:rPr>
          <w:rFonts w:ascii="Times New Roman" w:cs="Times New Roman" w:eastAsia="Times New Roman" w:hAnsi="Times New Roman"/>
          <w:sz w:val="16"/>
          <w:szCs w:val="16"/>
          <w:u w:val="single" w:color="auto"/>
          <w:color w:val="0000FF"/>
          <w:strike w:val="1"/>
        </w:rPr>
        <w:t>EPTEMBER</w:t>
      </w:r>
      <w:r>
        <w:rPr>
          <w:rFonts w:ascii="Times New Roman" w:cs="Times New Roman" w:eastAsia="Times New Roman" w:hAnsi="Times New Roman"/>
          <w:sz w:val="21"/>
          <w:szCs w:val="21"/>
          <w:u w:val="single" w:color="auto"/>
          <w:color w:val="0000FF"/>
          <w:strike w:val="1"/>
        </w:rPr>
        <w:t xml:space="preserve"> 15, 2022</w:t>
      </w:r>
    </w:p>
    <w:p>
      <w:pPr>
        <w:spacing w:after="0" w:line="33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REVOLVING CREDIT AND SECURITY AGREEMENT</w:t>
      </w: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0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PENNANTPARK FLOATING RATE FUNDING I, LLC,</w:t>
      </w:r>
    </w:p>
    <w:p>
      <w:pPr>
        <w:spacing w:after="0" w:line="1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as Borrower,</w:t>
      </w:r>
    </w:p>
    <w:p>
      <w:pPr>
        <w:spacing w:after="0" w:line="39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PENNANTPARK INVESTMENT ADVISERS, LLC,</w:t>
      </w:r>
    </w:p>
    <w:p>
      <w:pPr>
        <w:spacing w:after="0" w:line="1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as Collateral Manager</w:t>
      </w:r>
    </w:p>
    <w:p>
      <w:pPr>
        <w:spacing w:after="0" w:line="38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THE LENDERS FROM TIME TO TIME PARTIES HERETO,</w:t>
      </w:r>
    </w:p>
    <w:p>
      <w:pPr>
        <w:spacing w:after="0" w:line="200" w:lineRule="exact"/>
        <w:rPr>
          <w:sz w:val="20"/>
          <w:szCs w:val="20"/>
          <w:color w:val="auto"/>
        </w:rPr>
      </w:pPr>
    </w:p>
    <w:p>
      <w:pPr>
        <w:spacing w:after="0" w:line="20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TRUIST BANK,</w:t>
      </w:r>
    </w:p>
    <w:p>
      <w:pPr>
        <w:spacing w:after="0" w:line="2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38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1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Lead Arranger</w:t>
      </w:r>
    </w:p>
    <w:p>
      <w:pPr>
        <w:spacing w:after="0" w:line="39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1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398"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1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Collateral Administrator</w:t>
      </w:r>
    </w:p>
    <w:p>
      <w:pPr>
        <w:spacing w:after="0" w:line="38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Backup Collateral Manager</w:t>
      </w:r>
    </w:p>
    <w:p>
      <w:pPr>
        <w:spacing w:after="0" w:line="18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Custodian</w:t>
      </w:r>
    </w:p>
    <w:p>
      <w:pPr>
        <w:spacing w:after="0" w:line="38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Dated as of August 12, 2021</w:t>
      </w:r>
    </w:p>
    <w:p>
      <w:pPr>
        <w:spacing w:after="0" w:line="200" w:lineRule="exact"/>
        <w:rPr>
          <w:sz w:val="20"/>
          <w:szCs w:val="20"/>
          <w:color w:val="auto"/>
        </w:rPr>
      </w:pPr>
    </w:p>
    <w:p>
      <w:pPr>
        <w:spacing w:after="0" w:line="263" w:lineRule="exact"/>
        <w:rPr>
          <w:sz w:val="20"/>
          <w:szCs w:val="20"/>
          <w:color w:val="auto"/>
        </w:rPr>
      </w:pPr>
    </w:p>
    <w:p>
      <w:pPr>
        <w:ind w:right="1039"/>
        <w:spacing w:after="0" w:line="280" w:lineRule="auto"/>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w:t>
      </w:r>
      <w:r>
        <w:rPr>
          <w:rFonts w:ascii="Times New Roman" w:cs="Times New Roman" w:eastAsia="Times New Roman" w:hAnsi="Times New Roman"/>
          <w:sz w:val="16"/>
          <w:szCs w:val="16"/>
          <w:u w:val="single" w:color="auto"/>
          <w:color w:val="0000FF"/>
        </w:rPr>
        <w:t>Ex A to First Amendment to RCSA (2022) 4882-6685-2911 v4</w:t>
      </w:r>
      <w:r>
        <w:rPr>
          <w:rFonts w:ascii="Times New Roman" w:cs="Times New Roman" w:eastAsia="Times New Roman" w:hAnsi="Times New Roman"/>
          <w:sz w:val="16"/>
          <w:szCs w:val="16"/>
          <w:color w:val="000000"/>
        </w:rPr>
        <w:t>.doc</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4359360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40640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6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1"/>
        </w:trPr>
        <w:tc>
          <w:tcPr>
            <w:tcW w:w="2100" w:type="dxa"/>
            <w:vAlign w:val="bottom"/>
          </w:tcPr>
          <w:p>
            <w:pPr>
              <w:spacing w:after="0"/>
              <w:rPr>
                <w:sz w:val="22"/>
                <w:szCs w:val="22"/>
                <w:color w:val="auto"/>
              </w:rPr>
            </w:pPr>
          </w:p>
        </w:tc>
        <w:tc>
          <w:tcPr>
            <w:tcW w:w="7240" w:type="dxa"/>
            <w:vAlign w:val="bottom"/>
          </w:tcPr>
          <w:p>
            <w:pPr>
              <w:ind w:left="25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ONTENTS</w:t>
            </w:r>
          </w:p>
        </w:tc>
        <w:tc>
          <w:tcPr>
            <w:tcW w:w="1860" w:type="dxa"/>
            <w:vAlign w:val="bottom"/>
          </w:tcPr>
          <w:p>
            <w:pPr>
              <w:spacing w:after="0"/>
              <w:rPr>
                <w:sz w:val="22"/>
                <w:szCs w:val="22"/>
                <w:color w:val="auto"/>
              </w:rPr>
            </w:pPr>
          </w:p>
        </w:tc>
      </w:tr>
      <w:tr>
        <w:trPr>
          <w:trHeight w:val="282"/>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7"/>
                <w:szCs w:val="17"/>
                <w:color w:val="auto"/>
              </w:rPr>
              <w:t>ECTION</w:t>
            </w:r>
          </w:p>
        </w:tc>
        <w:tc>
          <w:tcPr>
            <w:tcW w:w="7240" w:type="dxa"/>
            <w:vAlign w:val="bottom"/>
          </w:tcPr>
          <w:p>
            <w:pPr>
              <w:ind w:left="326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7"/>
                <w:szCs w:val="17"/>
                <w:color w:val="auto"/>
              </w:rPr>
              <w:t>EADING</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7"/>
                <w:szCs w:val="17"/>
                <w:color w:val="auto"/>
              </w:rPr>
              <w:t>AGE</w:t>
            </w:r>
          </w:p>
        </w:tc>
      </w:tr>
      <w:tr>
        <w:trPr>
          <w:trHeight w:val="499"/>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RTICLE</w:t>
            </w:r>
            <w:r>
              <w:rPr>
                <w:rFonts w:ascii="Times New Roman" w:cs="Times New Roman" w:eastAsia="Times New Roman" w:hAnsi="Times New Roman"/>
                <w:sz w:val="22"/>
                <w:szCs w:val="22"/>
                <w:color w:val="auto"/>
              </w:rPr>
              <w:t xml:space="preserve"> I</w:t>
            </w:r>
          </w:p>
        </w:tc>
        <w:tc>
          <w:tcPr>
            <w:tcW w:w="72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7"/>
                <w:szCs w:val="17"/>
                <w:color w:val="auto"/>
              </w:rPr>
              <w:t>EFINITIONS</w:t>
            </w:r>
            <w:r>
              <w:rPr>
                <w:rFonts w:ascii="Times New Roman" w:cs="Times New Roman" w:eastAsia="Times New Roman" w:hAnsi="Times New Roman"/>
                <w:sz w:val="22"/>
                <w:szCs w:val="22"/>
                <w:color w:val="auto"/>
              </w:rPr>
              <w:t>; R</w:t>
            </w:r>
            <w:r>
              <w:rPr>
                <w:rFonts w:ascii="Times New Roman" w:cs="Times New Roman" w:eastAsia="Times New Roman" w:hAnsi="Times New Roman"/>
                <w:sz w:val="17"/>
                <w:szCs w:val="17"/>
                <w:color w:val="auto"/>
              </w:rPr>
              <w:t>ULES OF</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ONSTRUCTION</w:t>
            </w:r>
            <w:r>
              <w:rPr>
                <w:rFonts w:ascii="Times New Roman" w:cs="Times New Roman" w:eastAsia="Times New Roman" w:hAnsi="Times New Roman"/>
                <w:sz w:val="22"/>
                <w:szCs w:val="22"/>
                <w:color w:val="auto"/>
              </w:rPr>
              <w:t>; C</w:t>
            </w:r>
            <w:r>
              <w:rPr>
                <w:rFonts w:ascii="Times New Roman" w:cs="Times New Roman" w:eastAsia="Times New Roman" w:hAnsi="Times New Roman"/>
                <w:sz w:val="17"/>
                <w:szCs w:val="17"/>
                <w:color w:val="auto"/>
              </w:rPr>
              <w:t>OMPUTATIONS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5"/>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1.01.</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Rules of Construction</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Computation of Time Periods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Collateral Value Calculation Procedures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1.05.</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Classification of Loans and Borrowings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Currencies Generally</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1.07.</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Calculation of Borrowing Base</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82"/>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1.08.</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LIBOR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499"/>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RTICLE</w:t>
            </w:r>
            <w:r>
              <w:rPr>
                <w:rFonts w:ascii="Times New Roman" w:cs="Times New Roman" w:eastAsia="Times New Roman" w:hAnsi="Times New Roman"/>
                <w:sz w:val="22"/>
                <w:szCs w:val="22"/>
                <w:color w:val="auto"/>
              </w:rPr>
              <w:t xml:space="preserve"> II</w:t>
            </w:r>
          </w:p>
        </w:tc>
        <w:tc>
          <w:tcPr>
            <w:tcW w:w="72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DVANCES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25"/>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2.01.</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Revolving Credit Facility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Making of the Advances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Evidence of Indebtedness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Payment of Principal and Interest</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2.05.</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Prepayment of Advances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2.06.</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Changes of Commitments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2.07.</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Maximum Lawful Rate</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2.08.</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Several Obligations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2.09.</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Increased Costs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2.10.</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Compensation; Breakage Payments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2.11.</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Illegality; Inability to Determine Rates</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2.12.</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Rescission or Return of Payment</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2.13.</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Post-Default Interest</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2.14.</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Payments Generally</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1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Section 2.15.</w:t>
            </w:r>
          </w:p>
        </w:tc>
        <w:tc>
          <w:tcPr>
            <w:tcW w:w="72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Increase in Facility Amount</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82"/>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2.16.</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Defaulting Lenders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50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RTICLE</w:t>
            </w:r>
            <w:r>
              <w:rPr>
                <w:rFonts w:ascii="Times New Roman" w:cs="Times New Roman" w:eastAsia="Times New Roman" w:hAnsi="Times New Roman"/>
                <w:sz w:val="22"/>
                <w:szCs w:val="22"/>
                <w:color w:val="auto"/>
              </w:rPr>
              <w:t xml:space="preserve"> III</w:t>
            </w:r>
          </w:p>
        </w:tc>
        <w:tc>
          <w:tcPr>
            <w:tcW w:w="72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7"/>
                <w:szCs w:val="17"/>
                <w:color w:val="auto"/>
              </w:rPr>
              <w:t>RECEDENT</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25"/>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3.01.</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Conditions Precedent to Initial Borrowing</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82"/>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3.02.</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Conditions Precedent to Each Borrowing</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499"/>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RTICLE</w:t>
            </w:r>
            <w:r>
              <w:rPr>
                <w:rFonts w:ascii="Times New Roman" w:cs="Times New Roman" w:eastAsia="Times New Roman" w:hAnsi="Times New Roman"/>
                <w:sz w:val="22"/>
                <w:szCs w:val="22"/>
                <w:color w:val="auto"/>
              </w:rPr>
              <w:t xml:space="preserve"> IV</w:t>
            </w:r>
          </w:p>
        </w:tc>
        <w:tc>
          <w:tcPr>
            <w:tcW w:w="72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7"/>
                <w:szCs w:val="17"/>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325"/>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4.01.</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Representations and Warranties of the Borrower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82"/>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4.02.</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Representations and Warranties of the Collateral Manager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500"/>
        </w:trPr>
        <w:tc>
          <w:tcPr>
            <w:tcW w:w="21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RTICLE</w:t>
            </w:r>
            <w:r>
              <w:rPr>
                <w:rFonts w:ascii="Times New Roman" w:cs="Times New Roman" w:eastAsia="Times New Roman" w:hAnsi="Times New Roman"/>
                <w:sz w:val="22"/>
                <w:szCs w:val="22"/>
                <w:color w:val="auto"/>
              </w:rPr>
              <w:t xml:space="preserve"> V</w:t>
            </w:r>
          </w:p>
        </w:tc>
        <w:tc>
          <w:tcPr>
            <w:tcW w:w="72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7"/>
                <w:szCs w:val="17"/>
                <w:color w:val="auto"/>
              </w:rPr>
              <w:t>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65"/>
        </w:trPr>
        <w:tc>
          <w:tcPr>
            <w:tcW w:w="21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Section 5.01.</w:t>
            </w:r>
          </w:p>
        </w:tc>
        <w:tc>
          <w:tcPr>
            <w:tcW w:w="72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Affirmative Covenants of the Borrower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9" w:name="page10"/>
    <w:bookmarkEnd w:id="9"/>
    <w:p>
      <w:pPr>
        <w:ind w:left="342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EVOLVING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7"/>
          <w:szCs w:val="17"/>
          <w:color w:val="auto"/>
        </w:rPr>
        <w:t>EVOLVING</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 AND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7"/>
          <w:szCs w:val="17"/>
          <w:color w:val="auto"/>
        </w:rPr>
        <w:t>ECURITY</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 xml:space="preserve"> dated as of August 12, 2021 among P</w:t>
      </w:r>
      <w:r>
        <w:rPr>
          <w:rFonts w:ascii="Times New Roman" w:cs="Times New Roman" w:eastAsia="Times New Roman" w:hAnsi="Times New Roman"/>
          <w:sz w:val="17"/>
          <w:szCs w:val="17"/>
          <w:color w:val="auto"/>
        </w:rPr>
        <w:t>ENNANT</w:t>
      </w:r>
      <w:r>
        <w:rPr>
          <w:rFonts w:ascii="Times New Roman" w:cs="Times New Roman" w:eastAsia="Times New Roman" w:hAnsi="Times New Roman"/>
          <w:sz w:val="22"/>
          <w:szCs w:val="22"/>
          <w:color w:val="auto"/>
        </w:rPr>
        <w:t>P</w:t>
      </w:r>
      <w:r>
        <w:rPr>
          <w:rFonts w:ascii="Times New Roman" w:cs="Times New Roman" w:eastAsia="Times New Roman" w:hAnsi="Times New Roman"/>
          <w:sz w:val="17"/>
          <w:szCs w:val="17"/>
          <w:color w:val="auto"/>
        </w:rPr>
        <w:t>ARK</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7"/>
          <w:szCs w:val="17"/>
          <w:color w:val="auto"/>
        </w:rPr>
        <w:t>LOATING</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ATE</w:t>
      </w:r>
    </w:p>
    <w:p>
      <w:pPr>
        <w:spacing w:after="0" w:line="28"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17"/>
          <w:szCs w:val="17"/>
          <w:color w:val="auto"/>
        </w:rPr>
        <w:t>UNDING</w:t>
      </w:r>
      <w:r>
        <w:rPr>
          <w:rFonts w:ascii="Times New Roman" w:cs="Times New Roman" w:eastAsia="Times New Roman" w:hAnsi="Times New Roman"/>
          <w:sz w:val="22"/>
          <w:szCs w:val="22"/>
          <w:color w:val="auto"/>
        </w:rPr>
        <w:t xml:space="preserve"> I, LLC, a Delaware limited liability company, as borrower (together with its permitted successors and assigns,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P</w:t>
      </w:r>
      <w:r>
        <w:rPr>
          <w:rFonts w:ascii="Times New Roman" w:cs="Times New Roman" w:eastAsia="Times New Roman" w:hAnsi="Times New Roman"/>
          <w:sz w:val="17"/>
          <w:szCs w:val="17"/>
          <w:color w:val="auto"/>
        </w:rPr>
        <w:t>ENNANT</w:t>
      </w:r>
      <w:r>
        <w:rPr>
          <w:rFonts w:ascii="Times New Roman" w:cs="Times New Roman" w:eastAsia="Times New Roman" w:hAnsi="Times New Roman"/>
          <w:sz w:val="22"/>
          <w:szCs w:val="22"/>
          <w:color w:val="auto"/>
        </w:rPr>
        <w:t>P</w:t>
      </w:r>
      <w:r>
        <w:rPr>
          <w:rFonts w:ascii="Times New Roman" w:cs="Times New Roman" w:eastAsia="Times New Roman" w:hAnsi="Times New Roman"/>
          <w:sz w:val="17"/>
          <w:szCs w:val="17"/>
          <w:color w:val="auto"/>
        </w:rPr>
        <w:t>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NVESTMENT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t>
      </w:r>
      <w:r>
        <w:rPr>
          <w:rFonts w:ascii="Times New Roman" w:cs="Times New Roman" w:eastAsia="Times New Roman" w:hAnsi="Times New Roman"/>
          <w:sz w:val="17"/>
          <w:szCs w:val="17"/>
          <w:color w:val="auto"/>
        </w:rPr>
        <w:t>DVISERS</w:t>
      </w:r>
      <w:r>
        <w:rPr>
          <w:rFonts w:ascii="Times New Roman" w:cs="Times New Roman" w:eastAsia="Times New Roman" w:hAnsi="Times New Roman"/>
          <w:sz w:val="22"/>
          <w:szCs w:val="22"/>
          <w:color w:val="auto"/>
        </w:rPr>
        <w:t>, LLC, a Delaware limited liability company, as the collateral manager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(together with its permitted successors and assigns, the </w:t>
      </w:r>
      <w:r>
        <w:rPr>
          <w:rFonts w:ascii="Times New Roman" w:cs="Times New Roman" w:eastAsia="Times New Roman" w:hAnsi="Times New Roman"/>
          <w:sz w:val="22"/>
          <w:szCs w:val="22"/>
          <w:i w:val="1"/>
          <w:iCs w:val="1"/>
          <w:color w:val="auto"/>
        </w:rPr>
        <w:t>“Collateral Manager”</w:t>
      </w:r>
      <w:r>
        <w:rPr>
          <w:rFonts w:ascii="Times New Roman" w:cs="Times New Roman" w:eastAsia="Times New Roman" w:hAnsi="Times New Roman"/>
          <w:sz w:val="22"/>
          <w:szCs w:val="22"/>
          <w:color w:val="auto"/>
        </w:rPr>
        <w:t>), the L</w:t>
      </w:r>
      <w:r>
        <w:rPr>
          <w:rFonts w:ascii="Times New Roman" w:cs="Times New Roman" w:eastAsia="Times New Roman" w:hAnsi="Times New Roman"/>
          <w:sz w:val="17"/>
          <w:szCs w:val="17"/>
          <w:color w:val="auto"/>
        </w:rPr>
        <w:t>ENDERS</w:t>
      </w:r>
      <w:r>
        <w:rPr>
          <w:rFonts w:ascii="Times New Roman" w:cs="Times New Roman" w:eastAsia="Times New Roman" w:hAnsi="Times New Roman"/>
          <w:sz w:val="22"/>
          <w:szCs w:val="22"/>
          <w:color w:val="auto"/>
        </w:rPr>
        <w:t xml:space="preserve"> from time to time party hereto; T</w:t>
      </w:r>
      <w:r>
        <w:rPr>
          <w:rFonts w:ascii="Times New Roman" w:cs="Times New Roman" w:eastAsia="Times New Roman" w:hAnsi="Times New Roman"/>
          <w:sz w:val="17"/>
          <w:szCs w:val="17"/>
          <w:color w:val="auto"/>
        </w:rPr>
        <w:t>RUIST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as administrative agent for the Secured Parties (as hereinafter defined)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T</w:t>
      </w:r>
      <w:r>
        <w:rPr>
          <w:rFonts w:ascii="Times New Roman" w:cs="Times New Roman" w:eastAsia="Times New Roman" w:hAnsi="Times New Roman"/>
          <w:sz w:val="17"/>
          <w:szCs w:val="17"/>
          <w:color w:val="auto"/>
        </w:rPr>
        <w:t>RUIST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as the swingline lender (the “</w:t>
      </w:r>
      <w:r>
        <w:rPr>
          <w:rFonts w:ascii="Times New Roman" w:cs="Times New Roman" w:eastAsia="Times New Roman" w:hAnsi="Times New Roman"/>
          <w:sz w:val="22"/>
          <w:szCs w:val="22"/>
          <w:i w:val="1"/>
          <w:iCs w:val="1"/>
          <w:color w:val="auto"/>
        </w:rPr>
        <w:t>Swingline Lender</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collateral agent for the Secured Parties (as hereinafter defined) (in such capacity, together with its successors and assigns, the </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custodian (in such capacity, together with its successors and assigns, the </w:t>
      </w:r>
      <w:r>
        <w:rPr>
          <w:rFonts w:ascii="Times New Roman" w:cs="Times New Roman" w:eastAsia="Times New Roman" w:hAnsi="Times New Roman"/>
          <w:sz w:val="22"/>
          <w:szCs w:val="22"/>
          <w:i w:val="1"/>
          <w:iCs w:val="1"/>
          <w:color w:val="auto"/>
        </w:rPr>
        <w:t>“Custodian”</w:t>
      </w:r>
      <w:r>
        <w:rPr>
          <w:rFonts w:ascii="Times New Roman" w:cs="Times New Roman" w:eastAsia="Times New Roman" w:hAnsi="Times New Roman"/>
          <w:sz w:val="22"/>
          <w:szCs w:val="22"/>
          <w:color w:val="auto"/>
        </w:rPr>
        <w:t>);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collateral administrator (in such capacity, together with its successors and assigns, the </w:t>
      </w:r>
      <w:r>
        <w:rPr>
          <w:rFonts w:ascii="Times New Roman" w:cs="Times New Roman" w:eastAsia="Times New Roman" w:hAnsi="Times New Roman"/>
          <w:sz w:val="22"/>
          <w:szCs w:val="22"/>
          <w:i w:val="1"/>
          <w:iCs w:val="1"/>
          <w:color w:val="auto"/>
        </w:rPr>
        <w:t>“Collateral Administrator”</w:t>
      </w:r>
      <w:r>
        <w:rPr>
          <w:rFonts w:ascii="Times New Roman" w:cs="Times New Roman" w:eastAsia="Times New Roman" w:hAnsi="Times New Roman"/>
          <w:sz w:val="22"/>
          <w:szCs w:val="22"/>
          <w:color w:val="auto"/>
        </w:rPr>
        <w:t>); and U.S. B</w:t>
      </w:r>
      <w:r>
        <w:rPr>
          <w:rFonts w:ascii="Times New Roman" w:cs="Times New Roman" w:eastAsia="Times New Roman" w:hAnsi="Times New Roman"/>
          <w:sz w:val="17"/>
          <w:szCs w:val="17"/>
          <w:color w:val="auto"/>
        </w:rPr>
        <w:t>ANK</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7"/>
          <w:szCs w:val="17"/>
          <w:color w:val="auto"/>
        </w:rPr>
        <w:t>ATIONAL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SSOCIATION</w:t>
      </w:r>
      <w:r>
        <w:rPr>
          <w:rFonts w:ascii="Times New Roman" w:cs="Times New Roman" w:eastAsia="Times New Roman" w:hAnsi="Times New Roman"/>
          <w:sz w:val="22"/>
          <w:szCs w:val="22"/>
          <w:color w:val="auto"/>
        </w:rPr>
        <w:t xml:space="preserve">, as backup collateral manager (in such capacity, together with its successors and assigns, the </w:t>
      </w:r>
      <w:r>
        <w:rPr>
          <w:rFonts w:ascii="Times New Roman" w:cs="Times New Roman" w:eastAsia="Times New Roman" w:hAnsi="Times New Roman"/>
          <w:sz w:val="22"/>
          <w:szCs w:val="22"/>
          <w:i w:val="1"/>
          <w:iCs w:val="1"/>
          <w:color w:val="auto"/>
        </w:rPr>
        <w:t>“Backup 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Manager”</w:t>
      </w:r>
      <w:r>
        <w:rPr>
          <w:rFonts w:ascii="Times New Roman" w:cs="Times New Roman" w:eastAsia="Times New Roman" w:hAnsi="Times New Roman"/>
          <w:sz w:val="22"/>
          <w:szCs w:val="22"/>
          <w:color w:val="auto"/>
        </w:rPr>
        <w:t>).</w:t>
      </w:r>
    </w:p>
    <w:p>
      <w:pPr>
        <w:spacing w:after="0" w:line="317" w:lineRule="exact"/>
        <w:rPr>
          <w:sz w:val="20"/>
          <w:szCs w:val="20"/>
          <w:color w:val="auto"/>
        </w:rPr>
      </w:pPr>
    </w:p>
    <w:p>
      <w:pPr>
        <w:ind w:left="5060" w:hanging="262"/>
        <w:spacing w:after="0"/>
        <w:tabs>
          <w:tab w:leader="none" w:pos="50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7"/>
          <w:szCs w:val="17"/>
          <w:b w:val="1"/>
          <w:bCs w:val="1"/>
          <w:color w:val="auto"/>
        </w:rPr>
        <w:t>I T N E S S E T H</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860" w:right="40"/>
        <w:spacing w:after="0" w:line="271"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the Borrower desires that the Lenders make advances on a revolving basis to the Borrower on the terms and subject to the conditions set forth in this Agreement; and</w:t>
      </w:r>
    </w:p>
    <w:p>
      <w:pPr>
        <w:spacing w:after="0" w:line="131" w:lineRule="exact"/>
        <w:rPr>
          <w:sz w:val="20"/>
          <w:szCs w:val="20"/>
          <w:color w:val="auto"/>
        </w:rPr>
      </w:pPr>
    </w:p>
    <w:p>
      <w:pPr>
        <w:jc w:val="both"/>
        <w:ind w:left="120" w:firstLine="749"/>
        <w:spacing w:after="0" w:line="271"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each Lender is willing to make such advances to the Borrower on the terms and subject to the conditions set forth in this Agreement.</w:t>
      </w:r>
    </w:p>
    <w:p>
      <w:pPr>
        <w:spacing w:after="0" w:line="144" w:lineRule="exact"/>
        <w:rPr>
          <w:sz w:val="20"/>
          <w:szCs w:val="20"/>
          <w:color w:val="auto"/>
        </w:rPr>
      </w:pPr>
    </w:p>
    <w:p>
      <w:pPr>
        <w:jc w:val="both"/>
        <w:ind w:left="120" w:firstLine="749"/>
        <w:spacing w:after="0" w:line="258"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7"/>
          <w:szCs w:val="17"/>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7"/>
          <w:szCs w:val="17"/>
          <w:color w:val="auto"/>
        </w:rPr>
        <w:t>HEREFORE</w:t>
      </w:r>
      <w:r>
        <w:rPr>
          <w:rFonts w:ascii="Times New Roman" w:cs="Times New Roman" w:eastAsia="Times New Roman" w:hAnsi="Times New Roman"/>
          <w:sz w:val="22"/>
          <w:szCs w:val="22"/>
          <w:color w:val="auto"/>
        </w:rPr>
        <w:t>, in consideration of the premises and of the mutual covenants herein contained, the parties hereto agree as follows:</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RTICLE</w:t>
      </w:r>
      <w:r>
        <w:rPr>
          <w:rFonts w:ascii="Times New Roman" w:cs="Times New Roman" w:eastAsia="Times New Roman" w:hAnsi="Times New Roman"/>
          <w:sz w:val="22"/>
          <w:szCs w:val="22"/>
          <w:b w:val="1"/>
          <w:bCs w:val="1"/>
          <w:color w:val="auto"/>
        </w:rPr>
        <w:t xml:space="preserve"> I</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EFINITIONS</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7"/>
          <w:szCs w:val="17"/>
          <w:b w:val="1"/>
          <w:bCs w:val="1"/>
          <w:color w:val="auto"/>
        </w:rPr>
        <w:t>ULES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ONSTRUCTION</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7"/>
          <w:szCs w:val="17"/>
          <w:b w:val="1"/>
          <w:bCs w:val="1"/>
          <w:color w:val="auto"/>
        </w:rPr>
        <w:t>OMPUTATIONS</w:t>
      </w:r>
    </w:p>
    <w:p>
      <w:pPr>
        <w:spacing w:after="0" w:line="193"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22"/>
          <w:szCs w:val="22"/>
          <w:i w:val="1"/>
          <w:iCs w:val="1"/>
          <w:color w:val="auto"/>
        </w:rPr>
        <w:t>Section 1.01.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used in this Agreement, the following terms shall have the meanings indicated:</w:t>
      </w:r>
    </w:p>
    <w:p>
      <w:pPr>
        <w:spacing w:after="0" w:line="206" w:lineRule="exact"/>
        <w:rPr>
          <w:sz w:val="20"/>
          <w:szCs w:val="20"/>
          <w:color w:val="auto"/>
        </w:rPr>
      </w:pPr>
    </w:p>
    <w:p>
      <w:pPr>
        <w:jc w:val="both"/>
        <w:ind w:left="12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“ABL Facility” </w:t>
      </w:r>
      <w:r>
        <w:rPr>
          <w:rFonts w:ascii="Times New Roman" w:cs="Times New Roman" w:eastAsia="Times New Roman" w:hAnsi="Times New Roman"/>
          <w:sz w:val="22"/>
          <w:szCs w:val="22"/>
          <w:color w:val="auto"/>
        </w:rPr>
        <w:t>means a lending facility pursuant to which the loans thereunder are secured by a perfected, first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priority security interest in accounts receivable, inventory, machinery, equipment, or periodic revenues, where such collateral security consists of assets generated or acquired by the related Obligor in its business.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“Account Control Agreement” </w:t>
      </w:r>
      <w:r>
        <w:rPr>
          <w:rFonts w:ascii="Times New Roman" w:cs="Times New Roman" w:eastAsia="Times New Roman" w:hAnsi="Times New Roman"/>
          <w:sz w:val="22"/>
          <w:szCs w:val="22"/>
          <w:color w:val="auto"/>
        </w:rPr>
        <w:t>means an agreement in substantially the form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Exhibit E</w:t>
      </w: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Eurocurrency Rate</w:t>
      </w:r>
      <w:r>
        <w:rPr>
          <w:rFonts w:ascii="Times New Roman" w:cs="Times New Roman" w:eastAsia="Times New Roman" w:hAnsi="Times New Roman"/>
          <w:sz w:val="22"/>
          <w:szCs w:val="22"/>
          <w:color w:val="auto"/>
        </w:rPr>
        <w:t>” means (a) for the Interest Accrual Period for 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5" w:right="399" w:bottom="1440" w:gutter="0" w:footer="0" w:header="0"/>
        </w:sectPr>
      </w:pPr>
    </w:p>
    <w:bookmarkStart w:id="10" w:name="page11"/>
    <w:bookmarkEnd w:id="10"/>
    <w:p>
      <w:pPr>
        <w:jc w:val="both"/>
        <w:ind w:left="100"/>
        <w:spacing w:after="0" w:line="241" w:lineRule="auto"/>
        <w:rPr>
          <w:sz w:val="20"/>
          <w:szCs w:val="20"/>
          <w:color w:val="auto"/>
        </w:rPr>
      </w:pPr>
      <w:r>
        <w:rPr>
          <w:rFonts w:ascii="Times New Roman" w:cs="Times New Roman" w:eastAsia="Times New Roman" w:hAnsi="Times New Roman"/>
          <w:sz w:val="22"/>
          <w:szCs w:val="22"/>
          <w:color w:val="auto"/>
        </w:rPr>
        <w:t xml:space="preserve">Eurocurrency Borrowing denominated in Dollars, an interest rate per annum (rounded upwards, if necessary, to the next 1/100 of 1%) equal to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color w:val="auto"/>
        </w:rPr>
        <w:t xml:space="preserve"> the greater of (A) zero percent (0%)</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and (B) the </w:t>
      </w:r>
      <w:r>
        <w:rPr>
          <w:rFonts w:ascii="Times New Roman" w:cs="Times New Roman" w:eastAsia="Times New Roman" w:hAnsi="Times New Roman"/>
          <w:sz w:val="22"/>
          <w:szCs w:val="22"/>
          <w:u w:val="single" w:color="auto"/>
          <w:color w:val="0000FF"/>
        </w:rPr>
        <w:t>sum of (i) the</w:t>
      </w:r>
      <w:r>
        <w:rPr>
          <w:rFonts w:ascii="Times New Roman" w:cs="Times New Roman" w:eastAsia="Times New Roman" w:hAnsi="Times New Roman"/>
          <w:sz w:val="22"/>
          <w:szCs w:val="22"/>
          <w:color w:val="auto"/>
        </w:rPr>
        <w:t xml:space="preserve"> Eurocurrency Rate for such Interest Accrual Period </w:t>
      </w:r>
      <w:r>
        <w:rPr>
          <w:rFonts w:ascii="Times New Roman" w:cs="Times New Roman" w:eastAsia="Times New Roman" w:hAnsi="Times New Roman"/>
          <w:sz w:val="22"/>
          <w:szCs w:val="22"/>
          <w:u w:val="single" w:color="auto"/>
          <w:color w:val="FF0000"/>
          <w:strike w:val="1"/>
        </w:rPr>
        <w:t>multiplied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(ii) the Statutory Reserve Rate for such Interest Accrual Period</w:t>
      </w:r>
      <w:r>
        <w:rPr>
          <w:rFonts w:ascii="Times New Roman" w:cs="Times New Roman" w:eastAsia="Times New Roman" w:hAnsi="Times New Roman"/>
          <w:sz w:val="22"/>
          <w:szCs w:val="22"/>
          <w:u w:val="single" w:color="auto"/>
          <w:color w:val="0000FF"/>
        </w:rPr>
        <w:t>for 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(ii) 0.11448%</w:t>
      </w:r>
      <w:r>
        <w:rPr>
          <w:rFonts w:ascii="Times New Roman" w:cs="Times New Roman" w:eastAsia="Times New Roman" w:hAnsi="Times New Roman"/>
          <w:sz w:val="22"/>
          <w:szCs w:val="22"/>
          <w:color w:val="auto"/>
        </w:rPr>
        <w:t xml:space="preserve"> and (b) for the Interest Accrual Period for any Eurocurrency Borrowing denominated in a Currency (other than Dollars) an interest rate per annum (rounded upwards, if necessary, to the next 1/100 of 1%) equal to the greater of (A) zero percent (0%) and (B) the Eurocurrency Rate for such Interest Accrual Period for such Currency.</w:t>
      </w:r>
    </w:p>
    <w:p>
      <w:pPr>
        <w:spacing w:after="0" w:line="17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assigned to such term in the introduction to this</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Agreement.</w:t>
      </w:r>
    </w:p>
    <w:p>
      <w:pPr>
        <w:spacing w:after="0" w:line="1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“Administrative Expense Cap” </w:t>
      </w:r>
      <w:r>
        <w:rPr>
          <w:rFonts w:ascii="Times New Roman" w:cs="Times New Roman" w:eastAsia="Times New Roman" w:hAnsi="Times New Roman"/>
          <w:sz w:val="22"/>
          <w:szCs w:val="22"/>
          <w:color w:val="auto"/>
        </w:rPr>
        <w:t>means, for any rolling 12-month period, an amount equal to $300,000.</w:t>
      </w:r>
    </w:p>
    <w:p>
      <w:pPr>
        <w:spacing w:after="0" w:line="206" w:lineRule="exact"/>
        <w:rPr>
          <w:sz w:val="20"/>
          <w:szCs w:val="20"/>
          <w:color w:val="auto"/>
        </w:rPr>
      </w:pPr>
    </w:p>
    <w:p>
      <w:pPr>
        <w:jc w:val="both"/>
        <w:ind w:left="100" w:right="2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“Administrative Expenses” </w:t>
      </w:r>
      <w:r>
        <w:rPr>
          <w:rFonts w:ascii="Times New Roman" w:cs="Times New Roman" w:eastAsia="Times New Roman" w:hAnsi="Times New Roman"/>
          <w:sz w:val="22"/>
          <w:szCs w:val="22"/>
          <w:color w:val="auto"/>
        </w:rPr>
        <w:t>means the fees and expenses (including indemnities) and other amounts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or accrued with respect to any Payment Date and payable in the following order:</w:t>
      </w:r>
    </w:p>
    <w:p>
      <w:pPr>
        <w:spacing w:after="0" w:line="136" w:lineRule="exact"/>
        <w:rPr>
          <w:sz w:val="20"/>
          <w:szCs w:val="20"/>
          <w:color w:val="auto"/>
        </w:rPr>
      </w:pPr>
    </w:p>
    <w:p>
      <w:pPr>
        <w:jc w:val="both"/>
        <w:ind w:left="840" w:firstLine="846"/>
        <w:spacing w:after="0" w:line="249" w:lineRule="auto"/>
        <w:tabs>
          <w:tab w:leader="none" w:pos="226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Collateral Agent, the Collateral Administrator, the Backup Collateral Manager, 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Intermediary and the Custodian, any amounts payable pursuant to the Collateral Agent Fee Letter, the Backup Collateral Manager Fee Letter, the Custodian Fee Letter, the Collateral Administration Agreement, this Agreement and the other Facility Documents;</w:t>
      </w:r>
    </w:p>
    <w:p>
      <w:pPr>
        <w:spacing w:after="0" w:line="165" w:lineRule="exact"/>
        <w:rPr>
          <w:sz w:val="20"/>
          <w:szCs w:val="20"/>
          <w:color w:val="auto"/>
        </w:rPr>
      </w:pPr>
    </w:p>
    <w:p>
      <w:pPr>
        <w:ind w:left="3320" w:hanging="433"/>
        <w:spacing w:after="0"/>
        <w:tabs>
          <w:tab w:leader="none" w:pos="3320"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Administrative Agent for fees and accrued expenses;</w:t>
      </w:r>
    </w:p>
    <w:p>
      <w:pPr>
        <w:spacing w:after="0" w:line="192" w:lineRule="exact"/>
        <w:rPr>
          <w:rFonts w:ascii="Times New Roman" w:cs="Times New Roman" w:eastAsia="Times New Roman" w:hAnsi="Times New Roman"/>
          <w:sz w:val="22"/>
          <w:szCs w:val="22"/>
          <w:color w:val="auto"/>
        </w:rPr>
      </w:pPr>
    </w:p>
    <w:p>
      <w:pPr>
        <w:jc w:val="both"/>
        <w:ind w:left="840" w:firstLine="846"/>
        <w:spacing w:after="0" w:line="259" w:lineRule="auto"/>
        <w:tabs>
          <w:tab w:leader="none" w:pos="22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Collateral Manager for expenses (including indemnities) incurred by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Manager in connection with the services provided under this Agreement and as further described in </w:t>
      </w:r>
      <w:r>
        <w:rPr>
          <w:rFonts w:ascii="Times New Roman" w:cs="Times New Roman" w:eastAsia="Times New Roman" w:hAnsi="Times New Roman"/>
          <w:sz w:val="22"/>
          <w:szCs w:val="22"/>
          <w:u w:val="single" w:color="auto"/>
          <w:color w:val="auto"/>
        </w:rPr>
        <w:t>Sections 11.03,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11.09;</w:t>
      </w:r>
      <w:r>
        <w:rPr>
          <w:rFonts w:ascii="Times New Roman" w:cs="Times New Roman" w:eastAsia="Times New Roman" w:hAnsi="Times New Roman"/>
          <w:sz w:val="22"/>
          <w:szCs w:val="22"/>
          <w:color w:val="auto"/>
        </w:rPr>
        <w:t xml:space="preserve"> and</w:t>
      </w:r>
    </w:p>
    <w:p>
      <w:pPr>
        <w:spacing w:after="0" w:line="166" w:lineRule="exact"/>
        <w:rPr>
          <w:rFonts w:ascii="Times New Roman" w:cs="Times New Roman" w:eastAsia="Times New Roman" w:hAnsi="Times New Roman"/>
          <w:sz w:val="22"/>
          <w:szCs w:val="22"/>
          <w:color w:val="auto"/>
        </w:rPr>
      </w:pPr>
    </w:p>
    <w:p>
      <w:pPr>
        <w:ind w:left="2100" w:hanging="427"/>
        <w:spacing w:after="0"/>
        <w:tabs>
          <w:tab w:leader="none" w:pos="21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on a</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basis, to:</w:t>
      </w:r>
    </w:p>
    <w:p>
      <w:pPr>
        <w:spacing w:after="0" w:line="210" w:lineRule="exact"/>
        <w:rPr>
          <w:rFonts w:ascii="Times New Roman" w:cs="Times New Roman" w:eastAsia="Times New Roman" w:hAnsi="Times New Roman"/>
          <w:sz w:val="22"/>
          <w:szCs w:val="22"/>
          <w:color w:val="auto"/>
        </w:rPr>
      </w:pPr>
    </w:p>
    <w:p>
      <w:pPr>
        <w:ind w:left="1580" w:firstLine="895"/>
        <w:spacing w:after="0" w:line="271" w:lineRule="auto"/>
        <w:tabs>
          <w:tab w:leader="none" w:pos="3024"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Accountants, agents (other than the Collateral Manager) and counsel of the Borrower for fees and expenses related to the Collateral and the Facility Documents;</w:t>
      </w:r>
    </w:p>
    <w:p>
      <w:pPr>
        <w:spacing w:after="0" w:line="144" w:lineRule="exact"/>
        <w:rPr>
          <w:rFonts w:ascii="Times New Roman" w:cs="Times New Roman" w:eastAsia="Times New Roman" w:hAnsi="Times New Roman"/>
          <w:sz w:val="22"/>
          <w:szCs w:val="22"/>
          <w:color w:val="auto"/>
        </w:rPr>
      </w:pPr>
    </w:p>
    <w:p>
      <w:pPr>
        <w:ind w:left="1580" w:right="20" w:firstLine="828"/>
        <w:spacing w:after="0" w:line="258" w:lineRule="auto"/>
        <w:tabs>
          <w:tab w:leader="none" w:pos="3024"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Rating Agencies for fees and expenses in connection with the rating of (or provision of credit estimates in respect of) any Collateral Loans;</w:t>
      </w:r>
    </w:p>
    <w:p>
      <w:pPr>
        <w:spacing w:after="0" w:line="158" w:lineRule="exact"/>
        <w:rPr>
          <w:rFonts w:ascii="Times New Roman" w:cs="Times New Roman" w:eastAsia="Times New Roman" w:hAnsi="Times New Roman"/>
          <w:sz w:val="22"/>
          <w:szCs w:val="22"/>
          <w:color w:val="auto"/>
        </w:rPr>
      </w:pPr>
    </w:p>
    <w:p>
      <w:pPr>
        <w:ind w:left="1580" w:right="20" w:firstLine="758"/>
        <w:spacing w:after="0" w:line="271" w:lineRule="auto"/>
        <w:tabs>
          <w:tab w:leader="none" w:pos="27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in respect of any other fees or expenses permitted under or incurred pursuant to or in connection with the Facility Documents; and</w:t>
      </w:r>
    </w:p>
    <w:p>
      <w:pPr>
        <w:spacing w:after="0" w:line="144" w:lineRule="exact"/>
        <w:rPr>
          <w:rFonts w:ascii="Times New Roman" w:cs="Times New Roman" w:eastAsia="Times New Roman" w:hAnsi="Times New Roman"/>
          <w:sz w:val="22"/>
          <w:szCs w:val="22"/>
          <w:color w:val="auto"/>
        </w:rPr>
      </w:pPr>
    </w:p>
    <w:p>
      <w:pPr>
        <w:ind w:left="1580" w:right="700" w:firstLine="771"/>
        <w:spacing w:after="0" w:line="258" w:lineRule="auto"/>
        <w:tabs>
          <w:tab w:leader="none" w:pos="277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the Agents (or related indemnified parties) for fees, expenses and other amounts payable by the Borrower under any Facility</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69" w:right="399" w:bottom="1440" w:gutter="0" w:footer="0" w:header="0"/>
        </w:sectPr>
      </w:pPr>
    </w:p>
    <w:bookmarkStart w:id="11" w:name="page12"/>
    <w:bookmarkEnd w:id="11"/>
    <w:p>
      <w:pPr>
        <w:ind w:left="2020" w:hanging="431"/>
        <w:spacing w:after="0"/>
        <w:tabs>
          <w:tab w:leader="none" w:pos="20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Defaulted Collateral Loan Balance, </w:t>
      </w:r>
      <w:r>
        <w:rPr>
          <w:rFonts w:ascii="Times New Roman" w:cs="Times New Roman" w:eastAsia="Times New Roman" w:hAnsi="Times New Roman"/>
          <w:sz w:val="22"/>
          <w:szCs w:val="22"/>
          <w:i w:val="1"/>
          <w:iCs w:val="1"/>
          <w:color w:val="auto"/>
        </w:rPr>
        <w:t>plus</w:t>
      </w:r>
    </w:p>
    <w:p>
      <w:pPr>
        <w:spacing w:after="0" w:line="250" w:lineRule="exact"/>
        <w:rPr>
          <w:rFonts w:ascii="Times New Roman" w:cs="Times New Roman" w:eastAsia="Times New Roman" w:hAnsi="Times New Roman"/>
          <w:sz w:val="22"/>
          <w:szCs w:val="22"/>
          <w:color w:val="auto"/>
        </w:rPr>
      </w:pPr>
    </w:p>
    <w:p>
      <w:pPr>
        <w:ind w:left="840" w:firstLine="749"/>
        <w:spacing w:after="0" w:line="295" w:lineRule="auto"/>
        <w:tabs>
          <w:tab w:leader="none" w:pos="219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Dollar Equivalent of the aggregate purchase price of all Discount Collateral Loans that are Eligible Collateral Loans and not Defaulted Collateral Loans, Haircut Collateral Loans or Credit Improved Loans, </w:t>
      </w:r>
      <w:r>
        <w:rPr>
          <w:rFonts w:ascii="Times New Roman" w:cs="Times New Roman" w:eastAsia="Times New Roman" w:hAnsi="Times New Roman"/>
          <w:sz w:val="21"/>
          <w:szCs w:val="21"/>
          <w:i w:val="1"/>
          <w:iCs w:val="1"/>
          <w:color w:val="auto"/>
        </w:rPr>
        <w:t>plus</w:t>
      </w:r>
    </w:p>
    <w:p>
      <w:pPr>
        <w:spacing w:after="0" w:line="162" w:lineRule="exact"/>
        <w:rPr>
          <w:rFonts w:ascii="Times New Roman" w:cs="Times New Roman" w:eastAsia="Times New Roman" w:hAnsi="Times New Roman"/>
          <w:sz w:val="21"/>
          <w:szCs w:val="21"/>
          <w:color w:val="auto"/>
        </w:rPr>
      </w:pPr>
    </w:p>
    <w:p>
      <w:pPr>
        <w:ind w:left="2020" w:hanging="431"/>
        <w:spacing w:after="0"/>
        <w:tabs>
          <w:tab w:leader="none" w:pos="20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Exposure in respect of all Delayed Drawdown Collateral</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Loans and Revolving Collateral Loans that are Eligible Collateral Loans, </w:t>
      </w:r>
      <w:r>
        <w:rPr>
          <w:rFonts w:ascii="Times New Roman" w:cs="Times New Roman" w:eastAsia="Times New Roman" w:hAnsi="Times New Roman"/>
          <w:sz w:val="22"/>
          <w:szCs w:val="22"/>
          <w:i w:val="1"/>
          <w:iCs w:val="1"/>
          <w:color w:val="auto"/>
        </w:rPr>
        <w:t>plus</w:t>
      </w:r>
    </w:p>
    <w:p>
      <w:pPr>
        <w:spacing w:after="0" w:line="223" w:lineRule="exact"/>
        <w:rPr>
          <w:sz w:val="20"/>
          <w:szCs w:val="20"/>
          <w:color w:val="auto"/>
        </w:rPr>
      </w:pPr>
    </w:p>
    <w:p>
      <w:pPr>
        <w:ind w:left="840" w:right="3080" w:firstLine="749"/>
        <w:spacing w:after="0" w:line="258" w:lineRule="auto"/>
        <w:tabs>
          <w:tab w:leader="none" w:pos="20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Credit Improved Loan, an amount equal to the lower of (i) its Principal Balance and (ii) its Market Value, </w:t>
      </w:r>
      <w:r>
        <w:rPr>
          <w:rFonts w:ascii="Times New Roman" w:cs="Times New Roman" w:eastAsia="Times New Roman" w:hAnsi="Times New Roman"/>
          <w:sz w:val="22"/>
          <w:szCs w:val="22"/>
          <w:i w:val="1"/>
          <w:iCs w:val="1"/>
          <w:color w:val="auto"/>
        </w:rPr>
        <w:t>plus</w:t>
      </w:r>
    </w:p>
    <w:p>
      <w:pPr>
        <w:spacing w:after="0" w:line="212"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Haircut Collateral Loan Balance;</w:t>
      </w:r>
    </w:p>
    <w:p>
      <w:pPr>
        <w:spacing w:after="0" w:line="243" w:lineRule="exact"/>
        <w:rPr>
          <w:sz w:val="20"/>
          <w:szCs w:val="20"/>
          <w:color w:val="auto"/>
        </w:rPr>
      </w:pPr>
    </w:p>
    <w:p>
      <w:pPr>
        <w:ind w:left="100"/>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calculating the Aggregate Collateral Balance, no Collateral Loans shall be included at a value in excess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value of such Collateral Loan as reflected on the books and records of the Collateral Manager on such date of determination.</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“Aggregate Funded Spread” </w:t>
      </w:r>
      <w:r>
        <w:rPr>
          <w:rFonts w:ascii="Times New Roman" w:cs="Times New Roman" w:eastAsia="Times New Roman" w:hAnsi="Times New Roman"/>
          <w:sz w:val="22"/>
          <w:szCs w:val="22"/>
          <w:color w:val="auto"/>
        </w:rPr>
        <w:t>means, as of any date, the sum of:</w:t>
      </w:r>
    </w:p>
    <w:p>
      <w:pPr>
        <w:spacing w:after="0" w:line="251" w:lineRule="exact"/>
        <w:rPr>
          <w:sz w:val="20"/>
          <w:szCs w:val="20"/>
          <w:color w:val="auto"/>
        </w:rPr>
      </w:pPr>
    </w:p>
    <w:p>
      <w:pPr>
        <w:jc w:val="both"/>
        <w:ind w:left="840" w:firstLine="846"/>
        <w:spacing w:after="0" w:line="248" w:lineRule="auto"/>
        <w:rPr>
          <w:sz w:val="20"/>
          <w:szCs w:val="20"/>
          <w:color w:val="auto"/>
        </w:rPr>
      </w:pPr>
      <w:r>
        <w:rPr>
          <w:rFonts w:ascii="Times New Roman" w:cs="Times New Roman" w:eastAsia="Times New Roman" w:hAnsi="Times New Roman"/>
          <w:sz w:val="22"/>
          <w:szCs w:val="22"/>
          <w:color w:val="auto"/>
        </w:rPr>
        <w:t xml:space="preserve">(a) in the case of each Floating Rate Obligation (excluding any Floor Obligation) that bears interest at a spread over an index (including any London interbank offered rate based index), (i) the excess of the sum of such spread and such index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Specified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Eurocurrency Rate</w:t>
      </w:r>
      <w:r>
        <w:rPr>
          <w:rFonts w:ascii="Times New Roman" w:cs="Times New Roman" w:eastAsia="Times New Roman" w:hAnsi="Times New Roman"/>
          <w:sz w:val="22"/>
          <w:szCs w:val="22"/>
          <w:color w:val="auto"/>
        </w:rPr>
        <w:t xml:space="preserve"> as then in effect (which spread or excess may be expressed as a negative percentage)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Principal Balance of such Collateral Loan; and</w:t>
      </w:r>
    </w:p>
    <w:p>
      <w:pPr>
        <w:spacing w:after="0" w:line="210" w:lineRule="exact"/>
        <w:rPr>
          <w:sz w:val="20"/>
          <w:szCs w:val="20"/>
          <w:color w:val="auto"/>
        </w:rPr>
      </w:pPr>
    </w:p>
    <w:p>
      <w:pPr>
        <w:jc w:val="both"/>
        <w:ind w:left="840" w:firstLine="833"/>
        <w:spacing w:after="0" w:line="248" w:lineRule="auto"/>
        <w:tabs>
          <w:tab w:leader="none" w:pos="24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each Floor Obligation, (i) the excess of the interest rate on such Floor Obligation (including any interest rate spread) as of such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Specified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Eurocurrency Rate</w:t>
      </w:r>
      <w:r>
        <w:rPr>
          <w:rFonts w:ascii="Times New Roman" w:cs="Times New Roman" w:eastAsia="Times New Roman" w:hAnsi="Times New Roman"/>
          <w:sz w:val="22"/>
          <w:szCs w:val="22"/>
          <w:color w:val="auto"/>
        </w:rPr>
        <w:t xml:space="preserve"> as then in effect (which spread or excess may be expressed as a negative percentage)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Principal Balance of each such Collateral Loan.</w:t>
      </w:r>
    </w:p>
    <w:p>
      <w:pPr>
        <w:spacing w:after="0" w:line="219" w:lineRule="exact"/>
        <w:rPr>
          <w:sz w:val="20"/>
          <w:szCs w:val="20"/>
          <w:color w:val="auto"/>
        </w:rPr>
      </w:pPr>
    </w:p>
    <w:p>
      <w:pPr>
        <w:jc w:val="both"/>
        <w:ind w:left="1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“Aggregate Principal Balance” </w:t>
      </w:r>
      <w:r>
        <w:rPr>
          <w:rFonts w:ascii="Times New Roman" w:cs="Times New Roman" w:eastAsia="Times New Roman" w:hAnsi="Times New Roman"/>
          <w:sz w:val="22"/>
          <w:szCs w:val="22"/>
          <w:color w:val="auto"/>
        </w:rPr>
        <w:t>means, when used with respect to all or a portion of the Collateral Loans, the sum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Principal Balances of all or of such portion of such Collateral Loans.</w:t>
      </w:r>
    </w:p>
    <w:p>
      <w:pPr>
        <w:spacing w:after="0" w:line="204" w:lineRule="exact"/>
        <w:rPr>
          <w:sz w:val="20"/>
          <w:szCs w:val="20"/>
          <w:color w:val="auto"/>
        </w:rPr>
      </w:pPr>
    </w:p>
    <w:p>
      <w:pPr>
        <w:jc w:val="both"/>
        <w:ind w:left="100" w:firstLine="749"/>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“Aggregate Unfunded Spread” </w:t>
      </w:r>
      <w:r>
        <w:rPr>
          <w:rFonts w:ascii="Times New Roman" w:cs="Times New Roman" w:eastAsia="Times New Roman" w:hAnsi="Times New Roman"/>
          <w:sz w:val="22"/>
          <w:szCs w:val="22"/>
          <w:color w:val="auto"/>
        </w:rPr>
        <w:t>means, as of any date, the sum of the products obtained by multiplying (a) for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Delayed Drawdown 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223" w:lineRule="exact"/>
        <w:rPr>
          <w:sz w:val="20"/>
          <w:szCs w:val="20"/>
          <w:color w:val="auto"/>
        </w:rPr>
      </w:pPr>
    </w:p>
    <w:p>
      <w:pPr>
        <w:ind w:left="100" w:right="28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“Agreed Foreign Currency” </w:t>
      </w:r>
      <w:r>
        <w:rPr>
          <w:rFonts w:ascii="Times New Roman" w:cs="Times New Roman" w:eastAsia="Times New Roman" w:hAnsi="Times New Roman"/>
          <w:sz w:val="22"/>
          <w:szCs w:val="22"/>
          <w:color w:val="auto"/>
        </w:rPr>
        <w:t>means, at any time, any of Canadian Dollars, Pounds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Sterling, Euros, and Australian Dollars.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581" w:right="399" w:bottom="1440" w:gutter="0" w:footer="0" w:header="0"/>
        </w:sectPr>
      </w:pPr>
    </w:p>
    <w:bookmarkStart w:id="12" w:name="page13"/>
    <w:bookmarkEnd w:id="12"/>
    <w:p>
      <w:pPr>
        <w:jc w:val="both"/>
        <w:ind w:left="10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“Backup Collateral Manager Fee Letter” </w:t>
      </w:r>
      <w:r>
        <w:rPr>
          <w:rFonts w:ascii="Times New Roman" w:cs="Times New Roman" w:eastAsia="Times New Roman" w:hAnsi="Times New Roman"/>
          <w:sz w:val="22"/>
          <w:szCs w:val="22"/>
          <w:color w:val="auto"/>
        </w:rPr>
        <w:t>means the Collateral Agent Fee Letter, setting forth the fees payable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among other parties, to the Backup Collateral Manager in connection with the transactions contemplated by this Agreement, as the same may be amended or amended and restated from time to time.</w:t>
      </w:r>
    </w:p>
    <w:p>
      <w:pPr>
        <w:spacing w:after="0" w:line="202" w:lineRule="exact"/>
        <w:rPr>
          <w:sz w:val="20"/>
          <w:szCs w:val="20"/>
          <w:color w:val="auto"/>
        </w:rPr>
      </w:pPr>
    </w:p>
    <w:p>
      <w:pPr>
        <w:ind w:left="100" w:right="264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Backup Collateral Manager Indemnified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13.04</w:t>
      </w:r>
      <w:r>
        <w:rPr>
          <w:rFonts w:ascii="Times New Roman" w:cs="Times New Roman" w:eastAsia="Times New Roman" w:hAnsi="Times New Roman"/>
          <w:sz w:val="22"/>
          <w:szCs w:val="22"/>
          <w:color w:val="auto"/>
        </w:rPr>
        <w:t xml:space="preserve"> hereof.</w:t>
      </w:r>
    </w:p>
    <w:p>
      <w:pPr>
        <w:spacing w:after="0" w:line="176" w:lineRule="exact"/>
        <w:rPr>
          <w:sz w:val="20"/>
          <w:szCs w:val="20"/>
          <w:color w:val="auto"/>
        </w:rPr>
      </w:pPr>
    </w:p>
    <w:p>
      <w:pPr>
        <w:jc w:val="both"/>
        <w:ind w:left="100" w:right="2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76" w:lineRule="exact"/>
        <w:rPr>
          <w:sz w:val="20"/>
          <w:szCs w:val="20"/>
          <w:color w:val="auto"/>
        </w:rPr>
      </w:pPr>
    </w:p>
    <w:p>
      <w:pPr>
        <w:jc w:val="both"/>
        <w:ind w:left="100" w:right="20" w:firstLine="74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the United States Bankruptcy Code, as amended.</w:t>
      </w:r>
    </w:p>
    <w:p>
      <w:pPr>
        <w:spacing w:after="0" w:line="247" w:lineRule="exact"/>
        <w:rPr>
          <w:sz w:val="20"/>
          <w:szCs w:val="20"/>
          <w:color w:val="auto"/>
        </w:rPr>
      </w:pPr>
    </w:p>
    <w:p>
      <w:pPr>
        <w:jc w:val="both"/>
        <w:ind w:left="100" w:firstLine="749"/>
        <w:spacing w:after="0" w:line="239" w:lineRule="auto"/>
        <w:rPr>
          <w:sz w:val="20"/>
          <w:szCs w:val="20"/>
          <w:color w:val="auto"/>
        </w:rPr>
      </w:pPr>
      <w:r>
        <w:rPr>
          <w:rFonts w:ascii="Times New Roman" w:cs="Times New Roman" w:eastAsia="Times New Roman" w:hAnsi="Times New Roman"/>
          <w:sz w:val="22"/>
          <w:szCs w:val="22"/>
          <w:i w:val="1"/>
          <w:iCs w:val="1"/>
          <w:color w:val="auto"/>
        </w:rPr>
        <w:t xml:space="preserve">“Base Rate” </w:t>
      </w:r>
      <w:r>
        <w:rPr>
          <w:rFonts w:ascii="Times New Roman" w:cs="Times New Roman" w:eastAsia="Times New Roman" w:hAnsi="Times New Roman"/>
          <w:sz w:val="22"/>
          <w:szCs w:val="22"/>
          <w:color w:val="auto"/>
        </w:rPr>
        <w:t>means, on any date, a fluctuating interest rate</w:t>
      </w:r>
      <w:r>
        <w:rPr>
          <w:rFonts w:ascii="Times New Roman" w:cs="Times New Roman" w:eastAsia="Times New Roman" w:hAnsi="Times New Roman"/>
          <w:sz w:val="22"/>
          <w:szCs w:val="22"/>
          <w:i w:val="1"/>
          <w:iCs w:val="1"/>
          <w:color w:val="auto"/>
        </w:rPr>
        <w:t xml:space="preserve"> per annum </w:t>
      </w:r>
      <w:r>
        <w:rPr>
          <w:rFonts w:ascii="Times New Roman" w:cs="Times New Roman" w:eastAsia="Times New Roman" w:hAnsi="Times New Roman"/>
          <w:sz w:val="22"/>
          <w:szCs w:val="22"/>
          <w:color w:val="auto"/>
        </w:rPr>
        <w:t>equal to the highest of (a) the Prime Rate,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Federal Funds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0.50%, and (c) the </w:t>
      </w:r>
      <w:r>
        <w:rPr>
          <w:rFonts w:ascii="Times New Roman" w:cs="Times New Roman" w:eastAsia="Times New Roman" w:hAnsi="Times New Roman"/>
          <w:sz w:val="22"/>
          <w:szCs w:val="22"/>
          <w:color w:val="FF0000"/>
          <w:strike w:val="1"/>
        </w:rPr>
        <w:t>rate as displayed in the Bloomberg Financial Markets System (or on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successor or substitute page of such service, or any successor</w:t>
      </w:r>
      <w:r>
        <w:rPr>
          <w:rFonts w:ascii="Times New Roman" w:cs="Times New Roman" w:eastAsia="Times New Roman" w:hAnsi="Times New Roman"/>
          <w:sz w:val="22"/>
          <w:szCs w:val="22"/>
          <w:u w:val="single" w:color="auto"/>
          <w:color w:val="0000FF"/>
          <w:strike w:val="1"/>
        </w:rPr>
        <w:t>sum of (i) the greater of (1) the sum of (A) the Term SOFR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Reference Rate for a tenor of one month on the day (such day, the “</w:t>
      </w:r>
      <w:r>
        <w:rPr>
          <w:rFonts w:ascii="Times New Roman" w:cs="Times New Roman" w:eastAsia="Times New Roman" w:hAnsi="Times New Roman"/>
          <w:sz w:val="22"/>
          <w:szCs w:val="22"/>
          <w:i w:val="1"/>
          <w:iCs w:val="1"/>
          <w:u w:val="single" w:color="auto"/>
          <w:color w:val="0000FF"/>
          <w:strike w:val="1"/>
        </w:rPr>
        <w:t>Base Rate Term SOFR Determination Day</w:t>
      </w:r>
      <w:r>
        <w:rPr>
          <w:rFonts w:ascii="Times New Roman" w:cs="Times New Roman" w:eastAsia="Times New Roman" w:hAnsi="Times New Roman"/>
          <w:sz w:val="22"/>
          <w:szCs w:val="22"/>
          <w:u w:val="single" w:color="auto"/>
          <w:color w:val="0000FF"/>
          <w:strike w:val="1"/>
        </w:rPr>
        <w:t>”) that is two (2) Eurocurrency Banking Days for Dollars prior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to</w:t>
      </w:r>
      <w:r>
        <w:rPr>
          <w:rFonts w:ascii="Times New Roman" w:cs="Times New Roman" w:eastAsia="Times New Roman" w:hAnsi="Times New Roman"/>
          <w:sz w:val="22"/>
          <w:szCs w:val="22"/>
          <w:color w:val="0000FF"/>
          <w:strike w:val="1"/>
        </w:rPr>
        <w:t xml:space="preserve"> such day, as </w:t>
      </w:r>
      <w:r>
        <w:rPr>
          <w:rFonts w:ascii="Times New Roman" w:cs="Times New Roman" w:eastAsia="Times New Roman" w:hAnsi="Times New Roman"/>
          <w:sz w:val="22"/>
          <w:szCs w:val="22"/>
          <w:color w:val="000000"/>
          <w:strike w:val="1"/>
        </w:rPr>
        <w:t>such</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service, providing</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rate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quotations comparable to those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currently</w:t>
      </w:r>
      <w:r>
        <w:rPr>
          <w:rFonts w:ascii="Times New Roman" w:cs="Times New Roman" w:eastAsia="Times New Roman" w:hAnsi="Times New Roman"/>
          <w:sz w:val="22"/>
          <w:szCs w:val="22"/>
          <w:u w:val="single" w:color="auto"/>
          <w:color w:val="0000FF"/>
          <w:strike w:val="1"/>
        </w:rPr>
        <w:t>is published by the Term SOFR Administrator;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provided</w:t>
      </w:r>
      <w:r>
        <w:rPr>
          <w:rFonts w:ascii="Times New Roman" w:cs="Times New Roman" w:eastAsia="Times New Roman" w:hAnsi="Times New Roman"/>
          <w:sz w:val="22"/>
          <w:szCs w:val="22"/>
          <w:color w:val="FF0000"/>
          <w:strike w:val="1"/>
        </w:rPr>
        <w:t xml:space="preserve"> on such page of such service, as determined </w:t>
      </w:r>
      <w:r>
        <w:rPr>
          <w:rFonts w:ascii="Times New Roman" w:cs="Times New Roman" w:eastAsia="Times New Roman" w:hAnsi="Times New Roman"/>
          <w:sz w:val="22"/>
          <w:szCs w:val="22"/>
          <w:color w:val="00C000"/>
          <w:strike w:val="1"/>
        </w:rPr>
        <w:t>by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 xml:space="preserve">Administrative Agent in its reasonable discretion </w:t>
      </w:r>
      <w:r>
        <w:rPr>
          <w:rFonts w:ascii="Times New Roman" w:cs="Times New Roman" w:eastAsia="Times New Roman" w:hAnsi="Times New Roman"/>
          <w:sz w:val="22"/>
          <w:szCs w:val="22"/>
          <w:color w:val="FF0000"/>
          <w:strike w:val="1"/>
        </w:rPr>
        <w:t>from time to time for purposes of providing quotations of interest rates</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applicable to Dollar deposits in the London interbank market) at approximately 11:00 a.m., London time, on such day (or, if such day is not a Business Day, the immediately preceding Business Day), for Dollar deposits with a term of one month </w:t>
      </w:r>
      <w:r>
        <w:rPr>
          <w:rFonts w:ascii="Times New Roman" w:cs="Times New Roman" w:eastAsia="Times New Roman" w:hAnsi="Times New Roman"/>
          <w:sz w:val="22"/>
          <w:szCs w:val="22"/>
          <w:i w:val="1"/>
          <w:iCs w:val="1"/>
          <w:color w:val="FF0000"/>
          <w:strike w:val="1"/>
        </w:rPr>
        <w:t>plus,</w:t>
      </w:r>
      <w:r>
        <w:rPr>
          <w:rFonts w:ascii="Times New Roman" w:cs="Times New Roman" w:eastAsia="Times New Roman" w:hAnsi="Times New Roman"/>
          <w:sz w:val="22"/>
          <w:szCs w:val="22"/>
          <w:u w:val="single" w:color="auto"/>
          <w:color w:val="0000FF"/>
          <w:strike w:val="1"/>
        </w:rPr>
        <w:t>that if as of 5:00 p.m. on any Base Rate Term SOFR Determination Day the Term SOFR Reference Rate for the applicable</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u w:val="single" w:color="auto"/>
          <w:color w:val="0000FF"/>
          <w:strike w:val="1"/>
        </w:rPr>
        <w:t>tenor has not been published by the Term SOFR Administrator and a Benchmark Replacement Date with respect to the Term SOFR Reference Rate has not occurred, then the rate under this clause (A) will be the Term SOFR Reference Rate for such tenor as published by the Term SOFR Administrator on the first preceding Eurocurrency Banking Day for Dollars for which such Term SOFR Reference Rate for such tenor was published by the Term SOFR Administrator so long as such first preceding Eurocurrency Banking Day for Dollars is not more than three (3) Eurocurrency Banking Days for Dollars prior to such Base Rate Term SOFR Determination Day;</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i w:val="1"/>
          <w:iCs w:val="1"/>
          <w:u w:val="single" w:color="auto"/>
          <w:color w:val="0000FF"/>
          <w:strike w:val="1"/>
        </w:rPr>
        <w:t>plus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(B) .11448%, and (2) the Floor;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i w:val="1"/>
          <w:iCs w:val="1"/>
          <w:u w:val="single" w:color="auto"/>
          <w:color w:val="0000FF"/>
          <w:strike w:val="1"/>
        </w:rPr>
        <w:t>plus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(ii)</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solely to the extent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that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an Event of</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 xml:space="preserve">Default has occurred and is continuing, </w:t>
      </w:r>
      <w:r>
        <w:rPr>
          <w:rFonts w:ascii="Times New Roman" w:cs="Times New Roman" w:eastAsia="Times New Roman" w:hAnsi="Times New Roman"/>
          <w:sz w:val="22"/>
          <w:szCs w:val="22"/>
          <w:color w:val="FF0000"/>
          <w:strike w:val="1"/>
        </w:rPr>
        <w:t>1.0</w:t>
      </w:r>
      <w:r>
        <w:rPr>
          <w:rFonts w:ascii="Times New Roman" w:cs="Times New Roman" w:eastAsia="Times New Roman" w:hAnsi="Times New Roman"/>
          <w:sz w:val="22"/>
          <w:szCs w:val="22"/>
          <w:u w:val="single" w:color="auto"/>
          <w:color w:val="0000FF"/>
          <w:strike w:val="1"/>
        </w:rPr>
        <w:t>1.00</w:t>
      </w:r>
      <w:r>
        <w:rPr>
          <w:rFonts w:ascii="Times New Roman" w:cs="Times New Roman" w:eastAsia="Times New Roman" w:hAnsi="Times New Roman"/>
          <w:sz w:val="22"/>
          <w:szCs w:val="22"/>
          <w:color w:val="000000"/>
          <w:strike w:val="1"/>
        </w:rPr>
        <w:t xml:space="preserve">%. The Base Rate is a reference rate and does not necessarily represent the lowest or best rate actually charged to any customer of any Agent or any Lender. Interest calculated pursuant to </w:t>
      </w:r>
      <w:r>
        <w:rPr>
          <w:rFonts w:ascii="Times New Roman" w:cs="Times New Roman" w:eastAsia="Times New Roman" w:hAnsi="Times New Roman"/>
          <w:sz w:val="22"/>
          <w:szCs w:val="22"/>
          <w:u w:val="single" w:color="auto"/>
          <w:color w:val="000000"/>
          <w:strike w:val="1"/>
        </w:rPr>
        <w:t>clause (a)</w:t>
      </w:r>
      <w:r>
        <w:rPr>
          <w:rFonts w:ascii="Times New Roman" w:cs="Times New Roman" w:eastAsia="Times New Roman" w:hAnsi="Times New Roman"/>
          <w:sz w:val="22"/>
          <w:szCs w:val="22"/>
          <w:color w:val="000000"/>
          <w:strike w:val="1"/>
        </w:rPr>
        <w:t xml:space="preserve"> above will be determined based on a year of 365 days or 366 days, as applicable, and actual days elapsed. Interest calculated pursuant to </w:t>
      </w:r>
      <w:r>
        <w:rPr>
          <w:rFonts w:ascii="Times New Roman" w:cs="Times New Roman" w:eastAsia="Times New Roman" w:hAnsi="Times New Roman"/>
          <w:sz w:val="22"/>
          <w:szCs w:val="22"/>
          <w:u w:val="single" w:color="auto"/>
          <w:color w:val="000000"/>
          <w:strike w:val="1"/>
        </w:rPr>
        <w:t>clauses (b) and (c)</w:t>
      </w:r>
      <w:r>
        <w:rPr>
          <w:rFonts w:ascii="Times New Roman" w:cs="Times New Roman" w:eastAsia="Times New Roman" w:hAnsi="Times New Roman"/>
          <w:sz w:val="22"/>
          <w:szCs w:val="22"/>
          <w:color w:val="000000"/>
          <w:strike w:val="1"/>
        </w:rPr>
        <w:t xml:space="preserve"> above will be determined based on a year of 360 days and actual days elapsed. Any change in the Base Rate due to a change in the Prime Rate, the Federal Funds Rate or the </w:t>
      </w:r>
      <w:r>
        <w:rPr>
          <w:rFonts w:ascii="Times New Roman" w:cs="Times New Roman" w:eastAsia="Times New Roman" w:hAnsi="Times New Roman"/>
          <w:sz w:val="22"/>
          <w:szCs w:val="22"/>
          <w:color w:val="FF0000"/>
          <w:strike w:val="1"/>
        </w:rPr>
        <w:t>rate as displayed in the Bloomberg Financial</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Markets System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-2727325</wp:posOffset>
            </wp:positionV>
            <wp:extent cx="7435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08" w:right="399" w:bottom="1440" w:gutter="0" w:footer="0" w:header="0"/>
        </w:sectPr>
      </w:pPr>
    </w:p>
    <w:bookmarkStart w:id="13" w:name="page14"/>
    <w:bookmarkEnd w:id="13"/>
    <w:p>
      <w:pPr>
        <w:jc w:val="both"/>
        <w:ind w:left="100"/>
        <w:spacing w:after="0" w:line="250" w:lineRule="auto"/>
        <w:rPr>
          <w:sz w:val="20"/>
          <w:szCs w:val="20"/>
          <w:color w:val="auto"/>
        </w:rPr>
      </w:pPr>
      <w:r>
        <w:rPr>
          <w:rFonts w:ascii="Times New Roman" w:cs="Times New Roman" w:eastAsia="Times New Roman" w:hAnsi="Times New Roman"/>
          <w:sz w:val="22"/>
          <w:szCs w:val="22"/>
          <w:color w:val="FF0000"/>
          <w:strike w:val="1"/>
        </w:rPr>
        <w:t>successor therefor)</w:t>
      </w:r>
      <w:r>
        <w:rPr>
          <w:rFonts w:ascii="Times New Roman" w:cs="Times New Roman" w:eastAsia="Times New Roman" w:hAnsi="Times New Roman"/>
          <w:sz w:val="22"/>
          <w:szCs w:val="22"/>
          <w:u w:val="single" w:color="auto"/>
          <w:color w:val="0000FF"/>
        </w:rPr>
        <w:t>Term SOFR Reference 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as set forth above shall be effective from and including the effective date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such change in the Prime Rate, the Federal Funds Rate or </w:t>
      </w:r>
      <w:r>
        <w:rPr>
          <w:rFonts w:ascii="Times New Roman" w:cs="Times New Roman" w:eastAsia="Times New Roman" w:hAnsi="Times New Roman"/>
          <w:sz w:val="22"/>
          <w:szCs w:val="22"/>
          <w:color w:val="FF0000"/>
          <w:strike w:val="1"/>
        </w:rPr>
        <w:t>such rate as displayed in the Bloomberg Financial Markets System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(or successor therefor)</w:t>
      </w:r>
      <w:r>
        <w:rPr>
          <w:rFonts w:ascii="Times New Roman" w:cs="Times New Roman" w:eastAsia="Times New Roman" w:hAnsi="Times New Roman"/>
          <w:sz w:val="22"/>
          <w:szCs w:val="22"/>
          <w:u w:val="single" w:color="auto"/>
          <w:color w:val="0000FF"/>
        </w:rPr>
        <w:t>the Term SOFR Reference Rate</w:t>
      </w:r>
      <w:r>
        <w:rPr>
          <w:rFonts w:ascii="Times New Roman" w:cs="Times New Roman" w:eastAsia="Times New Roman" w:hAnsi="Times New Roman"/>
          <w:sz w:val="22"/>
          <w:szCs w:val="22"/>
          <w:color w:val="000000"/>
        </w:rPr>
        <w:t>, respectively.</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“BDC” </w:t>
      </w:r>
      <w:r>
        <w:rPr>
          <w:rFonts w:ascii="Times New Roman" w:cs="Times New Roman" w:eastAsia="Times New Roman" w:hAnsi="Times New Roman"/>
          <w:sz w:val="22"/>
          <w:szCs w:val="22"/>
          <w:color w:val="auto"/>
        </w:rPr>
        <w:t>means PennantPark Floating Rate Capital Ltd., a Maryland corporation.</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assigned to such term in the introduction to this Agreement.</w:t>
      </w:r>
    </w:p>
    <w:p>
      <w:pPr>
        <w:spacing w:after="0" w:line="247" w:lineRule="exact"/>
        <w:rPr>
          <w:sz w:val="20"/>
          <w:szCs w:val="20"/>
          <w:color w:val="auto"/>
        </w:rPr>
      </w:pPr>
    </w:p>
    <w:p>
      <w:pPr>
        <w:ind w:left="100" w:right="8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“Borrower LLC Agreement” </w:t>
      </w:r>
      <w:r>
        <w:rPr>
          <w:rFonts w:ascii="Times New Roman" w:cs="Times New Roman" w:eastAsia="Times New Roman" w:hAnsi="Times New Roman"/>
          <w:sz w:val="22"/>
          <w:szCs w:val="22"/>
          <w:color w:val="auto"/>
        </w:rPr>
        <w:t>means the Limited Liability Company Operating Agreement of the Borrower, dated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June 23, 2011.</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“Borrowing”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2.01.</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“Borrowing Base” </w:t>
      </w:r>
      <w:r>
        <w:rPr>
          <w:rFonts w:ascii="Times New Roman" w:cs="Times New Roman" w:eastAsia="Times New Roman" w:hAnsi="Times New Roman"/>
          <w:sz w:val="22"/>
          <w:szCs w:val="22"/>
          <w:color w:val="auto"/>
        </w:rPr>
        <w:t>means, at any time, an amount equal to:</w:t>
      </w:r>
    </w:p>
    <w:p>
      <w:pPr>
        <w:spacing w:after="0" w:line="264" w:lineRule="exact"/>
        <w:rPr>
          <w:sz w:val="20"/>
          <w:szCs w:val="20"/>
          <w:color w:val="auto"/>
        </w:rPr>
      </w:pPr>
    </w:p>
    <w:p>
      <w:pPr>
        <w:ind w:left="840" w:right="680" w:firstLine="749"/>
        <w:spacing w:after="0" w:line="258" w:lineRule="auto"/>
        <w:tabs>
          <w:tab w:leader="none" w:pos="188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Collateral Balance (excluding the Revolving Exposure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such definition), </w:t>
      </w:r>
      <w:r>
        <w:rPr>
          <w:rFonts w:ascii="Times New Roman" w:cs="Times New Roman" w:eastAsia="Times New Roman" w:hAnsi="Times New Roman"/>
          <w:sz w:val="22"/>
          <w:szCs w:val="22"/>
          <w:i w:val="1"/>
          <w:iCs w:val="1"/>
          <w:color w:val="auto"/>
        </w:rPr>
        <w:t>minus</w:t>
      </w:r>
    </w:p>
    <w:p>
      <w:pPr>
        <w:spacing w:after="0" w:line="212" w:lineRule="exact"/>
        <w:rPr>
          <w:rFonts w:ascii="Times New Roman" w:cs="Times New Roman" w:eastAsia="Times New Roman" w:hAnsi="Times New Roman"/>
          <w:sz w:val="22"/>
          <w:szCs w:val="22"/>
          <w:color w:val="auto"/>
        </w:rPr>
      </w:pPr>
    </w:p>
    <w:p>
      <w:pPr>
        <w:ind w:left="840" w:firstLine="749"/>
        <w:spacing w:after="0" w:line="258" w:lineRule="auto"/>
        <w:tabs>
          <w:tab w:leader="none" w:pos="22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during the Reinvestment Period, the Excess Concentration Amount and (ii) after the Reinvestment Period, the Excess Concentration Amount calculated as of the last day of the Reinvestment Period.</w:t>
      </w:r>
    </w:p>
    <w:p>
      <w:pPr>
        <w:spacing w:after="0" w:line="195"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“Borrowing Base Calculation Statement” </w:t>
      </w:r>
      <w:r>
        <w:rPr>
          <w:rFonts w:ascii="Times New Roman" w:cs="Times New Roman" w:eastAsia="Times New Roman" w:hAnsi="Times New Roman"/>
          <w:sz w:val="22"/>
          <w:szCs w:val="22"/>
          <w:color w:val="auto"/>
        </w:rPr>
        <w:t>means a statement in substantially the form attached to the form of Notice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“Borrowing Date” </w:t>
      </w:r>
      <w:r>
        <w:rPr>
          <w:rFonts w:ascii="Times New Roman" w:cs="Times New Roman" w:eastAsia="Times New Roman" w:hAnsi="Times New Roman"/>
          <w:sz w:val="22"/>
          <w:szCs w:val="22"/>
          <w:color w:val="auto"/>
        </w:rPr>
        <w:t>means the date of a Borrowing.</w:t>
      </w:r>
    </w:p>
    <w:p>
      <w:pPr>
        <w:spacing w:after="0" w:line="247"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any day other than a Saturday or Sunday,</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the following shall not constitute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Business Days (i) days on which banks are authorized or required to close in New York, New York, Minneapolis, Minnesota, Florence, South Carolina, or Charlotte, North Carolina, (ii) days on which the Depository Trust Company or commercial paper markets in the United States are closed,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(iii</w:t>
      </w:r>
      <w:r>
        <w:rPr>
          <w:rFonts w:ascii="Times New Roman" w:cs="Times New Roman" w:eastAsia="Times New Roman" w:hAnsi="Times New Roman"/>
          <w:sz w:val="22"/>
          <w:szCs w:val="22"/>
          <w:color w:val="FF0000"/>
          <w:strike w:val="1"/>
        </w:rPr>
        <w:t>) if the applicable Business Day relates to the advance or continuation of,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conversion into, or payment of an Advance denominated in Dollars bearing interest at the Eurocurrency Rate or the determination of the Eurocurrency Rate, days on which banks are dealing in Dollar deposits in the interbank eurodollar market in London, England are closed and (iv</w:t>
      </w:r>
      <w:r>
        <w:rPr>
          <w:rFonts w:ascii="Times New Roman" w:cs="Times New Roman" w:eastAsia="Times New Roman" w:hAnsi="Times New Roman"/>
          <w:sz w:val="22"/>
          <w:szCs w:val="22"/>
          <w:color w:val="000000"/>
          <w:strike w:val="1"/>
        </w:rPr>
        <w:t>) if the applicable Business Day relates to the advance or continuation of, or conversion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into, or payment of an Advance denominated in any Agreed Foreign Currency, days on which commercial banks and the London foreign exchange market settle payments in the Principal Financial Center are closed.</w:t>
      </w: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“Canadian 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“Cdn $” </w:t>
      </w:r>
      <w:r>
        <w:rPr>
          <w:rFonts w:ascii="Times New Roman" w:cs="Times New Roman" w:eastAsia="Times New Roman" w:hAnsi="Times New Roman"/>
          <w:sz w:val="22"/>
          <w:szCs w:val="22"/>
          <w:color w:val="auto"/>
        </w:rPr>
        <w:t>each means the lawful currency of Canada.</w:t>
      </w:r>
    </w:p>
    <w:p>
      <w:pPr>
        <w:spacing w:after="0" w:line="1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14" w:name="page15"/>
    <w:bookmarkEnd w:id="14"/>
    <w:p>
      <w:pPr>
        <w:jc w:val="both"/>
        <w:ind w:left="100"/>
        <w:spacing w:after="0" w:line="241" w:lineRule="auto"/>
        <w:rPr>
          <w:sz w:val="20"/>
          <w:szCs w:val="20"/>
          <w:color w:val="auto"/>
        </w:rPr>
      </w:pPr>
      <w:r>
        <w:rPr>
          <w:rFonts w:ascii="Times New Roman" w:cs="Times New Roman" w:eastAsia="Times New Roman" w:hAnsi="Times New Roman"/>
          <w:sz w:val="22"/>
          <w:szCs w:val="22"/>
          <w:color w:val="auto"/>
        </w:rPr>
        <w:t>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8" w:lineRule="exact"/>
        <w:rPr>
          <w:sz w:val="20"/>
          <w:szCs w:val="20"/>
          <w:color w:val="auto"/>
        </w:rPr>
      </w:pPr>
    </w:p>
    <w:p>
      <w:pPr>
        <w:jc w:val="both"/>
        <w:ind w:left="100" w:right="20" w:firstLine="749"/>
        <w:spacing w:after="0" w:line="261" w:lineRule="auto"/>
        <w:rPr>
          <w:sz w:val="20"/>
          <w:szCs w:val="20"/>
          <w:color w:val="auto"/>
        </w:rPr>
      </w:pPr>
      <w:r>
        <w:rPr>
          <w:rFonts w:ascii="Times New Roman" w:cs="Times New Roman" w:eastAsia="Times New Roman" w:hAnsi="Times New Roman"/>
          <w:sz w:val="21"/>
          <w:szCs w:val="21"/>
          <w:i w:val="1"/>
          <w:iCs w:val="1"/>
          <w:color w:val="auto"/>
        </w:rPr>
        <w:t xml:space="preserve">“ERISA Group” </w:t>
      </w:r>
      <w:r>
        <w:rPr>
          <w:rFonts w:ascii="Times New Roman" w:cs="Times New Roman" w:eastAsia="Times New Roman" w:hAnsi="Times New Roman"/>
          <w:sz w:val="21"/>
          <w:szCs w:val="21"/>
          <w:color w:val="auto"/>
        </w:rPr>
        <w:t>means each controlled group of corporations or trades or businesses (whether or not incorporated)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common control that is treated as a single employer under Section 414(b), (c), (m) or (o) of the Code with the Borrower.</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“Erroneous Payment”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12.07(a).</w:t>
      </w:r>
    </w:p>
    <w:p>
      <w:pPr>
        <w:spacing w:after="0" w:line="2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“Erroneous Payment Deficiency Assignment”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12.07(d).</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“Erroneous Payment Impacted Class”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12.07(d).</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“Erroneous Payment Return Deficiency”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12.07(d).</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“Erroneous Payment Subrogation Rights”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12.07(d)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9"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“Eurocurrency”</w:t>
      </w:r>
      <w:r>
        <w:rPr>
          <w:rFonts w:ascii="Times New Roman" w:cs="Times New Roman" w:eastAsia="Times New Roman" w:hAnsi="Times New Roman"/>
          <w:sz w:val="22"/>
          <w:szCs w:val="22"/>
          <w:color w:val="auto"/>
        </w:rPr>
        <w:t>, when used in reference to any Advance or Borrowing, refers to whether such Advance,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Advances constituting such Borrowing, are bearing interest at a rate determined by reference to the Adjusted Eurocurrency Rate.</w:t>
      </w:r>
    </w:p>
    <w:p>
      <w:pPr>
        <w:spacing w:after="0" w:line="189" w:lineRule="exact"/>
        <w:rPr>
          <w:sz w:val="20"/>
          <w:szCs w:val="20"/>
          <w:color w:val="auto"/>
        </w:rPr>
      </w:pPr>
    </w:p>
    <w:p>
      <w:pPr>
        <w:jc w:val="both"/>
        <w:ind w:left="1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Eurocurrency Banking Day</w:t>
      </w:r>
      <w:r>
        <w:rPr>
          <w:rFonts w:ascii="Times New Roman" w:cs="Times New Roman" w:eastAsia="Times New Roman" w:hAnsi="Times New Roman"/>
          <w:sz w:val="22"/>
          <w:szCs w:val="22"/>
          <w:color w:val="auto"/>
        </w:rPr>
        <w:t>” means for Eurocurrency Advances, Eurocurrency Borrowings, interest, fees, commissions or other amounts denominated in, or calculated with respect to:</w:t>
      </w:r>
    </w:p>
    <w:p>
      <w:pPr>
        <w:spacing w:after="0" w:line="181" w:lineRule="exact"/>
        <w:rPr>
          <w:sz w:val="20"/>
          <w:szCs w:val="20"/>
          <w:color w:val="auto"/>
        </w:rPr>
      </w:pPr>
    </w:p>
    <w:p>
      <w:pPr>
        <w:jc w:val="both"/>
        <w:ind w:left="1580" w:firstLine="9"/>
        <w:spacing w:after="0" w:line="244" w:lineRule="auto"/>
        <w:tabs>
          <w:tab w:leader="none" w:pos="225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Dollars, any day </w:t>
      </w:r>
      <w:r>
        <w:rPr>
          <w:rFonts w:ascii="Times New Roman" w:cs="Times New Roman" w:eastAsia="Times New Roman" w:hAnsi="Times New Roman"/>
          <w:sz w:val="22"/>
          <w:szCs w:val="22"/>
          <w:color w:val="FF0000"/>
          <w:strike w:val="1"/>
        </w:rPr>
        <w:t>(other than</w:t>
      </w:r>
      <w:r>
        <w:rPr>
          <w:rFonts w:ascii="Times New Roman" w:cs="Times New Roman" w:eastAsia="Times New Roman" w:hAnsi="Times New Roman"/>
          <w:sz w:val="22"/>
          <w:szCs w:val="22"/>
          <w:u w:val="single" w:color="auto"/>
          <w:color w:val="0000FF"/>
        </w:rPr>
        <w:t>except for (i)</w:t>
      </w:r>
      <w:r>
        <w:rPr>
          <w:rFonts w:ascii="Times New Roman" w:cs="Times New Roman" w:eastAsia="Times New Roman" w:hAnsi="Times New Roman"/>
          <w:sz w:val="22"/>
          <w:szCs w:val="22"/>
          <w:color w:val="auto"/>
        </w:rPr>
        <w:t xml:space="preserve"> a Saturday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u w:val="single" w:color="auto"/>
          <w:color w:val="0000FF"/>
        </w:rPr>
        <w:t>, (ii) a</w:t>
      </w:r>
      <w:r>
        <w:rPr>
          <w:rFonts w:ascii="Times New Roman" w:cs="Times New Roman" w:eastAsia="Times New Roman" w:hAnsi="Times New Roman"/>
          <w:sz w:val="22"/>
          <w:szCs w:val="22"/>
          <w:color w:val="auto"/>
        </w:rPr>
        <w:t xml:space="preserve"> Sunday</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(iii) a day</w:t>
      </w:r>
      <w:r>
        <w:rPr>
          <w:rFonts w:ascii="Times New Roman" w:cs="Times New Roman" w:eastAsia="Times New Roman" w:hAnsi="Times New Roman"/>
          <w:sz w:val="22"/>
          <w:szCs w:val="22"/>
          <w:color w:val="auto"/>
        </w:rPr>
        <w:t xml:space="preserve"> on which </w:t>
      </w:r>
      <w:r>
        <w:rPr>
          <w:rFonts w:ascii="Times New Roman" w:cs="Times New Roman" w:eastAsia="Times New Roman" w:hAnsi="Times New Roman"/>
          <w:sz w:val="22"/>
          <w:szCs w:val="22"/>
          <w:color w:val="FF0000"/>
          <w:strike w:val="1"/>
        </w:rPr>
        <w:t>banks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are open for business in London, England</w:t>
      </w:r>
      <w:r>
        <w:rPr>
          <w:rFonts w:ascii="Times New Roman" w:cs="Times New Roman" w:eastAsia="Times New Roman" w:hAnsi="Times New Roman"/>
          <w:sz w:val="22"/>
          <w:szCs w:val="22"/>
          <w:u w:val="single" w:color="auto"/>
          <w:color w:val="0000FF"/>
          <w:strike w:val="1"/>
        </w:rPr>
        <w:t>the Securities Industry and Financial Markets Association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recommends that the fixed income departments of its members be closed for the entire day for purposes of trading in United States government securities</w:t>
      </w:r>
      <w:r>
        <w:rPr>
          <w:rFonts w:ascii="Times New Roman" w:cs="Times New Roman" w:eastAsia="Times New Roman" w:hAnsi="Times New Roman"/>
          <w:sz w:val="22"/>
          <w:szCs w:val="22"/>
          <w:color w:val="000000"/>
          <w:strike w:val="1"/>
        </w:rPr>
        <w:t>;</w:t>
      </w:r>
    </w:p>
    <w:p>
      <w:pPr>
        <w:spacing w:after="0" w:line="213"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Euros, a TARGET Day;</w:t>
      </w:r>
    </w:p>
    <w:p>
      <w:pPr>
        <w:spacing w:after="0" w:line="219"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Dollars, any day (other than a Saturday or Sunday)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-1154430</wp:posOffset>
            </wp:positionV>
            <wp:extent cx="156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-1102995</wp:posOffset>
            </wp:positionV>
            <wp:extent cx="156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15" w:name="page16"/>
    <w:bookmarkEnd w:id="15"/>
    <w:p>
      <w:pPr>
        <w:ind w:left="100"/>
        <w:spacing w:after="0"/>
        <w:rPr>
          <w:sz w:val="20"/>
          <w:szCs w:val="20"/>
          <w:color w:val="auto"/>
        </w:rPr>
      </w:pPr>
      <w:r>
        <w:rPr>
          <w:rFonts w:ascii="Times New Roman" w:cs="Times New Roman" w:eastAsia="Times New Roman" w:hAnsi="Times New Roman"/>
          <w:sz w:val="22"/>
          <w:szCs w:val="22"/>
          <w:color w:val="auto"/>
        </w:rPr>
        <w:t>banks are open for business in Toronto, Canada; or</w:t>
      </w:r>
    </w:p>
    <w:p>
      <w:pPr>
        <w:spacing w:after="0" w:line="206" w:lineRule="exact"/>
        <w:rPr>
          <w:sz w:val="20"/>
          <w:szCs w:val="20"/>
          <w:color w:val="auto"/>
        </w:rPr>
      </w:pPr>
    </w:p>
    <w:p>
      <w:pPr>
        <w:ind w:left="2020" w:hanging="431"/>
        <w:spacing w:after="0"/>
        <w:tabs>
          <w:tab w:leader="none" w:pos="20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Australian Dollars, any day (other than a Saturday or Sunday) on which banks are open for business in</w:t>
      </w:r>
    </w:p>
    <w:p>
      <w:pPr>
        <w:spacing w:after="0" w:line="27"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Melbourne, Australia.</w:t>
      </w:r>
    </w:p>
    <w:p>
      <w:pPr>
        <w:spacing w:after="0" w:line="246" w:lineRule="exact"/>
        <w:rPr>
          <w:sz w:val="20"/>
          <w:szCs w:val="20"/>
          <w:color w:val="auto"/>
        </w:rPr>
      </w:pPr>
    </w:p>
    <w:p>
      <w:pPr>
        <w:ind w:left="100" w:right="28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Eurocurrency Liabilities</w:t>
      </w:r>
      <w:r>
        <w:rPr>
          <w:rFonts w:ascii="Times New Roman" w:cs="Times New Roman" w:eastAsia="Times New Roman" w:hAnsi="Times New Roman"/>
          <w:sz w:val="22"/>
          <w:szCs w:val="22"/>
          <w:color w:val="auto"/>
        </w:rPr>
        <w:t>” is defined in Regulation D of the Board of Governors of the Federal Reserve System, as in effect from time to time.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“Eurocurrency Rate” </w:t>
      </w:r>
      <w:r>
        <w:rPr>
          <w:rFonts w:ascii="Times New Roman" w:cs="Times New Roman" w:eastAsia="Times New Roman" w:hAnsi="Times New Roman"/>
          <w:sz w:val="22"/>
          <w:szCs w:val="22"/>
          <w:color w:val="auto"/>
        </w:rPr>
        <w:t>means, for any Interest Accrual Period:</w:t>
      </w:r>
    </w:p>
    <w:p>
      <w:pPr>
        <w:spacing w:after="0" w:line="264" w:lineRule="exact"/>
        <w:rPr>
          <w:sz w:val="20"/>
          <w:szCs w:val="20"/>
          <w:color w:val="auto"/>
        </w:rPr>
      </w:pPr>
    </w:p>
    <w:p>
      <w:pPr>
        <w:jc w:val="both"/>
        <w:ind w:left="100" w:firstLine="740"/>
        <w:spacing w:after="0" w:line="251" w:lineRule="auto"/>
        <w:tabs>
          <w:tab w:leader="none" w:pos="157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Eurocurrency Borrowings denominated in Dollars, the </w:t>
      </w:r>
      <w:r>
        <w:rPr>
          <w:rFonts w:ascii="Times New Roman" w:cs="Times New Roman" w:eastAsia="Times New Roman" w:hAnsi="Times New Roman"/>
          <w:sz w:val="21"/>
          <w:szCs w:val="21"/>
          <w:color w:val="FF0000"/>
          <w:strike w:val="1"/>
        </w:rPr>
        <w:t>ICE Benchmark Administration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Limited London interbank offered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rate per annum</w:t>
      </w:r>
      <w:r>
        <w:rPr>
          <w:rFonts w:ascii="Times New Roman" w:cs="Times New Roman" w:eastAsia="Times New Roman" w:hAnsi="Times New Roman"/>
          <w:sz w:val="21"/>
          <w:szCs w:val="21"/>
          <w:color w:val="FF0000"/>
        </w:rPr>
        <w:t xml:space="preserve"> for deposits in the </w:t>
      </w:r>
      <w:r>
        <w:rPr>
          <w:rFonts w:ascii="Times New Roman" w:cs="Times New Roman" w:eastAsia="Times New Roman" w:hAnsi="Times New Roman"/>
          <w:sz w:val="21"/>
          <w:szCs w:val="21"/>
          <w:color w:val="FF0000"/>
          <w:strike w:val="1"/>
        </w:rPr>
        <w:t>relevant Currency for a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equal to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Term 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Reference Rate for a tenor comparable to the applicable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Interest Accrual Period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as displayed in</w:t>
      </w:r>
      <w:r>
        <w:rPr>
          <w:rFonts w:ascii="Times New Roman" w:cs="Times New Roman" w:eastAsia="Times New Roman" w:hAnsi="Times New Roman"/>
          <w:sz w:val="21"/>
          <w:szCs w:val="21"/>
          <w:u w:val="single" w:color="auto"/>
          <w:color w:val="0000FF"/>
        </w:rPr>
        <w:t>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Bloomberg Financial</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Markets System (or such other page on that service or such other service designated by the ICE Benchmark Administration Limited for the display of such Administration’s London interbank offered rate for deposits in the relevant Currency) as of 11:00 a.m., London time on the day</w:t>
      </w:r>
      <w:r>
        <w:rPr>
          <w:rFonts w:ascii="Times New Roman" w:cs="Times New Roman" w:eastAsia="Times New Roman" w:hAnsi="Times New Roman"/>
          <w:sz w:val="21"/>
          <w:szCs w:val="21"/>
          <w:u w:val="single" w:color="auto"/>
          <w:color w:val="0000FF"/>
          <w:strike w:val="1"/>
        </w:rPr>
        <w:t>day (such day, the “Periodic Term SOFR Determination Day”)</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that is two</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(2)</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Eurocurrency</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Banking Days for Dollars prior to the first day of </w:t>
      </w: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u w:val="single" w:color="auto"/>
          <w:color w:val="0000FF"/>
          <w:strike w:val="1"/>
        </w:rPr>
        <w:t>such</w:t>
      </w:r>
      <w:r>
        <w:rPr>
          <w:rFonts w:ascii="Times New Roman" w:cs="Times New Roman" w:eastAsia="Times New Roman" w:hAnsi="Times New Roman"/>
          <w:sz w:val="21"/>
          <w:szCs w:val="21"/>
          <w:color w:val="000000"/>
          <w:strike w:val="1"/>
        </w:rPr>
        <w:t xml:space="preserve"> Interest Accrual Period</w:t>
      </w:r>
      <w:r>
        <w:rPr>
          <w:rFonts w:ascii="Times New Roman" w:cs="Times New Roman" w:eastAsia="Times New Roman" w:hAnsi="Times New Roman"/>
          <w:sz w:val="21"/>
          <w:szCs w:val="21"/>
          <w:u w:val="single" w:color="auto"/>
          <w:color w:val="0000FF"/>
          <w:strike w:val="1"/>
        </w:rPr>
        <w:t>, as such rate is published by the Term SOFR</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Administrator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(the “</w:t>
      </w:r>
      <w:r>
        <w:rPr>
          <w:rFonts w:ascii="Times New Roman" w:cs="Times New Roman" w:eastAsia="Times New Roman" w:hAnsi="Times New Roman"/>
          <w:sz w:val="21"/>
          <w:szCs w:val="21"/>
          <w:i w:val="1"/>
          <w:iCs w:val="1"/>
          <w:color w:val="FF0000"/>
          <w:strike w:val="1"/>
        </w:rPr>
        <w:t>LIBO</w:t>
      </w:r>
      <w:r>
        <w:rPr>
          <w:rFonts w:ascii="Times New Roman" w:cs="Times New Roman" w:eastAsia="Times New Roman" w:hAnsi="Times New Roman"/>
          <w:sz w:val="21"/>
          <w:szCs w:val="21"/>
          <w:i w:val="1"/>
          <w:iCs w:val="1"/>
          <w:u w:val="single" w:color="auto"/>
          <w:color w:val="0000FF"/>
          <w:strike w:val="1"/>
        </w:rPr>
        <w:t>SOFR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i w:val="1"/>
          <w:iCs w:val="1"/>
          <w:color w:val="000000"/>
          <w:strike w:val="1"/>
        </w:rPr>
        <w:t>Screen Rate</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00"/>
          <w:strike w:val="1"/>
        </w:rPr>
        <w:t>provided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that if</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the Administrative Agent determines that the relevant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foregoing sources are unavailable for the relevant Interest Accrual Period, Eurocurrency Rate shall mean for Dollars, the rate of interest determined by the Administrative Agent to be the average (rounded upward, if necessary, to the nearest 1/100th of</w:t>
      </w:r>
    </w:p>
    <w:p>
      <w:pPr>
        <w:spacing w:after="0" w:line="9" w:lineRule="exact"/>
        <w:rPr>
          <w:rFonts w:ascii="Times New Roman" w:cs="Times New Roman" w:eastAsia="Times New Roman" w:hAnsi="Times New Roman"/>
          <w:sz w:val="21"/>
          <w:szCs w:val="21"/>
          <w:color w:val="auto"/>
        </w:rPr>
      </w:pPr>
    </w:p>
    <w:p>
      <w:pPr>
        <w:jc w:val="both"/>
        <w:ind w:left="10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FF0000"/>
          <w:strike w:val="1"/>
        </w:rPr>
        <w:t>1%) of the rate per annum at which the Administrative Agent could borrow funds if it were to do so by asking for and then accepting interbank offers two</w:t>
      </w:r>
      <w:r>
        <w:rPr>
          <w:rFonts w:ascii="Times New Roman" w:cs="Times New Roman" w:eastAsia="Times New Roman" w:hAnsi="Times New Roman"/>
          <w:sz w:val="22"/>
          <w:szCs w:val="22"/>
          <w:u w:val="single" w:color="auto"/>
          <w:color w:val="0000FF"/>
          <w:strike w:val="1"/>
        </w:rPr>
        <w:t>as of 5:00 p.m. on any Periodic Term SOFR Determination Day the Term SOFR Reference Rate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for the applicable tenor has not been published by the Term SOFR Administrator and a Benchmark Replacement Date with respect to the Term SOFR Reference Rate has not occurred, then the Eurocurrency Rate for Eurocurrency Borrowings denominated in Dollars will be the Term SOFR Reference Rate for such tenor as published by the Term SOFR Administrator on the first preceding Eurocurrency Banking Day for Dollars for which such Term SOFR Reference Rate for such tenor was published by the Term SOFR Administrator so long as such first preceding Eurocurrency Banking Day for Dollars is not more than three (3)</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Eurocurrency Banking Days for Dollars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preceding the first day of such Interest Accrual Period in the London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interbank market for Dollars as of 11:00 a.m. for delivery on the first day of such Interest Accrual Period, for the number of days comprised therein and in an amount comparable to the amount of the Administrative Agent’s portion of the relevant Eurocurrency Borrowing;</w:t>
      </w:r>
      <w:r>
        <w:rPr>
          <w:rFonts w:ascii="Times New Roman" w:cs="Times New Roman" w:eastAsia="Times New Roman" w:hAnsi="Times New Roman"/>
          <w:sz w:val="22"/>
          <w:szCs w:val="22"/>
          <w:u w:val="single" w:color="auto"/>
          <w:color w:val="0000FF"/>
          <w:strike w:val="1"/>
        </w:rPr>
        <w:t>prior to such Periodic Term SOFR Determination Day (the rate under this clause (a) referred to herein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as, “</w:t>
      </w:r>
      <w:r>
        <w:rPr>
          <w:rFonts w:ascii="Times New Roman" w:cs="Times New Roman" w:eastAsia="Times New Roman" w:hAnsi="Times New Roman"/>
          <w:sz w:val="22"/>
          <w:szCs w:val="22"/>
          <w:i w:val="1"/>
          <w:iCs w:val="1"/>
          <w:u w:val="single" w:color="auto"/>
          <w:color w:val="0000FF"/>
          <w:strike w:val="1"/>
        </w:rPr>
        <w:t>Term SOFR</w:t>
      </w:r>
      <w:r>
        <w:rPr>
          <w:rFonts w:ascii="Times New Roman" w:cs="Times New Roman" w:eastAsia="Times New Roman" w:hAnsi="Times New Roman"/>
          <w:sz w:val="22"/>
          <w:szCs w:val="22"/>
          <w:u w:val="single" w:color="auto"/>
          <w:color w:val="0000FF"/>
          <w:strike w:val="1"/>
        </w:rPr>
        <w:t>”).</w:t>
      </w:r>
    </w:p>
    <w:p>
      <w:pPr>
        <w:spacing w:after="0" w:line="219" w:lineRule="exact"/>
        <w:rPr>
          <w:rFonts w:ascii="Times New Roman" w:cs="Times New Roman" w:eastAsia="Times New Roman" w:hAnsi="Times New Roman"/>
          <w:sz w:val="21"/>
          <w:szCs w:val="21"/>
          <w:color w:val="auto"/>
        </w:rPr>
      </w:pPr>
    </w:p>
    <w:p>
      <w:pPr>
        <w:jc w:val="both"/>
        <w:ind w:left="100" w:firstLine="740"/>
        <w:spacing w:after="0" w:line="247" w:lineRule="auto"/>
        <w:tabs>
          <w:tab w:leader="none" w:pos="152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22"/>
          <w:szCs w:val="22"/>
          <w:i w:val="1"/>
          <w:iCs w:val="1"/>
          <w:color w:val="auto"/>
        </w:rPr>
        <w:t>EURIBOR Screen Rate</w:t>
      </w:r>
      <w:r>
        <w:rPr>
          <w:rFonts w:ascii="Times New Roman" w:cs="Times New Roman" w:eastAsia="Times New Roman" w:hAnsi="Times New Roman"/>
          <w:sz w:val="22"/>
          <w:szCs w:val="22"/>
          <w:color w:val="auto"/>
        </w:rPr>
        <w: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-4246245</wp:posOffset>
            </wp:positionV>
            <wp:extent cx="1055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16" w:name="page17"/>
    <w:bookmarkEnd w:id="16"/>
    <w:p>
      <w:pPr>
        <w:ind w:left="960"/>
        <w:spacing w:after="0"/>
        <w:rPr>
          <w:sz w:val="20"/>
          <w:szCs w:val="20"/>
          <w:color w:val="auto"/>
        </w:rPr>
      </w:pPr>
      <w:r>
        <w:rPr>
          <w:rFonts w:ascii="Times New Roman" w:cs="Times New Roman" w:eastAsia="Times New Roman" w:hAnsi="Times New Roman"/>
          <w:sz w:val="22"/>
          <w:szCs w:val="22"/>
          <w:i w:val="1"/>
          <w:iCs w:val="1"/>
          <w:color w:val="auto"/>
        </w:rPr>
        <w:t xml:space="preserve">“Floor Obligation” </w:t>
      </w:r>
      <w:r>
        <w:rPr>
          <w:rFonts w:ascii="Times New Roman" w:cs="Times New Roman" w:eastAsia="Times New Roman" w:hAnsi="Times New Roman"/>
          <w:sz w:val="22"/>
          <w:szCs w:val="22"/>
          <w:color w:val="auto"/>
        </w:rPr>
        <w:t>means, as of any date:</w:t>
      </w:r>
    </w:p>
    <w:p>
      <w:pPr>
        <w:spacing w:after="0" w:line="251" w:lineRule="exact"/>
        <w:rPr>
          <w:sz w:val="20"/>
          <w:szCs w:val="20"/>
          <w:color w:val="auto"/>
        </w:rPr>
      </w:pPr>
    </w:p>
    <w:p>
      <w:pPr>
        <w:jc w:val="both"/>
        <w:ind w:left="960" w:right="20" w:firstLine="852"/>
        <w:spacing w:after="0" w:line="243" w:lineRule="auto"/>
        <w:tabs>
          <w:tab w:leader="none" w:pos="251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Floating Rate Obligation (1) for which the Related Documents provides for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London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interbank offered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option or a 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option and that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 is calculated as the greater of a specified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“floor” rate per annum and </w:t>
      </w:r>
      <w:r>
        <w:rPr>
          <w:rFonts w:ascii="Times New Roman" w:cs="Times New Roman" w:eastAsia="Times New Roman" w:hAnsi="Times New Roman"/>
          <w:sz w:val="22"/>
          <w:szCs w:val="22"/>
          <w:color w:val="FF0000"/>
          <w:strike w:val="1"/>
        </w:rPr>
        <w:t>the London interbank offered</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000000"/>
        </w:rPr>
        <w:t xml:space="preserve"> rate for the applicable interest period and (2) that, as of such date, bears interest based on such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London interbank offered</w:t>
      </w:r>
      <w:r>
        <w:rPr>
          <w:rFonts w:ascii="Times New Roman" w:cs="Times New Roman" w:eastAsia="Times New Roman" w:hAnsi="Times New Roman"/>
          <w:sz w:val="22"/>
          <w:szCs w:val="22"/>
          <w:color w:val="000000"/>
        </w:rPr>
        <w:t xml:space="preserve"> rate </w:t>
      </w:r>
      <w:r>
        <w:rPr>
          <w:rFonts w:ascii="Times New Roman" w:cs="Times New Roman" w:eastAsia="Times New Roman" w:hAnsi="Times New Roman"/>
          <w:sz w:val="22"/>
          <w:szCs w:val="22"/>
          <w:u w:val="single" w:color="auto"/>
          <w:color w:val="0000FF"/>
        </w:rPr>
        <w:t>option or SOFR</w:t>
      </w:r>
      <w:r>
        <w:rPr>
          <w:rFonts w:ascii="Times New Roman" w:cs="Times New Roman" w:eastAsia="Times New Roman" w:hAnsi="Times New Roman"/>
          <w:sz w:val="22"/>
          <w:szCs w:val="22"/>
          <w:color w:val="000000"/>
        </w:rPr>
        <w:t xml:space="preserve"> option, but only if as of such date the London interbank offered rate </w:t>
      </w:r>
      <w:r>
        <w:rPr>
          <w:rFonts w:ascii="Times New Roman" w:cs="Times New Roman" w:eastAsia="Times New Roman" w:hAnsi="Times New Roman"/>
          <w:sz w:val="22"/>
          <w:szCs w:val="22"/>
          <w:color w:val="0000FF"/>
        </w:rPr>
        <w:t>or SOFR</w:t>
      </w:r>
      <w:r>
        <w:rPr>
          <w:rFonts w:ascii="Times New Roman" w:cs="Times New Roman" w:eastAsia="Times New Roman" w:hAnsi="Times New Roman"/>
          <w:sz w:val="22"/>
          <w:szCs w:val="22"/>
          <w:color w:val="000000"/>
        </w:rPr>
        <w:t xml:space="preserve"> for the applicable interest period is less than such floor rate; and</w:t>
      </w:r>
    </w:p>
    <w:p>
      <w:pPr>
        <w:spacing w:after="0" w:line="231" w:lineRule="exact"/>
        <w:rPr>
          <w:rFonts w:ascii="Times New Roman" w:cs="Times New Roman" w:eastAsia="Times New Roman" w:hAnsi="Times New Roman"/>
          <w:sz w:val="22"/>
          <w:szCs w:val="22"/>
          <w:color w:val="auto"/>
        </w:rPr>
      </w:pPr>
    </w:p>
    <w:p>
      <w:pPr>
        <w:jc w:val="both"/>
        <w:ind w:left="960" w:right="20" w:firstLine="838"/>
        <w:spacing w:after="0" w:line="243" w:lineRule="auto"/>
        <w:tabs>
          <w:tab w:leader="none" w:pos="24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-1146810</wp:posOffset>
            </wp:positionV>
            <wp:extent cx="525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194" w:lineRule="exact"/>
        <w:rPr>
          <w:sz w:val="20"/>
          <w:szCs w:val="20"/>
          <w:color w:val="auto"/>
        </w:rPr>
      </w:pPr>
    </w:p>
    <w:p>
      <w:pPr>
        <w:jc w:val="both"/>
        <w:ind w:left="220" w:right="20" w:firstLine="749"/>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“Foreign Currency Equivalent” </w:t>
      </w:r>
      <w:r>
        <w:rPr>
          <w:rFonts w:ascii="Times New Roman" w:cs="Times New Roman" w:eastAsia="Times New Roman" w:hAnsi="Times New Roman"/>
          <w:sz w:val="22"/>
          <w:szCs w:val="22"/>
          <w:color w:val="auto"/>
        </w:rPr>
        <w:t>means, with respect to any amount in Dollars, the amount of any Agreed Foreign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Currency that could be 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219" w:lineRule="exact"/>
        <w:rPr>
          <w:sz w:val="20"/>
          <w:szCs w:val="20"/>
          <w:color w:val="auto"/>
        </w:rPr>
      </w:pPr>
    </w:p>
    <w:p>
      <w:pPr>
        <w:jc w:val="both"/>
        <w:ind w:left="220" w:right="20" w:firstLine="74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Currency Loan OC Balance</w:t>
      </w:r>
      <w:r>
        <w:rPr>
          <w:rFonts w:ascii="Times New Roman" w:cs="Times New Roman" w:eastAsia="Times New Roman" w:hAnsi="Times New Roman"/>
          <w:sz w:val="21"/>
          <w:szCs w:val="21"/>
          <w:color w:val="auto"/>
        </w:rPr>
        <w:t xml:space="preserve">” means, for any Collateral Loan denominated in an Agreed Foreign Currency, the sum of, (a) the product of (i) the Dollar Equivalent outstanding principal balance of such loan, and (ii) the difference of 1 </w:t>
      </w:r>
      <w:r>
        <w:rPr>
          <w:rFonts w:ascii="Times New Roman" w:cs="Times New Roman" w:eastAsia="Times New Roman" w:hAnsi="Times New Roman"/>
          <w:sz w:val="21"/>
          <w:szCs w:val="21"/>
          <w:i w:val="1"/>
          <w:iCs w:val="1"/>
          <w:color w:val="auto"/>
        </w:rPr>
        <w:t xml:space="preserve">minus </w:t>
      </w:r>
      <w:r>
        <w:rPr>
          <w:rFonts w:ascii="Times New Roman" w:cs="Times New Roman" w:eastAsia="Times New Roman" w:hAnsi="Times New Roman"/>
          <w:sz w:val="21"/>
          <w:szCs w:val="21"/>
          <w:color w:val="auto"/>
        </w:rPr>
        <w:t>the Advance Rate applicable to such loan, (b) the Dollar Equivalent of any Excess Concentration Amount attributable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such Collateral Loan, and (c) if such Collateral Loan is a Haircut Collateral Loan, the product of (i) the Dollar Equivalent outstanding principal balance of such Haircut Collateral Loan and (ii) 1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such Haircut Collateral Loan’s Recovery Rate.</w:t>
      </w:r>
    </w:p>
    <w:p>
      <w:pPr>
        <w:spacing w:after="0" w:line="196" w:lineRule="exact"/>
        <w:rPr>
          <w:sz w:val="20"/>
          <w:szCs w:val="20"/>
          <w:color w:val="auto"/>
        </w:rPr>
      </w:pPr>
    </w:p>
    <w:p>
      <w:pPr>
        <w:ind w:left="220" w:right="2780" w:firstLine="749"/>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“Foreign Currency Variability Factor” </w:t>
      </w:r>
      <w:r>
        <w:rPr>
          <w:rFonts w:ascii="Times New Roman" w:cs="Times New Roman" w:eastAsia="Times New Roman" w:hAnsi="Times New Roman"/>
          <w:sz w:val="21"/>
          <w:szCs w:val="21"/>
          <w:color w:val="auto"/>
        </w:rPr>
        <w:t>means, with respect to each Agreed Foreign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Currency, the percentage opposite such Agreed Foreign Currency set forth in the table below:</w:t>
      </w:r>
    </w:p>
    <w:p>
      <w:pPr>
        <w:spacing w:after="0" w:line="136" w:lineRule="exact"/>
        <w:rPr>
          <w:sz w:val="20"/>
          <w:szCs w:val="20"/>
          <w:color w:val="auto"/>
        </w:rPr>
      </w:pPr>
    </w:p>
    <w:tbl>
      <w:tblPr>
        <w:tblLayout w:type="fixed"/>
        <w:tblInd w:w="90" w:type="dxa"/>
        <w:tblCellMar>
          <w:top w:w="0" w:type="dxa"/>
          <w:left w:w="0" w:type="dxa"/>
          <w:bottom w:w="0" w:type="dxa"/>
          <w:right w:w="0" w:type="dxa"/>
        </w:tblCellMar>
      </w:tblPr>
      <w:tr>
        <w:trPr>
          <w:trHeight w:val="513"/>
        </w:trPr>
        <w:tc>
          <w:tcPr>
            <w:tcW w:w="364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Applicable Currency</w:t>
            </w:r>
          </w:p>
        </w:tc>
        <w:tc>
          <w:tcPr>
            <w:tcW w:w="1920" w:type="dxa"/>
            <w:vAlign w:val="bottom"/>
            <w:tcBorders>
              <w:top w:val="single" w:sz="8" w:color="auto"/>
              <w:bottom w:val="single" w:sz="8" w:color="auto"/>
              <w:right w:val="single" w:sz="8" w:color="auto"/>
            </w:tcBorders>
          </w:tcPr>
          <w:p>
            <w:pPr>
              <w:spacing w:after="0"/>
              <w:rPr>
                <w:sz w:val="24"/>
                <w:szCs w:val="24"/>
                <w:color w:val="auto"/>
              </w:rPr>
            </w:pPr>
          </w:p>
        </w:tc>
        <w:tc>
          <w:tcPr>
            <w:tcW w:w="5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Percentage Factor</w:t>
            </w:r>
          </w:p>
        </w:tc>
      </w:tr>
      <w:tr>
        <w:trPr>
          <w:trHeight w:val="495"/>
        </w:trPr>
        <w:tc>
          <w:tcPr>
            <w:tcW w:w="3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Euros</w:t>
            </w:r>
          </w:p>
        </w:tc>
        <w:tc>
          <w:tcPr>
            <w:tcW w:w="192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33%</w:t>
            </w:r>
          </w:p>
        </w:tc>
      </w:tr>
      <w:tr>
        <w:trPr>
          <w:trHeight w:val="493"/>
        </w:trPr>
        <w:tc>
          <w:tcPr>
            <w:tcW w:w="3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Canadian Dollars</w:t>
            </w:r>
          </w:p>
        </w:tc>
        <w:tc>
          <w:tcPr>
            <w:tcW w:w="192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38%</w:t>
            </w:r>
          </w:p>
        </w:tc>
      </w:tr>
      <w:tr>
        <w:trPr>
          <w:trHeight w:val="493"/>
        </w:trPr>
        <w:tc>
          <w:tcPr>
            <w:tcW w:w="3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Pounds Sterling</w:t>
            </w:r>
          </w:p>
        </w:tc>
        <w:tc>
          <w:tcPr>
            <w:tcW w:w="192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w:t>
            </w:r>
          </w:p>
        </w:tc>
      </w:tr>
      <w:tr>
        <w:trPr>
          <w:trHeight w:val="493"/>
        </w:trPr>
        <w:tc>
          <w:tcPr>
            <w:tcW w:w="3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Australian Dollars</w:t>
            </w:r>
          </w:p>
        </w:tc>
        <w:tc>
          <w:tcPr>
            <w:tcW w:w="192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61%</w:t>
            </w:r>
          </w:p>
        </w:tc>
      </w:tr>
      <w:tr>
        <w:trPr>
          <w:trHeight w:val="587"/>
        </w:trPr>
        <w:tc>
          <w:tcPr>
            <w:tcW w:w="3640" w:type="dxa"/>
            <w:vAlign w:val="bottom"/>
          </w:tcPr>
          <w:p>
            <w:pPr>
              <w:spacing w:after="0"/>
              <w:rPr>
                <w:sz w:val="24"/>
                <w:szCs w:val="24"/>
                <w:color w:val="auto"/>
              </w:rPr>
            </w:pPr>
          </w:p>
        </w:tc>
        <w:tc>
          <w:tcPr>
            <w:tcW w:w="7380" w:type="dxa"/>
            <w:vAlign w:val="bottom"/>
            <w:gridSpan w:val="2"/>
          </w:tcPr>
          <w:p>
            <w:pPr>
              <w:jc w:val="right"/>
              <w:ind w:right="5212"/>
              <w:spacing w:after="0"/>
              <w:rPr>
                <w:sz w:val="20"/>
                <w:szCs w:val="20"/>
                <w:color w:val="auto"/>
              </w:rPr>
            </w:pPr>
            <w:r>
              <w:rPr>
                <w:rFonts w:ascii="Times New Roman" w:cs="Times New Roman" w:eastAsia="Times New Roman" w:hAnsi="Times New Roman"/>
                <w:sz w:val="22"/>
                <w:szCs w:val="22"/>
                <w:color w:val="auto"/>
              </w:rPr>
              <w:t>-33-</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608" w:right="479" w:bottom="1440" w:gutter="0" w:footer="0" w:header="0"/>
        </w:sectPr>
      </w:pPr>
    </w:p>
    <w:bookmarkStart w:id="17" w:name="page18"/>
    <w:bookmarkEnd w:id="17"/>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“Money” </w:t>
      </w:r>
      <w:r>
        <w:rPr>
          <w:rFonts w:ascii="Times New Roman" w:cs="Times New Roman" w:eastAsia="Times New Roman" w:hAnsi="Times New Roman"/>
          <w:sz w:val="22"/>
          <w:szCs w:val="22"/>
          <w:color w:val="auto"/>
        </w:rPr>
        <w:t>has the meaning specified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1-201(24)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UCC.</w:t>
      </w:r>
    </w:p>
    <w:p>
      <w:pPr>
        <w:spacing w:after="0" w:line="260" w:lineRule="exact"/>
        <w:rPr>
          <w:sz w:val="20"/>
          <w:szCs w:val="20"/>
          <w:color w:val="auto"/>
        </w:rPr>
      </w:pPr>
    </w:p>
    <w:p>
      <w:pPr>
        <w:jc w:val="both"/>
        <w:ind w:left="1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“Monthly Asset Amount” </w:t>
      </w:r>
      <w:r>
        <w:rPr>
          <w:rFonts w:ascii="Times New Roman" w:cs="Times New Roman" w:eastAsia="Times New Roman" w:hAnsi="Times New Roman"/>
          <w:sz w:val="22"/>
          <w:szCs w:val="22"/>
          <w:color w:val="auto"/>
        </w:rPr>
        <w:t>means, for any Payment Date, the Aggregate Collateral Balance as of the last day of the most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recent Collection Period.</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“Monthly Report” </w:t>
      </w:r>
      <w:r>
        <w:rPr>
          <w:rFonts w:ascii="Times New Roman" w:cs="Times New Roman" w:eastAsia="Times New Roman" w:hAnsi="Times New Roman"/>
          <w:sz w:val="22"/>
          <w:szCs w:val="22"/>
          <w:color w:val="auto"/>
        </w:rPr>
        <w:t>has the meaning specified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8.06(a).</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“Monthly Report Determination Date” </w:t>
      </w:r>
      <w:r>
        <w:rPr>
          <w:rFonts w:ascii="Times New Roman" w:cs="Times New Roman" w:eastAsia="Times New Roman" w:hAnsi="Times New Roman"/>
          <w:sz w:val="22"/>
          <w:szCs w:val="22"/>
          <w:color w:val="auto"/>
        </w:rPr>
        <w:t>has the meaning specified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8.06(a).</w:t>
      </w:r>
    </w:p>
    <w:p>
      <w:pPr>
        <w:spacing w:after="0" w:line="247" w:lineRule="exact"/>
        <w:rPr>
          <w:sz w:val="20"/>
          <w:szCs w:val="20"/>
          <w:color w:val="auto"/>
        </w:rPr>
      </w:pPr>
    </w:p>
    <w:p>
      <w:pPr>
        <w:ind w:left="100" w:right="268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“Monthly Reporting Date” </w:t>
      </w:r>
      <w:r>
        <w:rPr>
          <w:rFonts w:ascii="Times New Roman" w:cs="Times New Roman" w:eastAsia="Times New Roman" w:hAnsi="Times New Roman"/>
          <w:sz w:val="22"/>
          <w:szCs w:val="22"/>
          <w:color w:val="auto"/>
        </w:rPr>
        <w:t>means the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calendar day (or, if such day is not a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on the next succeeding Business Day) of each calendar month.</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“Moody’s” </w:t>
      </w:r>
      <w:r>
        <w:rPr>
          <w:rFonts w:ascii="Times New Roman" w:cs="Times New Roman" w:eastAsia="Times New Roman" w:hAnsi="Times New Roman"/>
          <w:sz w:val="22"/>
          <w:szCs w:val="22"/>
          <w:color w:val="auto"/>
        </w:rPr>
        <w:t>means Moody’s Investors Service, Inc., together with its successors.</w:t>
      </w:r>
    </w:p>
    <w:p>
      <w:pPr>
        <w:spacing w:after="0" w:line="247" w:lineRule="exact"/>
        <w:rPr>
          <w:sz w:val="20"/>
          <w:szCs w:val="20"/>
          <w:color w:val="auto"/>
        </w:rPr>
      </w:pPr>
    </w:p>
    <w:p>
      <w:pPr>
        <w:ind w:left="100" w:right="300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“Multicurrency Advance” </w:t>
      </w:r>
      <w:r>
        <w:rPr>
          <w:rFonts w:ascii="Times New Roman" w:cs="Times New Roman" w:eastAsia="Times New Roman" w:hAnsi="Times New Roman"/>
          <w:sz w:val="22"/>
          <w:szCs w:val="22"/>
          <w:color w:val="auto"/>
        </w:rPr>
        <w:t>means an Advance denominated in Dollars or an Agreed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Foreign Currency.</w:t>
      </w:r>
    </w:p>
    <w:p>
      <w:pPr>
        <w:spacing w:after="0" w:line="176" w:lineRule="exact"/>
        <w:rPr>
          <w:sz w:val="20"/>
          <w:szCs w:val="20"/>
          <w:color w:val="auto"/>
        </w:rPr>
      </w:pPr>
    </w:p>
    <w:p>
      <w:pPr>
        <w:jc w:val="both"/>
        <w:ind w:left="100" w:firstLine="749"/>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 employee pension benefit plan within the meaning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4001(a)(3)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ERISA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sponsored by the Borrower or a member of its ERISA Group or to which the Borrower or a member of its ERISA Group is obligated to make contributions or has any liability.</w:t>
      </w:r>
    </w:p>
    <w:p>
      <w:pPr>
        <w:spacing w:after="0" w:line="193"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Worth</w:t>
      </w:r>
      <w:r>
        <w:rPr>
          <w:rFonts w:ascii="Times New Roman" w:cs="Times New Roman" w:eastAsia="Times New Roman" w:hAnsi="Times New Roman"/>
          <w:sz w:val="22"/>
          <w:szCs w:val="22"/>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76"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“Non-Cash Paying PIK Loan” </w:t>
      </w:r>
      <w:r>
        <w:rPr>
          <w:rFonts w:ascii="Times New Roman" w:cs="Times New Roman" w:eastAsia="Times New Roman" w:hAnsi="Times New Roman"/>
          <w:sz w:val="22"/>
          <w:szCs w:val="22"/>
          <w:color w:val="auto"/>
        </w:rPr>
        <w:t>means a Collateral Loan that requires the Obligor to pay only a portion of the accrued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unpaid interest in Cash 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London interbank offered rate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SOFR, as 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(y) at a fixed rate of less than 6.0% per annum.</w:t>
      </w:r>
    </w:p>
    <w:p>
      <w:pPr>
        <w:spacing w:after="0" w:line="2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w:t>
      </w:r>
    </w:p>
    <w:p>
      <w:pPr>
        <w:spacing w:after="0" w:line="247" w:lineRule="exact"/>
        <w:rPr>
          <w:sz w:val="20"/>
          <w:szCs w:val="20"/>
          <w:color w:val="auto"/>
        </w:rPr>
      </w:pPr>
    </w:p>
    <w:p>
      <w:pPr>
        <w:jc w:val="both"/>
        <w:ind w:left="100" w:right="2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Noteless Loan</w:t>
      </w:r>
      <w:r>
        <w:rPr>
          <w:rFonts w:ascii="Times New Roman" w:cs="Times New Roman" w:eastAsia="Times New Roman" w:hAnsi="Times New Roman"/>
          <w:sz w:val="22"/>
          <w:szCs w:val="22"/>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“Notice of Borrowing”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2.02.</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“Notice of Prepayment”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2.05.</w:t>
      </w:r>
    </w:p>
    <w:p>
      <w:pPr>
        <w:spacing w:after="0" w:line="247" w:lineRule="exact"/>
        <w:rPr>
          <w:sz w:val="20"/>
          <w:szCs w:val="20"/>
          <w:color w:val="auto"/>
        </w:rPr>
      </w:pPr>
    </w:p>
    <w:p>
      <w:pPr>
        <w:ind w:left="5420" w:right="2620" w:hanging="4583"/>
        <w:spacing w:after="0" w:line="341"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all indebtedness, whether absolute, fixed or contingent, at any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65" w:right="399" w:bottom="1440" w:gutter="0" w:footer="0" w:header="0"/>
        </w:sectPr>
      </w:pPr>
    </w:p>
    <w:bookmarkStart w:id="18" w:name="page19"/>
    <w:bookmarkEnd w:id="18"/>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or from time to time owing by the Borrower to 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204" w:lineRule="exact"/>
        <w:rPr>
          <w:sz w:val="20"/>
          <w:szCs w:val="20"/>
          <w:color w:val="auto"/>
        </w:rPr>
      </w:pPr>
    </w:p>
    <w:p>
      <w:pPr>
        <w:ind w:left="100" w:right="252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“Obligor” </w:t>
      </w:r>
      <w:r>
        <w:rPr>
          <w:rFonts w:ascii="Times New Roman" w:cs="Times New Roman" w:eastAsia="Times New Roman" w:hAnsi="Times New Roman"/>
          <w:sz w:val="22"/>
          <w:szCs w:val="22"/>
          <w:color w:val="auto"/>
        </w:rPr>
        <w:t>means, in respect of any Collateral Loan, the Person primarily obligated to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Collections in respect of such Collateral Loan.</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“OFAC”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4.01(f).</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“Offer”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8.07(c).</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“Original Currency”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2.14.</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15.03(a)</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“Other Taxes” </w:t>
      </w:r>
      <w:r>
        <w:rPr>
          <w:rFonts w:ascii="Times New Roman" w:cs="Times New Roman" w:eastAsia="Times New Roman" w:hAnsi="Times New Roman"/>
          <w:sz w:val="22"/>
          <w:szCs w:val="22"/>
          <w:color w:val="auto"/>
        </w:rPr>
        <w:t>has the meaning given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15.03(b).</w:t>
      </w:r>
    </w:p>
    <w:p>
      <w:pPr>
        <w:spacing w:after="0" w:line="247"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“Ownership Certificates” </w:t>
      </w:r>
      <w:r>
        <w:rPr>
          <w:rFonts w:ascii="Times New Roman" w:cs="Times New Roman" w:eastAsia="Times New Roman" w:hAnsi="Times New Roman"/>
          <w:sz w:val="22"/>
          <w:szCs w:val="22"/>
          <w:color w:val="auto"/>
        </w:rPr>
        <w:t>means, in respect of any Collateral, all stock, ownership certificates, participation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certificates and other “instruments” and “certificated securities” (as such terms are defined in the UCC), if any, governing or evidencing or representing ownership of such Collateral.</w:t>
      </w:r>
    </w:p>
    <w:p>
      <w:pPr>
        <w:spacing w:after="0" w:line="216"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Partial PIK Loan</w:t>
      </w:r>
      <w:r>
        <w:rPr>
          <w:rFonts w:ascii="Times New Roman" w:cs="Times New Roman" w:eastAsia="Times New Roman" w:hAnsi="Times New Roman"/>
          <w:sz w:val="22"/>
          <w:szCs w:val="22"/>
          <w:color w:val="auto"/>
        </w:rPr>
        <w:t xml:space="preserve">” means a Collateral Loan that requires the Obligor to pay only a portion of the accrued and unpaid interest in Cash on a current basis, the remainder of which is or can be deferred and paid later;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portion of such interest required to be paid in Cash pursuant to the terms of the applicable Related Documents carries a current Cash pay interest rate paid (x) at a floating rate of not less than 2.50%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over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London interbank offered rate or SOFR,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(y) at a fixed rate of not less than 6.0%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per annum</w:t>
      </w:r>
      <w:r>
        <w:rPr>
          <w:rFonts w:ascii="Times New Roman" w:cs="Times New Roman" w:eastAsia="Times New Roman" w:hAnsi="Times New Roman"/>
          <w:sz w:val="22"/>
          <w:szCs w:val="22"/>
          <w:color w:val="000000"/>
        </w:rPr>
        <w:t>.</w:t>
      </w:r>
    </w:p>
    <w:p>
      <w:pPr>
        <w:spacing w:after="0" w:line="213" w:lineRule="exact"/>
        <w:rPr>
          <w:sz w:val="20"/>
          <w:szCs w:val="20"/>
          <w:color w:val="auto"/>
        </w:rPr>
      </w:pPr>
    </w:p>
    <w:p>
      <w:pPr>
        <w:ind w:left="100" w:right="268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means any Person to whom a participation is sold as permitted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15.06(d).</w:t>
      </w:r>
    </w:p>
    <w:p>
      <w:pPr>
        <w:spacing w:after="0" w:line="176" w:lineRule="exact"/>
        <w:rPr>
          <w:sz w:val="20"/>
          <w:szCs w:val="20"/>
          <w:color w:val="auto"/>
        </w:rPr>
      </w:pPr>
    </w:p>
    <w:p>
      <w:pPr>
        <w:jc w:val="both"/>
        <w:ind w:left="100" w:right="20" w:firstLine="749"/>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“Participating Member State” </w:t>
      </w:r>
      <w:r>
        <w:rPr>
          <w:rFonts w:ascii="Times New Roman" w:cs="Times New Roman" w:eastAsia="Times New Roman" w:hAnsi="Times New Roman"/>
          <w:sz w:val="21"/>
          <w:szCs w:val="21"/>
          <w:color w:val="auto"/>
        </w:rPr>
        <w:t>means any member state of the European Community that adopts or has adopted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Euro as its lawful currency in accordance with the legislation of the European Union relating to the European Monetary Union.</w:t>
      </w:r>
    </w:p>
    <w:p>
      <w:pPr>
        <w:spacing w:after="0" w:line="154" w:lineRule="exact"/>
        <w:rPr>
          <w:sz w:val="20"/>
          <w:szCs w:val="20"/>
          <w:color w:val="auto"/>
        </w:rPr>
      </w:pPr>
    </w:p>
    <w:p>
      <w:pPr>
        <w:ind w:left="10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“Participation Interest” </w:t>
      </w:r>
      <w:r>
        <w:rPr>
          <w:rFonts w:ascii="Times New Roman" w:cs="Times New Roman" w:eastAsia="Times New Roman" w:hAnsi="Times New Roman"/>
          <w:sz w:val="22"/>
          <w:szCs w:val="22"/>
          <w:color w:val="auto"/>
        </w:rPr>
        <w:t>means a participation interest in a loan or other obligation that would, at the time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acquisition, or the Borrower’s commitment to acquire the same, constitute a Collateral Loan.</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“PATRIOT Act”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15.16.</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i w:val="1"/>
          <w:iCs w:val="1"/>
          <w:color w:val="auto"/>
        </w:rPr>
        <w:t xml:space="preserve">“Payment Account” </w:t>
      </w:r>
      <w:r>
        <w:rPr>
          <w:rFonts w:ascii="Times New Roman" w:cs="Times New Roman" w:eastAsia="Times New Roman" w:hAnsi="Times New Roman"/>
          <w:sz w:val="21"/>
          <w:szCs w:val="21"/>
          <w:color w:val="auto"/>
        </w:rPr>
        <w:t>means, collectively, the payment accounts of the Collateral Agent established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8.03(a).</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19" w:name="page20"/>
    <w:bookmarkEnd w:id="19"/>
    <w:p>
      <w:pPr>
        <w:ind w:left="120"/>
        <w:spacing w:after="0"/>
        <w:rPr>
          <w:sz w:val="20"/>
          <w:szCs w:val="20"/>
          <w:color w:val="auto"/>
        </w:rPr>
      </w:pPr>
      <w:r>
        <w:rPr>
          <w:rFonts w:ascii="Times New Roman" w:cs="Times New Roman" w:eastAsia="Times New Roman" w:hAnsi="Times New Roman"/>
          <w:sz w:val="22"/>
          <w:szCs w:val="22"/>
          <w:u w:val="single" w:color="auto"/>
          <w:color w:val="auto"/>
        </w:rPr>
        <w:t>8.04.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Reserve Required Amount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36" w:lineRule="exact"/>
        <w:rPr>
          <w:sz w:val="20"/>
          <w:szCs w:val="20"/>
          <w:color w:val="auto"/>
        </w:rPr>
      </w:pPr>
    </w:p>
    <w:p>
      <w:pPr>
        <w:jc w:val="both"/>
        <w:ind w:left="12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“RFR”</w:t>
      </w:r>
      <w:r>
        <w:rPr>
          <w:rFonts w:ascii="Times New Roman" w:cs="Times New Roman" w:eastAsia="Times New Roman" w:hAnsi="Times New Roman"/>
          <w:sz w:val="22"/>
          <w:szCs w:val="22"/>
          <w:color w:val="auto"/>
        </w:rPr>
        <w:t>, when used in reference to any Advance or Borrowing, refers to whether such Advance, or the Advances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constituting such Borrowing, are bearing interest at a rate determined by reference to Daily Simple RFR for the applicable Currency.</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RFR Administrator</w:t>
      </w:r>
      <w:r>
        <w:rPr>
          <w:rFonts w:ascii="Times New Roman" w:cs="Times New Roman" w:eastAsia="Times New Roman" w:hAnsi="Times New Roman"/>
          <w:sz w:val="22"/>
          <w:szCs w:val="22"/>
          <w:color w:val="auto"/>
        </w:rPr>
        <w:t>” means the SONIA Administrator.</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RFR Administrator’s Website</w:t>
      </w:r>
      <w:r>
        <w:rPr>
          <w:rFonts w:ascii="Times New Roman" w:cs="Times New Roman" w:eastAsia="Times New Roman" w:hAnsi="Times New Roman"/>
          <w:sz w:val="22"/>
          <w:szCs w:val="22"/>
          <w:color w:val="auto"/>
        </w:rPr>
        <w:t>” means the SONIA Administrator’s Website.</w:t>
      </w:r>
    </w:p>
    <w:p>
      <w:pPr>
        <w:spacing w:after="0" w:line="206" w:lineRule="exact"/>
        <w:rPr>
          <w:sz w:val="20"/>
          <w:szCs w:val="20"/>
          <w:color w:val="auto"/>
        </w:rPr>
      </w:pPr>
    </w:p>
    <w:p>
      <w:pPr>
        <w:jc w:val="both"/>
        <w:ind w:left="12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RFR Business Day</w:t>
      </w:r>
      <w:r>
        <w:rPr>
          <w:rFonts w:ascii="Times New Roman" w:cs="Times New Roman" w:eastAsia="Times New Roman" w:hAnsi="Times New Roman"/>
          <w:sz w:val="22"/>
          <w:szCs w:val="22"/>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RFR Interest Day</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i w:val="1"/>
          <w:iCs w:val="1"/>
          <w:color w:val="auto"/>
        </w:rPr>
        <w:t>Daily Simple RFR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RFR Rate</w:t>
      </w:r>
      <w:r>
        <w:rPr>
          <w:rFonts w:ascii="Times New Roman" w:cs="Times New Roman" w:eastAsia="Times New Roman" w:hAnsi="Times New Roman"/>
          <w:sz w:val="22"/>
          <w:szCs w:val="22"/>
          <w:color w:val="auto"/>
        </w:rPr>
        <w:t>” means, for any</w:t>
      </w:r>
    </w:p>
    <w:p>
      <w:pPr>
        <w:spacing w:after="0" w:line="251" w:lineRule="exact"/>
        <w:rPr>
          <w:sz w:val="20"/>
          <w:szCs w:val="20"/>
          <w:color w:val="auto"/>
        </w:rPr>
      </w:pPr>
    </w:p>
    <w:p>
      <w:pPr>
        <w:ind w:left="120" w:right="4840" w:firstLine="749"/>
        <w:spacing w:after="0" w:line="387" w:lineRule="auto"/>
        <w:rPr>
          <w:sz w:val="20"/>
          <w:szCs w:val="20"/>
          <w:color w:val="auto"/>
        </w:rPr>
      </w:pPr>
      <w:r>
        <w:rPr>
          <w:rFonts w:ascii="Times New Roman" w:cs="Times New Roman" w:eastAsia="Times New Roman" w:hAnsi="Times New Roman"/>
          <w:sz w:val="21"/>
          <w:szCs w:val="21"/>
          <w:color w:val="auto"/>
        </w:rPr>
        <w:t>Advances, Borrowings, interest, fees, commissions or other amounts denominated in, or calculated with respect to Sterling, SONIA.</w:t>
      </w: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RFR Reference Day</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i w:val="1"/>
          <w:iCs w:val="1"/>
          <w:color w:val="auto"/>
        </w:rPr>
        <w:t>Daily Simple RFR</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“S&amp;P” </w:t>
      </w:r>
      <w:r>
        <w:rPr>
          <w:rFonts w:ascii="Times New Roman" w:cs="Times New Roman" w:eastAsia="Times New Roman" w:hAnsi="Times New Roman"/>
          <w:sz w:val="22"/>
          <w:szCs w:val="22"/>
          <w:color w:val="auto"/>
        </w:rPr>
        <w:t>means Standard &amp; Poor’s Ratings Group.</w:t>
      </w:r>
    </w:p>
    <w:p>
      <w:pPr>
        <w:spacing w:after="0" w:line="206"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 Industry Classification</w:t>
      </w:r>
      <w:r>
        <w:rPr>
          <w:rFonts w:ascii="Times New Roman" w:cs="Times New Roman" w:eastAsia="Times New Roman" w:hAnsi="Times New Roman"/>
          <w:sz w:val="22"/>
          <w:szCs w:val="22"/>
          <w:color w:val="auto"/>
        </w:rPr>
        <w:t xml:space="preserve">” means the industry classifications set forth in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65" w:lineRule="exact"/>
        <w:rPr>
          <w:sz w:val="20"/>
          <w:szCs w:val="20"/>
          <w:color w:val="auto"/>
        </w:rPr>
      </w:pPr>
    </w:p>
    <w:p>
      <w:pPr>
        <w:jc w:val="both"/>
        <w:ind w:left="120" w:right="2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“Scheduled Distribution” </w:t>
      </w:r>
      <w:r>
        <w:rPr>
          <w:rFonts w:ascii="Times New Roman" w:cs="Times New Roman" w:eastAsia="Times New Roman" w:hAnsi="Times New Roman"/>
          <w:sz w:val="22"/>
          <w:szCs w:val="22"/>
          <w:color w:val="auto"/>
        </w:rPr>
        <w:t>means, with respect to any Collateral Loan, for each Due Date, the scheduled payment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principal and/or interest and/or fees due on such Due Date with respect to such Collateral Loan.</w:t>
      </w:r>
    </w:p>
    <w:p>
      <w:pPr>
        <w:spacing w:after="0" w:line="136" w:lineRule="exact"/>
        <w:rPr>
          <w:sz w:val="20"/>
          <w:szCs w:val="20"/>
          <w:color w:val="auto"/>
        </w:rPr>
      </w:pPr>
    </w:p>
    <w:p>
      <w:pPr>
        <w:ind w:left="120" w:right="24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“Screen Rate” </w:t>
      </w:r>
      <w:r>
        <w:rPr>
          <w:rFonts w:ascii="Times New Roman" w:cs="Times New Roman" w:eastAsia="Times New Roman" w:hAnsi="Times New Roman"/>
          <w:sz w:val="22"/>
          <w:szCs w:val="22"/>
          <w:color w:val="auto"/>
        </w:rPr>
        <w:t>means each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LIBO</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Screen Rate, the EURIBOR Screen Rate,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CDOR Screen Rate and the BBSY Screen Rate.</w:t>
      </w:r>
    </w:p>
    <w:p>
      <w:pPr>
        <w:spacing w:after="0" w:line="150" w:lineRule="exact"/>
        <w:rPr>
          <w:sz w:val="20"/>
          <w:szCs w:val="20"/>
          <w:color w:val="auto"/>
        </w:rPr>
      </w:pPr>
    </w:p>
    <w:p>
      <w:pPr>
        <w:ind w:left="120" w:firstLine="749"/>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Securities and Exchange Commission or any other governmental authority of the United States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America at the time administrating the Securities Act, the Investment Company Act or the Exchange Act.</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Second Lien Loan</w:t>
      </w:r>
      <w:r>
        <w:rPr>
          <w:rFonts w:ascii="Times New Roman" w:cs="Times New Roman" w:eastAsia="Times New Roman" w:hAnsi="Times New Roman"/>
          <w:sz w:val="22"/>
          <w:szCs w:val="22"/>
          <w:color w:val="auto"/>
        </w:rPr>
        <w:t>” means any Collateral Loan (for purposes of this definition, a “loan”)</w:t>
      </w:r>
    </w:p>
    <w:p>
      <w:pPr>
        <w:spacing w:after="0" w:line="207" w:lineRule="exact"/>
        <w:rPr>
          <w:sz w:val="20"/>
          <w:szCs w:val="20"/>
          <w:color w:val="auto"/>
        </w:rPr>
      </w:pPr>
    </w:p>
    <w:p>
      <w:pPr>
        <w:ind w:left="1600"/>
        <w:spacing w:after="0"/>
        <w:tabs>
          <w:tab w:leader="none" w:pos="20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is a First Lien/Last Out Loan; or</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-53-</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8" w:right="399" w:bottom="1440" w:gutter="0" w:footer="0" w:header="0"/>
        </w:sectPr>
      </w:pPr>
    </w:p>
    <w:bookmarkStart w:id="20" w:name="page21"/>
    <w:bookmarkEnd w:id="20"/>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“Security Entitlement” </w:t>
      </w:r>
      <w:r>
        <w:rPr>
          <w:rFonts w:ascii="Times New Roman" w:cs="Times New Roman" w:eastAsia="Times New Roman" w:hAnsi="Times New Roman"/>
          <w:sz w:val="22"/>
          <w:szCs w:val="22"/>
          <w:color w:val="auto"/>
        </w:rPr>
        <w:t>has the meaning specified in Section 8-102(a)(17) of the UCC.</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“Selling Institution” </w:t>
      </w:r>
      <w:r>
        <w:rPr>
          <w:rFonts w:ascii="Times New Roman" w:cs="Times New Roman" w:eastAsia="Times New Roman" w:hAnsi="Times New Roman"/>
          <w:sz w:val="22"/>
          <w:szCs w:val="22"/>
          <w:color w:val="auto"/>
        </w:rPr>
        <w:t>means an entity obligated to make payments to the Borrower under the terms of a Participation</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Interest.</w:t>
      </w:r>
    </w:p>
    <w:p>
      <w:pPr>
        <w:spacing w:after="0" w:line="232"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“Senior Collateral Management Fee” </w:t>
      </w:r>
      <w:r>
        <w:rPr>
          <w:rFonts w:ascii="Times New Roman" w:cs="Times New Roman" w:eastAsia="Times New Roman" w:hAnsi="Times New Roman"/>
          <w:sz w:val="22"/>
          <w:szCs w:val="22"/>
          <w:color w:val="auto"/>
        </w:rPr>
        <w:t>means the monthly fee, accruing from the Closing Date, payable in arrears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Payment Date for the related Interest Accrual Period, in an amount equal to 0.50%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(calculated on the basis of a 360 day year and the actual number of days elapsed) of the Monthly Asset Amount.</w:t>
      </w:r>
    </w:p>
    <w:p>
      <w:pPr>
        <w:spacing w:after="0" w:line="202"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Leverage Ratio</w:t>
      </w:r>
      <w:r>
        <w:rPr>
          <w:rFonts w:ascii="Times New Roman" w:cs="Times New Roman" w:eastAsia="Times New Roman" w:hAnsi="Times New Roman"/>
          <w:sz w:val="22"/>
          <w:szCs w:val="22"/>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217"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Shareholders’ Equity”</w:t>
      </w:r>
      <w:r>
        <w:rPr>
          <w:rFonts w:ascii="Times New Roman" w:cs="Times New Roman" w:eastAsia="Times New Roman" w:hAnsi="Times New Roman"/>
          <w:sz w:val="22"/>
          <w:szCs w:val="22"/>
          <w:color w:val="auto"/>
        </w:rPr>
        <w:t xml:space="preserve"> means, at any date, the amount determined on a consolidated basis, without duplication, in accordance with GAAP, of shareholders’ equity for the Borrower and its Subsidiaries at such date.</w:t>
      </w:r>
    </w:p>
    <w:p>
      <w:pPr>
        <w:spacing w:after="0" w:line="176"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SOFR</w:t>
      </w:r>
      <w:r>
        <w:rPr>
          <w:rFonts w:ascii="Times New Roman" w:cs="Times New Roman" w:eastAsia="Times New Roman" w:hAnsi="Times New Roman"/>
          <w:sz w:val="22"/>
          <w:szCs w:val="22"/>
          <w:color w:val="0000FF"/>
        </w:rPr>
        <w:t xml:space="preserve">” means </w:t>
      </w:r>
      <w:r>
        <w:rPr>
          <w:rFonts w:ascii="Times New Roman" w:cs="Times New Roman" w:eastAsia="Times New Roman" w:hAnsi="Times New Roman"/>
          <w:sz w:val="22"/>
          <w:szCs w:val="22"/>
          <w:color w:val="00C000"/>
        </w:rPr>
        <w:t>a rate per annum equal to the secured overnight financing rate</w:t>
      </w:r>
      <w:r>
        <w:rPr>
          <w:rFonts w:ascii="Times New Roman" w:cs="Times New Roman" w:eastAsia="Times New Roman" w:hAnsi="Times New Roman"/>
          <w:sz w:val="22"/>
          <w:szCs w:val="22"/>
          <w:color w:val="0000FF"/>
        </w:rPr>
        <w:t xml:space="preserve"> as </w:t>
      </w:r>
      <w:r>
        <w:rPr>
          <w:rFonts w:ascii="Times New Roman" w:cs="Times New Roman" w:eastAsia="Times New Roman" w:hAnsi="Times New Roman"/>
          <w:sz w:val="22"/>
          <w:szCs w:val="22"/>
          <w:u w:val="single" w:color="auto"/>
          <w:color w:val="0000FF"/>
        </w:rPr>
        <w:t>administered by the 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Administrator</w:t>
      </w:r>
      <w:r>
        <w:rPr>
          <w:rFonts w:ascii="Times New Roman" w:cs="Times New Roman" w:eastAsia="Times New Roman" w:hAnsi="Times New Roman"/>
          <w:sz w:val="22"/>
          <w:szCs w:val="22"/>
          <w:color w:val="00C000"/>
        </w:rPr>
        <w:t>.</w:t>
      </w:r>
    </w:p>
    <w:p>
      <w:pPr>
        <w:spacing w:after="0" w:line="176" w:lineRule="exact"/>
        <w:rPr>
          <w:sz w:val="20"/>
          <w:szCs w:val="20"/>
          <w:color w:val="auto"/>
        </w:rPr>
      </w:pPr>
    </w:p>
    <w:p>
      <w:pPr>
        <w:ind w:left="100" w:right="460" w:firstLine="749"/>
        <w:spacing w:after="0" w:line="262" w:lineRule="auto"/>
        <w:rPr>
          <w:sz w:val="20"/>
          <w:szCs w:val="20"/>
          <w:color w:val="auto"/>
        </w:rPr>
      </w:pPr>
      <w:r>
        <w:rPr>
          <w:rFonts w:ascii="Times New Roman" w:cs="Times New Roman" w:eastAsia="Times New Roman" w:hAnsi="Times New Roman"/>
          <w:sz w:val="22"/>
          <w:szCs w:val="22"/>
          <w:u w:val="single" w:color="auto"/>
          <w:color w:val="00C000"/>
        </w:rPr>
        <w:t>“</w:t>
      </w:r>
      <w:r>
        <w:rPr>
          <w:rFonts w:ascii="Times New Roman" w:cs="Times New Roman" w:eastAsia="Times New Roman" w:hAnsi="Times New Roman"/>
          <w:sz w:val="22"/>
          <w:szCs w:val="22"/>
          <w:i w:val="1"/>
          <w:iCs w:val="1"/>
          <w:u w:val="single" w:color="auto"/>
          <w:color w:val="00C000"/>
        </w:rPr>
        <w:t>SOFR Administrator</w:t>
      </w:r>
      <w:r>
        <w:rPr>
          <w:rFonts w:ascii="Times New Roman" w:cs="Times New Roman" w:eastAsia="Times New Roman" w:hAnsi="Times New Roman"/>
          <w:sz w:val="22"/>
          <w:szCs w:val="22"/>
          <w:u w:val="single" w:color="auto"/>
          <w:color w:val="00C000"/>
        </w:rPr>
        <w:t>” means the Federal Reserve Bank of New York (or a successor administrator of the secured overnight financing rate).</w:t>
      </w:r>
    </w:p>
    <w:p>
      <w:pPr>
        <w:spacing w:after="0" w:line="204"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“Solvent” </w:t>
      </w:r>
      <w:r>
        <w:rPr>
          <w:rFonts w:ascii="Times New Roman" w:cs="Times New Roman" w:eastAsia="Times New Roman" w:hAnsi="Times New Roman"/>
          <w:sz w:val="21"/>
          <w:szCs w:val="21"/>
          <w:color w:val="auto"/>
        </w:rPr>
        <w:t>means, with respect to any Person, that as of the date of determination, both (i) (a) the sum of such Person’s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debt (including 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spacing w:after="0" w:line="5" w:lineRule="exact"/>
        <w:rPr>
          <w:sz w:val="20"/>
          <w:szCs w:val="20"/>
          <w:color w:val="auto"/>
        </w:rPr>
      </w:pPr>
    </w:p>
    <w:p>
      <w:pPr>
        <w:jc w:val="both"/>
        <w:ind w:left="100" w:hanging="9"/>
        <w:spacing w:after="0"/>
        <w:tabs>
          <w:tab w:leader="none" w:pos="4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08" w:right="399" w:bottom="1440" w:gutter="0" w:footer="0" w:header="0"/>
        </w:sectPr>
      </w:pPr>
    </w:p>
    <w:bookmarkStart w:id="21" w:name="page22"/>
    <w:bookmarkEnd w:id="21"/>
    <w:p>
      <w:pPr>
        <w:jc w:val="both"/>
        <w:ind w:left="100"/>
        <w:spacing w:after="0" w:line="250" w:lineRule="auto"/>
        <w:rPr>
          <w:sz w:val="20"/>
          <w:szCs w:val="20"/>
          <w:color w:val="auto"/>
        </w:rPr>
      </w:pPr>
      <w:r>
        <w:rPr>
          <w:rFonts w:ascii="Times New Roman" w:cs="Times New Roman" w:eastAsia="Times New Roman" w:hAnsi="Times New Roman"/>
          <w:sz w:val="22"/>
          <w:szCs w:val="22"/>
          <w:color w:val="auto"/>
        </w:rPr>
        <w:t>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2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w:t>
      </w:r>
      <w:r>
        <w:rPr>
          <w:rFonts w:ascii="Times New Roman" w:cs="Times New Roman" w:eastAsia="Times New Roman" w:hAnsi="Times New Roman"/>
          <w:sz w:val="22"/>
          <w:szCs w:val="22"/>
          <w:color w:val="auto"/>
        </w:rPr>
        <w:t>” means a rate equal to the Sterling Overnight Index Average as administered by the SONIA Administrator.</w:t>
      </w:r>
    </w:p>
    <w:p>
      <w:pPr>
        <w:spacing w:after="0" w:line="260" w:lineRule="exact"/>
        <w:rPr>
          <w:sz w:val="20"/>
          <w:szCs w:val="20"/>
          <w:color w:val="auto"/>
        </w:rPr>
      </w:pPr>
    </w:p>
    <w:p>
      <w:pPr>
        <w:ind w:left="100" w:right="25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 Index Average).</w:t>
      </w:r>
    </w:p>
    <w:p>
      <w:pPr>
        <w:spacing w:after="0" w:line="204"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202"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“Special Purpose Entity” </w:t>
      </w:r>
      <w:r>
        <w:rPr>
          <w:rFonts w:ascii="Times New Roman" w:cs="Times New Roman" w:eastAsia="Times New Roman" w:hAnsi="Times New Roman"/>
          <w:sz w:val="22"/>
          <w:szCs w:val="22"/>
          <w:color w:val="auto"/>
        </w:rPr>
        <w:t>means a limited liability company or other business entity that is created with the purpose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“bankruptcy 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206"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“Specified Eligible Investment” </w:t>
      </w:r>
      <w:r>
        <w:rPr>
          <w:rFonts w:ascii="Times New Roman" w:cs="Times New Roman" w:eastAsia="Times New Roman" w:hAnsi="Times New Roman"/>
          <w:sz w:val="22"/>
          <w:szCs w:val="22"/>
          <w:color w:val="auto"/>
        </w:rPr>
        <w:t>means an Eligible Investment meeting the requirements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8.05(a)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available to the Collateral Agent, to be specified by the Collateral Manager to the Collateral Agent (with a copy to the Administrative Agent) on or prior to the initial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8.05(a)</w:t>
      </w:r>
      <w:r>
        <w:rPr>
          <w:rFonts w:ascii="Times New Roman" w:cs="Times New Roman" w:eastAsia="Times New Roman" w:hAnsi="Times New Roman"/>
          <w:sz w:val="22"/>
          <w:szCs w:val="22"/>
          <w:color w:val="auto"/>
        </w:rPr>
        <w:t xml:space="preserve"> and that is available to the Collateral Agent to be the Specified Eligible Investment for purposes hereof.</w:t>
      </w:r>
    </w:p>
    <w:p>
      <w:pPr>
        <w:spacing w:after="0" w:line="2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FF0000"/>
          <w:strike w:val="1"/>
        </w:rPr>
        <w:t>LIBOR</w:t>
      </w:r>
      <w:r>
        <w:rPr>
          <w:rFonts w:ascii="Times New Roman" w:cs="Times New Roman" w:eastAsia="Times New Roman" w:hAnsi="Times New Roman"/>
          <w:sz w:val="22"/>
          <w:szCs w:val="22"/>
          <w:i w:val="1"/>
          <w:iCs w:val="1"/>
          <w:u w:val="single" w:color="auto"/>
          <w:color w:val="0000FF"/>
        </w:rPr>
        <w:t>Eurocurrency Rate</w:t>
      </w:r>
      <w:r>
        <w:rPr>
          <w:rFonts w:ascii="Times New Roman" w:cs="Times New Roman" w:eastAsia="Times New Roman" w:hAnsi="Times New Roman"/>
          <w:sz w:val="22"/>
          <w:szCs w:val="22"/>
          <w:color w:val="auto"/>
        </w:rPr>
        <w:t>” means at any time:</w:t>
      </w:r>
    </w:p>
    <w:p>
      <w:pPr>
        <w:spacing w:after="0" w:line="264" w:lineRule="exact"/>
        <w:rPr>
          <w:sz w:val="20"/>
          <w:szCs w:val="20"/>
          <w:color w:val="auto"/>
        </w:rPr>
      </w:pPr>
    </w:p>
    <w:p>
      <w:pPr>
        <w:jc w:val="both"/>
        <w:ind w:left="840" w:firstLine="846"/>
        <w:spacing w:after="0" w:line="243" w:lineRule="auto"/>
        <w:tabs>
          <w:tab w:leader="none" w:pos="233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Advances are bearing interest at the Adjusted Eurocurrency Rate, the rate determined by the Administrative Agent as if (1) Advances having an aggregate principal balance of $10,000,000 were bearing interest at the Adjusted Eurocurrency Rate hereunder and (2) the related Interest Accrual Period were in effect for the period from the immediately preceding Payment Date (or, if prior to the first Payment Date, the Closing Date) through the next following Payment Date;</w:t>
      </w:r>
    </w:p>
    <w:p>
      <w:pPr>
        <w:spacing w:after="0" w:line="231" w:lineRule="exact"/>
        <w:rPr>
          <w:rFonts w:ascii="Times New Roman" w:cs="Times New Roman" w:eastAsia="Times New Roman" w:hAnsi="Times New Roman"/>
          <w:sz w:val="22"/>
          <w:szCs w:val="22"/>
          <w:color w:val="auto"/>
        </w:rPr>
      </w:pPr>
    </w:p>
    <w:p>
      <w:pPr>
        <w:jc w:val="both"/>
        <w:ind w:left="840" w:firstLine="833"/>
        <w:spacing w:after="0" w:line="250" w:lineRule="auto"/>
        <w:tabs>
          <w:tab w:leader="none" w:pos="22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one Interest Accrual Period for Advances bearing interest at the Adjusted Eurocurrency Rate is outstanding at such time, the Eurocurrency Rate in effect with respect to such Advances for such Interest Accrual Period; and</w:t>
      </w:r>
    </w:p>
    <w:p>
      <w:pPr>
        <w:spacing w:after="0" w:line="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2" w:name="page23"/>
    <w:bookmarkEnd w:id="22"/>
    <w:p>
      <w:pPr>
        <w:jc w:val="both"/>
        <w:ind w:left="840"/>
        <w:spacing w:after="0" w:line="243" w:lineRule="auto"/>
        <w:rPr>
          <w:sz w:val="20"/>
          <w:szCs w:val="20"/>
          <w:color w:val="auto"/>
        </w:rPr>
      </w:pPr>
      <w:r>
        <w:rPr>
          <w:rFonts w:ascii="Times New Roman" w:cs="Times New Roman" w:eastAsia="Times New Roman" w:hAnsi="Times New Roman"/>
          <w:sz w:val="22"/>
          <w:szCs w:val="22"/>
          <w:color w:val="auto"/>
        </w:rPr>
        <w:t xml:space="preserve">the Adjusted Eurocurrency Rate is outstanding at such time, a rate per annum equal to (1) the sum of the products, for each such Interest Accrual Period, of the Eurocurrency Rate (as determined by the Administrative Agent) in effect with respect to such Interest Accrual Period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Dollar Equivalent of the principal amount of Advances then bearing interest at a rate based on such Eurocurrency Rate,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(2) the Dollar Equivalent of the aggregate principal amount of all Advances bearing interest at the Adjusted Eurocurrency Rate outstanding at such time, rounded to the nearest 0.01%.</w:t>
      </w:r>
    </w:p>
    <w:p>
      <w:pPr>
        <w:spacing w:after="0" w:line="214" w:lineRule="exact"/>
        <w:rPr>
          <w:sz w:val="20"/>
          <w:szCs w:val="20"/>
          <w:color w:val="auto"/>
        </w:rPr>
      </w:pPr>
    </w:p>
    <w:p>
      <w:pPr>
        <w:jc w:val="both"/>
        <w:ind w:left="100" w:firstLine="7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Split First Lien Loan</w:t>
      </w:r>
      <w:r>
        <w:rPr>
          <w:rFonts w:ascii="Times New Roman" w:cs="Times New Roman" w:eastAsia="Times New Roman" w:hAnsi="Times New Roman"/>
          <w:sz w:val="21"/>
          <w:szCs w:val="21"/>
          <w:color w:val="auto"/>
        </w:rPr>
        <w:t>” means any Collateral Loan that (a) would otherwise satisfy the criteria of a First Lien Loan but which has been structured with a credit facility that is senior in right of payment thereto; and (b) satisfies the following criteria:</w:t>
      </w:r>
    </w:p>
    <w:p>
      <w:pPr>
        <w:jc w:val="both"/>
        <w:ind w:left="100" w:hanging="9"/>
        <w:spacing w:after="0" w:line="241" w:lineRule="auto"/>
        <w:tabs>
          <w:tab w:leader="none" w:pos="37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214"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Split Lien Loan</w:t>
      </w:r>
      <w:r>
        <w:rPr>
          <w:rFonts w:ascii="Times New Roman" w:cs="Times New Roman" w:eastAsia="Times New Roman" w:hAnsi="Times New Roman"/>
          <w:sz w:val="22"/>
          <w:szCs w:val="22"/>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Split Lien Loan and such senior credit facility), and (ii) the senior credit facility portion (as measured by commitment) has a trailing twelve-month senior debt to EBITDA ratio of less than or equal to 1.0x. For the avoidance of doubt, Collateral Loans not satisfying the criteria set forth in this definition may be deemed by the Collateral Manager in its reasonable judgment to be Second Lien Loans.</w:t>
      </w:r>
    </w:p>
    <w:p>
      <w:pPr>
        <w:spacing w:after="0" w:line="211"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2"/>
          <w:szCs w:val="22"/>
          <w:i w:val="1"/>
          <w:iCs w:val="1"/>
          <w:color w:val="FF0000"/>
          <w:strike w:val="1"/>
        </w:rPr>
        <w:t xml:space="preserve">“Statutory Reserve Rate” </w:t>
      </w:r>
      <w:r>
        <w:rPr>
          <w:rFonts w:ascii="Times New Roman" w:cs="Times New Roman" w:eastAsia="Times New Roman" w:hAnsi="Times New Roman"/>
          <w:sz w:val="22"/>
          <w:szCs w:val="22"/>
          <w:color w:val="FF0000"/>
          <w:strike w:val="1"/>
        </w:rPr>
        <w:t>means, for the Interest Accrual Period for any Eurocurrency Borrowing, a fraction</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FF0000"/>
          <w:strike w:val="1"/>
        </w:rPr>
        <w:t>(expressed as a decimal), the numerator of which is the number one and the denominator of which is the number one minus the arithmetic mean, taken over each day in such Interest Accrual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Borrowings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17" w:lineRule="exact"/>
        <w:rPr>
          <w:sz w:val="20"/>
          <w:szCs w:val="20"/>
          <w:color w:val="auto"/>
        </w:rPr>
      </w:pPr>
    </w:p>
    <w:p>
      <w:pPr>
        <w:jc w:val="both"/>
        <w:ind w:left="100" w:right="2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Stretch Senior Loan</w:t>
      </w:r>
      <w:r>
        <w:rPr>
          <w:rFonts w:ascii="Times New Roman" w:cs="Times New Roman" w:eastAsia="Times New Roman" w:hAnsi="Times New Roman"/>
          <w:sz w:val="22"/>
          <w:szCs w:val="22"/>
          <w:color w:val="auto"/>
        </w:rPr>
        <w:t>” means any Collateral Loan (a) that is secured by a valid and perfected first priority Lien on substantially all of the Obligor’s assets constituting the underlying collateral for such Collateral Loan, subject to Permitted Liens, (b) for which no other secured</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3" w:name="page24"/>
    <w:bookmarkEnd w:id="23"/>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Swingline Refinancing Advances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2.02(c).</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Swingline Refinancing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2.02(c).</w:t>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Syndicated Advance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2.01.</w:t>
      </w:r>
    </w:p>
    <w:p>
      <w:pPr>
        <w:spacing w:after="0" w:line="2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Syndicated Borrowing</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2.01.</w:t>
      </w:r>
    </w:p>
    <w:p>
      <w:pPr>
        <w:spacing w:after="0" w:line="247"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TARGET Day</w:t>
      </w:r>
      <w:r>
        <w:rPr>
          <w:rFonts w:ascii="Times New Roman" w:cs="Times New Roman" w:eastAsia="Times New Roman" w:hAnsi="Times New Roman"/>
          <w:sz w:val="22"/>
          <w:szCs w:val="22"/>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has the meaning assigned to such term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15.03(a).</w:t>
      </w:r>
    </w:p>
    <w:p>
      <w:pPr>
        <w:spacing w:after="0" w:line="260" w:lineRule="exact"/>
        <w:rPr>
          <w:sz w:val="20"/>
          <w:szCs w:val="20"/>
          <w:color w:val="auto"/>
        </w:rPr>
      </w:pPr>
    </w:p>
    <w:p>
      <w:pPr>
        <w:ind w:left="100" w:right="2900" w:firstLine="749"/>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0000FF"/>
        </w:rPr>
        <w:t xml:space="preserve">“Term SOFR” </w:t>
      </w:r>
      <w:r>
        <w:rPr>
          <w:rFonts w:ascii="Times New Roman" w:cs="Times New Roman" w:eastAsia="Times New Roman" w:hAnsi="Times New Roman"/>
          <w:sz w:val="22"/>
          <w:szCs w:val="22"/>
          <w:u w:val="single" w:color="auto"/>
          <w:color w:val="0000FF"/>
        </w:rPr>
        <w:t>has the meaning assigned to such term in clause (a) of the definition of</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Eurocurrency Rate.</w:t>
      </w:r>
    </w:p>
    <w:p>
      <w:pPr>
        <w:spacing w:after="0" w:line="204" w:lineRule="exact"/>
        <w:rPr>
          <w:sz w:val="20"/>
          <w:szCs w:val="20"/>
          <w:color w:val="auto"/>
        </w:rPr>
      </w:pPr>
    </w:p>
    <w:p>
      <w:pPr>
        <w:jc w:val="both"/>
        <w:ind w:left="100" w:firstLine="749"/>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0000FF"/>
        </w:rPr>
        <w:t>“Term SOFR Administrator”</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u w:val="single" w:color="auto"/>
          <w:color w:val="0000FF"/>
        </w:rPr>
        <w:t>means the CME Group Benchmark Administration Limited</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0000FF"/>
        </w:rPr>
        <w:t>(CBA) (or a successor</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0000FF"/>
        </w:rPr>
        <w:t xml:space="preserve">administrator of the Term SOFR Reference Rate selected </w:t>
      </w:r>
      <w:r>
        <w:rPr>
          <w:rFonts w:ascii="Times New Roman" w:cs="Times New Roman" w:eastAsia="Times New Roman" w:hAnsi="Times New Roman"/>
          <w:sz w:val="22"/>
          <w:szCs w:val="22"/>
          <w:color w:val="00C000"/>
        </w:rPr>
        <w:t>by the Administrative Agent in its reasonable discretion</w:t>
      </w:r>
      <w:r>
        <w:rPr>
          <w:rFonts w:ascii="Times New Roman" w:cs="Times New Roman" w:eastAsia="Times New Roman" w:hAnsi="Times New Roman"/>
          <w:sz w:val="22"/>
          <w:szCs w:val="22"/>
          <w:color w:val="0000FF"/>
        </w:rPr>
        <w:t>).</w:t>
      </w:r>
    </w:p>
    <w:p>
      <w:pPr>
        <w:spacing w:after="0" w:line="204" w:lineRule="exact"/>
        <w:rPr>
          <w:sz w:val="20"/>
          <w:szCs w:val="20"/>
          <w:color w:val="auto"/>
        </w:rPr>
      </w:pPr>
    </w:p>
    <w:p>
      <w:pPr>
        <w:ind w:left="100" w:right="2480" w:firstLine="749"/>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0000FF"/>
        </w:rPr>
        <w:t>“Term SOFR Reference Rate</w:t>
      </w:r>
      <w:r>
        <w:rPr>
          <w:rFonts w:ascii="Times New Roman" w:cs="Times New Roman" w:eastAsia="Times New Roman" w:hAnsi="Times New Roman"/>
          <w:sz w:val="22"/>
          <w:szCs w:val="22"/>
          <w:u w:val="single" w:color="auto"/>
          <w:color w:val="0000FF"/>
        </w:rPr>
        <w:t>” means the rate per annum determined by the Administrative</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color w:val="0000FF"/>
        </w:rPr>
        <w:t xml:space="preserve">Agent as </w:t>
      </w:r>
      <w:r>
        <w:rPr>
          <w:rFonts w:ascii="Times New Roman" w:cs="Times New Roman" w:eastAsia="Times New Roman" w:hAnsi="Times New Roman"/>
          <w:sz w:val="22"/>
          <w:szCs w:val="22"/>
          <w:color w:val="00C000"/>
        </w:rPr>
        <w:t>the forward-looking term rate based on SOFR</w:t>
      </w:r>
      <w:r>
        <w:rPr>
          <w:rFonts w:ascii="Times New Roman" w:cs="Times New Roman" w:eastAsia="Times New Roman" w:hAnsi="Times New Roman"/>
          <w:sz w:val="22"/>
          <w:szCs w:val="22"/>
          <w:color w:val="0000FF"/>
        </w:rPr>
        <w:t>.</w:t>
      </w:r>
    </w:p>
    <w:p>
      <w:pPr>
        <w:spacing w:after="0" w:line="204"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Tier 1 Obligor</w:t>
      </w:r>
      <w:r>
        <w:rPr>
          <w:rFonts w:ascii="Times New Roman" w:cs="Times New Roman" w:eastAsia="Times New Roman" w:hAnsi="Times New Roman"/>
          <w:sz w:val="22"/>
          <w:szCs w:val="22"/>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202" w:lineRule="exact"/>
        <w:rPr>
          <w:sz w:val="20"/>
          <w:szCs w:val="20"/>
          <w:color w:val="auto"/>
        </w:rPr>
      </w:pPr>
    </w:p>
    <w:p>
      <w:pPr>
        <w:jc w:val="both"/>
        <w:ind w:left="100" w:firstLine="749"/>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Tier 2 Obligor</w:t>
      </w:r>
      <w:r>
        <w:rPr>
          <w:rFonts w:ascii="Times New Roman" w:cs="Times New Roman" w:eastAsia="Times New Roman" w:hAnsi="Times New Roman"/>
          <w:sz w:val="22"/>
          <w:szCs w:val="22"/>
          <w:color w:val="auto"/>
        </w:rPr>
        <w:t>” means an Obligor of any Collateral Loan with either (a) EBITDA greater than or equal to $20,000,000 or (b)(i) EBITDA greater than $5,000,000 and less than $20,000,000 and (ii) a Fixed Charge Coverage Ratio of greater than or equal to 1.25x and a Debt to Capitalization Ratio of no more than 65.0% (in each case,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205" w:lineRule="exact"/>
        <w:rPr>
          <w:sz w:val="20"/>
          <w:szCs w:val="20"/>
          <w:color w:val="auto"/>
        </w:rPr>
      </w:pPr>
    </w:p>
    <w:p>
      <w:pPr>
        <w:ind w:left="100" w:right="26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Tier 3 Obligor</w:t>
      </w:r>
      <w:r>
        <w:rPr>
          <w:rFonts w:ascii="Times New Roman" w:cs="Times New Roman" w:eastAsia="Times New Roman" w:hAnsi="Times New Roman"/>
          <w:sz w:val="22"/>
          <w:szCs w:val="22"/>
          <w:color w:val="auto"/>
        </w:rPr>
        <w:t>” means an Obligor that does not meet the criteria of a Tier 1 Obligor or a Tier 2 Obligor.</w:t>
      </w:r>
    </w:p>
    <w:p>
      <w:pPr>
        <w:spacing w:after="0" w:line="204" w:lineRule="exact"/>
        <w:rPr>
          <w:sz w:val="20"/>
          <w:szCs w:val="20"/>
          <w:color w:val="auto"/>
        </w:rPr>
      </w:pPr>
    </w:p>
    <w:p>
      <w:pPr>
        <w:jc w:val="both"/>
        <w:ind w:left="100" w:right="20"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Leverage Ratio</w:t>
      </w:r>
      <w:r>
        <w:rPr>
          <w:rFonts w:ascii="Times New Roman" w:cs="Times New Roman" w:eastAsia="Times New Roman" w:hAnsi="Times New Roman"/>
          <w:sz w:val="22"/>
          <w:szCs w:val="22"/>
          <w:color w:val="auto"/>
        </w:rPr>
        <w:t>” means, with respect to any Collateral Loan for any Relevant Test Period, the meaning of “Total Leverage Ratio”, “Total Net Leverage Ratio” or any comparable term relating to total indebtedness defined in the Related Documents for such Loan, and in any</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-59-</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08" w:right="399" w:bottom="1440" w:gutter="0" w:footer="0" w:header="0"/>
        </w:sectPr>
      </w:pPr>
    </w:p>
    <w:bookmarkStart w:id="24" w:name="page25"/>
    <w:bookmarkEnd w:id="24"/>
    <w:p>
      <w:pPr>
        <w:ind w:left="100"/>
        <w:spacing w:after="0"/>
        <w:rPr>
          <w:sz w:val="20"/>
          <w:szCs w:val="20"/>
          <w:color w:val="auto"/>
        </w:rPr>
      </w:pPr>
      <w:r>
        <w:rPr>
          <w:rFonts w:ascii="Times New Roman" w:cs="Times New Roman" w:eastAsia="Times New Roman" w:hAnsi="Times New Roman"/>
          <w:sz w:val="22"/>
          <w:szCs w:val="22"/>
          <w:color w:val="auto"/>
        </w:rPr>
        <w:t>Advances and Borrowings may also be identified by Currency.</w:t>
      </w:r>
    </w:p>
    <w:p>
      <w:pPr>
        <w:spacing w:after="0" w:line="243" w:lineRule="exact"/>
        <w:rPr>
          <w:sz w:val="20"/>
          <w:szCs w:val="20"/>
          <w:color w:val="auto"/>
        </w:rPr>
      </w:pPr>
    </w:p>
    <w:p>
      <w:pPr>
        <w:jc w:val="both"/>
        <w:ind w:left="100" w:firstLine="472"/>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Section 1.06. Currencies Generally. </w:t>
      </w:r>
      <w:r>
        <w:rPr>
          <w:rFonts w:ascii="Times New Roman" w:cs="Times New Roman" w:eastAsia="Times New Roman" w:hAnsi="Times New Roman"/>
          <w:sz w:val="22"/>
          <w:szCs w:val="22"/>
          <w:color w:val="auto"/>
        </w:rPr>
        <w:t>At any time, any reference in the definition of the term “Agreed Foreign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Currency” or in any other provision 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218" w:lineRule="exact"/>
        <w:rPr>
          <w:sz w:val="20"/>
          <w:szCs w:val="20"/>
          <w:color w:val="auto"/>
        </w:rPr>
      </w:pPr>
    </w:p>
    <w:p>
      <w:pPr>
        <w:jc w:val="both"/>
        <w:ind w:left="100" w:firstLine="472"/>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Section 1.07. Calculation of Borrowing Base. </w:t>
      </w:r>
      <w:r>
        <w:rPr>
          <w:rFonts w:ascii="Times New Roman" w:cs="Times New Roman" w:eastAsia="Times New Roman" w:hAnsi="Times New Roman"/>
          <w:sz w:val="22"/>
          <w:szCs w:val="22"/>
          <w:color w:val="auto"/>
        </w:rPr>
        <w:t>In connection with amounts to be calculated for purposes of determining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Borrowing Base and 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0" w:firstLine="472"/>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Section 1.08. </w:t>
      </w:r>
      <w:r>
        <w:rPr>
          <w:rFonts w:ascii="Times New Roman" w:cs="Times New Roman" w:eastAsia="Times New Roman" w:hAnsi="Times New Roman"/>
          <w:sz w:val="22"/>
          <w:szCs w:val="22"/>
          <w:i w:val="1"/>
          <w:iCs w:val="1"/>
          <w:color w:val="FF0000"/>
          <w:strike w:val="1"/>
        </w:rPr>
        <w:t>LIBOR.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The London interbank offered rate (“</w:t>
      </w:r>
      <w:r>
        <w:rPr>
          <w:rFonts w:ascii="Times New Roman" w:cs="Times New Roman" w:eastAsia="Times New Roman" w:hAnsi="Times New Roman"/>
          <w:sz w:val="22"/>
          <w:szCs w:val="22"/>
          <w:i w:val="1"/>
          <w:iCs w:val="1"/>
          <w:color w:val="FF0000"/>
          <w:strike w:val="1"/>
        </w:rPr>
        <w:t>LIBOR</w:t>
      </w:r>
      <w:r>
        <w:rPr>
          <w:rFonts w:ascii="Times New Roman" w:cs="Times New Roman" w:eastAsia="Times New Roman" w:hAnsi="Times New Roman"/>
          <w:sz w:val="22"/>
          <w:szCs w:val="22"/>
          <w:color w:val="FF0000"/>
          <w:strike w:val="1"/>
        </w:rPr>
        <w:t>”) is intended to represent the rate at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contributing banks could obtain short-term borrowings from one another in the London interbank market. On March 5, 2021, the Financial Conduct Authority (“</w:t>
      </w:r>
      <w:r>
        <w:rPr>
          <w:rFonts w:ascii="Times New Roman" w:cs="Times New Roman" w:eastAsia="Times New Roman" w:hAnsi="Times New Roman"/>
          <w:sz w:val="22"/>
          <w:szCs w:val="22"/>
          <w:i w:val="1"/>
          <w:iCs w:val="1"/>
          <w:color w:val="FF0000"/>
          <w:strike w:val="1"/>
        </w:rPr>
        <w:t>FCA</w:t>
      </w:r>
      <w:r>
        <w:rPr>
          <w:rFonts w:ascii="Times New Roman" w:cs="Times New Roman" w:eastAsia="Times New Roman" w:hAnsi="Times New Roman"/>
          <w:sz w:val="22"/>
          <w:szCs w:val="22"/>
          <w:color w:val="FF0000"/>
          <w:strike w:val="1"/>
        </w:rPr>
        <w:t>”), the regulatory supervisor of LIBOR's administrator, announced in a public statement the future cessation of the 35 LIBOR benchmark settings currently published by ICE Benchmark administration. This public statement constitutes a Benchmark Transition Event. To the extent the Final Maturity Date goes beyond the cessation dates indicated in the FCA’s announcement, an alternate rate of interest will be determined at the appropriate time in accordance with Section</w:t>
      </w:r>
    </w:p>
    <w:p>
      <w:pPr>
        <w:spacing w:after="0" w:line="4"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22"/>
          <w:szCs w:val="22"/>
          <w:color w:val="FF0000"/>
          <w:strike w:val="1"/>
        </w:rPr>
        <w:t>2.11(b)(i) for any applicable tenors of USD LIBOR.</w:t>
      </w:r>
      <w:r>
        <w:rPr>
          <w:rFonts w:ascii="Times New Roman" w:cs="Times New Roman" w:eastAsia="Times New Roman" w:hAnsi="Times New Roman"/>
          <w:sz w:val="22"/>
          <w:szCs w:val="22"/>
          <w:i w:val="1"/>
          <w:iCs w:val="1"/>
          <w:u w:val="single" w:color="auto"/>
          <w:color w:val="0000FF"/>
        </w:rPr>
        <w:t>Rates.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Upon the occurrence of a Benchmark Transition Event, a Term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SOFR Transition Event or an Early Opt-in Election, Section 2.11(b)(i) and (ii) provide the mechanism for determining an alternative rate of interest. The Administrative Agent will promptly notify the Borrower, pursuant to Section 2.11(b)(iv), of any change to the reference rates upon which the interest rates on Eurocurrency Advances are based. However, the Administrative Agent does not warrant or accept any responsibility for, and shall not have any liability with respect to, the administration, submission or any other matter related to LIBOR</w:t>
      </w:r>
      <w:r>
        <w:rPr>
          <w:rFonts w:ascii="Times New Roman" w:cs="Times New Roman" w:eastAsia="Times New Roman" w:hAnsi="Times New Roman"/>
          <w:sz w:val="22"/>
          <w:szCs w:val="22"/>
          <w:u w:val="single" w:color="auto"/>
          <w:color w:val="0000FF"/>
        </w:rPr>
        <w:t>, the Base Rate, the Term SOFR Reference Rate, Term SOFR,</w:t>
      </w:r>
      <w:r>
        <w:rPr>
          <w:rFonts w:ascii="Times New Roman" w:cs="Times New Roman" w:eastAsia="Times New Roman" w:hAnsi="Times New Roman"/>
          <w:sz w:val="22"/>
          <w:szCs w:val="22"/>
          <w:color w:val="000000"/>
        </w:rPr>
        <w:t xml:space="preserve"> or other rates in the definitions of “Adjusted Eurocurrency Rate”, “Eurocurrency Rate” and “RFR Rate” or with respect to any alternative or successor rate thereto, or replacement rate thereof (including, without limitation, (i) any such alternative, successor or replacement rate implemented pursuant to Section 2.11(b)(i) or</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5" w:name="page26"/>
    <w:bookmarkEnd w:id="25"/>
    <w:p>
      <w:pPr>
        <w:jc w:val="both"/>
        <w:ind w:left="100"/>
        <w:spacing w:after="0" w:line="243" w:lineRule="auto"/>
        <w:rPr>
          <w:sz w:val="20"/>
          <w:szCs w:val="20"/>
          <w:color w:val="auto"/>
        </w:rPr>
      </w:pPr>
      <w:r>
        <w:rPr>
          <w:rFonts w:ascii="Times New Roman" w:cs="Times New Roman" w:eastAsia="Times New Roman" w:hAnsi="Times New Roman"/>
          <w:sz w:val="22"/>
          <w:szCs w:val="22"/>
          <w:color w:val="auto"/>
        </w:rPr>
        <w:t xml:space="preserve">(ii), whether upon the occurrence of a Benchmark Transition Event, a Term SOFR Transition Event or an Early Opt-in Election, as applicable, and (ii) the implementation of any Benchmark Replacement Conforming Changes pursuant to Section 2.11(b) (iii)), including without limitation, whether the composition or characteristics of any such alternative, successor or replacement reference rate will be similar to, or produce the same value or economic equivalence of, the </w:t>
      </w:r>
      <w:r>
        <w:rPr>
          <w:rFonts w:ascii="Times New Roman" w:cs="Times New Roman" w:eastAsia="Times New Roman" w:hAnsi="Times New Roman"/>
          <w:sz w:val="22"/>
          <w:szCs w:val="22"/>
          <w:color w:val="0000FF"/>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Rate, the 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Reference Rate, Term 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Adjusted Eurocurrency Rate or RFR Rate, as applicable, or have the same volume or liquidity as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did the </w:t>
      </w:r>
      <w:r>
        <w:rPr>
          <w:rFonts w:ascii="Times New Roman" w:cs="Times New Roman" w:eastAsia="Times New Roman" w:hAnsi="Times New Roman"/>
          <w:sz w:val="22"/>
          <w:szCs w:val="22"/>
          <w:color w:val="0000FF"/>
        </w:rPr>
        <w:t>the Base Rate, the Term SOFR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Reference Rate, Term SOFR,</w:t>
      </w:r>
      <w:r>
        <w:rPr>
          <w:rFonts w:ascii="Times New Roman" w:cs="Times New Roman" w:eastAsia="Times New Roman" w:hAnsi="Times New Roman"/>
          <w:sz w:val="22"/>
          <w:szCs w:val="22"/>
          <w:color w:val="000000"/>
        </w:rPr>
        <w:t xml:space="preserve"> Adjusted Eurocurrency Rate or RFR Rate, as applicable, prior to its 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5433060</wp:posOffset>
            </wp:positionH>
            <wp:positionV relativeFrom="paragraph">
              <wp:posOffset>-511810</wp:posOffset>
            </wp:positionV>
            <wp:extent cx="3263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-194945</wp:posOffset>
            </wp:positionV>
            <wp:extent cx="17665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RTICLE</w:t>
      </w:r>
      <w:r>
        <w:rPr>
          <w:rFonts w:ascii="Times New Roman" w:cs="Times New Roman" w:eastAsia="Times New Roman" w:hAnsi="Times New Roman"/>
          <w:sz w:val="22"/>
          <w:szCs w:val="22"/>
          <w:b w:val="1"/>
          <w:bCs w:val="1"/>
          <w:color w:val="auto"/>
        </w:rPr>
        <w:t xml:space="preserve"> II A</w:t>
      </w:r>
      <w:r>
        <w:rPr>
          <w:rFonts w:ascii="Times New Roman" w:cs="Times New Roman" w:eastAsia="Times New Roman" w:hAnsi="Times New Roman"/>
          <w:sz w:val="17"/>
          <w:szCs w:val="17"/>
          <w:b w:val="1"/>
          <w:bCs w:val="1"/>
          <w:color w:val="auto"/>
        </w:rPr>
        <w:t>DVANCES</w:t>
      </w:r>
    </w:p>
    <w:p>
      <w:pPr>
        <w:spacing w:after="0" w:line="125" w:lineRule="exact"/>
        <w:rPr>
          <w:sz w:val="20"/>
          <w:szCs w:val="20"/>
          <w:color w:val="auto"/>
        </w:rPr>
      </w:pPr>
    </w:p>
    <w:p>
      <w:pPr>
        <w:ind w:left="560"/>
        <w:spacing w:after="0"/>
        <w:tabs>
          <w:tab w:leader="none" w:pos="1840" w:val="left"/>
          <w:tab w:leader="none" w:pos="4440" w:val="left"/>
        </w:tabs>
        <w:rPr>
          <w:sz w:val="20"/>
          <w:szCs w:val="20"/>
          <w:color w:val="auto"/>
        </w:rPr>
      </w:pPr>
      <w:r>
        <w:rPr>
          <w:rFonts w:ascii="Times New Roman" w:cs="Times New Roman" w:eastAsia="Times New Roman" w:hAnsi="Times New Roman"/>
          <w:sz w:val="22"/>
          <w:szCs w:val="22"/>
          <w:i w:val="1"/>
          <w:iCs w:val="1"/>
          <w:color w:val="auto"/>
        </w:rPr>
        <w:t>Section 2.01.</w:t>
        <w:tab/>
        <w:t>Revolving Credit Facility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On the terms and subject to the conditions hereinafter set forth, including</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23" w:lineRule="exact"/>
        <w:rPr>
          <w:sz w:val="20"/>
          <w:szCs w:val="20"/>
          <w:color w:val="auto"/>
        </w:rPr>
      </w:pPr>
    </w:p>
    <w:p>
      <w:pPr>
        <w:jc w:val="both"/>
        <w:ind w:left="840" w:firstLine="846"/>
        <w:spacing w:after="0" w:line="243" w:lineRule="auto"/>
        <w:tabs>
          <w:tab w:leader="none" w:pos="238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severally agrees to make loans in Dollars and in Agreed Foreign Currencies to the Borrower (each, a </w:t>
      </w:r>
      <w:r>
        <w:rPr>
          <w:rFonts w:ascii="Times New Roman" w:cs="Times New Roman" w:eastAsia="Times New Roman" w:hAnsi="Times New Roman"/>
          <w:sz w:val="22"/>
          <w:szCs w:val="22"/>
          <w:i w:val="1"/>
          <w:iCs w:val="1"/>
          <w:color w:val="auto"/>
        </w:rPr>
        <w:t>“Syndicated Advance”</w:t>
      </w:r>
      <w:r>
        <w:rPr>
          <w:rFonts w:ascii="Times New Roman" w:cs="Times New Roman" w:eastAsia="Times New Roman" w:hAnsi="Times New Roman"/>
          <w:sz w:val="22"/>
          <w:szCs w:val="22"/>
          <w:color w:val="auto"/>
        </w:rPr>
        <w:t xml:space="preserve">) from time to time on any Business Day during the period from the Funding Effective Date until the Commitment Termination Date (or thereafter pursuant to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214" w:lineRule="exact"/>
        <w:rPr>
          <w:rFonts w:ascii="Times New Roman" w:cs="Times New Roman" w:eastAsia="Times New Roman" w:hAnsi="Times New Roman"/>
          <w:sz w:val="22"/>
          <w:szCs w:val="22"/>
          <w:color w:val="auto"/>
        </w:rPr>
      </w:pPr>
    </w:p>
    <w:p>
      <w:pPr>
        <w:jc w:val="both"/>
        <w:ind w:left="840" w:firstLine="833"/>
        <w:spacing w:after="0" w:line="241" w:lineRule="auto"/>
        <w:tabs>
          <w:tab w:leader="none" w:pos="225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Swingline Lender agrees to make loans in Dollars (each, a “</w:t>
      </w:r>
      <w:r>
        <w:rPr>
          <w:rFonts w:ascii="Times New Roman" w:cs="Times New Roman" w:eastAsia="Times New Roman" w:hAnsi="Times New Roman"/>
          <w:sz w:val="22"/>
          <w:szCs w:val="22"/>
          <w:i w:val="1"/>
          <w:iCs w:val="1"/>
          <w:color w:val="auto"/>
        </w:rPr>
        <w:t>Swingline Advance</w:t>
      </w:r>
      <w:r>
        <w:rPr>
          <w:rFonts w:ascii="Times New Roman" w:cs="Times New Roman" w:eastAsia="Times New Roman" w:hAnsi="Times New Roman"/>
          <w:sz w:val="22"/>
          <w:szCs w:val="22"/>
          <w:color w:val="auto"/>
        </w:rPr>
        <w:t>” and, together with the Syndicated Advances, the “</w:t>
      </w:r>
      <w:r>
        <w:rPr>
          <w:rFonts w:ascii="Times New Roman" w:cs="Times New Roman" w:eastAsia="Times New Roman" w:hAnsi="Times New Roman"/>
          <w:sz w:val="22"/>
          <w:szCs w:val="22"/>
          <w:i w:val="1"/>
          <w:iCs w:val="1"/>
          <w:color w:val="auto"/>
        </w:rPr>
        <w:t>Advances</w:t>
      </w:r>
      <w:r>
        <w:rPr>
          <w:rFonts w:ascii="Times New Roman" w:cs="Times New Roman" w:eastAsia="Times New Roman" w:hAnsi="Times New Roman"/>
          <w:sz w:val="22"/>
          <w:szCs w:val="22"/>
          <w:color w:val="auto"/>
        </w:rPr>
        <w:t>”) to the Borrower from time to time on any Business Day during the period from the Funding Effective Date until the date that is five (5) Business Days prior to the Commitment Termination Date (the “</w:t>
      </w:r>
      <w:r>
        <w:rPr>
          <w:rFonts w:ascii="Times New Roman" w:cs="Times New Roman" w:eastAsia="Times New Roman" w:hAnsi="Times New Roman"/>
          <w:sz w:val="22"/>
          <w:szCs w:val="22"/>
          <w:i w:val="1"/>
          <w:iCs w:val="1"/>
          <w:color w:val="auto"/>
        </w:rPr>
        <w:t>Swingline Facility End Date</w:t>
      </w:r>
      <w:r>
        <w:rPr>
          <w:rFonts w:ascii="Times New Roman" w:cs="Times New Roman" w:eastAsia="Times New Roman" w:hAnsi="Times New Roman"/>
          <w:sz w:val="22"/>
          <w:szCs w:val="22"/>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not satisfied;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Swingline Lender shall be 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230"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color w:val="auto"/>
        </w:rPr>
        <w:t>Each such borrowing of a Syndicated Advance on any single day is referred to herein as a “</w:t>
      </w:r>
      <w:r>
        <w:rPr>
          <w:rFonts w:ascii="Times New Roman" w:cs="Times New Roman" w:eastAsia="Times New Roman" w:hAnsi="Times New Roman"/>
          <w:sz w:val="22"/>
          <w:szCs w:val="22"/>
          <w:i w:val="1"/>
          <w:iCs w:val="1"/>
          <w:color w:val="auto"/>
        </w:rPr>
        <w:t>Syndicated Borrowing</w:t>
      </w:r>
      <w:r>
        <w:rPr>
          <w:rFonts w:ascii="Times New Roman" w:cs="Times New Roman" w:eastAsia="Times New Roman" w:hAnsi="Times New Roman"/>
          <w:sz w:val="22"/>
          <w:szCs w:val="22"/>
          <w:color w:val="auto"/>
        </w:rPr>
        <w:t>”; each such borrowing of a Swingline Advance on any single day is referred to herein as a “</w:t>
      </w:r>
      <w:r>
        <w:rPr>
          <w:rFonts w:ascii="Times New Roman" w:cs="Times New Roman" w:eastAsia="Times New Roman" w:hAnsi="Times New Roman"/>
          <w:sz w:val="22"/>
          <w:szCs w:val="22"/>
          <w:i w:val="1"/>
          <w:iCs w:val="1"/>
          <w:color w:val="auto"/>
        </w:rPr>
        <w:t>Swingline Borrowing</w:t>
      </w:r>
      <w:r>
        <w:rPr>
          <w:rFonts w:ascii="Times New Roman" w:cs="Times New Roman" w:eastAsia="Times New Roman" w:hAnsi="Times New Roman"/>
          <w:sz w:val="22"/>
          <w:szCs w:val="22"/>
          <w:color w:val="auto"/>
        </w:rPr>
        <w:t>”; and Syndicated Borrowings and Swingline Borrowings are referred to herein collectively as “</w:t>
      </w:r>
      <w:r>
        <w:rPr>
          <w:rFonts w:ascii="Times New Roman" w:cs="Times New Roman" w:eastAsia="Times New Roman" w:hAnsi="Times New Roman"/>
          <w:sz w:val="22"/>
          <w:szCs w:val="22"/>
          <w:i w:val="1"/>
          <w:iCs w:val="1"/>
          <w:color w:val="auto"/>
        </w:rPr>
        <w:t>Borrowings</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69" w:right="399" w:bottom="1440" w:gutter="0" w:footer="0" w:header="0"/>
        </w:sectPr>
      </w:pPr>
    </w:p>
    <w:bookmarkStart w:id="26" w:name="page27"/>
    <w:bookmarkEnd w:id="26"/>
    <w:p>
      <w:pPr>
        <w:jc w:val="both"/>
        <w:ind w:left="100"/>
        <w:spacing w:after="0" w:line="241" w:lineRule="auto"/>
        <w:rPr>
          <w:sz w:val="20"/>
          <w:szCs w:val="20"/>
          <w:color w:val="auto"/>
        </w:rPr>
      </w:pPr>
      <w:r>
        <w:rPr>
          <w:rFonts w:ascii="Times New Roman" w:cs="Times New Roman" w:eastAsia="Times New Roman" w:hAnsi="Times New Roman"/>
          <w:sz w:val="22"/>
          <w:szCs w:val="22"/>
          <w:color w:val="auto"/>
        </w:rPr>
        <w:t>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216" w:lineRule="exact"/>
        <w:rPr>
          <w:sz w:val="20"/>
          <w:szCs w:val="20"/>
          <w:color w:val="auto"/>
        </w:rPr>
      </w:pPr>
    </w:p>
    <w:p>
      <w:pPr>
        <w:jc w:val="both"/>
        <w:ind w:left="100" w:firstLine="749"/>
        <w:spacing w:after="0" w:line="259" w:lineRule="auto"/>
        <w:rPr>
          <w:sz w:val="20"/>
          <w:szCs w:val="20"/>
          <w:color w:val="auto"/>
        </w:rPr>
      </w:pP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i w:val="1"/>
          <w:iCs w:val="1"/>
          <w:color w:val="FF0000"/>
        </w:rPr>
        <w:t>SOFR</w:t>
      </w:r>
      <w:r>
        <w:rPr>
          <w:rFonts w:ascii="Times New Roman" w:cs="Times New Roman" w:eastAsia="Times New Roman" w:hAnsi="Times New Roman"/>
          <w:sz w:val="22"/>
          <w:szCs w:val="22"/>
          <w:color w:val="FF0000"/>
        </w:rPr>
        <w:t xml:space="preserve">” means, with respect to any Business Day, </w:t>
      </w:r>
      <w:r>
        <w:rPr>
          <w:rFonts w:ascii="Times New Roman" w:cs="Times New Roman" w:eastAsia="Times New Roman" w:hAnsi="Times New Roman"/>
          <w:sz w:val="22"/>
          <w:szCs w:val="22"/>
          <w:color w:val="00C000"/>
        </w:rPr>
        <w:t>a rate per annum equal to the secured overnight financing rate</w:t>
      </w:r>
      <w:r>
        <w:rPr>
          <w:rFonts w:ascii="Times New Roman" w:cs="Times New Roman" w:eastAsia="Times New Roman" w:hAnsi="Times New Roman"/>
          <w:sz w:val="22"/>
          <w:szCs w:val="22"/>
          <w:color w:val="FF0000"/>
        </w:rPr>
        <w:t xml:space="preserve"> for such Business Day published by the SOFR Administrator on the </w:t>
      </w:r>
      <w:r>
        <w:rPr>
          <w:rFonts w:ascii="Times New Roman" w:cs="Times New Roman" w:eastAsia="Times New Roman" w:hAnsi="Times New Roman"/>
          <w:sz w:val="22"/>
          <w:szCs w:val="22"/>
          <w:color w:val="FF0000"/>
          <w:strike w:val="1"/>
        </w:rPr>
        <w:t>SOFR Administrator’s Website at approximately 8:00 a.m.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(New York City time) on the immediately succeeding Business Day</w:t>
      </w:r>
      <w:r>
        <w:rPr>
          <w:rFonts w:ascii="Times New Roman" w:cs="Times New Roman" w:eastAsia="Times New Roman" w:hAnsi="Times New Roman"/>
          <w:sz w:val="22"/>
          <w:szCs w:val="22"/>
          <w:color w:val="00C000"/>
        </w:rPr>
        <w:t>.</w:t>
      </w:r>
    </w:p>
    <w:p>
      <w:pPr>
        <w:spacing w:after="0" w:line="193" w:lineRule="exact"/>
        <w:rPr>
          <w:sz w:val="20"/>
          <w:szCs w:val="20"/>
          <w:color w:val="auto"/>
        </w:rPr>
      </w:pPr>
    </w:p>
    <w:p>
      <w:pPr>
        <w:ind w:left="100" w:right="460" w:firstLine="749"/>
        <w:spacing w:after="0" w:line="275" w:lineRule="auto"/>
        <w:rPr>
          <w:sz w:val="20"/>
          <w:szCs w:val="20"/>
          <w:color w:val="auto"/>
        </w:rPr>
      </w:pPr>
      <w:r>
        <w:rPr>
          <w:rFonts w:ascii="Times New Roman" w:cs="Times New Roman" w:eastAsia="Times New Roman" w:hAnsi="Times New Roman"/>
          <w:sz w:val="22"/>
          <w:szCs w:val="22"/>
          <w:color w:val="00C000"/>
          <w:strike w:val="1"/>
        </w:rPr>
        <w:t>“</w:t>
      </w:r>
      <w:r>
        <w:rPr>
          <w:rFonts w:ascii="Times New Roman" w:cs="Times New Roman" w:eastAsia="Times New Roman" w:hAnsi="Times New Roman"/>
          <w:sz w:val="22"/>
          <w:szCs w:val="22"/>
          <w:i w:val="1"/>
          <w:iCs w:val="1"/>
          <w:color w:val="00C000"/>
          <w:strike w:val="1"/>
        </w:rPr>
        <w:t>SOFR Administrator</w:t>
      </w:r>
      <w:r>
        <w:rPr>
          <w:rFonts w:ascii="Times New Roman" w:cs="Times New Roman" w:eastAsia="Times New Roman" w:hAnsi="Times New Roman"/>
          <w:sz w:val="22"/>
          <w:szCs w:val="22"/>
          <w:color w:val="00C000"/>
          <w:strike w:val="1"/>
        </w:rPr>
        <w:t>” means the Federal Reserve Bank of New York (or a successor administrator of the secured overnight financing rate).</w:t>
      </w:r>
    </w:p>
    <w:p>
      <w:pPr>
        <w:spacing w:after="0" w:line="176"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SOFR Administrator’s Website</w:t>
      </w:r>
      <w:r>
        <w:rPr>
          <w:rFonts w:ascii="Times New Roman" w:cs="Times New Roman" w:eastAsia="Times New Roman" w:hAnsi="Times New Roman"/>
          <w:sz w:val="22"/>
          <w:szCs w:val="22"/>
          <w:color w:val="FF0000"/>
          <w:strike w:val="1"/>
        </w:rPr>
        <w:t xml:space="preserve">” means the website of the Federal Reserve Bank of New York, currently at </w:t>
      </w:r>
      <w:r>
        <w:rPr>
          <w:rFonts w:ascii="Times New Roman" w:cs="Times New Roman" w:eastAsia="Times New Roman" w:hAnsi="Times New Roman"/>
          <w:sz w:val="22"/>
          <w:szCs w:val="22"/>
          <w:color w:val="000000"/>
          <w:strike w:val="1"/>
        </w:rPr>
        <w:t xml:space="preserve">http://www.newyorkfed.org, </w:t>
      </w:r>
      <w:r>
        <w:rPr>
          <w:rFonts w:ascii="Times New Roman" w:cs="Times New Roman" w:eastAsia="Times New Roman" w:hAnsi="Times New Roman"/>
          <w:sz w:val="22"/>
          <w:szCs w:val="22"/>
          <w:color w:val="FF0000"/>
          <w:strike w:val="1"/>
        </w:rPr>
        <w:t>or any successor source for the secured overnight</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financing rate identified as such by the SOFR</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-254000</wp:posOffset>
            </wp:positionV>
            <wp:extent cx="28365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182"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Term SOFR</w:t>
      </w:r>
      <w:r>
        <w:rPr>
          <w:rFonts w:ascii="Times New Roman" w:cs="Times New Roman" w:eastAsia="Times New Roman" w:hAnsi="Times New Roman"/>
          <w:sz w:val="22"/>
          <w:szCs w:val="22"/>
          <w:color w:val="FF0000"/>
          <w:strike w:val="1"/>
        </w:rPr>
        <w:t>” means, for the applicable Corresponding Tenor as of the applicable</w:t>
      </w:r>
      <w:r>
        <w:rPr>
          <w:rFonts w:ascii="Times New Roman" w:cs="Times New Roman" w:eastAsia="Times New Roman" w:hAnsi="Times New Roman"/>
          <w:sz w:val="22"/>
          <w:szCs w:val="22"/>
          <w:color w:val="FF0000"/>
        </w:rPr>
        <w:t xml:space="preserve"> Reference Time, </w:t>
      </w:r>
      <w:r>
        <w:rPr>
          <w:rFonts w:ascii="Times New Roman" w:cs="Times New Roman" w:eastAsia="Times New Roman" w:hAnsi="Times New Roman"/>
          <w:sz w:val="22"/>
          <w:szCs w:val="22"/>
          <w:color w:val="00C000"/>
        </w:rPr>
        <w:t xml:space="preserve">the forward-looking term rate based on SOFR </w:t>
      </w:r>
      <w:r>
        <w:rPr>
          <w:rFonts w:ascii="Times New Roman" w:cs="Times New Roman" w:eastAsia="Times New Roman" w:hAnsi="Times New Roman"/>
          <w:sz w:val="22"/>
          <w:szCs w:val="22"/>
          <w:color w:val="FF0000"/>
        </w:rPr>
        <w:t>that has been selected or</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recommended by the Relevant Governmental Body.</w:t>
      </w:r>
    </w:p>
    <w:p>
      <w:pPr>
        <w:spacing w:after="0" w:line="176"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Notice</w:t>
      </w:r>
      <w:r>
        <w:rPr>
          <w:rFonts w:ascii="Times New Roman" w:cs="Times New Roman" w:eastAsia="Times New Roman" w:hAnsi="Times New Roman"/>
          <w:sz w:val="22"/>
          <w:szCs w:val="22"/>
          <w:color w:val="auto"/>
        </w:rPr>
        <w:t>” means a notification by the Administrative Agent to the Lenders and the Borrower of the occurrence of a Term SOFR Transition Event.</w:t>
      </w:r>
    </w:p>
    <w:p>
      <w:pPr>
        <w:spacing w:after="0" w:line="176"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Transition Event</w:t>
      </w:r>
      <w:r>
        <w:rPr>
          <w:rFonts w:ascii="Times New Roman" w:cs="Times New Roman" w:eastAsia="Times New Roman" w:hAnsi="Times New Roman"/>
          <w:sz w:val="22"/>
          <w:szCs w:val="22"/>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has previously occurred resulting in a Benchmark Replacement for Dollars in accordance with this Section 2.11(b) that is not Term SOFR.</w:t>
      </w:r>
    </w:p>
    <w:p>
      <w:pPr>
        <w:spacing w:after="0" w:line="206" w:lineRule="exact"/>
        <w:rPr>
          <w:sz w:val="20"/>
          <w:szCs w:val="20"/>
          <w:color w:val="auto"/>
        </w:rPr>
      </w:pPr>
    </w:p>
    <w:p>
      <w:pPr>
        <w:jc w:val="both"/>
        <w:ind w:left="10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76" w:lineRule="exact"/>
        <w:rPr>
          <w:sz w:val="20"/>
          <w:szCs w:val="20"/>
          <w:color w:val="auto"/>
        </w:rPr>
      </w:pPr>
    </w:p>
    <w:p>
      <w:pPr>
        <w:jc w:val="both"/>
        <w:ind w:left="100" w:firstLine="472"/>
        <w:spacing w:after="0" w:line="258" w:lineRule="auto"/>
        <w:rPr>
          <w:sz w:val="20"/>
          <w:szCs w:val="20"/>
          <w:color w:val="auto"/>
        </w:rPr>
      </w:pPr>
      <w:r>
        <w:rPr>
          <w:rFonts w:ascii="Times New Roman" w:cs="Times New Roman" w:eastAsia="Times New Roman" w:hAnsi="Times New Roman"/>
          <w:sz w:val="21"/>
          <w:szCs w:val="21"/>
          <w:i w:val="1"/>
          <w:iCs w:val="1"/>
          <w:color w:val="auto"/>
        </w:rPr>
        <w:t>Section 2.12. Rescission or Return of Payment</w:t>
      </w:r>
      <w:r>
        <w:rPr>
          <w:rFonts w:ascii="Times New Roman" w:cs="Times New Roman" w:eastAsia="Times New Roman" w:hAnsi="Times New Roman"/>
          <w:sz w:val="21"/>
          <w:szCs w:val="21"/>
          <w:color w:val="auto"/>
        </w:rPr>
        <w:t>. The Borrower agrees that, if at any time (including after the occurrence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7" w:name="page28"/>
    <w:bookmarkEnd w:id="27"/>
    <w:p>
      <w:pPr>
        <w:ind w:left="100"/>
        <w:spacing w:after="0"/>
        <w:rPr>
          <w:sz w:val="20"/>
          <w:szCs w:val="20"/>
          <w:color w:val="auto"/>
        </w:rPr>
      </w:pPr>
      <w:r>
        <w:rPr>
          <w:rFonts w:ascii="Times New Roman" w:cs="Times New Roman" w:eastAsia="Times New Roman" w:hAnsi="Times New Roman"/>
          <w:sz w:val="22"/>
          <w:szCs w:val="22"/>
          <w:color w:val="auto"/>
        </w:rPr>
        <w:t>unreasonable manner.</w:t>
      </w:r>
    </w:p>
    <w:p>
      <w:pPr>
        <w:spacing w:after="0" w:line="247"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2"/>
          <w:szCs w:val="22"/>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218"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2"/>
          <w:szCs w:val="22"/>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215"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2"/>
          <w:szCs w:val="22"/>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218"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2"/>
          <w:szCs w:val="22"/>
          <w:color w:val="auto"/>
        </w:rPr>
        <w:t xml:space="preserve">The Collateral Agent, the Collateral Administrator, the Backup Collateral Manager and the Custodian shall be under no obligation to (i) monitor, determine or verify the unavailability or cessation of LIBOR, </w:t>
      </w:r>
      <w:r>
        <w:rPr>
          <w:rFonts w:ascii="Times New Roman" w:cs="Times New Roman" w:eastAsia="Times New Roman" w:hAnsi="Times New Roman"/>
          <w:sz w:val="22"/>
          <w:szCs w:val="22"/>
          <w:color w:val="FF0000"/>
          <w:strike w:val="1"/>
        </w:rPr>
        <w:t>LIBO Screen Rate,</w:t>
      </w:r>
      <w:r>
        <w:rPr>
          <w:rFonts w:ascii="Times New Roman" w:cs="Times New Roman" w:eastAsia="Times New Roman" w:hAnsi="Times New Roman"/>
          <w:sz w:val="22"/>
          <w:szCs w:val="22"/>
          <w:color w:val="auto"/>
        </w:rPr>
        <w:t xml:space="preserve">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8" w:name="page29"/>
    <w:bookmarkEnd w:id="28"/>
    <w:p>
      <w:pPr>
        <w:jc w:val="both"/>
        <w:ind w:left="100"/>
        <w:spacing w:after="0" w:line="242" w:lineRule="auto"/>
        <w:rPr>
          <w:sz w:val="20"/>
          <w:szCs w:val="20"/>
          <w:color w:val="auto"/>
        </w:rPr>
      </w:pPr>
      <w:r>
        <w:rPr>
          <w:rFonts w:ascii="Times New Roman" w:cs="Times New Roman" w:eastAsia="Times New Roman" w:hAnsi="Times New Roman"/>
          <w:sz w:val="22"/>
          <w:szCs w:val="22"/>
          <w:color w:val="auto"/>
        </w:rPr>
        <w:t xml:space="preserve">change required to be made to the applicable interest rate, (ii) select, determine or designate any LIBOR, </w:t>
      </w:r>
      <w:r>
        <w:rPr>
          <w:rFonts w:ascii="Times New Roman" w:cs="Times New Roman" w:eastAsia="Times New Roman" w:hAnsi="Times New Roman"/>
          <w:sz w:val="22"/>
          <w:szCs w:val="22"/>
          <w:color w:val="FF0000"/>
          <w:strike w:val="1"/>
        </w:rPr>
        <w:t>LIBO Screen Rate,</w:t>
      </w:r>
      <w:r>
        <w:rPr>
          <w:rFonts w:ascii="Times New Roman" w:cs="Times New Roman" w:eastAsia="Times New Roman" w:hAnsi="Times New Roman"/>
          <w:sz w:val="22"/>
          <w:szCs w:val="22"/>
          <w:color w:val="auto"/>
        </w:rPr>
        <w:t xml:space="preserve">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w:t>
      </w:r>
    </w:p>
    <w:p>
      <w:pPr>
        <w:spacing w:after="0" w:line="3" w:lineRule="exact"/>
        <w:rPr>
          <w:sz w:val="20"/>
          <w:szCs w:val="20"/>
          <w:color w:val="auto"/>
        </w:rPr>
      </w:pPr>
    </w:p>
    <w:p>
      <w:pPr>
        <w:ind w:left="100" w:hanging="9"/>
        <w:spacing w:after="0" w:line="248" w:lineRule="auto"/>
        <w:tabs>
          <w:tab w:leader="none" w:pos="46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or what Benchmark Replacement Conforming Changes are necessary or advisable, if any, in connection with any of the foregoing.</w:t>
      </w:r>
    </w:p>
    <w:p>
      <w:pPr>
        <w:spacing w:after="0" w:line="209"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2"/>
          <w:szCs w:val="22"/>
          <w:color w:val="auto"/>
        </w:rPr>
        <w:t xml:space="preserve">The Collateral Agent, the Collateral Administrator, the Backup Collateral Manager and the Custodian shall not be liable for any inability, failure or delay on its part to perform any of its duties set forth in this Agreement as a result of the unavailability of LIBOR, </w:t>
      </w:r>
      <w:r>
        <w:rPr>
          <w:rFonts w:ascii="Times New Roman" w:cs="Times New Roman" w:eastAsia="Times New Roman" w:hAnsi="Times New Roman"/>
          <w:sz w:val="22"/>
          <w:szCs w:val="22"/>
          <w:color w:val="FF0000"/>
          <w:strike w:val="1"/>
        </w:rPr>
        <w:t>LIBO Screen Rate,</w:t>
      </w:r>
      <w:r>
        <w:rPr>
          <w:rFonts w:ascii="Times New Roman" w:cs="Times New Roman" w:eastAsia="Times New Roman" w:hAnsi="Times New Roman"/>
          <w:sz w:val="22"/>
          <w:szCs w:val="22"/>
          <w:color w:val="auto"/>
        </w:rPr>
        <w:t xml:space="preserve"> Daily Simple SOFR, 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215" w:lineRule="exact"/>
        <w:rPr>
          <w:sz w:val="20"/>
          <w:szCs w:val="20"/>
          <w:color w:val="auto"/>
        </w:rPr>
      </w:pPr>
    </w:p>
    <w:p>
      <w:pPr>
        <w:jc w:val="both"/>
        <w:ind w:left="100" w:firstLine="346"/>
        <w:spacing w:after="0" w:line="249" w:lineRule="auto"/>
        <w:rPr>
          <w:sz w:val="20"/>
          <w:szCs w:val="20"/>
          <w:color w:val="auto"/>
        </w:rPr>
      </w:pPr>
      <w:r>
        <w:rPr>
          <w:rFonts w:ascii="Times New Roman" w:cs="Times New Roman" w:eastAsia="Times New Roman" w:hAnsi="Times New Roman"/>
          <w:sz w:val="22"/>
          <w:szCs w:val="22"/>
          <w:i w:val="1"/>
          <w:iCs w:val="1"/>
          <w:color w:val="auto"/>
        </w:rPr>
        <w:t>Section 12.02. Delegation of Duties</w:t>
      </w:r>
      <w:r>
        <w:rPr>
          <w:rFonts w:ascii="Times New Roman" w:cs="Times New Roman" w:eastAsia="Times New Roman" w:hAnsi="Times New Roman"/>
          <w:sz w:val="22"/>
          <w:szCs w:val="22"/>
          <w:color w:val="auto"/>
        </w:rPr>
        <w:t>. Each Agent may execute any of its duties under this Agreement and each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219" w:lineRule="exact"/>
        <w:rPr>
          <w:sz w:val="20"/>
          <w:szCs w:val="20"/>
          <w:color w:val="auto"/>
        </w:rPr>
      </w:pPr>
    </w:p>
    <w:p>
      <w:pPr>
        <w:jc w:val="both"/>
        <w:ind w:left="100" w:firstLine="346"/>
        <w:spacing w:after="0" w:line="251" w:lineRule="auto"/>
        <w:rPr>
          <w:sz w:val="20"/>
          <w:szCs w:val="20"/>
          <w:color w:val="auto"/>
        </w:rPr>
      </w:pPr>
      <w:r>
        <w:rPr>
          <w:rFonts w:ascii="Times New Roman" w:cs="Times New Roman" w:eastAsia="Times New Roman" w:hAnsi="Times New Roman"/>
          <w:sz w:val="21"/>
          <w:szCs w:val="21"/>
          <w:i w:val="1"/>
          <w:iCs w:val="1"/>
          <w:color w:val="auto"/>
        </w:rPr>
        <w:t xml:space="preserve">Section 12.03. Agent’s Reliance, Etc. </w:t>
      </w:r>
      <w:r>
        <w:rPr>
          <w:rFonts w:ascii="Times New Roman" w:cs="Times New Roman" w:eastAsia="Times New Roman" w:hAnsi="Times New Roman"/>
          <w:sz w:val="21"/>
          <w:szCs w:val="21"/>
          <w:color w:val="auto"/>
        </w:rPr>
        <w:t>(a) Neither Agent nor any of its respective directors, officers, agents or employees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w:t>
      </w:r>
    </w:p>
    <w:p>
      <w:pPr>
        <w:spacing w:after="0" w:line="6" w:lineRule="exact"/>
        <w:rPr>
          <w:sz w:val="20"/>
          <w:szCs w:val="20"/>
          <w:color w:val="auto"/>
        </w:rPr>
      </w:pPr>
    </w:p>
    <w:p>
      <w:pPr>
        <w:ind w:left="100" w:hanging="9"/>
        <w:spacing w:after="0" w:line="248" w:lineRule="auto"/>
        <w:tabs>
          <w:tab w:leader="none" w:pos="41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incur no liability under or in respect of this Agreement or any other Facility Document by relying on, acting upon (or by refraining from</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Revolving Credit and Security Agreement (2021) 4817-1653-3999 v14.doc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12" w:right="3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63703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70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Upsizes Credit Facility to $366 Million</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MIAMI, September 21, 2022 – PennantPark Floating Rate Capital Ltd. </w:t>
      </w: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PFLT) (TASE: PFLT) announced that it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size of its multi-currency, senior secured credit facility (as amended, the “Credit Facility”) from $300 million to $366 million and replaced the London interbank offer rate, or LIBOR, benchmark provisions with secured overnight financing rate, or SOFR, benchmark provisions. All other terms remain unchanged.</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pleased to have upsized our Credit Facility and it nicely complements our unsecured bonds and permanent equity base. We are delighted with the continued confidence and support from our lending partners,” said Chairman and Chief Executive Officer Arthur H. Penn, adding “This increased facility will expand our ability to serve middle-market sponsor and borrower clients by providing them with larger senior secured solutions.”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PENNANTPARK FLOATING RATE CAPITAL LTD.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PENNANTPARK INVESTMENT ADVISERS, LLC</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ind w:right="9560" w:firstLine="8"/>
        <w:spacing w:after="0" w:line="243"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905-1000 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W"/>
      <w:numFmt w:val="bullet"/>
      <w:start w:val="1"/>
    </w:lvl>
  </w:abstractNum>
  <w:abstractNum w:abstractNumId="2">
    <w:nsid w:val="66EF438D"/>
    <w:multiLevelType w:val="hybridMultilevel"/>
    <w:lvl w:ilvl="0">
      <w:lvlJc w:val="left"/>
      <w:lvlText w:val="W"/>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2"/>
    </w:lvl>
  </w:abstractNum>
  <w:abstractNum w:abstractNumId="5">
    <w:nsid w:val="109CF92E"/>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lvl w:ilvl="3">
      <w:lvlJc w:val="left"/>
      <w:lvlText w:val="%4"/>
      <w:numFmt w:val="lowerLetter"/>
      <w:start w:val="1"/>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1)"/>
      <w:numFmt w:val="lowerLetter"/>
      <w:start w:val="5"/>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4"/>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Roman"/>
      <w:start w:val="4"/>
    </w:lvl>
  </w:abstractNum>
  <w:abstractNum w:abstractNumId="19">
    <w:nsid w:val="436C6125"/>
    <w:multiLevelType w:val="hybridMultilevel"/>
    <w:lvl w:ilvl="0">
      <w:lvlJc w:val="left"/>
      <w:lvlText w:val="(%1)"/>
      <w:numFmt w:val="lowerRoman"/>
      <w:start w:val="5"/>
    </w:lvl>
  </w:abstractNum>
  <w:abstractNum w:abstractNumId="20">
    <w:nsid w:val="628C895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2022-09-21T15:21:07Z</dcterms:created>
  <dcterms:modified xsi:type="dcterms:W3CDTF">2022-09-21T15:21:07Z</dcterms:modified>
</cp:coreProperties>
</file>