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Pursuant to Section 13 or 15(d)</w:t>
      </w:r>
    </w:p>
    <w:p>
      <w:pPr>
        <w:jc w:val="center"/>
        <w:ind w:right="-6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August 14, 2015</w:t>
      </w:r>
    </w:p>
    <w:p>
      <w:pPr>
        <w:spacing w:after="0" w:line="1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679"/>
        <w:spacing w:after="0"/>
        <w:rPr>
          <w:sz w:val="20"/>
          <w:szCs w:val="20"/>
          <w:color w:val="auto"/>
        </w:rPr>
      </w:pPr>
      <w:r>
        <w:rPr>
          <w:rFonts w:ascii="Arial" w:cs="Arial" w:eastAsia="Arial" w:hAnsi="Arial"/>
          <w:sz w:val="40"/>
          <w:szCs w:val="40"/>
          <w:b w:val="1"/>
          <w:bCs w:val="1"/>
          <w:color w:val="auto"/>
        </w:rPr>
        <w:t>PennantPark Floating Rate Capital Ltd.</w:t>
      </w:r>
    </w:p>
    <w:p>
      <w:pPr>
        <w:spacing w:after="0" w:line="85"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ectPr>
          <w:pgSz w:w="11900" w:h="16838" w:orient="portrait"/>
          <w:cols w:equalWidth="0" w:num="1">
            <w:col w:w="10560"/>
          </w:cols>
          <w:pgMar w:left="320" w:top="476" w:right="10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27-3794690</w:t>
      </w:r>
    </w:p>
    <w:p>
      <w:pPr>
        <w:spacing w:after="0" w:line="31" w:lineRule="exact"/>
        <w:rPr>
          <w:sz w:val="24"/>
          <w:szCs w:val="24"/>
          <w:color w:val="auto"/>
        </w:rPr>
      </w:pPr>
    </w:p>
    <w:p>
      <w:pPr>
        <w:sectPr>
          <w:pgSz w:w="11900" w:h="16838" w:orient="portrait"/>
          <w:cols w:equalWidth="0" w:num="3">
            <w:col w:w="4640" w:space="720"/>
            <w:col w:w="2920" w:space="720"/>
            <w:col w:w="1560"/>
          </w:cols>
          <w:pgMar w:left="320" w:top="476" w:right="1019" w:bottom="1440" w:gutter="0" w:footer="0" w:header="0"/>
          <w:type w:val="continuous"/>
        </w:sectPr>
      </w:pPr>
    </w:p>
    <w:p>
      <w:pPr>
        <w:spacing w:after="0" w:line="11"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400"/>
        <w:spacing w:after="0"/>
        <w:rPr>
          <w:sz w:val="20"/>
          <w:szCs w:val="20"/>
          <w:color w:val="auto"/>
        </w:rPr>
      </w:pPr>
      <w:r>
        <w:rPr>
          <w:rFonts w:ascii="Arial" w:cs="Arial" w:eastAsia="Arial" w:hAnsi="Arial"/>
          <w:sz w:val="14"/>
          <w:szCs w:val="14"/>
          <w:b w:val="1"/>
          <w:bCs w:val="1"/>
          <w:color w:val="auto"/>
        </w:rPr>
        <w:t>(IRS Employer</w:t>
      </w:r>
    </w:p>
    <w:p>
      <w:pPr>
        <w:jc w:val="center"/>
        <w:ind w:right="40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620" w:space="720"/>
            <w:col w:w="2680" w:space="720"/>
            <w:col w:w="1820"/>
          </w:cols>
          <w:pgMar w:left="320" w:top="476" w:right="1019" w:bottom="1440" w:gutter="0" w:footer="0" w:header="0"/>
          <w:type w:val="continuous"/>
        </w:sectPr>
      </w:pP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590 Madison Avenue, 15th Floor,</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10022</w:t>
      </w:r>
    </w:p>
    <w:p>
      <w:pPr>
        <w:spacing w:after="0" w:line="50" w:lineRule="exact"/>
        <w:rPr>
          <w:sz w:val="24"/>
          <w:szCs w:val="24"/>
          <w:color w:val="auto"/>
        </w:rPr>
      </w:pPr>
    </w:p>
    <w:p>
      <w:pPr>
        <w:sectPr>
          <w:pgSz w:w="11900" w:h="16838" w:orient="portrait"/>
          <w:cols w:equalWidth="0" w:num="2">
            <w:col w:w="7560" w:space="720"/>
            <w:col w:w="2280"/>
          </w:cols>
          <w:pgMar w:left="320" w:top="476" w:right="101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460" w:space="720"/>
            <w:col w:w="2380"/>
          </w:cols>
          <w:pgMar w:left="320" w:top="476" w:right="1019" w:bottom="1440" w:gutter="0" w:footer="0" w:header="0"/>
          <w:type w:val="continuous"/>
        </w:sectPr>
      </w:pPr>
    </w:p>
    <w:p>
      <w:pPr>
        <w:jc w:val="center"/>
        <w:ind w:right="-69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6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320" w:top="476" w:right="10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jc w:val="both"/>
        <w:ind w:right="60" w:firstLine="449"/>
        <w:spacing w:after="0" w:line="259" w:lineRule="auto"/>
        <w:rPr>
          <w:sz w:val="20"/>
          <w:szCs w:val="20"/>
          <w:color w:val="auto"/>
        </w:rPr>
      </w:pPr>
      <w:r>
        <w:rPr>
          <w:rFonts w:ascii="Arial" w:cs="Arial" w:eastAsia="Arial" w:hAnsi="Arial"/>
          <w:sz w:val="18"/>
          <w:szCs w:val="18"/>
          <w:color w:val="auto"/>
        </w:rPr>
        <w:t>On August 14, 2015, PennantPark Floating Rate Capital Ltd. (the “Company”) held a special meeting of stockholders (the “Special Meeting”) and submitted a matter to the vote of stockholders. The proposals are described in detail in the Company’s definitive proxy statement filed with the Securities and Exchange Commission on July 1, 2015. As of July 13, 2015, the record date, 14,898,056 shares of common stock were eligible to vote. A summary of the matters voted upon by the stockholders is set forth below.</w:t>
      </w:r>
    </w:p>
    <w:p>
      <w:pPr>
        <w:spacing w:after="0" w:line="18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To consider and vote upon a proposal to approve the issuance of the shares of the Company’s common stock, $0.001 par value per share to be</w:t>
      </w:r>
      <w:r>
        <w:rPr>
          <w:rFonts w:ascii="Arial" w:cs="Arial" w:eastAsia="Arial" w:hAnsi="Arial"/>
          <w:sz w:val="18"/>
          <w:szCs w:val="18"/>
          <w:b w:val="1"/>
          <w:bCs w:val="1"/>
          <w:color w:val="auto"/>
        </w:rPr>
        <w:t xml:space="preserve"> </w:t>
      </w:r>
      <w:r>
        <w:rPr>
          <w:rFonts w:ascii="Arial" w:cs="Arial" w:eastAsia="Arial" w:hAnsi="Arial"/>
          <w:sz w:val="18"/>
          <w:szCs w:val="18"/>
          <w:color w:val="auto"/>
        </w:rPr>
        <w:t>issued pursuant to the Agreement and Plan of Merger, as such agreement may be amended from time to time dated as of April 28, 2015, among the Company, MCG Capital Corporation, or MCG, PFLT Panama, LLC and PFLT Funding II, LLC, each a wholly owned subsidiary of the Company, and, for limited purposes, PennantPark Investment Advisers, LLC.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voting results as of August 14, 2015, as certified by the inspector of election, are set forth below:</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4"/>
                <w:szCs w:val="14"/>
                <w:color w:val="auto"/>
              </w:rPr>
              <w:t>For</w:t>
            </w:r>
          </w:p>
        </w:tc>
        <w:tc>
          <w:tcPr>
            <w:tcW w:w="1080" w:type="dxa"/>
            <w:vAlign w:val="bottom"/>
            <w:gridSpan w:val="2"/>
          </w:tcPr>
          <w:p>
            <w:pPr>
              <w:jc w:val="right"/>
              <w:ind w:right="540"/>
              <w:spacing w:after="0"/>
              <w:rPr>
                <w:sz w:val="20"/>
                <w:szCs w:val="20"/>
                <w:color w:val="auto"/>
              </w:rPr>
            </w:pPr>
            <w:r>
              <w:rPr>
                <w:rFonts w:ascii="Arial" w:cs="Arial" w:eastAsia="Arial" w:hAnsi="Arial"/>
                <w:sz w:val="14"/>
                <w:szCs w:val="14"/>
                <w:color w:val="auto"/>
              </w:rPr>
              <w:t>Against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Abstain</w:t>
            </w:r>
          </w:p>
        </w:tc>
      </w:tr>
      <w:tr>
        <w:trPr>
          <w:trHeight w:val="209"/>
        </w:trPr>
        <w:tc>
          <w:tcPr>
            <w:tcW w:w="6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7,086,560</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248,546</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620,249</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 of Shares Voted</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89.08%</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3.12%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7.80%</w:t>
            </w:r>
          </w:p>
        </w:tc>
      </w:tr>
    </w:tbl>
    <w:p>
      <w:pPr>
        <w:spacing w:after="0" w:line="18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To consider and vote upon a proposal to approve the adjournment of the Special Meeting, if necessary or appropriate, to solicit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proxies, if there are not sufficient votes at the time of the Special Meeting to approve Proposal 1.</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4"/>
                <w:szCs w:val="14"/>
                <w:color w:val="auto"/>
              </w:rPr>
              <w:t>For</w:t>
            </w:r>
          </w:p>
        </w:tc>
        <w:tc>
          <w:tcPr>
            <w:tcW w:w="1080" w:type="dxa"/>
            <w:vAlign w:val="bottom"/>
            <w:gridSpan w:val="2"/>
          </w:tcPr>
          <w:p>
            <w:pPr>
              <w:jc w:val="right"/>
              <w:ind w:right="540"/>
              <w:spacing w:after="0"/>
              <w:rPr>
                <w:sz w:val="20"/>
                <w:szCs w:val="20"/>
                <w:color w:val="auto"/>
              </w:rPr>
            </w:pPr>
            <w:r>
              <w:rPr>
                <w:rFonts w:ascii="Arial" w:cs="Arial" w:eastAsia="Arial" w:hAnsi="Arial"/>
                <w:sz w:val="14"/>
                <w:szCs w:val="14"/>
                <w:color w:val="auto"/>
              </w:rPr>
              <w:t>Against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Abstain</w:t>
            </w:r>
          </w:p>
        </w:tc>
      </w:tr>
      <w:tr>
        <w:trPr>
          <w:trHeight w:val="209"/>
        </w:trPr>
        <w:tc>
          <w:tcPr>
            <w:tcW w:w="6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7,081,784</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248,300</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625,271</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 of Shares Voted</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89.02%</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3.12%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7.86%</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August 14, 2015,the Company issued a press release announcing voting results of the Special Meeting. A copy of the press release is furnished as Exhibit 99.1 to this Form 8-K.</w:t>
      </w:r>
    </w:p>
    <w:p>
      <w:pPr>
        <w:spacing w:after="0" w:line="17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ind w:left="460" w:right="9280" w:hanging="452"/>
        <w:spacing w:after="0" w:line="397" w:lineRule="auto"/>
        <w:tabs>
          <w:tab w:leader="none" w:pos="266"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spacing w:after="0" w:line="1" w:lineRule="exact"/>
        <w:rPr>
          <w:rFonts w:ascii="Arial" w:cs="Arial" w:eastAsia="Arial" w:hAnsi="Arial"/>
          <w:sz w:val="17"/>
          <w:szCs w:val="17"/>
          <w:b w:val="1"/>
          <w:bCs w:val="1"/>
          <w:color w:val="auto"/>
        </w:rPr>
      </w:pPr>
    </w:p>
    <w:p>
      <w:pPr>
        <w:ind w:left="460" w:right="8380" w:hanging="452"/>
        <w:spacing w:after="0" w:line="375" w:lineRule="auto"/>
        <w:tabs>
          <w:tab w:leader="none" w:pos="27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460" w:right="8760" w:hanging="452"/>
        <w:spacing w:after="0" w:line="375" w:lineRule="auto"/>
        <w:tabs>
          <w:tab w:leader="none" w:pos="25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auto"/>
        </w:rPr>
        <w:t>Press Release of PennantPark Floating Rate Capital Ltd. dated August 14, 2015</w:t>
      </w:r>
    </w:p>
    <w:p>
      <w:pPr>
        <w:sectPr>
          <w:pgSz w:w="11900" w:h="16838" w:orient="portrait"/>
          <w:cols w:equalWidth="0" w:num="1">
            <w:col w:w="11180"/>
          </w:cols>
          <w:pgMar w:left="320" w:top="270" w:right="39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August 17, 2015</w:t>
      </w:r>
      <w:r>
        <w:rPr>
          <w:sz w:val="20"/>
          <w:szCs w:val="20"/>
          <w:color w:val="auto"/>
        </w:rPr>
        <w:tab/>
      </w:r>
      <w:r>
        <w:rPr>
          <w:rFonts w:ascii="Arial" w:cs="Arial" w:eastAsia="Arial" w:hAnsi="Arial"/>
          <w:sz w:val="17"/>
          <w:szCs w:val="17"/>
          <w:b w:val="1"/>
          <w:bCs w:val="1"/>
          <w:color w:val="auto"/>
        </w:rPr>
        <w:t>PENNANTPARK FLOATING RATE CAPITAL LTD.</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 &amp; Treasurer</w:t>
      </w:r>
    </w:p>
    <w:p>
      <w:pPr>
        <w:sectPr>
          <w:pgSz w:w="11900" w:h="16838" w:orient="portrait"/>
          <w:cols w:equalWidth="0" w:num="1">
            <w:col w:w="10740"/>
          </w:cols>
          <w:pgMar w:left="320" w:top="270" w:right="8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6500" w:type="dxa"/>
            <w:vAlign w:val="bottom"/>
            <w:gridSpan w:val="3"/>
          </w:tcPr>
          <w:p>
            <w:pPr>
              <w:ind w:left="438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28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500" w:type="dxa"/>
            <w:vAlign w:val="bottom"/>
          </w:tcPr>
          <w:p>
            <w:pPr>
              <w:spacing w:after="0"/>
              <w:rPr>
                <w:sz w:val="24"/>
                <w:szCs w:val="24"/>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6500" w:type="dxa"/>
            <w:vAlign w:val="bottom"/>
            <w:gridSpan w:val="3"/>
          </w:tcPr>
          <w:p>
            <w:pPr>
              <w:ind w:left="760"/>
              <w:spacing w:after="0"/>
              <w:rPr>
                <w:sz w:val="20"/>
                <w:szCs w:val="20"/>
                <w:color w:val="auto"/>
              </w:rPr>
            </w:pPr>
            <w:r>
              <w:rPr>
                <w:rFonts w:ascii="Arial" w:cs="Arial" w:eastAsia="Arial" w:hAnsi="Arial"/>
                <w:sz w:val="18"/>
                <w:szCs w:val="18"/>
                <w:color w:val="auto"/>
                <w:w w:val="89"/>
              </w:rPr>
              <w:t>Press Release of PennantPark Floating Rate Capital Ltd. dated August 14, 2015</w:t>
            </w:r>
          </w:p>
        </w:tc>
      </w:tr>
    </w:tbl>
    <w:p>
      <w:pPr>
        <w:ind w:left="760"/>
        <w:spacing w:after="0"/>
        <w:rPr>
          <w:sz w:val="20"/>
          <w:szCs w:val="20"/>
          <w:color w:val="auto"/>
        </w:rPr>
        <w:sectPr>
          <w:pgSz w:w="11900" w:h="16838" w:orient="portrait"/>
          <w:cols w:equalWidth="0" w:num="1">
            <w:col w:w="10139"/>
          </w:cols>
          <w:pgMar w:left="32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of PennantPark Floating Rate Capital Ltd. and MCG Capital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Overwhelmingly Approve Merger Transaction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Transaction Expected to Close Promptly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ARLINGTON, Va. NEW YORK, NY — (PRNewswire – August 14, 2015) – PennantPark Floating Rate Capital Ltd. (NASDAQ: PFLT) and MCG Capital Corporation (NASDAQ: MCGC) announced that at their respective special meetings held today, stockholders of each company overwhelmingly voted to approve the proposals related to the previously announced merger agreement dated April 28, 2015 among MCG, PFLT, two of PFLT’s wholly-owned subsidiaries and PFLT’s investment adviser.</w:t>
      </w:r>
    </w:p>
    <w:p>
      <w:pPr>
        <w:spacing w:after="0" w:line="92" w:lineRule="exact"/>
        <w:rPr>
          <w:sz w:val="20"/>
          <w:szCs w:val="20"/>
          <w:color w:val="auto"/>
        </w:rPr>
      </w:pPr>
    </w:p>
    <w:p>
      <w:pPr>
        <w:ind w:left="880" w:right="180" w:hanging="319"/>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PFLT’s stockholders approved the issuance of PFLT common stock in connection with the merger agreement, with approximately 89% of the shares voted at the special meeting voting in favor of the proposal.</w:t>
      </w:r>
    </w:p>
    <w:p>
      <w:pPr>
        <w:spacing w:after="0" w:line="75" w:lineRule="exact"/>
        <w:rPr>
          <w:rFonts w:ascii="Arial" w:cs="Arial" w:eastAsia="Arial" w:hAnsi="Arial"/>
          <w:sz w:val="18"/>
          <w:szCs w:val="18"/>
          <w:color w:val="auto"/>
        </w:rPr>
      </w:pPr>
    </w:p>
    <w:p>
      <w:pPr>
        <w:ind w:left="880" w:right="180" w:hanging="319"/>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MCG’s stockholders approved the merger agreement and the merger, with more than 90% of the shares voted at the special meeting voting in favor of the proposal.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merger is expected to close on or about August 18, 2015.</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Keefe, Bruyette &amp; Woods, Inc. and SunTrust Robinson Humphrey, Inc. are serving as financial advisers to PFLT, Dechert LLP and Venable LLP are serving as legal counsel to PFLT. Morgan Stanley is serving as financial adviser to MCGC, Wachtell, Lipton, Rosen &amp; Katz is serving as legal counsel to MCGC and Sutherland Asbill &amp; Brennan LLP is serving as legal counsel to MCGC with respect to the Investment Company Act of 1940.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FLOATING RATE CAPITAL LTD.</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PennantPark Floating Rate Capital Ltd. is a business development company which primarily invests in U.S. middle-market private companies in the form of floating rate senior secured loans. From time to time, PennantPark Floating Rate Capital Ltd. may also invest in mezzanine debt and equity investments. PennantPark Floating Rate Capital Ltd. is managed by PennantPark Investment Advisers, LLC.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MCG CAPITAL CORPORATION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MCG Capital Corporation is a solutions-focused commercial finance company providing capital and advisory services to lower middle-market companies throughout the United States. Its investment objective is to achieve attractive returns by generating current income and capital gains on its investments. Its capital is generally used by its portfolio companies to finance acquisitions, recapitalizations, buyouts, organic growth, working capital and other general corporate purpose.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the satisfaction of customary closing conditions to the merger and other factors described from time to time in filings with the Securities and Exchange Commission (the “SEC”). Neither PFLT nor MCG undertakes any duty to update any forward-looking statement made herein. You should not place undue influence on such forward-looking statements as such statements speak only as of the date on which they are made.</w:t>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PennantPark Floating Rate Capital Ltd.</w:t>
      </w:r>
    </w:p>
    <w:p>
      <w:pPr>
        <w:spacing w:after="0" w:line="32" w:lineRule="exact"/>
        <w:rPr>
          <w:sz w:val="20"/>
          <w:szCs w:val="20"/>
          <w:color w:val="auto"/>
        </w:rPr>
      </w:pPr>
    </w:p>
    <w:p>
      <w:pPr>
        <w:ind w:right="8459"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905-1000 www.pennantpark.com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Scott Walker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MCG Capital Corporation</w:t>
      </w:r>
    </w:p>
    <w:p>
      <w:pPr>
        <w:spacing w:after="0" w:line="9" w:lineRule="exact"/>
        <w:rPr>
          <w:sz w:val="20"/>
          <w:szCs w:val="20"/>
          <w:color w:val="auto"/>
        </w:rPr>
      </w:pPr>
    </w:p>
    <w:p>
      <w:pPr>
        <w:ind w:right="8119" w:firstLine="8"/>
        <w:spacing w:after="0" w:line="323" w:lineRule="auto"/>
        <w:tabs>
          <w:tab w:leader="none" w:pos="435" w:val="left"/>
        </w:tabs>
        <w:numPr>
          <w:ilvl w:val="0"/>
          <w:numId w:val="5"/>
        </w:numPr>
        <w:rPr>
          <w:rFonts w:ascii="Arial" w:cs="Arial" w:eastAsia="Arial" w:hAnsi="Arial"/>
          <w:sz w:val="16"/>
          <w:szCs w:val="16"/>
          <w:color w:val="auto"/>
        </w:rPr>
      </w:pPr>
      <w:r>
        <w:rPr>
          <w:rFonts w:ascii="Arial" w:cs="Arial" w:eastAsia="Arial" w:hAnsi="Arial"/>
          <w:sz w:val="16"/>
          <w:szCs w:val="16"/>
          <w:color w:val="auto"/>
        </w:rPr>
        <w:t>247-7559 swalker@MCGCapital.com</w:t>
      </w:r>
    </w:p>
    <w:sectPr>
      <w:pgSz w:w="11900" w:h="16838" w:orient="portrait"/>
      <w:cols w:equalWidth="0" w:num="1">
        <w:col w:w="10139"/>
      </w:cols>
      <w:pgMar w:left="32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212"/>
    </w:lvl>
  </w:abstractNum>
  <w:abstractNum w:abstractNumId="4">
    <w:nsid w:val="46E87CCD"/>
    <w:multiLevelType w:val="hybridMultilevel"/>
    <w:lvl w:ilvl="0">
      <w:lvlJc w:val="left"/>
      <w:lvlText w:val="(%1)"/>
      <w:numFmt w:val="decimal"/>
      <w:start w:val="70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2020-05-05T12:05:54Z</dcterms:created>
  <dcterms:modified xsi:type="dcterms:W3CDTF">2020-05-05T12:05:54Z</dcterms:modified>
</cp:coreProperties>
</file>