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01,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April 1, 2013,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01,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Dated: April 01, 2013</w:t>
      </w:r>
      <w:r>
        <w:rPr>
          <w:sz w:val="20"/>
          <w:szCs w:val="20"/>
          <w:color w:val="auto"/>
        </w:rPr>
        <w:tab/>
      </w:r>
      <w:r>
        <w:rPr>
          <w:rFonts w:ascii="Arial" w:cs="Arial" w:eastAsia="Arial" w:hAnsi="Arial"/>
          <w:sz w:val="21"/>
          <w:szCs w:val="21"/>
          <w:b w:val="1"/>
          <w:bCs w:val="1"/>
          <w:color w:val="auto"/>
        </w:rPr>
        <w:t>PENNANTPARK FLOATING RATE CAPITAL LTD.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48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72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60" w:type="dxa"/>
            <w:vAlign w:val="bottom"/>
            <w:gridSpan w:val="5"/>
          </w:tcPr>
          <w:p>
            <w:pPr>
              <w:ind w:left="174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60" w:type="dxa"/>
            <w:vAlign w:val="bottom"/>
            <w:gridSpan w:val="5"/>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Borders>
              <w:bottom w:val="single" w:sz="8" w:color="auto"/>
            </w:tcBorders>
            <w:gridSpan w:val="2"/>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7060" w:type="dxa"/>
            <w:vAlign w:val="bottom"/>
            <w:gridSpan w:val="5"/>
          </w:tcPr>
          <w:p>
            <w:pPr>
              <w:jc w:val="center"/>
              <w:ind w:left="131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20" w:type="dxa"/>
            <w:vAlign w:val="bottom"/>
            <w:gridSpan w:val="4"/>
            <w:vMerge w:val="restart"/>
          </w:tcPr>
          <w:p>
            <w:pPr>
              <w:jc w:val="center"/>
              <w:ind w:right="400"/>
              <w:spacing w:after="0"/>
              <w:rPr>
                <w:sz w:val="20"/>
                <w:szCs w:val="20"/>
                <w:color w:val="auto"/>
              </w:rPr>
            </w:pPr>
            <w:r>
              <w:rPr>
                <w:rFonts w:ascii="Arial" w:cs="Arial" w:eastAsia="Arial" w:hAnsi="Arial"/>
                <w:sz w:val="22"/>
                <w:szCs w:val="22"/>
                <w:color w:val="auto"/>
                <w:w w:val="92"/>
              </w:rPr>
              <w:t>April 01, 2013</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2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$0.0875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 - April 01, 2013) - PennantPark Floating Rate Capital Ltd. (the "Company") (NASDAQ: PFLT) declares its monthly distribution for April 2013 of $0.0875 per share, payable on May 1, 2013 to stockholders of record as of April 19,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2020-05-05T12:04:27Z</dcterms:created>
  <dcterms:modified xsi:type="dcterms:W3CDTF">2020-05-05T12:04:27Z</dcterms:modified>
</cp:coreProperties>
</file>