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09,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 August 9, 2016, PennantPark Floating Rate Capital Ltd. issued a press release announcing financial results for the third fiscal quarter ended June 30,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09, 2016</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09,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2016</w:t>
      </w:r>
    </w:p>
    <w:p>
      <w:pPr>
        <w:spacing w:after="0" w:line="213"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NEW YORK, NY -- (Marketwired - August 09, 2016) - PennantPark Floating Rate Capital Ltd. (NASDAQ: PFLT) announces financial results for the third fiscal quarter ended June 30, 2016.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June 30, 2016</w:t>
      </w: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551.0</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7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13.75</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190.4</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10, 2016</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10:00 a.m. (Eastern Time) on Wednesday, August 10, 2016 to discuss its financial results. All interested parties are welcome to participate. You can access the conference call by dialing (888) 466-4587 approximately 5-10 minutes prior to the call. International callers should dial (719) 457-2655. All callers should reference PennantPark Floating Rate Capital Ltd. An archived replay of the call will be available through August 24, 2016 by calling (888) 203-1112. International callers please dial (719) 457-0820. For all phone replays, please reference conference ID #485455.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As of June 30, 2016, our portfolio totaled $551.0 million and consisted of $489.1 million of senior secured debt, $51.7 million of second lien secured debt and $10.2 million of subordinated debt, preferred and common equity. Our debt portfolio consisted of 99% variable-rate investments (including 94% with a London Interbank Offered Rate, or LIBOR, or prime floor) and 1% fixed-rate investments. As of June 30, 2016, we had one company on non-accrual, representing 1.2% and 1.1% of our overall portfolio on a cost and fair value basis, respectively. Overall, the portfolio had net unrealized depreciation of $6.2 million as of June 30, 2016. Our overall portfolio consisted of 92 companies with an average investment size of $6.0 million, had a weighted average yield on debt investments of 8.0%, and was invested 89% in senior secured debt, 9% in second lien secured debt and 2% in subordinated debt, preferred and common equity.</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0"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178"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2015, we invested $75.6 million in 12 new and 12 existing portfolio companies with a weighted average yield on debt investments of 6.9%. Sales and repayments of investments for the three months ended June 30, 2015 totaled $53.2 million. For the nine months ended June 30, 2015, we invested $161.0 million in 26 new and 26 existing portfolio companies with a weighted average yield on debt investments of 7.4%. Sales and repayments of investments for the nine months ended June 30, 2015 totaled $146.2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ind w:right="212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nine months ended June 30, 2016 and 2015. </w:t>
      </w:r>
      <w:r>
        <w:rPr>
          <w:rFonts w:ascii="Arial" w:cs="Arial" w:eastAsia="Arial" w:hAnsi="Arial"/>
          <w:sz w:val="22"/>
          <w:szCs w:val="22"/>
          <w:b w:val="1"/>
          <w:bCs w:val="1"/>
          <w:color w:val="auto"/>
        </w:rPr>
        <w:t>Investment Income</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Investment income for the three and nine months ended June 30, 2016 was $10.8 million and $30.9 million, respectively, and was attributable to $9.0 million and $26.0 million from senior secured loans and the remainder from second lien secured debt and subordinated debt. This compares to investment income for the three and nine months ended June 30, 2015, which was $7.1 million and $22.6 million, respectively, and was attributable to $5.4 million and $17.4 million from senior secured loans and the remainder from second lien secured debt and subordinated debt. The increase in investment income compared to the same periods over the prior year was primarily due to the growth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Expenses for the three and nine months ended June 30, 2016 totaled $4.0 million and $11.7 million, respectively. Base management fee for the same periods totaled $1.3 million and $3.6 million, incentive fee totaled $0.5 million and $1.3 million, our $350 million multi-currency, senior secured revolving credit facility, or the Credit Facility, expenses totaled $1.3 million and $4.2 million (including $0.9 million of amendment expenses) and general and administrative expenses totaled $0.9 million and $2.6 million, respectively. This compares to expenses for the three and nine months ended June 30, 2015, which totaled $3.0 million and $8.5 million, respectively. Base management fee for the same periods totaled $0.9 million and $2.6 million, incentive fee totaled $0.6 million (including zero on net realized gains and $0.1 million on net unrealized gains accrued but not payable) and $1.7 million (including $(0.4) million on net realized gains and $(0.2) million on net unrealized gains accrued but not payable), Credit Facility expenses totaled $1.0 million (including $0.2 million of Credit Facility amendment expenses) and $2.6 million (including $0.2 million of Credit Facility amendment expenses), general and administrative expenses totaled $0.4 million and $1.3 million and excise taxes were $0.1 million and $0.3 million, respectively. The increase in expenses compared with the same periods in the prior year was primarily due to Credit Facility amendment expenses and base management fee as a result from the growth of our portfolio.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Net investment income totaled $6.8 million and $19.2 million, or $0.26 and $0.72 per share, for the three and nine months ended June 30, 2016, respectively. Net investment income totaled $4.1 million and $14.0 million, or $0.28 and $0.94 per share, for the three and nine months ended June 30, 2015, respectively. The decrease in net investment income per share compared to the same periods in the prior year was primarily due to the issuance of new shares in connection with our acquisition of MCG Capital Corporation in August 2015.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2016 totaled $40.3 million and $97.1 million and net realized gains (losses) totaled $0.2 million and $(2.0) million, respectively. Sales and repayments of investments totaled $53.2 million and $146.2 million and realized gains totaled zero and $0.4 million for the three and nine months ended June 30, 2015, respectively. The change in realized gains (losses) compared with the same periods in the prior year was primarily due to the changes in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For the three and nine months ended June 30, 2016, we reported a net change in unrealized appreciation (depreciation) on investments of $6.1 million and $(0.1) million, respectively. For the three and nine months ended June 30, 2015, we reported a net change in unrealized appreciation (depreciation) on investments of $0.7 million and $(3.4) million, respectively. As of June 30, 2016 and September 30, 2015, our net unrealized depreciation on investments totaled $6.2 million and $6.0 million, respectively. The net change in unrealized appreciation (depreciation) on our investments was driven primarily by changes in the capital market conditions, financial performance of certain portfolio companies, and the reversal of unrealized depreciation (appreciation) of investments sold.</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For the three and nine months ended June 30, 2016, our Credit Facility had a net change in unrealized depreciation of $0.3 million and $0.5 million, respectively. For the three and nine months ended June 30, 2015, our Credit Facility had a net change in unrealized depreciation of zero and $0.2 million, respectively. As of June 30, 2016 and September 30, 2015, net unrealized depreciation on our Credit Facility totaled $0.5 million and zero, respectively. The change in net unrealized depreciation compared to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Net change in net assets resulting from operations totaled $13.4 million and $17.6 million, or $0.50 and $0.66 per share, respectively, for the three and nine months ended June 30, 2016. This compares to a net change in net assets resulting from operations which totaled $4.7 million and $11.3 million, or $0.32 and $0.76 per share, respectively, for the three and nine months ended June 30, 2015. We intend to continue to find attractive investment opportunities to grow net assets from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ectPr>
          <w:pgSz w:w="11900" w:h="16838" w:orient="portrait"/>
          <w:cols w:equalWidth="0" w:num="1">
            <w:col w:w="11220"/>
          </w:cols>
          <w:pgMar w:left="320" w:top="118" w:right="359" w:bottom="248"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As of June 30, 2016 and September 30, 2015, we had $190.9 million and $29.6 million of outstanding borrowings under the Credit Facility, respectively. The Credit Facility had a weighted average interest rate of 2.50% and 2.20%, excluding undrawn commitment fees of 0.50% and 0.75%, as of June 30, 2016 and September 30, 2015, respectively. The annualized weighted average cost of debt for the nine months ended June 30, 2016 and 2015, inclusive of the fee on the undrawn commitment on the Credit Facility but excluding amendment costs, was 3.94% and 2.48%, respectively.</w:t>
      </w:r>
    </w:p>
    <w:p>
      <w:pPr>
        <w:spacing w:after="0" w:line="14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As of June 30, 2016 and September 30, 2015, we had $159.6 million and $260.4 million of unused borrowing capacity under our Credit Facility, respectively, subject to regulatory restrictions.</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On June 30, 2016 and September 30, 2015, we had cash and cash equivalents at fair value of $16.8 million and $21.4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320"/>
        <w:spacing w:after="0" w:line="257" w:lineRule="auto"/>
        <w:rPr>
          <w:sz w:val="20"/>
          <w:szCs w:val="20"/>
          <w:color w:val="auto"/>
        </w:rPr>
      </w:pPr>
      <w:r>
        <w:rPr>
          <w:rFonts w:ascii="Arial" w:cs="Arial" w:eastAsia="Arial" w:hAnsi="Arial"/>
          <w:sz w:val="21"/>
          <w:szCs w:val="21"/>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Our operating activities provided cash of $16.4 million for the nine months ended June 30, 2015, and our financing activities used cash of $19.0 million for the same period. Our operating activities provided cash primarily from sales and repayments on our investments and our financing activities used cash primarily from net repayments under the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Subsequent to quarter-end, we collected approximately five cents per share in a partial litigation settlement related to a former portfolio company of MCG Capital Corporation. Additionally, subsequent to quarter-end we purchased approximately $64.4 million of new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and nine months ended June 30, 2016, we declared distributions of $0.285 and $0.855 per share, respectively, for total distributions of $7.6 million and $22.9 million, respectively. For the same periods in the prior year, we declared distributions of $0.285 and $0.830 per share, respectively, for total distributions of $4.2 million and $12.3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0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 2016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8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(cost-$557,185,402 and $394,561,175,</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2"/>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550,999,281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388,535,383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(cost-$0</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$2,777,132, respectively)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2,776,507</w:t>
            </w:r>
          </w:p>
        </w:tc>
      </w:tr>
      <w:tr>
        <w:trPr>
          <w:trHeight w:val="203"/>
        </w:trPr>
        <w:tc>
          <w:tcPr>
            <w:tcW w:w="4800" w:type="dxa"/>
            <w:vAlign w:val="bottom"/>
          </w:tcPr>
          <w:p>
            <w:pPr>
              <w:spacing w:after="0"/>
              <w:rPr>
                <w:sz w:val="17"/>
                <w:szCs w:val="17"/>
                <w:color w:val="auto"/>
              </w:rPr>
            </w:pP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(cost-$557,185,402 and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$397,338,307, respectively)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550,999,281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391,311,890</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(cost-$16,767,271</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$21,428,514, respectively)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16,790,402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21,428,514</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3,201,502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1,959,404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1,693,258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1,420,529</w:t>
            </w:r>
          </w:p>
        </w:tc>
      </w:tr>
      <w:tr>
        <w:trPr>
          <w:trHeight w:val="203"/>
        </w:trPr>
        <w:tc>
          <w:tcPr>
            <w:tcW w:w="4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572,684,443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416,120,337</w:t>
            </w:r>
          </w:p>
        </w:tc>
      </w:tr>
    </w:tbl>
    <w:p>
      <w:pPr>
        <w:sectPr>
          <w:pgSz w:w="11900" w:h="16838"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16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9,833,911</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9,367,500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Credit Facility payable (cost-$190,907,500 and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$29,600,000, respectively)</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190,374,979</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29,600,000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448,899</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224,633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1,297,596</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956,115</w:t>
            </w:r>
          </w:p>
        </w:tc>
      </w:tr>
      <w:tr>
        <w:trPr>
          <w:trHeight w:val="202"/>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497,716</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53,352</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539,347</w:t>
            </w:r>
          </w:p>
        </w:tc>
      </w:tr>
      <w:tr>
        <w:trPr>
          <w:trHeight w:val="203"/>
        </w:trPr>
        <w:tc>
          <w:tcPr>
            <w:tcW w:w="48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205,045,810</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43,229,888</w:t>
            </w:r>
          </w:p>
        </w:tc>
      </w:tr>
      <w:tr>
        <w:trPr>
          <w:trHeight w:val="203"/>
        </w:trPr>
        <w:tc>
          <w:tcPr>
            <w:tcW w:w="4860" w:type="dxa"/>
            <w:vAlign w:val="bottom"/>
          </w:tcPr>
          <w:p>
            <w:pPr>
              <w:spacing w:after="0"/>
              <w:rPr>
                <w:sz w:val="17"/>
                <w:szCs w:val="17"/>
                <w:color w:val="auto"/>
              </w:rPr>
            </w:pPr>
          </w:p>
        </w:tc>
        <w:tc>
          <w:tcPr>
            <w:tcW w:w="31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26,730,074 shares issued and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 and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371,502,801</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371,502,801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3,317,806</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6,991,473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(1,578,235)</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(6,162,990)</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(6,026,417)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unrealized depreciation on Credit Facility</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532,521</w:t>
            </w:r>
          </w:p>
        </w:tc>
        <w:tc>
          <w:tcPr>
            <w:tcW w:w="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367,638,633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372,890,449</w:t>
            </w:r>
          </w:p>
        </w:tc>
      </w:tr>
      <w:tr>
        <w:trPr>
          <w:trHeight w:val="203"/>
        </w:trPr>
        <w:tc>
          <w:tcPr>
            <w:tcW w:w="48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572,684,443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8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13.75</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8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20" w:right="1060"/>
        <w:spacing w:after="0" w:line="236" w:lineRule="auto"/>
        <w:rPr>
          <w:sz w:val="20"/>
          <w:szCs w:val="20"/>
          <w:color w:val="auto"/>
        </w:rPr>
      </w:pPr>
      <w:r>
        <w:rPr>
          <w:rFonts w:ascii="Courier New" w:cs="Courier New" w:eastAsia="Courier New" w:hAnsi="Courier New"/>
          <w:sz w:val="18"/>
          <w:szCs w:val="18"/>
          <w:color w:val="auto"/>
        </w:rPr>
        <w:t>PENNANTPARK FLOATING RATE CAPITAL LTD. AND SUBSIDIARIES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7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 June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2016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2015</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$ 10,555,165 $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6,940,910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$ 28,794,610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$ 21,457,084</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226,431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163,377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2,005,698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1,107,182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105,502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10,803,025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7,104,287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30,905,810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22,564,266</w:t>
            </w:r>
          </w:p>
        </w:tc>
      </w:tr>
      <w:tr>
        <w:trPr>
          <w:trHeight w:val="202"/>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Base management fee</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1,297,595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881,953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3,556,451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2,616,499</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497,716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630,806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1,336,660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1,662,731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the</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1,276,288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785,899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3,338,863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2,447,632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223,500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701,555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212,672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1,985,568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650,422</w:t>
            </w:r>
          </w:p>
        </w:tc>
      </w:tr>
      <w:tr>
        <w:trPr>
          <w:trHeight w:val="203"/>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3,973,154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2,734,830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10,817,542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8,050,284</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Provision for taxes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110,000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2"/>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162,311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907,722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162,311</w:t>
            </w:r>
          </w:p>
        </w:tc>
      </w:tr>
      <w:tr>
        <w:trPr>
          <w:trHeight w:val="203"/>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3,973,154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3,007,141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11,725,264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8,542,595</w:t>
            </w:r>
          </w:p>
        </w:tc>
      </w:tr>
      <w:tr>
        <w:trPr>
          <w:trHeight w:val="202"/>
        </w:trPr>
        <w:tc>
          <w:tcPr>
            <w:tcW w:w="2280" w:type="dxa"/>
            <w:vAlign w:val="bottom"/>
          </w:tcPr>
          <w:p>
            <w:pPr>
              <w:spacing w:after="0"/>
              <w:rPr>
                <w:sz w:val="17"/>
                <w:szCs w:val="17"/>
                <w:color w:val="auto"/>
              </w:rPr>
            </w:pP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Net investment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6,829,871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4,097,146</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19,180,546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14,021,671</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 non-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 non-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189,623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(11,319)</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(1,974,097)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413,535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6,082,410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662,950</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(136,573)</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(3,379,490)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317,438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(22,000)</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532,521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233,750</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6,399,848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640,950</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395,948</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(3,145,740)</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from</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6,589,471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629,631</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(1,578,149)</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(2,732,205)</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$ 13,419,342 $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4,726,777</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$ 17,602,397</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$ 11,289,466</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 per</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0.50 $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0.76</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investment income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0.72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0.94</w:t>
            </w:r>
          </w:p>
        </w:tc>
      </w:tr>
      <w:tr>
        <w:trPr>
          <w:trHeight w:val="203"/>
        </w:trPr>
        <w:tc>
          <w:tcPr>
            <w:tcW w:w="2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00"/>
          </w:cols>
          <w:pgMar w:left="320" w:top="136" w:right="379" w:bottom="59"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PennantPark Floating Rate Capital Ltd.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Reception: (212) 905-1000</w:t>
      </w:r>
    </w:p>
    <w:p>
      <w:pPr>
        <w:ind w:left="120"/>
        <w:spacing w:after="0" w:line="238"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2020-05-05T12:04:58Z</dcterms:created>
  <dcterms:modified xsi:type="dcterms:W3CDTF">2020-05-05T12:04:58Z</dcterms:modified>
</cp:coreProperties>
</file>