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(RULE 14a-101)</w:t>
      </w:r>
    </w:p>
    <w:p>
      <w:pPr>
        <w:spacing w:after="0" w:line="15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Schedule 14A Information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Exchange Act of 1934</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Filed by the Registrant x</w:t>
      </w:r>
    </w:p>
    <w:p>
      <w:pPr>
        <w:spacing w:after="0" w:line="152"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220" w:hanging="220"/>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right="4660"/>
        <w:spacing w:after="0" w:line="313" w:lineRule="auto"/>
        <w:tabs>
          <w:tab w:leader="none" w:pos="21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220" w:hanging="220"/>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w:t>
      </w:r>
    </w:p>
    <w:p>
      <w:pPr>
        <w:spacing w:after="0" w:line="63" w:lineRule="exact"/>
        <w:rPr>
          <w:rFonts w:ascii="Arial" w:cs="Arial" w:eastAsia="Arial" w:hAnsi="Arial"/>
          <w:sz w:val="18"/>
          <w:szCs w:val="18"/>
          <w:color w:val="auto"/>
        </w:rPr>
      </w:pPr>
    </w:p>
    <w:p>
      <w:pPr>
        <w:ind w:left="220" w:hanging="220"/>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95"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PennantPark Investment Corporation</w:t>
      </w:r>
    </w:p>
    <w:p>
      <w:pPr>
        <w:spacing w:after="0" w:line="76"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91"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8" w:lineRule="exact"/>
        <w:rPr>
          <w:sz w:val="24"/>
          <w:szCs w:val="24"/>
          <w:color w:val="auto"/>
        </w:rPr>
      </w:pPr>
    </w:p>
    <w:p>
      <w:pPr>
        <w:ind w:left="1040" w:hanging="763"/>
        <w:spacing w:after="0"/>
        <w:tabs>
          <w:tab w:leader="none" w:pos="104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No fee required.</w:t>
      </w:r>
    </w:p>
    <w:p>
      <w:pPr>
        <w:ind w:left="1040" w:hanging="763"/>
        <w:spacing w:after="0" w:line="194" w:lineRule="auto"/>
        <w:tabs>
          <w:tab w:leader="none" w:pos="1040" w:val="left"/>
        </w:tabs>
        <w:numPr>
          <w:ilvl w:val="0"/>
          <w:numId w:val="3"/>
        </w:numPr>
        <w:rPr>
          <w:rFonts w:ascii="Arial" w:cs="Arial" w:eastAsia="Arial" w:hAnsi="Arial"/>
          <w:sz w:val="29"/>
          <w:szCs w:val="29"/>
          <w:color w:val="auto"/>
          <w:vertAlign w:val="subscript"/>
        </w:rPr>
      </w:pPr>
      <w:r>
        <w:rPr>
          <w:rFonts w:ascii="Arial" w:cs="Arial" w:eastAsia="Arial" w:hAnsi="Arial"/>
          <w:sz w:val="18"/>
          <w:szCs w:val="18"/>
          <w:color w:val="auto"/>
        </w:rPr>
        <w:t>Fee computed on table below per Exchange Act Rules 14a-6(i)(1) and 0-11.</w:t>
      </w:r>
    </w:p>
    <w:p>
      <w:pPr>
        <w:spacing w:after="0" w:line="40" w:lineRule="exact"/>
        <w:rPr>
          <w:rFonts w:ascii="Arial" w:cs="Arial" w:eastAsia="Arial" w:hAnsi="Arial"/>
          <w:sz w:val="29"/>
          <w:szCs w:val="29"/>
          <w:color w:val="auto"/>
          <w:vertAlign w:val="subscript"/>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right="140" w:hanging="439"/>
        <w:spacing w:after="0" w:line="277"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46" w:lineRule="exact"/>
        <w:rPr>
          <w:rFonts w:ascii="Arial" w:cs="Arial" w:eastAsia="Arial" w:hAnsi="Arial"/>
          <w:sz w:val="18"/>
          <w:szCs w:val="18"/>
          <w:color w:val="auto"/>
        </w:rPr>
      </w:pPr>
    </w:p>
    <w:p>
      <w:pPr>
        <w:ind w:left="1040" w:hanging="763"/>
        <w:spacing w:after="0" w:line="194" w:lineRule="auto"/>
        <w:tabs>
          <w:tab w:leader="none" w:pos="1040" w:val="left"/>
        </w:tabs>
        <w:numPr>
          <w:ilvl w:val="0"/>
          <w:numId w:val="3"/>
        </w:numPr>
        <w:rPr>
          <w:rFonts w:ascii="Arial" w:cs="Arial" w:eastAsia="Arial" w:hAnsi="Arial"/>
          <w:sz w:val="29"/>
          <w:szCs w:val="29"/>
          <w:color w:val="auto"/>
          <w:vertAlign w:val="subscript"/>
        </w:rPr>
      </w:pPr>
      <w:r>
        <w:rPr>
          <w:rFonts w:ascii="Arial" w:cs="Arial" w:eastAsia="Arial" w:hAnsi="Arial"/>
          <w:sz w:val="18"/>
          <w:szCs w:val="18"/>
          <w:color w:val="auto"/>
        </w:rPr>
        <w:t>Fee paid previously with preliminary materials</w:t>
      </w:r>
    </w:p>
    <w:p>
      <w:pPr>
        <w:spacing w:after="0" w:line="40" w:lineRule="exact"/>
        <w:rPr>
          <w:rFonts w:ascii="Arial" w:cs="Arial" w:eastAsia="Arial" w:hAnsi="Arial"/>
          <w:sz w:val="29"/>
          <w:szCs w:val="29"/>
          <w:color w:val="auto"/>
          <w:vertAlign w:val="subscript"/>
        </w:rPr>
      </w:pPr>
    </w:p>
    <w:p>
      <w:pPr>
        <w:ind w:left="1040" w:hanging="763"/>
        <w:spacing w:after="0" w:line="221" w:lineRule="auto"/>
        <w:tabs>
          <w:tab w:leader="none" w:pos="10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Arial" w:cs="Arial" w:eastAsia="Arial" w:hAnsi="Arial"/>
          <w:sz w:val="26"/>
          <w:szCs w:val="26"/>
          <w:color w:val="auto"/>
          <w:vertAlign w:val="superscript"/>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26"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w:t>
      </w:r>
    </w:p>
    <w:p>
      <w:pPr>
        <w:sectPr>
          <w:pgSz w:w="11900" w:h="16838" w:orient="portrait"/>
          <w:cols w:equalWidth="0" w:num="1">
            <w:col w:w="10740"/>
          </w:cols>
          <w:pgMar w:left="700" w:top="900"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1341120</wp:posOffset>
            </wp:positionH>
            <wp:positionV relativeFrom="page">
              <wp:posOffset>663575</wp:posOffset>
            </wp:positionV>
            <wp:extent cx="161226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8608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757555</wp:posOffset>
            </wp:positionV>
            <wp:extent cx="14408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7, 2012 at 2:00 p.m., Eastern Time, at the offices of Dechert LLP, located at 1095 Avenue of the Americas, New York, New York.</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Notice of Joint Special Meetings of Stockholders and the Joint Proxy Statement of the Boards of Directors of the Companies, which is accessible on the Internet or by request, provide an outline of the business to be conducted at our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62052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0920"/>
          </w:cols>
          <w:pgMar w:left="740" w:top="1440" w:right="2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22"/>
          <w:szCs w:val="22"/>
          <w:b w:val="1"/>
          <w:bCs w:val="1"/>
          <w:color w:val="auto"/>
        </w:rPr>
        <w:t>PENNANTPARK INVESTMENT CORPORATION</w:t>
      </w:r>
    </w:p>
    <w:p>
      <w:pPr>
        <w:spacing w:after="0" w:line="26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71"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NOTICE OF JOINT SPECIALMEETING OF STOCKHOLDERS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TO BE HELD ON FEBRUARY 7, 2012</w:t>
      </w:r>
    </w:p>
    <w:p>
      <w:pPr>
        <w:spacing w:after="0" w:line="195"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December 21, 2011</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Notice is hereby given to the owners of shares of common stock (the “Stockholders”) of PennantPark Investment Corporation (“PNNT”) and</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PennantPark Floating Rate Capital Ltd. (“PFLT” and PNNT each, a "Company" and together, the “Companies”) that: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Joint Special Meeting of Stockholders of the Companies (the "Special Meeting") will be held at the offices of Dechert LLP, located at 1095</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Avenue of the Americas, New York, New York, on February 7, 2012 at 2:00 p.m., Eastern Time, for the following purpose, as to each Company:</w:t>
      </w:r>
    </w:p>
    <w:p>
      <w:pPr>
        <w:spacing w:after="0" w:line="236" w:lineRule="exact"/>
        <w:rPr>
          <w:sz w:val="20"/>
          <w:szCs w:val="20"/>
          <w:color w:val="auto"/>
        </w:rPr>
      </w:pPr>
    </w:p>
    <w:p>
      <w:pPr>
        <w:jc w:val="both"/>
        <w:ind w:left="1880" w:right="1200" w:hanging="213"/>
        <w:spacing w:after="0" w:line="312" w:lineRule="auto"/>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a proposal to authorize flexibility for the Company, with the approval the Company's Board of Directors, to sell shares of the Company's common stock, during the next 12 months, at a price below the then-current net asset value per share, subject to certain limitations described in this Joint Proxy Statement.</w:t>
      </w:r>
    </w:p>
    <w:p>
      <w:pPr>
        <w:spacing w:after="0" w:line="174" w:lineRule="exact"/>
        <w:rPr>
          <w:sz w:val="20"/>
          <w:szCs w:val="20"/>
          <w:color w:val="auto"/>
        </w:rPr>
      </w:pPr>
    </w:p>
    <w:p>
      <w:pPr>
        <w:jc w:val="both"/>
        <w:ind w:left="500" w:firstLine="283"/>
        <w:spacing w:after="0" w:line="259" w:lineRule="auto"/>
        <w:rPr>
          <w:sz w:val="20"/>
          <w:szCs w:val="20"/>
          <w:color w:val="auto"/>
        </w:rPr>
      </w:pPr>
      <w:r>
        <w:rPr>
          <w:rFonts w:ascii="Arial" w:cs="Arial" w:eastAsia="Arial" w:hAnsi="Arial"/>
          <w:sz w:val="18"/>
          <w:szCs w:val="18"/>
          <w:color w:val="auto"/>
        </w:rPr>
        <w:t>You have the right to receive notice of, and to vote at, the Special Meeting if you were a stockholder of record of PNNT at the close of business on December 13, 2011 and/or a stockholder of record of PFLT at the close of business on December 14, 2011.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45" w:lineRule="exact"/>
        <w:rPr>
          <w:sz w:val="20"/>
          <w:szCs w:val="20"/>
          <w:color w:val="auto"/>
        </w:rPr>
      </w:pPr>
    </w:p>
    <w:p>
      <w:pPr>
        <w:jc w:val="both"/>
        <w:ind w:left="500" w:firstLine="405"/>
        <w:spacing w:after="0" w:line="276" w:lineRule="auto"/>
        <w:rPr>
          <w:sz w:val="20"/>
          <w:szCs w:val="20"/>
          <w:color w:val="auto"/>
        </w:rPr>
      </w:pPr>
      <w:r>
        <w:rPr>
          <w:rFonts w:ascii="Arial" w:cs="Arial" w:eastAsia="Arial" w:hAnsi="Arial"/>
          <w:sz w:val="17"/>
          <w:szCs w:val="17"/>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28"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228600</wp:posOffset>
            </wp:positionV>
            <wp:extent cx="629475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600075"/>
                    </a:xfrm>
                    <a:prstGeom prst="rect">
                      <a:avLst/>
                    </a:prstGeom>
                    <a:noFill/>
                  </pic:spPr>
                </pic:pic>
              </a:graphicData>
            </a:graphic>
          </wp:anchor>
        </w:drawing>
      </w:r>
    </w:p>
    <w:p>
      <w:pPr>
        <w:spacing w:after="0" w:line="362" w:lineRule="exact"/>
        <w:rPr>
          <w:sz w:val="20"/>
          <w:szCs w:val="20"/>
          <w:color w:val="auto"/>
        </w:rPr>
      </w:pPr>
    </w:p>
    <w:p>
      <w:pPr>
        <w:jc w:val="both"/>
        <w:ind w:left="540" w:right="1060" w:firstLine="405"/>
        <w:spacing w:after="0" w:line="261" w:lineRule="auto"/>
        <w:rPr>
          <w:sz w:val="20"/>
          <w:szCs w:val="20"/>
          <w:color w:val="auto"/>
        </w:rPr>
      </w:pPr>
      <w:r>
        <w:rPr>
          <w:rFonts w:ascii="Arial" w:cs="Arial" w:eastAsia="Arial" w:hAnsi="Arial"/>
          <w:sz w:val="18"/>
          <w:szCs w:val="18"/>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5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PENNANTPARK INVESTMENT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58"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JOINT PROXY STATEMENT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Joint Special Meeting of Stockholders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7, 2012</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(“SEC”), and some of it is technical in nature. If there is anything you do not understand, please contact us at 212-905-1000.</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7, 2012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21, 2011. In addition, a Notice of Special Meeting and a Notice of Internet Availability of Proxy Materials are being sent to Stockholders of record of PNNT as of December 13, 2011 and Stockholders of record of PFLT as of December 14, 2011.</w:t>
      </w:r>
    </w:p>
    <w:p>
      <w:pPr>
        <w:spacing w:after="0" w:line="1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Board's discretion unless you specifically state otherwise on your proxy.</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revoke a proxy at any time before it is exercised by notifying your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Meeting, you will be asked to vote on the following proposal for your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57" w:right="239" w:bottom="1440" w:gutter="0" w:footer="0" w:header="0"/>
        </w:sectPr>
      </w:pPr>
    </w:p>
    <w:bookmarkStart w:id="4" w:name="page5"/>
    <w:bookmarkEnd w:id="4"/>
    <w:p>
      <w:pPr>
        <w:jc w:val="both"/>
        <w:ind w:left="2140" w:right="720" w:hanging="216"/>
        <w:spacing w:after="0" w:line="286" w:lineRule="auto"/>
        <w:tabs>
          <w:tab w:leader="none" w:pos="2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your shares at the Meeting only if you were a Stockholder of record of PNNT at the close of business on December 13, 2011, and/or a Stockholder of record of PFLT at the close of business on December 14, 2011 (each, a “Record Date”). There were 45,689,781 shares of PNNT common stock and 6,850,667 shares of PFLT common stock (the “Common Stock”) outstanding on the Record Dates.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Quorum Required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146"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Votes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to each Company, approval of this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this Proposal.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Broker non-votes are described as votes cast by a broker or other nominee on behalf of a beneficial holder who does not provide explicit voting instructions to such broker or nominee and who does not attend the Meeting. The Proposal is a non-routine matter for both Companies. Broker non-votes may not be voted at the Meeting with respect to the Proposal. If the beneficial owner does not provide voting instructions the broker or nominee cannot vote with respect to the Proposal. For this reason, it is imperative that Stockholders vote or provide instructions to their brokers as to how to vote</w:t>
      </w:r>
    </w:p>
    <w:p>
      <w:pPr>
        <w:spacing w:after="0" w:line="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Adjournment and Additional Solicitation. </w:t>
      </w:r>
      <w:r>
        <w:rPr>
          <w:rFonts w:ascii="Arial" w:cs="Arial" w:eastAsia="Arial" w:hAnsi="Arial"/>
          <w:sz w:val="16"/>
          <w:szCs w:val="16"/>
          <w:color w:val="auto"/>
        </w:rPr>
        <w:t>As to each Company, if there appear not to be enough votes to approve the Proposal at the Meeting,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such Company who are represented in person or by proxy may vote to adjourn the Meeting with respect to that Company to permit further solicitation of proxies. Messrs. Marshall Brozost and Samuel L. Katz are the persons named as proxies for each Company and will vote proxies held by them for such adjournment, unless marked to be voted against any proposal for which an adjournment is sought, to permit the further solicitation of proxies.</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their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approximately $30,000 for such services. If the Companies engage a solicitor, you could be contacted by telephone on behalf of your Company and be urged to vote. The solicitor will not attempt to influence how you vote your shares, but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 York, New York 10022.</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also will receive an e-mail confirming their instructions upon request.</w:t>
      </w:r>
    </w:p>
    <w:p>
      <w:pPr>
        <w:spacing w:after="0" w:line="1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of the Record Dates, to our knowledge, no person would be deemed to "control" (as such term is defined in the 1940 Act) either Company.</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as of December 2, 2011,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vMerge w:val="restart"/>
          </w:tcPr>
          <w:p>
            <w:pPr>
              <w:spacing w:after="0" w:line="190" w:lineRule="exact"/>
              <w:rPr>
                <w:sz w:val="20"/>
                <w:szCs w:val="20"/>
                <w:color w:val="auto"/>
              </w:rPr>
            </w:pPr>
            <w:r>
              <w:rPr>
                <w:rFonts w:ascii="Arial" w:cs="Arial" w:eastAsia="Arial" w:hAnsi="Arial"/>
                <w:sz w:val="18"/>
                <w:szCs w:val="18"/>
                <w:color w:val="auto"/>
                <w:w w:val="85"/>
              </w:rPr>
              <w:t>Name and address</w:t>
            </w:r>
          </w:p>
        </w:tc>
        <w:tc>
          <w:tcPr>
            <w:tcW w:w="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75"/>
              </w:rPr>
              <w:t>(1)</w:t>
            </w:r>
          </w:p>
        </w:tc>
        <w:tc>
          <w:tcPr>
            <w:tcW w:w="3140" w:type="dxa"/>
            <w:vAlign w:val="bottom"/>
            <w:vMerge w:val="restart"/>
          </w:tcPr>
          <w:p>
            <w:pPr>
              <w:spacing w:after="0"/>
              <w:rPr>
                <w:sz w:val="11"/>
                <w:szCs w:val="11"/>
                <w:color w:val="auto"/>
              </w:rPr>
            </w:pPr>
          </w:p>
        </w:tc>
        <w:tc>
          <w:tcPr>
            <w:tcW w:w="1940" w:type="dxa"/>
            <w:vAlign w:val="bottom"/>
            <w:gridSpan w:val="2"/>
            <w:vMerge w:val="restart"/>
          </w:tcPr>
          <w:p>
            <w:pPr>
              <w:ind w:left="600"/>
              <w:spacing w:after="0" w:line="190" w:lineRule="exact"/>
              <w:rPr>
                <w:sz w:val="20"/>
                <w:szCs w:val="20"/>
                <w:color w:val="auto"/>
              </w:rPr>
            </w:pPr>
            <w:r>
              <w:rPr>
                <w:rFonts w:ascii="Arial" w:cs="Arial" w:eastAsia="Arial" w:hAnsi="Arial"/>
                <w:sz w:val="18"/>
                <w:szCs w:val="18"/>
                <w:color w:val="auto"/>
                <w:w w:val="89"/>
              </w:rPr>
              <w:t>Type of ownership</w:t>
            </w:r>
          </w:p>
        </w:tc>
        <w:tc>
          <w:tcPr>
            <w:tcW w:w="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75"/>
              </w:rPr>
              <w:t>(5)</w:t>
            </w:r>
          </w:p>
        </w:tc>
        <w:tc>
          <w:tcPr>
            <w:tcW w:w="4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20" w:type="dxa"/>
            <w:vAlign w:val="bottom"/>
            <w:gridSpan w:val="6"/>
            <w:vMerge w:val="restart"/>
          </w:tcPr>
          <w:p>
            <w:pPr>
              <w:jc w:val="right"/>
              <w:ind w:right="480"/>
              <w:spacing w:after="0" w:line="190" w:lineRule="exact"/>
              <w:rPr>
                <w:sz w:val="20"/>
                <w:szCs w:val="20"/>
                <w:color w:val="auto"/>
              </w:rPr>
            </w:pPr>
            <w:r>
              <w:rPr>
                <w:rFonts w:ascii="Arial" w:cs="Arial" w:eastAsia="Arial" w:hAnsi="Arial"/>
                <w:sz w:val="18"/>
                <w:szCs w:val="18"/>
                <w:color w:val="auto"/>
                <w:w w:val="85"/>
              </w:rPr>
              <w:t>Shares Owned</w:t>
            </w:r>
          </w:p>
        </w:tc>
        <w:tc>
          <w:tcPr>
            <w:tcW w:w="1340" w:type="dxa"/>
            <w:vAlign w:val="bottom"/>
            <w:gridSpan w:val="6"/>
            <w:vMerge w:val="restart"/>
          </w:tcPr>
          <w:p>
            <w:pPr>
              <w:jc w:val="center"/>
              <w:ind w:right="140"/>
              <w:spacing w:after="0" w:line="190" w:lineRule="exact"/>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vMerge w:val="continue"/>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20" w:type="dxa"/>
            <w:vAlign w:val="bottom"/>
            <w:gridSpan w:val="6"/>
            <w:vMerge w:val="continue"/>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PNNT</w:t>
            </w: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PFLT</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PNNT</w:t>
            </w:r>
          </w:p>
        </w:tc>
        <w:tc>
          <w:tcPr>
            <w:tcW w:w="560" w:type="dxa"/>
            <w:vAlign w:val="bottom"/>
            <w:gridSpan w:val="3"/>
          </w:tcPr>
          <w:p>
            <w:pPr>
              <w:spacing w:after="0"/>
              <w:rPr>
                <w:sz w:val="20"/>
                <w:szCs w:val="20"/>
                <w:color w:val="auto"/>
              </w:rPr>
            </w:pPr>
            <w:r>
              <w:rPr>
                <w:rFonts w:ascii="Arial" w:cs="Arial" w:eastAsia="Arial" w:hAnsi="Arial"/>
                <w:sz w:val="18"/>
                <w:szCs w:val="18"/>
                <w:color w:val="auto"/>
              </w:rPr>
              <w:t>PFLT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and Co. Inc.</w:t>
            </w:r>
          </w:p>
        </w:tc>
        <w:tc>
          <w:tcPr>
            <w:tcW w:w="6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92"/>
              </w:rPr>
              <w:t>392,375</w:t>
            </w:r>
          </w:p>
        </w:tc>
        <w:tc>
          <w:tcPr>
            <w:tcW w:w="7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1585 Broadway</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New York, NY 10036-8293</w:t>
            </w:r>
          </w:p>
        </w:tc>
        <w:tc>
          <w:tcPr>
            <w:tcW w:w="6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3"/>
            <w:shd w:val="clear" w:color="auto" w:fill="CCEEFF"/>
          </w:tcPr>
          <w:p>
            <w:pPr>
              <w:ind w:left="320"/>
              <w:spacing w:after="0" w:line="270" w:lineRule="exact"/>
              <w:rPr>
                <w:sz w:val="20"/>
                <w:szCs w:val="20"/>
                <w:color w:val="auto"/>
              </w:rPr>
            </w:pPr>
            <w:r>
              <w:rPr>
                <w:rFonts w:ascii="Arial" w:cs="Arial" w:eastAsia="Arial" w:hAnsi="Arial"/>
                <w:sz w:val="18"/>
                <w:szCs w:val="18"/>
                <w:color w:val="auto"/>
              </w:rPr>
              <w:t>Adam K. Bernstein</w:t>
            </w:r>
            <w:r>
              <w:rPr>
                <w:rFonts w:ascii="Arial" w:cs="Arial" w:eastAsia="Arial" w:hAnsi="Arial"/>
                <w:sz w:val="25"/>
                <w:szCs w:val="25"/>
                <w:color w:val="auto"/>
                <w:vertAlign w:val="superscript"/>
              </w:rPr>
              <w:t>(2)</w:t>
            </w:r>
          </w:p>
        </w:tc>
        <w:tc>
          <w:tcPr>
            <w:tcW w:w="6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88,971</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Marshall Brozost</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11,043</w:t>
            </w:r>
          </w:p>
        </w:tc>
        <w:tc>
          <w:tcPr>
            <w:tcW w:w="200" w:type="dxa"/>
            <w:vAlign w:val="bottom"/>
          </w:tcPr>
          <w:p>
            <w:pPr>
              <w:spacing w:after="0"/>
              <w:rPr>
                <w:sz w:val="21"/>
                <w:szCs w:val="21"/>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6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102,358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Samuel L. Katz</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113,482</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29,500</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3"/>
            <w:shd w:val="clear" w:color="auto" w:fill="CCEEFF"/>
          </w:tcPr>
          <w:p>
            <w:pPr>
              <w:ind w:left="320"/>
              <w:spacing w:after="0" w:line="270" w:lineRule="exact"/>
              <w:rPr>
                <w:sz w:val="20"/>
                <w:szCs w:val="20"/>
                <w:color w:val="auto"/>
              </w:rPr>
            </w:pPr>
            <w:r>
              <w:rPr>
                <w:rFonts w:ascii="Arial" w:cs="Arial" w:eastAsia="Arial" w:hAnsi="Arial"/>
                <w:sz w:val="18"/>
                <w:szCs w:val="18"/>
                <w:color w:val="auto"/>
              </w:rPr>
              <w:t>Arthur H. Penn</w:t>
            </w:r>
            <w:r>
              <w:rPr>
                <w:rFonts w:ascii="Arial" w:cs="Arial" w:eastAsia="Arial" w:hAnsi="Arial"/>
                <w:sz w:val="25"/>
                <w:szCs w:val="25"/>
                <w:color w:val="auto"/>
                <w:vertAlign w:val="superscript"/>
              </w:rPr>
              <w:t>(3)(4)</w:t>
            </w:r>
          </w:p>
        </w:tc>
        <w:tc>
          <w:tcPr>
            <w:tcW w:w="6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499,475</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Aviv Efrat</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40,294</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5,750</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 as a group </w:t>
            </w:r>
            <w:r>
              <w:rPr>
                <w:rFonts w:ascii="Arial" w:cs="Arial" w:eastAsia="Arial" w:hAnsi="Arial"/>
                <w:sz w:val="16"/>
                <w:szCs w:val="16"/>
                <w:color w:val="auto"/>
              </w:rPr>
              <w:t>(6 persons)</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855,623</w:t>
            </w:r>
          </w:p>
        </w:tc>
        <w:tc>
          <w:tcPr>
            <w:tcW w:w="9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40,917</w:t>
            </w: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160" w:hanging="32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10022.</w:t>
      </w:r>
    </w:p>
    <w:p>
      <w:pPr>
        <w:ind w:left="1100" w:right="680" w:hanging="269"/>
        <w:spacing w:after="0" w:line="259"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spacing w:after="0" w:line="23" w:lineRule="exact"/>
        <w:rPr>
          <w:rFonts w:ascii="Arial" w:cs="Arial" w:eastAsia="Arial" w:hAnsi="Arial"/>
          <w:sz w:val="18"/>
          <w:szCs w:val="18"/>
          <w:color w:val="auto"/>
        </w:rPr>
      </w:pPr>
    </w:p>
    <w:p>
      <w:pPr>
        <w:ind w:left="1100" w:right="980" w:hanging="269"/>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309,791 shares of PNNT and 667 shares of PFLT held by the Adviser.</w:t>
      </w:r>
    </w:p>
    <w:p>
      <w:pPr>
        <w:spacing w:after="0" w:line="8" w:lineRule="exact"/>
        <w:rPr>
          <w:rFonts w:ascii="Arial" w:cs="Arial" w:eastAsia="Arial" w:hAnsi="Arial"/>
          <w:sz w:val="18"/>
          <w:szCs w:val="18"/>
          <w:color w:val="auto"/>
        </w:rPr>
      </w:pPr>
    </w:p>
    <w:p>
      <w:pPr>
        <w:jc w:val="both"/>
        <w:ind w:left="1100" w:right="700" w:hanging="269"/>
        <w:spacing w:after="0" w:line="276"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are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10" w:lineRule="exact"/>
        <w:rPr>
          <w:rFonts w:ascii="Arial" w:cs="Arial" w:eastAsia="Arial" w:hAnsi="Arial"/>
          <w:sz w:val="17"/>
          <w:szCs w:val="17"/>
          <w:color w:val="auto"/>
        </w:rPr>
      </w:pPr>
    </w:p>
    <w:p>
      <w:pPr>
        <w:ind w:left="1100" w:hanging="26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Less than 1 percent.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PROPOSAL: AUTHORIZATION TO OFFER AND SELL SHARES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or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2011 for PFLT.</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tits Stockholders prior to any such sale, and the authorization would be effective for shares sold during a period beginning on the date of Stockholder approval and expiring one year from such approval.</w:t>
      </w:r>
    </w:p>
    <w:p>
      <w:pPr>
        <w:spacing w:after="0" w:line="13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Company's ability to issue shares of its Common Stock at a price below NAV is governed by the 1940 Act. Specifically, Section 63(2) of the 1940 Act provides that a Company may offer and sell shares of Common Stock at prices below the then current NAV with Stockholder approval, provided that:</w:t>
      </w:r>
    </w:p>
    <w:p>
      <w:pPr>
        <w:spacing w:after="0" w:line="343" w:lineRule="exact"/>
        <w:rPr>
          <w:sz w:val="20"/>
          <w:szCs w:val="20"/>
          <w:color w:val="auto"/>
        </w:rPr>
      </w:pPr>
    </w:p>
    <w:p>
      <w:pPr>
        <w:ind w:left="1300" w:right="980" w:hanging="251"/>
        <w:spacing w:after="0" w:line="31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such sales are approved by (1) a majority of the Company's Independent Directors and (2) a majority of the Company's directors who have no financial interest in the proposal as being in the best interests of us and our Stockholders; and</w:t>
      </w:r>
    </w:p>
    <w:p>
      <w:pPr>
        <w:jc w:val="both"/>
        <w:ind w:left="1300" w:right="980" w:hanging="251"/>
        <w:spacing w:after="0" w:line="25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 Our shares have, for the most part, recently traded at a discount to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Board Approval</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15, 2011,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factors including the following, as discussed more fully below:</w:t>
      </w:r>
    </w:p>
    <w:p>
      <w:pPr>
        <w:spacing w:after="0" w:line="133" w:lineRule="exact"/>
        <w:rPr>
          <w:sz w:val="20"/>
          <w:szCs w:val="20"/>
          <w:color w:val="auto"/>
        </w:rPr>
      </w:pPr>
    </w:p>
    <w:p>
      <w:pPr>
        <w:ind w:left="1300" w:hanging="25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63" w:lineRule="exact"/>
        <w:rPr>
          <w:rFonts w:ascii="Arial" w:cs="Arial" w:eastAsia="Arial" w:hAnsi="Arial"/>
          <w:sz w:val="18"/>
          <w:szCs w:val="18"/>
          <w:color w:val="auto"/>
        </w:rPr>
      </w:pPr>
    </w:p>
    <w:p>
      <w:pPr>
        <w:ind w:left="1300" w:hanging="25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approving this Proposal, the Boards met to consider and evaluate material that Company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evaluated a full range of offering sizes. However, neither Board has drawn any definite conclusions regarding the size of a contemplated capital raise at this time. The Boards expect that any increase in capital would be from a public offering of the Companies' Common Stock, or the possibility of one or more private placements. Additionally, each Company's Common Stock could be issued as part of a purchase of assets, portfolios or other companies.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the best interests of Stockholders. If the Companies were unable to access the capital markets when attractive investment opportunities arise, the Companies' ability to grow over time and to continue to pay dividends to Stockholders could be adversely affected. In reaching that conclusion, each Board considered the following possible benefits to the Company's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Company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the Companies intend to be a more meaningful capital provider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Company issues additional shares, its market capitalization and the amount of its publicly tradable Common Stock will increase, which may afford all holders of its Common Stock greater liquidity. A larger market capitalization may make a Company's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Companies' dividends. Each Company generally makes distributions to its Stockholders. PNNT last declared a quarterly distribution of $0.28 per share of Common Stock, which is payable on January 3, 2012. PFLT last declared a monthly distribution of $0.07 per share of Common Stock, which is payable on January 3, 2012. Although management will continue to seek to generate income sufficient to pay our dividends in the future, the proceeds of future offerings, and the investments thereof, could enable each Company to maintain and possibly grow its dividends, which may include a return of capital,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BDC and RIC and Maintaining a Favorable Debt-to-Equity Ratio</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BDC and a regulated investment company ("RIC") for tax purposes, each Company must abide by certain requirements. RICs generally must distribute substantially all of their earnings from dividends, interest and short-term gains to stockholders as dividends in order to maintain pass-through tax treatment. This requirement prevents each Company from using retained earnings to finance new investments. Further, in order to borrow money or issue preferred stock, BDCs, generally, must maintain a debt-to-equity ratio of not more than 1:1, which requires each Company to finance its investments with at least as much common equity as its combined outstanding debt and preferred stock. While we believe that we can continue to meet our obligations to pay dividends and maintain the requisite debt-to-equity ratio without raising capital, raising such capital could enable us to take advantage of new investment opportunities and build our investment portfolios, which could help each Company meet such regulatory obligations.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Exceeding the required 1:1 debt-to-equity ratio would have severe negative consequences for a BDC, including an inability to pay dividends, possible breaches of debt covenants and failure to qualify for tax treatment as a RIC. Although neither Company currently expects that it will exceed the required 1:1 debt-to-equity ratio, the markets in which the Companies operate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a Company's portfolio companies, if any, will negatively impact its Stockholders' equity and the resulting debt-to-equity ratio required for BDCs. Continued volatility in the capital markets and the resulting negative pressure on debt investment valuations could negatively impact each Company's asset valuations, Stockholders' equity and our debt-to-equity ratio. Issuing new equity will improve the Companies' debt-to-equity ratios.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each Company's balance sheet and give that Company more flexibility in its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 Common Stock has been quoted on The NASDAQ Global Select Market under the symbol “PFLT” since April 8, 2011.</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lists the high and low closing sales price for PNNT's Common Stock, the closing sales price as a percentage of NAV, and quarterly distributions per share since shares of the Company's Common Stock began being regularly quoted on The NASDAQ Global Select Market. On December 2, 2011, the last reported closing sale price for PNNT Common Stock was $10.69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Low</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Closing Sales Price</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Sales Price</w:t>
            </w:r>
          </w:p>
        </w:tc>
        <w:tc>
          <w:tcPr>
            <w:tcW w:w="440" w:type="dxa"/>
            <w:vAlign w:val="bottom"/>
          </w:tcPr>
          <w:p>
            <w:pPr>
              <w:spacing w:after="0"/>
              <w:rPr>
                <w:sz w:val="20"/>
                <w:szCs w:val="20"/>
                <w:color w:val="auto"/>
              </w:rPr>
            </w:pPr>
          </w:p>
        </w:tc>
        <w:tc>
          <w:tcPr>
            <w:tcW w:w="11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5"/>
              </w:rPr>
              <w:t>Sales Price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Distributions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160" w:type="dxa"/>
            <w:vAlign w:val="bottom"/>
            <w:gridSpan w:val="3"/>
            <w:vMerge w:val="restart"/>
          </w:tcPr>
          <w:p>
            <w:pPr>
              <w:ind w:left="20"/>
              <w:spacing w:after="0" w:line="196" w:lineRule="exact"/>
              <w:rPr>
                <w:sz w:val="20"/>
                <w:szCs w:val="20"/>
                <w:color w:val="auto"/>
              </w:rPr>
            </w:pPr>
            <w:r>
              <w:rPr>
                <w:rFonts w:ascii="Arial" w:cs="Arial" w:eastAsia="Arial" w:hAnsi="Arial"/>
                <w:sz w:val="18"/>
                <w:szCs w:val="18"/>
                <w:b w:val="1"/>
                <w:bCs w:val="1"/>
                <w:color w:val="auto"/>
              </w:rPr>
              <w:t>Period</w:t>
            </w:r>
          </w:p>
        </w:tc>
        <w:tc>
          <w:tcPr>
            <w:tcW w:w="1440" w:type="dxa"/>
            <w:vAlign w:val="bottom"/>
            <w:gridSpan w:val="3"/>
            <w:vMerge w:val="restart"/>
          </w:tcPr>
          <w:p>
            <w:pPr>
              <w:jc w:val="right"/>
              <w:ind w:right="540"/>
              <w:spacing w:after="0" w:line="197" w:lineRule="exact"/>
              <w:rPr>
                <w:sz w:val="20"/>
                <w:szCs w:val="20"/>
                <w:color w:val="auto"/>
              </w:rPr>
            </w:pPr>
            <w:r>
              <w:rPr>
                <w:rFonts w:ascii="Arial" w:cs="Arial" w:eastAsia="Arial" w:hAnsi="Arial"/>
                <w:sz w:val="16"/>
                <w:szCs w:val="16"/>
                <w:b w:val="1"/>
                <w:bCs w:val="1"/>
                <w:color w:val="auto"/>
              </w:rPr>
              <w:t>NAV</w:t>
            </w:r>
            <w:r>
              <w:rPr>
                <w:rFonts w:ascii="Arial" w:cs="Arial" w:eastAsia="Arial" w:hAnsi="Arial"/>
                <w:sz w:val="22"/>
                <w:szCs w:val="22"/>
                <w:b w:val="1"/>
                <w:bCs w:val="1"/>
                <w:color w:val="auto"/>
                <w:vertAlign w:val="superscript"/>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60"/>
              <w:spacing w:after="0" w:line="196" w:lineRule="exact"/>
              <w:rPr>
                <w:sz w:val="20"/>
                <w:szCs w:val="20"/>
                <w:color w:val="auto"/>
              </w:rPr>
            </w:pPr>
            <w:r>
              <w:rPr>
                <w:rFonts w:ascii="Arial" w:cs="Arial" w:eastAsia="Arial" w:hAnsi="Arial"/>
                <w:sz w:val="18"/>
                <w:szCs w:val="18"/>
                <w:b w:val="1"/>
                <w:bCs w:val="1"/>
                <w:color w:val="auto"/>
                <w:w w:val="89"/>
              </w:rPr>
              <w:t>High</w:t>
            </w:r>
          </w:p>
        </w:tc>
        <w:tc>
          <w:tcPr>
            <w:tcW w:w="380" w:type="dxa"/>
            <w:vAlign w:val="bottom"/>
          </w:tcPr>
          <w:p>
            <w:pPr>
              <w:spacing w:after="0"/>
              <w:rPr>
                <w:sz w:val="12"/>
                <w:szCs w:val="12"/>
                <w:color w:val="auto"/>
              </w:rPr>
            </w:pPr>
          </w:p>
        </w:tc>
        <w:tc>
          <w:tcPr>
            <w:tcW w:w="600" w:type="dxa"/>
            <w:vAlign w:val="bottom"/>
            <w:gridSpan w:val="2"/>
            <w:vMerge w:val="restart"/>
          </w:tcPr>
          <w:p>
            <w:pPr>
              <w:jc w:val="right"/>
              <w:ind w:right="260"/>
              <w:spacing w:after="0" w:line="196" w:lineRule="exact"/>
              <w:rPr>
                <w:sz w:val="20"/>
                <w:szCs w:val="20"/>
                <w:color w:val="auto"/>
              </w:rPr>
            </w:pPr>
            <w:r>
              <w:rPr>
                <w:rFonts w:ascii="Arial" w:cs="Arial" w:eastAsia="Arial" w:hAnsi="Arial"/>
                <w:sz w:val="18"/>
                <w:szCs w:val="18"/>
                <w:b w:val="1"/>
                <w:bCs w:val="1"/>
                <w:color w:val="auto"/>
                <w:w w:val="88"/>
              </w:rPr>
              <w:t>Low</w:t>
            </w:r>
          </w:p>
        </w:tc>
        <w:tc>
          <w:tcPr>
            <w:tcW w:w="9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auto"/>
              </w:rPr>
              <w:t>to NAV</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(2)</w:t>
            </w:r>
          </w:p>
        </w:tc>
        <w:tc>
          <w:tcPr>
            <w:tcW w:w="1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vMerge w:val="restart"/>
          </w:tcPr>
          <w:p>
            <w:pPr>
              <w:jc w:val="center"/>
              <w:ind w:left="30"/>
              <w:spacing w:after="0" w:line="197" w:lineRule="exact"/>
              <w:rPr>
                <w:sz w:val="20"/>
                <w:szCs w:val="20"/>
                <w:color w:val="auto"/>
              </w:rPr>
            </w:pPr>
            <w:r>
              <w:rPr>
                <w:rFonts w:ascii="Arial" w:cs="Arial" w:eastAsia="Arial" w:hAnsi="Arial"/>
                <w:sz w:val="16"/>
                <w:szCs w:val="16"/>
                <w:b w:val="1"/>
                <w:bCs w:val="1"/>
                <w:color w:val="auto"/>
                <w:w w:val="97"/>
              </w:rPr>
              <w:t xml:space="preserve">to NAV </w:t>
            </w:r>
            <w:r>
              <w:rPr>
                <w:rFonts w:ascii="Arial" w:cs="Arial" w:eastAsia="Arial" w:hAnsi="Arial"/>
                <w:sz w:val="22"/>
                <w:szCs w:val="22"/>
                <w:b w:val="1"/>
                <w:bCs w:val="1"/>
                <w:color w:val="auto"/>
                <w:w w:val="97"/>
                <w:vertAlign w:val="superscript"/>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1080" w:type="dxa"/>
            <w:vAlign w:val="bottom"/>
            <w:gridSpan w:val="2"/>
            <w:vMerge w:val="restart"/>
          </w:tcPr>
          <w:p>
            <w:pPr>
              <w:jc w:val="right"/>
              <w:ind w:right="400"/>
              <w:spacing w:after="0" w:line="196" w:lineRule="exact"/>
              <w:rPr>
                <w:sz w:val="20"/>
                <w:szCs w:val="20"/>
                <w:color w:val="auto"/>
              </w:rPr>
            </w:pPr>
            <w:r>
              <w:rPr>
                <w:rFonts w:ascii="Arial" w:cs="Arial" w:eastAsia="Arial" w:hAnsi="Arial"/>
                <w:sz w:val="18"/>
                <w:szCs w:val="18"/>
                <w:b w:val="1"/>
                <w:bCs w:val="1"/>
                <w:color w:val="auto"/>
                <w:w w:val="86"/>
              </w:rPr>
              <w:t>Declared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160" w:type="dxa"/>
            <w:vAlign w:val="bottom"/>
            <w:gridSpan w:val="3"/>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2011</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   10.13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11.52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11.08</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13.05</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11.21</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2010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10.94</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11.84</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10.77</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 September 30, 2009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11.85</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12.00</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2008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10.77</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12.07</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 September 30, 2007</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12.83</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13.74</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14.04</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right="760" w:hanging="278"/>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8" w:lineRule="exact"/>
        <w:rPr>
          <w:rFonts w:ascii="Arial" w:cs="Arial" w:eastAsia="Arial" w:hAnsi="Arial"/>
          <w:sz w:val="18"/>
          <w:szCs w:val="18"/>
          <w:color w:val="auto"/>
        </w:rPr>
      </w:pPr>
    </w:p>
    <w:p>
      <w:pPr>
        <w:ind w:left="460" w:hanging="27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63" w:lineRule="exact"/>
        <w:rPr>
          <w:sz w:val="20"/>
          <w:szCs w:val="20"/>
          <w:color w:val="auto"/>
        </w:rPr>
      </w:pPr>
    </w:p>
    <w:p>
      <w:pPr>
        <w:ind w:left="24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From April 24, 2007 (initial public offering) to June 30, 2007.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color w:val="auto"/>
        </w:rPr>
        <w:t>The following table lists the high and low closing sales price for PFLT's Common Stock, the closing sales price as a percentage of NAV, and quarterly distributions, paid monthly, per share since shares of PFLT's Common Stock began being regularly quoted on The NASDAQ Global Select Market. On December 2, 2011, the last reported closing sale price for PFLT Common Stock was $10.72 per share.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4"/>
              </w:rPr>
              <w:t>High</w:t>
            </w:r>
          </w:p>
        </w:tc>
        <w:tc>
          <w:tcPr>
            <w:tcW w:w="32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4"/>
              </w:rPr>
              <w:t>Low</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Closing Sales Price</w:t>
            </w:r>
          </w:p>
        </w:tc>
        <w:tc>
          <w:tcPr>
            <w:tcW w:w="18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Sales Price</w:t>
            </w: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Sales Price</w:t>
            </w:r>
          </w:p>
        </w:tc>
        <w:tc>
          <w:tcPr>
            <w:tcW w:w="3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Declared</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Period</w:t>
            </w:r>
          </w:p>
        </w:tc>
        <w:tc>
          <w:tcPr>
            <w:tcW w:w="1260" w:type="dxa"/>
            <w:vAlign w:val="bottom"/>
            <w:gridSpan w:val="3"/>
          </w:tcPr>
          <w:p>
            <w:pPr>
              <w:jc w:val="right"/>
              <w:ind w:right="300"/>
              <w:spacing w:after="0" w:line="197" w:lineRule="exact"/>
              <w:rPr>
                <w:sz w:val="20"/>
                <w:szCs w:val="20"/>
                <w:color w:val="auto"/>
              </w:rPr>
            </w:pPr>
            <w:r>
              <w:rPr>
                <w:rFonts w:ascii="Arial" w:cs="Arial" w:eastAsia="Arial" w:hAnsi="Arial"/>
                <w:sz w:val="16"/>
                <w:szCs w:val="16"/>
                <w:b w:val="1"/>
                <w:bCs w:val="1"/>
                <w:color w:val="auto"/>
              </w:rPr>
              <w:t>NAV</w:t>
            </w:r>
            <w:r>
              <w:rPr>
                <w:rFonts w:ascii="Arial" w:cs="Arial" w:eastAsia="Arial" w:hAnsi="Arial"/>
                <w:sz w:val="22"/>
                <w:szCs w:val="22"/>
                <w:b w:val="1"/>
                <w:bCs w:val="1"/>
                <w:color w:val="auto"/>
                <w:vertAlign w:val="superscript"/>
              </w:rPr>
              <w:t>(1)</w:t>
            </w:r>
          </w:p>
        </w:tc>
        <w:tc>
          <w:tcPr>
            <w:tcW w:w="220" w:type="dxa"/>
            <w:vAlign w:val="bottom"/>
          </w:tcPr>
          <w:p>
            <w:pPr>
              <w:spacing w:after="0"/>
              <w:rPr>
                <w:sz w:val="17"/>
                <w:szCs w:val="17"/>
                <w:color w:val="auto"/>
              </w:rPr>
            </w:pPr>
          </w:p>
        </w:tc>
        <w:tc>
          <w:tcPr>
            <w:tcW w:w="84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7"/>
                <w:szCs w:val="17"/>
                <w:color w:val="auto"/>
              </w:rPr>
            </w:pP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w w:val="88"/>
              </w:rPr>
              <w:t>Low</w:t>
            </w:r>
          </w:p>
        </w:tc>
        <w:tc>
          <w:tcPr>
            <w:tcW w:w="380" w:type="dxa"/>
            <w:vAlign w:val="bottom"/>
          </w:tcPr>
          <w:p>
            <w:pPr>
              <w:spacing w:after="0"/>
              <w:rPr>
                <w:sz w:val="17"/>
                <w:szCs w:val="17"/>
                <w:color w:val="auto"/>
              </w:rPr>
            </w:pPr>
          </w:p>
        </w:tc>
        <w:tc>
          <w:tcPr>
            <w:tcW w:w="1420" w:type="dxa"/>
            <w:vAlign w:val="bottom"/>
            <w:gridSpan w:val="2"/>
          </w:tcPr>
          <w:p>
            <w:pPr>
              <w:jc w:val="center"/>
              <w:ind w:right="640"/>
              <w:spacing w:after="0" w:line="197" w:lineRule="exact"/>
              <w:rPr>
                <w:sz w:val="20"/>
                <w:szCs w:val="20"/>
                <w:color w:val="auto"/>
              </w:rPr>
            </w:pPr>
            <w:r>
              <w:rPr>
                <w:rFonts w:ascii="Arial" w:cs="Arial" w:eastAsia="Arial" w:hAnsi="Arial"/>
                <w:sz w:val="16"/>
                <w:szCs w:val="16"/>
                <w:b w:val="1"/>
                <w:bCs w:val="1"/>
                <w:color w:val="auto"/>
              </w:rPr>
              <w:t xml:space="preserve">to NAV </w:t>
            </w:r>
            <w:r>
              <w:rPr>
                <w:rFonts w:ascii="Arial" w:cs="Arial" w:eastAsia="Arial" w:hAnsi="Arial"/>
                <w:sz w:val="22"/>
                <w:szCs w:val="22"/>
                <w:b w:val="1"/>
                <w:bCs w:val="1"/>
                <w:color w:val="auto"/>
                <w:vertAlign w:val="superscript"/>
              </w:rPr>
              <w:t>(2)</w:t>
            </w:r>
          </w:p>
        </w:tc>
        <w:tc>
          <w:tcPr>
            <w:tcW w:w="320" w:type="dxa"/>
            <w:vAlign w:val="bottom"/>
          </w:tcPr>
          <w:p>
            <w:pPr>
              <w:spacing w:after="0"/>
              <w:rPr>
                <w:sz w:val="17"/>
                <w:szCs w:val="17"/>
                <w:color w:val="auto"/>
              </w:rPr>
            </w:pPr>
          </w:p>
        </w:tc>
        <w:tc>
          <w:tcPr>
            <w:tcW w:w="1340" w:type="dxa"/>
            <w:vAlign w:val="bottom"/>
            <w:gridSpan w:val="2"/>
          </w:tcPr>
          <w:p>
            <w:pPr>
              <w:jc w:val="center"/>
              <w:ind w:right="600"/>
              <w:spacing w:after="0" w:line="197" w:lineRule="exact"/>
              <w:rPr>
                <w:sz w:val="20"/>
                <w:szCs w:val="20"/>
                <w:color w:val="auto"/>
              </w:rPr>
            </w:pPr>
            <w:r>
              <w:rPr>
                <w:rFonts w:ascii="Arial" w:cs="Arial" w:eastAsia="Arial" w:hAnsi="Arial"/>
                <w:sz w:val="16"/>
                <w:szCs w:val="16"/>
                <w:b w:val="1"/>
                <w:bCs w:val="1"/>
                <w:color w:val="auto"/>
                <w:w w:val="97"/>
              </w:rPr>
              <w:t xml:space="preserve">to NAV </w:t>
            </w:r>
            <w:r>
              <w:rPr>
                <w:rFonts w:ascii="Arial" w:cs="Arial" w:eastAsia="Arial" w:hAnsi="Arial"/>
                <w:sz w:val="22"/>
                <w:szCs w:val="22"/>
                <w:b w:val="1"/>
                <w:bCs w:val="1"/>
                <w:color w:val="auto"/>
                <w:w w:val="97"/>
                <w:vertAlign w:val="superscript"/>
              </w:rPr>
              <w:t>(2)</w:t>
            </w:r>
          </w:p>
        </w:tc>
        <w:tc>
          <w:tcPr>
            <w:tcW w:w="360" w:type="dxa"/>
            <w:vAlign w:val="bottom"/>
          </w:tcPr>
          <w:p>
            <w:pPr>
              <w:spacing w:after="0"/>
              <w:rPr>
                <w:sz w:val="17"/>
                <w:szCs w:val="17"/>
                <w:color w:val="auto"/>
              </w:rPr>
            </w:pPr>
          </w:p>
        </w:tc>
        <w:tc>
          <w:tcPr>
            <w:tcW w:w="94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88"/>
              </w:rPr>
              <w:t>Dividends</w:t>
            </w: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8"/>
              </w:rPr>
              <w:t>Fiscal year ending September 30, 2011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   13.44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12.85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10.34</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96  %</w:t>
            </w: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77  %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2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14.06</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13.70</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97</w:t>
            </w: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87</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29" w:lineRule="exact"/>
        <w:rPr>
          <w:sz w:val="20"/>
          <w:szCs w:val="20"/>
          <w:color w:val="auto"/>
        </w:rPr>
      </w:pPr>
    </w:p>
    <w:p>
      <w:pPr>
        <w:ind w:left="920" w:right="700" w:hanging="292"/>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8" w:lineRule="exact"/>
        <w:rPr>
          <w:rFonts w:ascii="Arial" w:cs="Arial" w:eastAsia="Arial" w:hAnsi="Arial"/>
          <w:sz w:val="18"/>
          <w:szCs w:val="18"/>
          <w:color w:val="auto"/>
        </w:rPr>
      </w:pPr>
    </w:p>
    <w:p>
      <w:pPr>
        <w:ind w:left="920" w:hanging="29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63" w:lineRule="exact"/>
        <w:rPr>
          <w:sz w:val="20"/>
          <w:szCs w:val="20"/>
          <w:color w:val="auto"/>
        </w:rPr>
      </w:pPr>
    </w:p>
    <w:p>
      <w:pPr>
        <w:ind w:left="68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From April 8, 2011 (initial public offering) to June 30, 2011.</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each Company may have, at times, experienced a market share price above NAV, there can be no assurance that it will do so under current market conditions or in the future. The unprecedented nature of the current credit market dislocation and uncertainty surrounding the U.S. economy have led to significant stock market volatility, particularly with respect to the stock of financial services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333" w:lineRule="exact"/>
        <w:rPr>
          <w:sz w:val="20"/>
          <w:szCs w:val="20"/>
          <w:color w:val="auto"/>
        </w:rPr>
      </w:pPr>
    </w:p>
    <w:p>
      <w:pPr>
        <w:ind w:left="1200" w:hanging="245"/>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63" w:lineRule="exact"/>
        <w:rPr>
          <w:rFonts w:ascii="Arial" w:cs="Arial" w:eastAsia="Arial" w:hAnsi="Arial"/>
          <w:sz w:val="18"/>
          <w:szCs w:val="18"/>
          <w:color w:val="auto"/>
        </w:rPr>
      </w:pPr>
    </w:p>
    <w:p>
      <w:pPr>
        <w:jc w:val="both"/>
        <w:ind w:left="1200" w:right="980" w:hanging="245"/>
        <w:spacing w:after="0" w:line="25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such Independent Directors, who,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the NAV and a proportionately greater decrease in a Stockholder's per share interest in the earnings and assets of the Company and per share voting interest in the Company. Each Board has considered the potential dilutive effect of the issuance of shares at a price below the NAV and will consider again such dilutive effect when considering whether to authorize any specific issuance of shares of a Company's Common Stock below NAV.</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6" w:right="239" w:bottom="1440" w:gutter="0" w:footer="0" w:header="0"/>
        </w:sectPr>
      </w:pPr>
    </w:p>
    <w:bookmarkStart w:id="12" w:name="page13"/>
    <w:bookmarkEnd w:id="12"/>
    <w:p>
      <w:pPr>
        <w:jc w:val="both"/>
        <w:ind w:firstLine="648"/>
        <w:spacing w:after="0" w:line="291"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 current NAV, the Stockholder's voting power will be diluted.</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 from such offering. Each Board would expect that the net proceeds to a Company will be equal to the price that investors pay per share, less the amount of any underwriting discounts and commissions, typically 95% of the market price.</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3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52" w:right="239" w:bottom="1440" w:gutter="0" w:footer="0" w:header="0"/>
        </w:sectPr>
      </w:pPr>
    </w:p>
    <w:bookmarkStart w:id="13" w:name="page14"/>
    <w:bookmarkEnd w:id="13"/>
    <w:tbl>
      <w:tblPr>
        <w:tblLayout w:type="fixed"/>
        <w:tblInd w:w="17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Example 1 5% offering at 5%</w:t>
            </w:r>
          </w:p>
        </w:tc>
        <w:tc>
          <w:tcPr>
            <w:tcW w:w="2600" w:type="dxa"/>
            <w:vAlign w:val="bottom"/>
            <w:gridSpan w:val="3"/>
          </w:tcPr>
          <w:p>
            <w:pPr>
              <w:ind w:left="40"/>
              <w:spacing w:after="0"/>
              <w:rPr>
                <w:sz w:val="20"/>
                <w:szCs w:val="20"/>
                <w:color w:val="auto"/>
              </w:rPr>
            </w:pPr>
            <w:r>
              <w:rPr>
                <w:rFonts w:ascii="Arial" w:cs="Arial" w:eastAsia="Arial" w:hAnsi="Arial"/>
                <w:sz w:val="18"/>
                <w:szCs w:val="18"/>
                <w:color w:val="auto"/>
              </w:rPr>
              <w:t>Example 2 10% offering at 10%</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w w:val="91"/>
              </w:rPr>
              <w:t>Example 3 20% offering at 20%</w:t>
            </w:r>
          </w:p>
        </w:tc>
      </w:tr>
      <w:tr>
        <w:trPr>
          <w:trHeight w:val="230"/>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left="790"/>
              <w:spacing w:after="0"/>
              <w:rPr>
                <w:sz w:val="20"/>
                <w:szCs w:val="20"/>
                <w:color w:val="auto"/>
              </w:rPr>
            </w:pPr>
            <w:r>
              <w:rPr>
                <w:rFonts w:ascii="Arial" w:cs="Arial" w:eastAsia="Arial" w:hAnsi="Arial"/>
                <w:sz w:val="18"/>
                <w:szCs w:val="18"/>
                <w:color w:val="auto"/>
                <w:w w:val="94"/>
              </w:rPr>
              <w:t>Discount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ind w:left="880"/>
              <w:spacing w:after="0"/>
              <w:rPr>
                <w:sz w:val="20"/>
                <w:szCs w:val="20"/>
                <w:color w:val="auto"/>
              </w:rPr>
            </w:pPr>
            <w:r>
              <w:rPr>
                <w:rFonts w:ascii="Arial" w:cs="Arial" w:eastAsia="Arial" w:hAnsi="Arial"/>
                <w:sz w:val="18"/>
                <w:szCs w:val="18"/>
                <w:color w:val="auto"/>
                <w:w w:val="91"/>
              </w:rPr>
              <w:t>Discount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ind w:left="860"/>
              <w:spacing w:after="0"/>
              <w:rPr>
                <w:sz w:val="20"/>
                <w:szCs w:val="20"/>
                <w:color w:val="auto"/>
              </w:rPr>
            </w:pPr>
            <w:r>
              <w:rPr>
                <w:rFonts w:ascii="Arial" w:cs="Arial" w:eastAsia="Arial" w:hAnsi="Arial"/>
                <w:sz w:val="18"/>
                <w:szCs w:val="18"/>
                <w:color w:val="auto"/>
                <w:w w:val="91"/>
              </w:rPr>
              <w:t>Discount</w:t>
            </w:r>
          </w:p>
        </w:tc>
        <w:tc>
          <w:tcPr>
            <w:tcW w:w="840" w:type="dxa"/>
            <w:vAlign w:val="bottom"/>
          </w:tcPr>
          <w:p>
            <w:pPr>
              <w:spacing w:after="0"/>
              <w:rPr>
                <w:sz w:val="20"/>
                <w:szCs w:val="20"/>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Prior to Sale</w:t>
            </w: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Below NAV</w:t>
            </w:r>
          </w:p>
        </w:tc>
        <w:tc>
          <w:tcPr>
            <w:tcW w:w="1540" w:type="dxa"/>
            <w:vAlign w:val="bottom"/>
          </w:tcPr>
          <w:p>
            <w:pPr>
              <w:ind w:left="60"/>
              <w:spacing w:after="0"/>
              <w:rPr>
                <w:sz w:val="20"/>
                <w:szCs w:val="20"/>
                <w:color w:val="auto"/>
              </w:rPr>
            </w:pPr>
            <w:r>
              <w:rPr>
                <w:rFonts w:ascii="Arial" w:cs="Arial" w:eastAsia="Arial" w:hAnsi="Arial"/>
                <w:sz w:val="18"/>
                <w:szCs w:val="18"/>
                <w:color w:val="auto"/>
              </w:rPr>
              <w:t>Following Sale</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540" w:type="dxa"/>
            <w:vAlign w:val="bottom"/>
          </w:tcPr>
          <w:p>
            <w:pPr>
              <w:ind w:left="60"/>
              <w:spacing w:after="0"/>
              <w:rPr>
                <w:sz w:val="20"/>
                <w:szCs w:val="20"/>
                <w:color w:val="auto"/>
              </w:rPr>
            </w:pPr>
            <w:r>
              <w:rPr>
                <w:rFonts w:ascii="Arial" w:cs="Arial" w:eastAsia="Arial" w:hAnsi="Arial"/>
                <w:sz w:val="18"/>
                <w:szCs w:val="18"/>
                <w:color w:val="auto"/>
              </w:rPr>
              <w:t>Following Sale</w:t>
            </w:r>
          </w:p>
        </w:tc>
        <w:tc>
          <w:tcPr>
            <w:tcW w:w="106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520" w:type="dxa"/>
            <w:vAlign w:val="bottom"/>
          </w:tcPr>
          <w:p>
            <w:pPr>
              <w:ind w:left="60"/>
              <w:spacing w:after="0"/>
              <w:rPr>
                <w:sz w:val="20"/>
                <w:szCs w:val="20"/>
                <w:color w:val="auto"/>
              </w:rPr>
            </w:pPr>
            <w:r>
              <w:rPr>
                <w:rFonts w:ascii="Arial" w:cs="Arial" w:eastAsia="Arial" w:hAnsi="Arial"/>
                <w:sz w:val="18"/>
                <w:szCs w:val="18"/>
                <w:color w:val="auto"/>
              </w:rPr>
              <w:t>Following Sale</w:t>
            </w:r>
          </w:p>
        </w:tc>
        <w:tc>
          <w:tcPr>
            <w:tcW w:w="840" w:type="dxa"/>
            <w:vAlign w:val="bottom"/>
          </w:tcPr>
          <w:p>
            <w:pPr>
              <w:ind w:left="20"/>
              <w:spacing w:after="0"/>
              <w:rPr>
                <w:sz w:val="20"/>
                <w:szCs w:val="20"/>
                <w:color w:val="auto"/>
              </w:rPr>
            </w:pPr>
            <w:r>
              <w:rPr>
                <w:rFonts w:ascii="Arial" w:cs="Arial" w:eastAsia="Arial" w:hAnsi="Arial"/>
                <w:sz w:val="18"/>
                <w:szCs w:val="18"/>
                <w:color w:val="auto"/>
                <w:w w:val="95"/>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68948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1803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ectPr>
          <w:pgSz w:w="11900" w:h="16838" w:orient="portrait"/>
          <w:cols w:equalWidth="0" w:num="1">
            <w:col w:w="10820"/>
          </w:cols>
          <w:pgMar w:left="560" w:top="922" w:right="519" w:bottom="1440" w:gutter="0" w:footer="0" w:header="0"/>
        </w:sectPr>
      </w:pPr>
    </w:p>
    <w:p>
      <w:pPr>
        <w:spacing w:after="0" w:line="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Price per Share to Public</w:t>
      </w:r>
    </w:p>
    <w:p>
      <w:pPr>
        <w:spacing w:after="0" w:line="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Proceeds per Share to Issuer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4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NAV per Share</w:t>
      </w:r>
      <w:r>
        <w:rPr>
          <w:sz w:val="20"/>
          <w:szCs w:val="20"/>
          <w:color w:val="auto"/>
        </w:rPr>
        <w:tab/>
      </w:r>
      <w:r>
        <w:rPr>
          <w:rFonts w:ascii="Arial" w:cs="Arial" w:eastAsia="Arial" w:hAnsi="Arial"/>
          <w:sz w:val="17"/>
          <w:szCs w:val="17"/>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Dilution to Stockholder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Shares Held by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Stockholder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9"/>
              </w:rPr>
              <w:t>Percentage Held by</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Stockholder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w w:val="98"/>
              </w:rPr>
              <w:t>Total Asset Values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Total NAV Held by</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600" w:type="dxa"/>
            <w:vAlign w:val="bottom"/>
            <w:vMerge w:val="restart"/>
          </w:tcPr>
          <w:p>
            <w:pPr>
              <w:spacing w:after="0"/>
              <w:rPr>
                <w:sz w:val="20"/>
                <w:szCs w:val="20"/>
                <w:color w:val="auto"/>
              </w:rPr>
            </w:pPr>
            <w:r>
              <w:rPr>
                <w:rFonts w:ascii="Arial" w:cs="Arial" w:eastAsia="Arial" w:hAnsi="Arial"/>
                <w:sz w:val="18"/>
                <w:szCs w:val="18"/>
                <w:color w:val="auto"/>
              </w:rPr>
              <w:t>Stockholder A</w:t>
            </w: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by</w:t>
      </w:r>
    </w:p>
    <w:p>
      <w:pPr>
        <w:spacing w:after="0" w:line="23" w:lineRule="exact"/>
        <w:rPr>
          <w:sz w:val="20"/>
          <w:szCs w:val="20"/>
          <w:color w:val="auto"/>
        </w:rPr>
      </w:pPr>
    </w:p>
    <w:p>
      <w:pPr>
        <w:spacing w:after="0" w:line="187" w:lineRule="auto"/>
        <w:rPr>
          <w:sz w:val="20"/>
          <w:szCs w:val="20"/>
          <w:color w:val="auto"/>
        </w:rPr>
      </w:pPr>
      <w:r>
        <w:rPr>
          <w:rFonts w:ascii="Arial" w:cs="Arial" w:eastAsia="Arial" w:hAnsi="Arial"/>
          <w:sz w:val="18"/>
          <w:szCs w:val="18"/>
          <w:color w:val="auto"/>
        </w:rPr>
        <w:t xml:space="preserve">Stockholder A </w:t>
      </w:r>
      <w:r>
        <w:rPr>
          <w:rFonts w:ascii="Arial" w:cs="Arial" w:eastAsia="Arial" w:hAnsi="Arial"/>
          <w:sz w:val="36"/>
          <w:szCs w:val="36"/>
          <w:color w:val="auto"/>
          <w:vertAlign w:val="subscript"/>
        </w:rPr>
        <w:t>$</w:t>
      </w:r>
      <w:r>
        <w:rPr>
          <w:rFonts w:ascii="Arial" w:cs="Arial" w:eastAsia="Arial" w:hAnsi="Arial"/>
          <w:sz w:val="18"/>
          <w:szCs w:val="18"/>
          <w:color w:val="auto"/>
        </w:rPr>
        <w:t xml:space="preserve"> (Assumed to be $10.00 per Share)</w:t>
      </w:r>
    </w:p>
    <w:p>
      <w:pPr>
        <w:spacing w:after="0" w:line="4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NAV per Share Held by Stockholder A</w:t>
      </w:r>
    </w:p>
    <w:p>
      <w:pPr>
        <w:spacing w:after="0" w:line="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per Share Held by Stockholder A (Assumed to be $10.00 $ per Share on Shares Held Prior to Sale)</w:t>
      </w:r>
    </w:p>
    <w:p>
      <w:pPr>
        <w:spacing w:after="0" w:line="2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Dilution per Share Held by Stockholder A (NAV per Share Less Investment per Share)</w:t>
      </w:r>
    </w:p>
    <w:p>
      <w:pPr>
        <w:spacing w:after="0" w:line="9"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10.05</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9.52</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8.47</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9.50</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9.00</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8.00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56"/>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1,000,000</w:t>
            </w:r>
          </w:p>
        </w:tc>
        <w:tc>
          <w:tcPr>
            <w:tcW w:w="3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w w:val="97"/>
              </w:rPr>
              <w:t>1,050,000</w:t>
            </w:r>
          </w:p>
        </w:tc>
        <w:tc>
          <w:tcPr>
            <w:tcW w:w="1100" w:type="dxa"/>
            <w:vAlign w:val="bottom"/>
          </w:tcPr>
          <w:p>
            <w:pPr>
              <w:ind w:left="460"/>
              <w:spacing w:after="0"/>
              <w:rPr>
                <w:sz w:val="20"/>
                <w:szCs w:val="20"/>
                <w:color w:val="auto"/>
              </w:rPr>
            </w:pPr>
            <w:r>
              <w:rPr>
                <w:rFonts w:ascii="Arial" w:cs="Arial" w:eastAsia="Arial" w:hAnsi="Arial"/>
                <w:sz w:val="18"/>
                <w:szCs w:val="18"/>
                <w:color w:val="auto"/>
              </w:rPr>
              <w:t>5.00 %</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w w:val="99"/>
              </w:rPr>
              <w:t>1,100,000</w:t>
            </w:r>
          </w:p>
        </w:tc>
        <w:tc>
          <w:tcPr>
            <w:tcW w:w="1120" w:type="dxa"/>
            <w:vAlign w:val="bottom"/>
          </w:tcPr>
          <w:p>
            <w:pPr>
              <w:ind w:left="380"/>
              <w:spacing w:after="0"/>
              <w:rPr>
                <w:sz w:val="20"/>
                <w:szCs w:val="20"/>
                <w:color w:val="auto"/>
              </w:rPr>
            </w:pPr>
            <w:r>
              <w:rPr>
                <w:rFonts w:ascii="Arial" w:cs="Arial" w:eastAsia="Arial" w:hAnsi="Arial"/>
                <w:sz w:val="18"/>
                <w:szCs w:val="18"/>
                <w:color w:val="auto"/>
              </w:rPr>
              <w:t>10.00 %</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w w:val="99"/>
              </w:rPr>
              <w:t>1,200,000</w:t>
            </w:r>
          </w:p>
        </w:tc>
        <w:tc>
          <w:tcPr>
            <w:tcW w:w="980" w:type="dxa"/>
            <w:vAlign w:val="bottom"/>
          </w:tcPr>
          <w:p>
            <w:pPr>
              <w:jc w:val="right"/>
              <w:spacing w:after="0"/>
              <w:rPr>
                <w:sz w:val="20"/>
                <w:szCs w:val="20"/>
                <w:color w:val="auto"/>
              </w:rPr>
            </w:pPr>
            <w:r>
              <w:rPr>
                <w:rFonts w:ascii="Arial" w:cs="Arial" w:eastAsia="Arial" w:hAnsi="Arial"/>
                <w:sz w:val="18"/>
                <w:szCs w:val="18"/>
                <w:color w:val="auto"/>
              </w:rPr>
              <w:t>20.00 %</w:t>
            </w:r>
          </w:p>
        </w:tc>
      </w:tr>
      <w:tr>
        <w:trPr>
          <w:trHeight w:val="378"/>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9.98</w:t>
            </w:r>
          </w:p>
        </w:tc>
        <w:tc>
          <w:tcPr>
            <w:tcW w:w="1100" w:type="dxa"/>
            <w:vAlign w:val="bottom"/>
          </w:tcPr>
          <w:p>
            <w:pPr>
              <w:ind w:left="400"/>
              <w:spacing w:after="0"/>
              <w:rPr>
                <w:sz w:val="20"/>
                <w:szCs w:val="20"/>
                <w:color w:val="auto"/>
              </w:rPr>
            </w:pPr>
            <w:r>
              <w:rPr>
                <w:rFonts w:ascii="Arial" w:cs="Arial" w:eastAsia="Arial" w:hAnsi="Arial"/>
                <w:sz w:val="18"/>
                <w:szCs w:val="18"/>
                <w:color w:val="auto"/>
              </w:rPr>
              <w:t>(0.20)%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9.91</w:t>
            </w:r>
          </w:p>
        </w:tc>
        <w:tc>
          <w:tcPr>
            <w:tcW w:w="1120" w:type="dxa"/>
            <w:vAlign w:val="bottom"/>
          </w:tcPr>
          <w:p>
            <w:pPr>
              <w:ind w:left="40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9.67</w:t>
            </w: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918"/>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10,000</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10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0.95%</w:t>
            </w:r>
          </w:p>
        </w:tc>
        <w:tc>
          <w:tcPr>
            <w:tcW w:w="1100" w:type="dxa"/>
            <w:vAlign w:val="bottom"/>
          </w:tcPr>
          <w:p>
            <w:pPr>
              <w:ind w:left="40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0.91%</w:t>
            </w:r>
          </w:p>
        </w:tc>
        <w:tc>
          <w:tcPr>
            <w:tcW w:w="1120" w:type="dxa"/>
            <w:vAlign w:val="bottom"/>
          </w:tcPr>
          <w:p>
            <w:pPr>
              <w:ind w:left="40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0.83%</w:t>
            </w:r>
          </w:p>
        </w:tc>
        <w:tc>
          <w:tcPr>
            <w:tcW w:w="9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1026"/>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100,000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99,800</w:t>
            </w:r>
          </w:p>
        </w:tc>
        <w:tc>
          <w:tcPr>
            <w:tcW w:w="1100" w:type="dxa"/>
            <w:vAlign w:val="bottom"/>
          </w:tcPr>
          <w:p>
            <w:pPr>
              <w:ind w:left="400"/>
              <w:spacing w:after="0"/>
              <w:rPr>
                <w:sz w:val="20"/>
                <w:szCs w:val="20"/>
                <w:color w:val="auto"/>
              </w:rPr>
            </w:pPr>
            <w:r>
              <w:rPr>
                <w:rFonts w:ascii="Arial" w:cs="Arial" w:eastAsia="Arial" w:hAnsi="Arial"/>
                <w:sz w:val="18"/>
                <w:szCs w:val="18"/>
                <w:color w:val="auto"/>
              </w:rPr>
              <w:t>(0.20)%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99,100</w:t>
            </w:r>
          </w:p>
        </w:tc>
        <w:tc>
          <w:tcPr>
            <w:tcW w:w="1120" w:type="dxa"/>
            <w:vAlign w:val="bottom"/>
          </w:tcPr>
          <w:p>
            <w:pPr>
              <w:ind w:left="40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96,700</w:t>
            </w: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702"/>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100,000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100,000</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100,000</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18"/>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(200)</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(900)</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(3,300)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242"/>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9.98</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9.91</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9.67</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810"/>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26"/>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(0.02)</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(0.09)</w:t>
            </w: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(0.33)</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26"/>
        </w:trPr>
        <w:tc>
          <w:tcPr>
            <w:tcW w:w="10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Pr>
          <w:p>
            <w:pPr>
              <w:ind w:left="200"/>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-6122670</wp:posOffset>
            </wp:positionV>
            <wp:extent cx="689483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-5641975</wp:posOffset>
            </wp:positionV>
            <wp:extent cx="689483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-4990465</wp:posOffset>
            </wp:positionV>
            <wp:extent cx="68948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17145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-4510405</wp:posOffset>
            </wp:positionV>
            <wp:extent cx="689483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-3858260</wp:posOffset>
            </wp:positionV>
            <wp:extent cx="689483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-2966720</wp:posOffset>
            </wp:positionV>
            <wp:extent cx="689483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58293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-2040255</wp:posOffset>
            </wp:positionV>
            <wp:extent cx="689483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-1011555</wp:posOffset>
            </wp:positionV>
            <wp:extent cx="689483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4830" cy="582930"/>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1880" w:space="260"/>
            <w:col w:w="8680"/>
          </w:cols>
          <w:pgMar w:left="560" w:top="92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20"/>
          </w:cols>
          <w:pgMar w:left="560" w:top="922" w:right="519" w:bottom="1440" w:gutter="0" w:footer="0" w:header="0"/>
          <w:type w:val="continuous"/>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existing stockholder who participates in an offering below NAV per share or who buys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2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50% Participation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4"/>
              </w:rPr>
              <w:t>150% Participation</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Prior to Sale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Following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7"/>
              </w:rPr>
              <w:t>Following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Below NAV</w:t>
            </w: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Sale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Sale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1,200,000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NAV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NAV held by stockholder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106,370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w w:val="93"/>
              </w:rPr>
              <w:t>Total investment by stockholder A (assumed to be $10.00 per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share on shares held prior to sale)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108,470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8.47</w:t>
            </w: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125,410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25.41</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(dilution)/accretion to stockholder A (total NAV less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w w:val="96"/>
              </w:rPr>
              <w:t>Investment per share held by stockholder A (assumed to be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$10.00 per share on shares held prior to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(Dilution)/accretion per share held by stockholder A (NAV</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less investment per share)</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Percentage (dilution)/accretion to stockholder A</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w w:val="94"/>
              </w:rPr>
              <w:t>(dilution/accretion per share divided by investment per share)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2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shares, which often reflects to some degree announced or potential increases and decreases in NAV per share. This decrease could be more pronounced as the size of the offering and level of discounts increases.</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Example 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Example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2"/>
              </w:rPr>
              <w:t>Example 3</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6"/>
              </w:rPr>
              <w:t>5% Offering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5"/>
              </w:rPr>
              <w:t>10% Offering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20% Offering</w:t>
            </w:r>
          </w:p>
        </w:tc>
        <w:tc>
          <w:tcPr>
            <w:tcW w:w="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at 5% Discount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at 10% Discount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at 20% Discount</w:t>
            </w:r>
          </w:p>
        </w:tc>
        <w:tc>
          <w:tcPr>
            <w:tcW w:w="2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Prior to Sale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Following</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Following</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Following</w:t>
            </w: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Below NAV</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w:t>
            </w:r>
          </w:p>
        </w:tc>
        <w:tc>
          <w:tcPr>
            <w:tcW w:w="1040" w:type="dxa"/>
            <w:vAlign w:val="bottom"/>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w:t>
            </w:r>
          </w:p>
        </w:tc>
        <w:tc>
          <w:tcPr>
            <w:tcW w:w="12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6"/>
              </w:rPr>
              <w:t>Sale</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3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Price per share to public</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offering proceeds per share to issuer</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Decrease to NAV</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outstanding</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2"/>
              </w:rPr>
              <w:t>1,050,000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4"/>
              </w:rPr>
              <w:t>1,100,000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7"/>
              </w:rPr>
              <w:t>1,200,000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NAV per share</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(0.20)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(0.90) %   $</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(3.30) %</w:t>
            </w: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Shares held by stockholder A</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held by stockholder A</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Asset Values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NAV held by stockholder A</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Total investment by stockholder A</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dilution to stockholder A (total</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NAV less total investment)</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Per Share Amounts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NAV per share held by stockholder A</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Investment per share held by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stockholder A</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held by stockholder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(NAV per share less investment per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Percentage dilution to stockholder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(dilution per share divided by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investment per share)</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14.17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dilutive effect of any equity financing on a Company's NAV, the relevant Board has considered the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this Proposal. In our view, the secondary market price of our Common Stock is an important gauge of the true economic impact on Stockholders of any equity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124" w:lineRule="exact"/>
        <w:rPr>
          <w:sz w:val="20"/>
          <w:szCs w:val="20"/>
          <w:color w:val="auto"/>
        </w:rPr>
      </w:pPr>
    </w:p>
    <w:p>
      <w:pPr>
        <w:ind w:left="1400" w:right="1400" w:hanging="135"/>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170"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225"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225"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to each Company, approval of this Proposal requires the affirmative vote of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1940 Act, defines “a majority of the outstanding voting securities" of a Company as: (1) 67% or more of the voting securities present at the Meeting if the holders of more than 50% of the outstanding voting securities of such Company are present or represented by proxy or (2) more than 50% of the outstanding voting securities of such Company, whichever is the less. Abstentions will have the effect of a vote against this Proposal.</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i w:val="1"/>
          <w:iCs w:val="1"/>
          <w:color w:val="auto"/>
        </w:rPr>
        <w:t>OTHER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appears not to be enough votes for a quorum of a Company or to approve the Proposal at the Meeting,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85" w:lineRule="exact"/>
        <w:rPr>
          <w:sz w:val="20"/>
          <w:szCs w:val="20"/>
          <w:color w:val="auto"/>
        </w:rPr>
      </w:pPr>
    </w:p>
    <w:p>
      <w:pPr>
        <w:jc w:val="both"/>
        <w:ind w:firstLine="648"/>
        <w:spacing w:after="0" w:line="316" w:lineRule="auto"/>
        <w:rPr>
          <w:rFonts w:ascii="Arial" w:cs="Arial" w:eastAsia="Arial" w:hAnsi="Arial"/>
          <w:sz w:val="16"/>
          <w:szCs w:val="16"/>
          <w:color w:val="auto"/>
        </w:rPr>
      </w:pPr>
      <w:r>
        <w:rPr>
          <w:rFonts w:ascii="Arial" w:cs="Arial" w:eastAsia="Arial" w:hAnsi="Arial"/>
          <w:sz w:val="16"/>
          <w:szCs w:val="16"/>
          <w:color w:val="auto"/>
        </w:rPr>
        <w:t xml:space="preserve">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 </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Copies of such reports are also posted via EDGAR on the SEC's website at </w:t>
      </w:r>
      <w:hyperlink w:anchor="page3">
        <w:r>
          <w:rPr>
            <w:rFonts w:ascii="Arial" w:cs="Arial" w:eastAsia="Arial" w:hAnsi="Arial"/>
            <w:sz w:val="16"/>
            <w:szCs w:val="16"/>
            <w:i w:val="1"/>
            <w:iCs w:val="1"/>
            <w:u w:val="single" w:color="auto"/>
            <w:color w:val="0000FF"/>
          </w:rPr>
          <w:t>http://www.sec.gov.</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The Companies expect to hold their 2013 Joint Annual Meeting of Stockholders in February 2013, but the exact date, time, and location of such meeting have yet to be determined. A Stockholder of either Company who intends to present a proposal at that joint annual meeting, including nomination of a director, must submit the proposal in writing addressed to Thomas Friedmann, Secretary, c/o PennantPark, 590 Madison Avenue, 15 </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Notices of intention to present proposals, including nomination of a director, at the 2013 joint annual meeting must be received by the relevant Company between July 24, 2012 and 5:00 p.m. Eastern Time on August 23, 2012.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Mr. Guy F. Talarico</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76"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9512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51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564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o"/>
      <w:numFmt w:val="bullet"/>
      <w:start w:val="1"/>
    </w:lvl>
    <w:lvl w:ilvl="1">
      <w:lvlJc w:val="left"/>
      <w:lvlText w:val="(%2)"/>
      <w:numFmt w:val="decimal"/>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212"/>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ž"/>
      <w:numFmt w:val="bullet"/>
      <w:start w:val="1"/>
    </w:lvl>
  </w:abstractNum>
  <w:abstractNum w:abstractNumId="8">
    <w:nsid w:val="1F16E9E8"/>
    <w:multiLevelType w:val="hybridMultilevel"/>
    <w:lvl w:ilvl="0">
      <w:lvlJc w:val="left"/>
      <w:lvlText w:val="ž"/>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ž"/>
      <w:numFmt w:val="bullet"/>
      <w:start w:val="1"/>
    </w:lvl>
  </w:abstractNum>
  <w:abstractNum w:abstractNumId="12">
    <w:nsid w:val="3352255A"/>
    <w:multiLevelType w:val="hybridMultilevel"/>
    <w:lvl w:ilvl="0">
      <w:lvlJc w:val="left"/>
      <w:lvlText w:val="ž"/>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2019-12-11T04:26:14Z</dcterms:created>
  <dcterms:modified xsi:type="dcterms:W3CDTF">2019-12-11T04:26:14Z</dcterms:modified>
</cp:coreProperties>
</file>